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651A" w:rsidRDefault="00EE651A" w:rsidP="00EE651A">
      <w:pPr>
        <w:ind w:left="149"/>
        <w:rPr>
          <w:sz w:val="20"/>
        </w:rPr>
      </w:pPr>
    </w:p>
    <w:p w:rsidR="00EE651A" w:rsidRDefault="00EE651A" w:rsidP="00EE651A">
      <w:pPr>
        <w:pStyle w:val="BodyText"/>
        <w:rPr>
          <w:rFonts w:ascii="Arial"/>
          <w:b/>
          <w:sz w:val="18"/>
        </w:rPr>
      </w:pPr>
    </w:p>
    <w:p w:rsidR="00EE651A" w:rsidRDefault="007E7216" w:rsidP="00EE651A">
      <w:pPr>
        <w:pStyle w:val="BodyText"/>
        <w:spacing w:before="142"/>
        <w:rPr>
          <w:rFonts w:ascii="Arial"/>
          <w:b/>
          <w:sz w:val="20"/>
        </w:rPr>
      </w:pPr>
      <w:r>
        <w:rPr>
          <w:rFonts w:ascii="Arial" w:eastAsia="Arial" w:hAnsi="Arial" w:cs="Arial"/>
          <w:noProof/>
        </w:rPr>
        <w:drawing>
          <wp:anchor distT="0" distB="0" distL="114300" distR="114300" simplePos="0" relativeHeight="251665408" behindDoc="0" locked="0" layoutInCell="1" allowOverlap="1" wp14:anchorId="6413491C" wp14:editId="52E8A11F">
            <wp:simplePos x="0" y="0"/>
            <wp:positionH relativeFrom="margin">
              <wp:align>center</wp:align>
            </wp:positionH>
            <wp:positionV relativeFrom="paragraph">
              <wp:posOffset>508000</wp:posOffset>
            </wp:positionV>
            <wp:extent cx="2846705" cy="1165860"/>
            <wp:effectExtent l="0" t="0" r="0" b="0"/>
            <wp:wrapTopAndBottom/>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2846705" cy="1165860"/>
                    </a:xfrm>
                    <a:prstGeom prst="rect">
                      <a:avLst/>
                    </a:prstGeom>
                    <a:ln/>
                  </pic:spPr>
                </pic:pic>
              </a:graphicData>
            </a:graphic>
          </wp:anchor>
        </w:drawing>
      </w:r>
    </w:p>
    <w:tbl>
      <w:tblPr>
        <w:tblStyle w:val="TableGrid"/>
        <w:tblW w:w="8504" w:type="dxa"/>
        <w:tblInd w:w="1130" w:type="dxa"/>
        <w:tblLook w:val="04A0" w:firstRow="1" w:lastRow="0" w:firstColumn="1" w:lastColumn="0" w:noHBand="0" w:noVBand="1"/>
      </w:tblPr>
      <w:tblGrid>
        <w:gridCol w:w="2725"/>
        <w:gridCol w:w="5779"/>
      </w:tblGrid>
      <w:tr w:rsidR="00D13741" w:rsidTr="007E7216">
        <w:trPr>
          <w:trHeight w:val="850"/>
        </w:trPr>
        <w:tc>
          <w:tcPr>
            <w:tcW w:w="2725" w:type="dxa"/>
            <w:shd w:val="clear" w:color="auto" w:fill="8496B0" w:themeFill="text2" w:themeFillTint="99"/>
            <w:vAlign w:val="center"/>
          </w:tcPr>
          <w:p w:rsidR="00D13741" w:rsidRPr="007E7216" w:rsidRDefault="00D13741" w:rsidP="007E7216">
            <w:pPr>
              <w:pStyle w:val="TableParagraph"/>
              <w:jc w:val="center"/>
              <w:rPr>
                <w:rFonts w:ascii="Arial" w:hAnsi="Arial" w:cs="Arial"/>
                <w:b/>
              </w:rPr>
            </w:pPr>
            <w:r w:rsidRPr="007E7216">
              <w:rPr>
                <w:rFonts w:ascii="Arial" w:hAnsi="Arial" w:cs="Arial"/>
                <w:b/>
              </w:rPr>
              <w:t>Programme:</w:t>
            </w:r>
          </w:p>
        </w:tc>
        <w:tc>
          <w:tcPr>
            <w:tcW w:w="5779" w:type="dxa"/>
            <w:vAlign w:val="center"/>
          </w:tcPr>
          <w:p w:rsidR="00D13741" w:rsidRPr="00D13741" w:rsidRDefault="00D13741" w:rsidP="007E7216">
            <w:pPr>
              <w:pStyle w:val="TableParagraph"/>
              <w:jc w:val="center"/>
              <w:rPr>
                <w:b/>
              </w:rPr>
            </w:pPr>
            <w:r w:rsidRPr="00D13741">
              <w:rPr>
                <w:rFonts w:ascii="Arial"/>
                <w:b/>
              </w:rPr>
              <w:t>Master</w:t>
            </w:r>
            <w:r w:rsidRPr="00D13741">
              <w:rPr>
                <w:rFonts w:ascii="Arial"/>
                <w:b/>
                <w:spacing w:val="-2"/>
              </w:rPr>
              <w:t xml:space="preserve"> </w:t>
            </w:r>
            <w:r w:rsidRPr="00D13741">
              <w:rPr>
                <w:rFonts w:ascii="Arial"/>
                <w:b/>
              </w:rPr>
              <w:t>of</w:t>
            </w:r>
            <w:r w:rsidRPr="00D13741">
              <w:rPr>
                <w:rFonts w:ascii="Arial"/>
                <w:b/>
                <w:spacing w:val="-5"/>
              </w:rPr>
              <w:t xml:space="preserve"> </w:t>
            </w:r>
            <w:r w:rsidRPr="00D13741">
              <w:rPr>
                <w:rFonts w:ascii="Arial"/>
                <w:b/>
              </w:rPr>
              <w:t>Business</w:t>
            </w:r>
            <w:r w:rsidRPr="00D13741">
              <w:rPr>
                <w:rFonts w:ascii="Arial"/>
                <w:b/>
                <w:spacing w:val="-5"/>
              </w:rPr>
              <w:t xml:space="preserve"> </w:t>
            </w:r>
            <w:r w:rsidRPr="00D13741">
              <w:rPr>
                <w:rFonts w:ascii="Arial"/>
                <w:b/>
                <w:spacing w:val="-2"/>
              </w:rPr>
              <w:t>Administration</w:t>
            </w:r>
          </w:p>
        </w:tc>
      </w:tr>
      <w:tr w:rsidR="00D13741" w:rsidTr="007E7216">
        <w:trPr>
          <w:trHeight w:val="850"/>
        </w:trPr>
        <w:tc>
          <w:tcPr>
            <w:tcW w:w="2725" w:type="dxa"/>
            <w:shd w:val="clear" w:color="auto" w:fill="8496B0" w:themeFill="text2" w:themeFillTint="99"/>
            <w:vAlign w:val="center"/>
          </w:tcPr>
          <w:p w:rsidR="00D13741" w:rsidRPr="007E7216" w:rsidRDefault="00D13741" w:rsidP="007E7216">
            <w:pPr>
              <w:pStyle w:val="TableParagraph"/>
              <w:jc w:val="center"/>
              <w:rPr>
                <w:rFonts w:ascii="Arial" w:hAnsi="Arial" w:cs="Arial"/>
                <w:b/>
              </w:rPr>
            </w:pPr>
            <w:r w:rsidRPr="007E7216">
              <w:rPr>
                <w:rFonts w:ascii="Arial" w:hAnsi="Arial" w:cs="Arial"/>
                <w:b/>
                <w:spacing w:val="-2"/>
              </w:rPr>
              <w:t>Module:</w:t>
            </w:r>
          </w:p>
        </w:tc>
        <w:tc>
          <w:tcPr>
            <w:tcW w:w="5779" w:type="dxa"/>
            <w:vAlign w:val="center"/>
          </w:tcPr>
          <w:p w:rsidR="00D13741" w:rsidRPr="00D13741" w:rsidRDefault="00D13741" w:rsidP="007E7216">
            <w:pPr>
              <w:pStyle w:val="TableParagraph"/>
              <w:jc w:val="center"/>
              <w:rPr>
                <w:b/>
              </w:rPr>
            </w:pPr>
            <w:r w:rsidRPr="00D13741">
              <w:rPr>
                <w:rFonts w:ascii="Arial"/>
                <w:b/>
                <w:spacing w:val="-2"/>
              </w:rPr>
              <w:t>Dissertation</w:t>
            </w:r>
          </w:p>
        </w:tc>
      </w:tr>
      <w:tr w:rsidR="00D13741" w:rsidTr="007E7216">
        <w:trPr>
          <w:trHeight w:val="850"/>
        </w:trPr>
        <w:tc>
          <w:tcPr>
            <w:tcW w:w="2725" w:type="dxa"/>
            <w:shd w:val="clear" w:color="auto" w:fill="8496B0" w:themeFill="text2" w:themeFillTint="99"/>
            <w:vAlign w:val="center"/>
          </w:tcPr>
          <w:p w:rsidR="00D13741" w:rsidRPr="007E7216" w:rsidRDefault="00D13741" w:rsidP="007E7216">
            <w:pPr>
              <w:pStyle w:val="TableParagraph"/>
              <w:jc w:val="center"/>
              <w:rPr>
                <w:rFonts w:ascii="Arial" w:hAnsi="Arial" w:cs="Arial"/>
                <w:b/>
              </w:rPr>
            </w:pPr>
            <w:r w:rsidRPr="007E7216">
              <w:rPr>
                <w:rFonts w:ascii="Arial" w:hAnsi="Arial" w:cs="Arial"/>
                <w:b/>
              </w:rPr>
              <w:t>Module</w:t>
            </w:r>
            <w:r w:rsidRPr="007E7216">
              <w:rPr>
                <w:rFonts w:ascii="Arial" w:hAnsi="Arial" w:cs="Arial"/>
                <w:b/>
                <w:spacing w:val="-4"/>
              </w:rPr>
              <w:t xml:space="preserve"> code:</w:t>
            </w:r>
          </w:p>
        </w:tc>
        <w:tc>
          <w:tcPr>
            <w:tcW w:w="5779" w:type="dxa"/>
            <w:vAlign w:val="center"/>
          </w:tcPr>
          <w:p w:rsidR="00D13741" w:rsidRPr="00D13741" w:rsidRDefault="00D13741" w:rsidP="007E7216">
            <w:pPr>
              <w:pStyle w:val="TableParagraph"/>
              <w:jc w:val="center"/>
              <w:rPr>
                <w:b/>
              </w:rPr>
            </w:pPr>
            <w:r w:rsidRPr="00D13741">
              <w:rPr>
                <w:rFonts w:ascii="Arial"/>
                <w:b/>
                <w:spacing w:val="-2"/>
              </w:rPr>
              <w:t>LCMB7035</w:t>
            </w:r>
          </w:p>
        </w:tc>
      </w:tr>
      <w:tr w:rsidR="00D13741" w:rsidTr="007E7216">
        <w:trPr>
          <w:trHeight w:val="850"/>
        </w:trPr>
        <w:tc>
          <w:tcPr>
            <w:tcW w:w="2725" w:type="dxa"/>
            <w:shd w:val="clear" w:color="auto" w:fill="8496B0" w:themeFill="text2" w:themeFillTint="99"/>
            <w:vAlign w:val="center"/>
          </w:tcPr>
          <w:p w:rsidR="00D13741" w:rsidRPr="007E7216" w:rsidRDefault="00D13741" w:rsidP="007E7216">
            <w:pPr>
              <w:pStyle w:val="TableParagraph"/>
              <w:jc w:val="center"/>
              <w:rPr>
                <w:rFonts w:ascii="Arial" w:hAnsi="Arial" w:cs="Arial"/>
                <w:b/>
              </w:rPr>
            </w:pPr>
            <w:r w:rsidRPr="007E7216">
              <w:rPr>
                <w:rFonts w:ascii="Arial" w:hAnsi="Arial" w:cs="Arial"/>
                <w:b/>
                <w:spacing w:val="-2"/>
              </w:rPr>
              <w:t>Dissertation Topic:</w:t>
            </w:r>
          </w:p>
        </w:tc>
        <w:tc>
          <w:tcPr>
            <w:tcW w:w="5779" w:type="dxa"/>
            <w:vAlign w:val="center"/>
          </w:tcPr>
          <w:p w:rsidR="00D13741" w:rsidRPr="001C37A4" w:rsidRDefault="00D13741" w:rsidP="007E7216">
            <w:pPr>
              <w:pStyle w:val="TableParagraph"/>
              <w:jc w:val="center"/>
              <w:rPr>
                <w:b/>
              </w:rPr>
            </w:pPr>
            <w:r w:rsidRPr="001C37A4">
              <w:rPr>
                <w:rFonts w:ascii="Arial" w:hAnsi="Arial"/>
                <w:b/>
              </w:rPr>
              <w:t>Beyond Discounts: Psychological Drivers of Tesco Clubcard Engagement Among London Consumers</w:t>
            </w:r>
          </w:p>
        </w:tc>
      </w:tr>
      <w:tr w:rsidR="00D13741" w:rsidTr="00E9526C">
        <w:trPr>
          <w:trHeight w:val="850"/>
        </w:trPr>
        <w:tc>
          <w:tcPr>
            <w:tcW w:w="2725" w:type="dxa"/>
            <w:shd w:val="clear" w:color="auto" w:fill="8496B0" w:themeFill="text2" w:themeFillTint="99"/>
            <w:vAlign w:val="center"/>
          </w:tcPr>
          <w:p w:rsidR="00D13741" w:rsidRPr="007E7216" w:rsidRDefault="00D13741" w:rsidP="007E7216">
            <w:pPr>
              <w:pStyle w:val="TableParagraph"/>
              <w:jc w:val="center"/>
              <w:rPr>
                <w:rFonts w:ascii="Arial" w:hAnsi="Arial" w:cs="Arial"/>
                <w:b/>
              </w:rPr>
            </w:pPr>
            <w:r w:rsidRPr="007E7216">
              <w:rPr>
                <w:rFonts w:ascii="Arial" w:hAnsi="Arial" w:cs="Arial"/>
                <w:b/>
              </w:rPr>
              <w:t>Student</w:t>
            </w:r>
            <w:r w:rsidRPr="007E7216">
              <w:rPr>
                <w:rFonts w:ascii="Arial" w:hAnsi="Arial" w:cs="Arial"/>
                <w:b/>
                <w:spacing w:val="-3"/>
              </w:rPr>
              <w:t xml:space="preserve"> </w:t>
            </w:r>
            <w:r w:rsidRPr="007E7216">
              <w:rPr>
                <w:rFonts w:ascii="Arial" w:hAnsi="Arial" w:cs="Arial"/>
                <w:b/>
                <w:spacing w:val="-2"/>
              </w:rPr>
              <w:t>name:</w:t>
            </w:r>
          </w:p>
        </w:tc>
        <w:tc>
          <w:tcPr>
            <w:tcW w:w="5779" w:type="dxa"/>
            <w:vAlign w:val="center"/>
          </w:tcPr>
          <w:p w:rsidR="00D13741" w:rsidRPr="00D13741" w:rsidRDefault="00D13741" w:rsidP="00E9526C">
            <w:pPr>
              <w:pStyle w:val="TableParagraph"/>
              <w:jc w:val="center"/>
              <w:rPr>
                <w:b/>
              </w:rPr>
            </w:pPr>
            <w:r w:rsidRPr="00D13741">
              <w:rPr>
                <w:b/>
              </w:rPr>
              <w:t>Imran Ahmed</w:t>
            </w:r>
          </w:p>
        </w:tc>
      </w:tr>
      <w:tr w:rsidR="00D13741" w:rsidTr="00E9526C">
        <w:trPr>
          <w:trHeight w:val="850"/>
        </w:trPr>
        <w:tc>
          <w:tcPr>
            <w:tcW w:w="2725" w:type="dxa"/>
            <w:shd w:val="clear" w:color="auto" w:fill="8496B0" w:themeFill="text2" w:themeFillTint="99"/>
            <w:vAlign w:val="center"/>
          </w:tcPr>
          <w:p w:rsidR="00D13741" w:rsidRPr="007E7216" w:rsidRDefault="00D13741" w:rsidP="007E7216">
            <w:pPr>
              <w:pStyle w:val="TableParagraph"/>
              <w:jc w:val="center"/>
              <w:rPr>
                <w:rFonts w:ascii="Arial" w:hAnsi="Arial" w:cs="Arial"/>
                <w:b/>
              </w:rPr>
            </w:pPr>
            <w:r w:rsidRPr="007E7216">
              <w:rPr>
                <w:rFonts w:ascii="Arial" w:hAnsi="Arial" w:cs="Arial"/>
                <w:b/>
              </w:rPr>
              <w:t>Student</w:t>
            </w:r>
            <w:r w:rsidRPr="007E7216">
              <w:rPr>
                <w:rFonts w:ascii="Arial" w:hAnsi="Arial" w:cs="Arial"/>
                <w:b/>
                <w:spacing w:val="-3"/>
              </w:rPr>
              <w:t xml:space="preserve"> </w:t>
            </w:r>
            <w:r w:rsidRPr="007E7216">
              <w:rPr>
                <w:rFonts w:ascii="Arial" w:hAnsi="Arial" w:cs="Arial"/>
                <w:b/>
              </w:rPr>
              <w:t xml:space="preserve">ID </w:t>
            </w:r>
            <w:r w:rsidRPr="007E7216">
              <w:rPr>
                <w:rFonts w:ascii="Arial" w:hAnsi="Arial" w:cs="Arial"/>
                <w:b/>
                <w:spacing w:val="-2"/>
              </w:rPr>
              <w:t>number:</w:t>
            </w:r>
          </w:p>
        </w:tc>
        <w:tc>
          <w:tcPr>
            <w:tcW w:w="5779" w:type="dxa"/>
            <w:vAlign w:val="center"/>
          </w:tcPr>
          <w:p w:rsidR="00D13741" w:rsidRPr="00D13741" w:rsidRDefault="00D13741" w:rsidP="00E9526C">
            <w:pPr>
              <w:pStyle w:val="TableParagraph"/>
              <w:jc w:val="center"/>
              <w:rPr>
                <w:b/>
              </w:rPr>
            </w:pPr>
            <w:r w:rsidRPr="00D13741">
              <w:rPr>
                <w:b/>
              </w:rPr>
              <w:t>2438392</w:t>
            </w:r>
          </w:p>
        </w:tc>
      </w:tr>
      <w:tr w:rsidR="00D13741" w:rsidTr="00E9526C">
        <w:trPr>
          <w:trHeight w:val="850"/>
        </w:trPr>
        <w:tc>
          <w:tcPr>
            <w:tcW w:w="2725" w:type="dxa"/>
            <w:shd w:val="clear" w:color="auto" w:fill="8496B0" w:themeFill="text2" w:themeFillTint="99"/>
            <w:vAlign w:val="center"/>
          </w:tcPr>
          <w:p w:rsidR="00D13741" w:rsidRPr="007E7216" w:rsidRDefault="00E326DA" w:rsidP="007E7216">
            <w:pPr>
              <w:pStyle w:val="TableParagraph"/>
              <w:jc w:val="center"/>
              <w:rPr>
                <w:rFonts w:ascii="Arial" w:hAnsi="Arial" w:cs="Arial"/>
              </w:rPr>
            </w:pPr>
            <w:r>
              <w:rPr>
                <w:rFonts w:ascii="Arial" w:hAnsi="Arial" w:cs="Arial"/>
                <w:b/>
                <w:spacing w:val="-2"/>
              </w:rPr>
              <w:t>Supervisor</w:t>
            </w:r>
            <w:r w:rsidR="00D13741" w:rsidRPr="007E7216">
              <w:rPr>
                <w:rFonts w:ascii="Arial" w:hAnsi="Arial" w:cs="Arial"/>
                <w:b/>
                <w:spacing w:val="-2"/>
              </w:rPr>
              <w:t>:</w:t>
            </w:r>
          </w:p>
        </w:tc>
        <w:tc>
          <w:tcPr>
            <w:tcW w:w="5779" w:type="dxa"/>
            <w:vAlign w:val="center"/>
          </w:tcPr>
          <w:p w:rsidR="00D13741" w:rsidRPr="008A572C" w:rsidRDefault="008A572C" w:rsidP="00E9526C">
            <w:pPr>
              <w:pStyle w:val="TableParagraph"/>
              <w:jc w:val="center"/>
              <w:rPr>
                <w:rFonts w:ascii="Arial" w:hAnsi="Arial" w:cs="Arial"/>
                <w:b/>
              </w:rPr>
            </w:pPr>
            <w:r w:rsidRPr="008A572C">
              <w:rPr>
                <w:rFonts w:ascii="Arial" w:hAnsi="Arial" w:cs="Arial"/>
                <w:b/>
              </w:rPr>
              <w:t>Amir Homayounfard</w:t>
            </w:r>
          </w:p>
        </w:tc>
      </w:tr>
      <w:tr w:rsidR="00D13741" w:rsidTr="00E9526C">
        <w:trPr>
          <w:trHeight w:val="850"/>
        </w:trPr>
        <w:tc>
          <w:tcPr>
            <w:tcW w:w="2725" w:type="dxa"/>
            <w:shd w:val="clear" w:color="auto" w:fill="8496B0" w:themeFill="text2" w:themeFillTint="99"/>
            <w:vAlign w:val="center"/>
          </w:tcPr>
          <w:p w:rsidR="00D13741" w:rsidRPr="007E7216" w:rsidRDefault="007E7216" w:rsidP="007E7216">
            <w:pPr>
              <w:pStyle w:val="TableParagraph"/>
              <w:jc w:val="center"/>
              <w:rPr>
                <w:rFonts w:ascii="Arial" w:hAnsi="Arial" w:cs="Arial"/>
                <w:b/>
              </w:rPr>
            </w:pPr>
            <w:r w:rsidRPr="007E7216">
              <w:rPr>
                <w:rFonts w:ascii="Arial" w:hAnsi="Arial" w:cs="Arial"/>
                <w:b/>
              </w:rPr>
              <w:t>Word Count</w:t>
            </w:r>
          </w:p>
        </w:tc>
        <w:tc>
          <w:tcPr>
            <w:tcW w:w="5779" w:type="dxa"/>
            <w:vAlign w:val="center"/>
          </w:tcPr>
          <w:p w:rsidR="00D13741" w:rsidRPr="00E9526C" w:rsidRDefault="005C2456" w:rsidP="00E9526C">
            <w:pPr>
              <w:spacing w:after="120"/>
              <w:jc w:val="center"/>
              <w:rPr>
                <w:rFonts w:ascii="Arial" w:hAnsi="Arial"/>
                <w:sz w:val="22"/>
                <w:szCs w:val="22"/>
              </w:rPr>
            </w:pPr>
            <w:r w:rsidRPr="00E9526C">
              <w:rPr>
                <w:rFonts w:ascii="Arial" w:hAnsi="Arial"/>
                <w:b/>
                <w:sz w:val="22"/>
                <w:szCs w:val="22"/>
              </w:rPr>
              <w:t>16,465</w:t>
            </w:r>
            <w:r w:rsidR="00E9526C" w:rsidRPr="00E9526C">
              <w:rPr>
                <w:rFonts w:ascii="Arial" w:hAnsi="Arial"/>
                <w:b/>
                <w:sz w:val="22"/>
                <w:szCs w:val="22"/>
              </w:rPr>
              <w:t xml:space="preserve"> words</w:t>
            </w:r>
          </w:p>
        </w:tc>
      </w:tr>
      <w:tr w:rsidR="007E7216" w:rsidTr="00E9526C">
        <w:trPr>
          <w:trHeight w:val="850"/>
        </w:trPr>
        <w:tc>
          <w:tcPr>
            <w:tcW w:w="2725" w:type="dxa"/>
            <w:shd w:val="clear" w:color="auto" w:fill="8496B0" w:themeFill="text2" w:themeFillTint="99"/>
            <w:vAlign w:val="center"/>
          </w:tcPr>
          <w:p w:rsidR="007E7216" w:rsidRPr="007E7216" w:rsidRDefault="007E7216" w:rsidP="007E7216">
            <w:pPr>
              <w:pStyle w:val="TableParagraph"/>
              <w:jc w:val="center"/>
              <w:rPr>
                <w:rFonts w:ascii="Arial" w:hAnsi="Arial" w:cs="Arial"/>
                <w:b/>
              </w:rPr>
            </w:pPr>
            <w:r w:rsidRPr="007E7216">
              <w:rPr>
                <w:rFonts w:ascii="Arial" w:hAnsi="Arial" w:cs="Arial"/>
                <w:b/>
              </w:rPr>
              <w:t>Submission Date</w:t>
            </w:r>
          </w:p>
        </w:tc>
        <w:tc>
          <w:tcPr>
            <w:tcW w:w="5779" w:type="dxa"/>
            <w:vAlign w:val="center"/>
          </w:tcPr>
          <w:p w:rsidR="007E7216" w:rsidRPr="007E7216" w:rsidRDefault="00E9526C" w:rsidP="00E9526C">
            <w:pPr>
              <w:pStyle w:val="TableParagraph"/>
              <w:jc w:val="center"/>
              <w:rPr>
                <w:rFonts w:ascii="Arial" w:hAnsi="Arial" w:cs="Arial"/>
                <w:b/>
              </w:rPr>
            </w:pPr>
            <w:r w:rsidRPr="005C3D19">
              <w:rPr>
                <w:rFonts w:ascii="Arial" w:hAnsi="Arial"/>
                <w:b/>
              </w:rPr>
              <w:t>25</w:t>
            </w:r>
            <w:r w:rsidRPr="005C3D19">
              <w:rPr>
                <w:rFonts w:ascii="Arial" w:hAnsi="Arial"/>
                <w:b/>
                <w:vertAlign w:val="superscript"/>
              </w:rPr>
              <w:t>th</w:t>
            </w:r>
            <w:r w:rsidRPr="005C3D19">
              <w:rPr>
                <w:rFonts w:ascii="Arial" w:hAnsi="Arial"/>
                <w:b/>
              </w:rPr>
              <w:t xml:space="preserve"> September 2026</w:t>
            </w:r>
          </w:p>
        </w:tc>
      </w:tr>
    </w:tbl>
    <w:p w:rsidR="00EE651A" w:rsidRDefault="00EE651A" w:rsidP="00EE651A">
      <w:pPr>
        <w:pStyle w:val="TableParagraph"/>
        <w:sectPr w:rsidR="00EE651A" w:rsidSect="00EE651A">
          <w:footerReference w:type="default" r:id="rId9"/>
          <w:pgSz w:w="11910" w:h="16840"/>
          <w:pgMar w:top="760" w:right="566" w:bottom="860" w:left="566" w:header="0" w:footer="664" w:gutter="0"/>
          <w:pgNumType w:start="1"/>
          <w:cols w:space="720"/>
        </w:sectPr>
      </w:pPr>
    </w:p>
    <w:p w:rsidR="00EF5609" w:rsidRPr="007E7216" w:rsidRDefault="00EF5609" w:rsidP="00EF5609">
      <w:pPr>
        <w:pStyle w:val="NormalWeb"/>
        <w:jc w:val="center"/>
        <w:rPr>
          <w:rFonts w:ascii="Arial" w:hAnsi="Arial" w:cs="Arial"/>
          <w:sz w:val="28"/>
          <w:szCs w:val="28"/>
          <w:u w:val="single"/>
        </w:rPr>
      </w:pPr>
      <w:r w:rsidRPr="007E7216">
        <w:rPr>
          <w:rStyle w:val="Strong"/>
          <w:rFonts w:ascii="Arial" w:eastAsia="Arial" w:hAnsi="Arial" w:cs="Arial"/>
          <w:sz w:val="28"/>
          <w:szCs w:val="28"/>
          <w:u w:val="single"/>
        </w:rPr>
        <w:lastRenderedPageBreak/>
        <w:t>AI Use Acknowledgement</w:t>
      </w:r>
    </w:p>
    <w:p w:rsidR="00EF5609" w:rsidRPr="007E7216" w:rsidRDefault="00EF5609" w:rsidP="00EF5609">
      <w:pPr>
        <w:pStyle w:val="NormalWeb"/>
        <w:numPr>
          <w:ilvl w:val="0"/>
          <w:numId w:val="6"/>
        </w:numPr>
        <w:jc w:val="both"/>
        <w:rPr>
          <w:rFonts w:ascii="Arial" w:hAnsi="Arial" w:cs="Arial"/>
        </w:rPr>
      </w:pPr>
      <w:r w:rsidRPr="007E7216">
        <w:rPr>
          <w:rFonts w:ascii="Arial" w:hAnsi="Arial" w:cs="Arial"/>
        </w:rPr>
        <w:t>I acknowledge the use of ChatGPT (</w:t>
      </w:r>
      <w:hyperlink r:id="rId10" w:tgtFrame="_new" w:history="1">
        <w:r w:rsidRPr="007E7216">
          <w:rPr>
            <w:rStyle w:val="Hyperlink"/>
            <w:rFonts w:ascii="Arial" w:eastAsia="Arial" w:hAnsi="Arial" w:cs="Arial"/>
          </w:rPr>
          <w:t>https://chatgpt.com/</w:t>
        </w:r>
      </w:hyperlink>
      <w:r w:rsidRPr="007E7216">
        <w:rPr>
          <w:rFonts w:ascii="Arial" w:hAnsi="Arial" w:cs="Arial"/>
        </w:rPr>
        <w:t xml:space="preserve">) on 25 July 2026 to support the creation of visual materials for my assignment. </w:t>
      </w:r>
    </w:p>
    <w:p w:rsidR="00EF5609" w:rsidRPr="007E7216" w:rsidRDefault="00EF5609" w:rsidP="00EF5609">
      <w:pPr>
        <w:pStyle w:val="NormalWeb"/>
        <w:jc w:val="both"/>
        <w:rPr>
          <w:rFonts w:ascii="Arial" w:hAnsi="Arial" w:cs="Arial"/>
        </w:rPr>
      </w:pPr>
      <w:r w:rsidRPr="007E7216">
        <w:rPr>
          <w:rFonts w:ascii="Arial" w:hAnsi="Arial" w:cs="Arial"/>
        </w:rPr>
        <w:t>I used the prompt(s):</w:t>
      </w:r>
    </w:p>
    <w:p w:rsidR="00EF5609" w:rsidRPr="007E7216" w:rsidRDefault="00EF5609" w:rsidP="00EF5609">
      <w:pPr>
        <w:numPr>
          <w:ilvl w:val="0"/>
          <w:numId w:val="4"/>
        </w:numPr>
        <w:spacing w:before="100" w:beforeAutospacing="1" w:after="100" w:afterAutospacing="1" w:line="240" w:lineRule="auto"/>
        <w:rPr>
          <w:rFonts w:ascii="Arial" w:hAnsi="Arial"/>
        </w:rPr>
      </w:pPr>
      <w:r w:rsidRPr="007E7216">
        <w:rPr>
          <w:rFonts w:ascii="Arial" w:hAnsi="Arial"/>
        </w:rPr>
        <w:t>Create an image concept for “Conceptual Map”.</w:t>
      </w:r>
    </w:p>
    <w:p w:rsidR="00EF5609" w:rsidRPr="007E7216" w:rsidRDefault="00EF5609" w:rsidP="00EF5609">
      <w:pPr>
        <w:numPr>
          <w:ilvl w:val="0"/>
          <w:numId w:val="4"/>
        </w:numPr>
        <w:spacing w:before="100" w:beforeAutospacing="1" w:after="100" w:afterAutospacing="1" w:line="240" w:lineRule="auto"/>
        <w:rPr>
          <w:rFonts w:ascii="Arial" w:hAnsi="Arial"/>
        </w:rPr>
      </w:pPr>
      <w:r w:rsidRPr="007E7216">
        <w:rPr>
          <w:rFonts w:ascii="Arial" w:hAnsi="Arial"/>
        </w:rPr>
        <w:t>Generate a visual representation idea for “Onion Diagram”.</w:t>
      </w:r>
    </w:p>
    <w:p w:rsidR="00EF5609" w:rsidRPr="007E7216" w:rsidRDefault="00EF5609" w:rsidP="00EF5609">
      <w:pPr>
        <w:pStyle w:val="NormalWeb"/>
        <w:jc w:val="both"/>
        <w:rPr>
          <w:rFonts w:ascii="Arial" w:hAnsi="Arial" w:cs="Arial"/>
        </w:rPr>
      </w:pPr>
      <w:r w:rsidRPr="007E7216">
        <w:rPr>
          <w:rFonts w:ascii="Arial" w:hAnsi="Arial" w:cs="Arial"/>
        </w:rPr>
        <w:t>I confirm that I have not presented any AI-generated text as my own work. I confirm I have copies of my drafts, notes, and other resources I used before and after the use of AI tools, which I may be asked to provide as evidence.</w:t>
      </w:r>
    </w:p>
    <w:p w:rsidR="00EF5609" w:rsidRPr="007E7216" w:rsidRDefault="00EF5609" w:rsidP="00EF5609">
      <w:pPr>
        <w:rPr>
          <w:rFonts w:ascii="Arial" w:hAnsi="Arial"/>
        </w:rPr>
      </w:pPr>
    </w:p>
    <w:p w:rsidR="00EF5609" w:rsidRPr="007E7216" w:rsidRDefault="00EF5609" w:rsidP="00EF5609">
      <w:pPr>
        <w:pStyle w:val="NormalWeb"/>
        <w:numPr>
          <w:ilvl w:val="0"/>
          <w:numId w:val="6"/>
        </w:numPr>
        <w:jc w:val="both"/>
        <w:rPr>
          <w:rFonts w:ascii="Arial" w:hAnsi="Arial" w:cs="Arial"/>
        </w:rPr>
      </w:pPr>
      <w:r w:rsidRPr="007E7216">
        <w:rPr>
          <w:rFonts w:ascii="Arial" w:hAnsi="Arial" w:cs="Arial"/>
        </w:rPr>
        <w:t>I acknowledge the use of Grammarly (</w:t>
      </w:r>
      <w:hyperlink r:id="rId11" w:tgtFrame="_new" w:history="1">
        <w:r w:rsidRPr="007E7216">
          <w:rPr>
            <w:rStyle w:val="Hyperlink"/>
            <w:rFonts w:ascii="Arial" w:eastAsia="Arial" w:hAnsi="Arial" w:cs="Arial"/>
          </w:rPr>
          <w:t>https://www.grammarly.com/</w:t>
        </w:r>
      </w:hyperlink>
      <w:r>
        <w:rPr>
          <w:rFonts w:ascii="Arial" w:hAnsi="Arial" w:cs="Arial"/>
        </w:rPr>
        <w:t xml:space="preserve">) on 21 September </w:t>
      </w:r>
      <w:r w:rsidRPr="007E7216">
        <w:rPr>
          <w:rFonts w:ascii="Arial" w:hAnsi="Arial" w:cs="Arial"/>
        </w:rPr>
        <w:t>2026 to check my referencing, grammar, and citation formatting.</w:t>
      </w:r>
    </w:p>
    <w:p w:rsidR="00EF5609" w:rsidRPr="007E7216" w:rsidRDefault="00EF5609" w:rsidP="00EF5609">
      <w:pPr>
        <w:pStyle w:val="NormalWeb"/>
        <w:jc w:val="both"/>
        <w:rPr>
          <w:rFonts w:ascii="Arial" w:hAnsi="Arial" w:cs="Arial"/>
        </w:rPr>
      </w:pPr>
      <w:r w:rsidRPr="007E7216">
        <w:rPr>
          <w:rFonts w:ascii="Arial" w:hAnsi="Arial" w:cs="Arial"/>
        </w:rPr>
        <w:t>I used the prompt(s):</w:t>
      </w:r>
    </w:p>
    <w:p w:rsidR="00EF5609" w:rsidRPr="007E7216" w:rsidRDefault="00EF5609" w:rsidP="00EF5609">
      <w:pPr>
        <w:numPr>
          <w:ilvl w:val="0"/>
          <w:numId w:val="5"/>
        </w:numPr>
        <w:spacing w:before="100" w:beforeAutospacing="1" w:after="100" w:afterAutospacing="1" w:line="240" w:lineRule="auto"/>
        <w:rPr>
          <w:rFonts w:ascii="Arial" w:hAnsi="Arial"/>
        </w:rPr>
      </w:pPr>
      <w:r w:rsidRPr="007E7216">
        <w:rPr>
          <w:rFonts w:ascii="Arial" w:hAnsi="Arial"/>
        </w:rPr>
        <w:t>Check this text for grammar and clarity.</w:t>
      </w:r>
    </w:p>
    <w:p w:rsidR="00EF5609" w:rsidRPr="007E7216" w:rsidRDefault="00EF5609" w:rsidP="00EF5609">
      <w:pPr>
        <w:numPr>
          <w:ilvl w:val="0"/>
          <w:numId w:val="5"/>
        </w:numPr>
        <w:spacing w:before="100" w:beforeAutospacing="1" w:after="100" w:afterAutospacing="1" w:line="240" w:lineRule="auto"/>
        <w:rPr>
          <w:rFonts w:ascii="Arial" w:hAnsi="Arial"/>
        </w:rPr>
      </w:pPr>
      <w:r w:rsidRPr="007E7216">
        <w:rPr>
          <w:rFonts w:ascii="Arial" w:hAnsi="Arial"/>
        </w:rPr>
        <w:t>Review citation formatting and referencing consistency (Harvard style).</w:t>
      </w:r>
    </w:p>
    <w:p w:rsidR="00EF5609" w:rsidRDefault="00EF5609" w:rsidP="00EF5609">
      <w:pPr>
        <w:spacing w:after="160" w:line="259" w:lineRule="auto"/>
        <w:jc w:val="left"/>
        <w:rPr>
          <w:rFonts w:ascii="Arial" w:hAnsi="Arial"/>
        </w:rPr>
      </w:pPr>
      <w:r w:rsidRPr="007E7216">
        <w:rPr>
          <w:rFonts w:ascii="Arial" w:hAnsi="Arial"/>
        </w:rPr>
        <w:t>I confirm that I have not presented any AI-generated text as my own work. I confirm I have copies of my drafts, notes, and other resources I used before and after the use of AI tools, which I may be asked to provide as evidence</w:t>
      </w:r>
      <w:r>
        <w:rPr>
          <w:rFonts w:ascii="Arial" w:hAnsi="Arial"/>
        </w:rPr>
        <w:t>.</w:t>
      </w:r>
    </w:p>
    <w:p w:rsidR="00EF5609" w:rsidRDefault="00EF5609">
      <w:pPr>
        <w:spacing w:after="160" w:line="259" w:lineRule="auto"/>
        <w:jc w:val="left"/>
        <w:rPr>
          <w:rFonts w:ascii="Arial" w:hAnsi="Arial"/>
        </w:rPr>
      </w:pPr>
      <w:r>
        <w:rPr>
          <w:rFonts w:ascii="Arial" w:hAnsi="Arial"/>
        </w:rPr>
        <w:br w:type="page"/>
      </w:r>
    </w:p>
    <w:p w:rsidR="00EF5609" w:rsidRPr="00EF5609" w:rsidRDefault="00EF5609" w:rsidP="00EF5609">
      <w:pPr>
        <w:jc w:val="center"/>
        <w:rPr>
          <w:rFonts w:ascii="Arial" w:hAnsi="Arial"/>
          <w:b/>
          <w:sz w:val="32"/>
          <w:szCs w:val="32"/>
          <w:u w:val="single"/>
        </w:rPr>
      </w:pPr>
      <w:r w:rsidRPr="00EF5609">
        <w:rPr>
          <w:rFonts w:ascii="Arial" w:hAnsi="Arial"/>
          <w:b/>
          <w:sz w:val="32"/>
          <w:szCs w:val="32"/>
          <w:u w:val="single"/>
        </w:rPr>
        <w:lastRenderedPageBreak/>
        <w:t>Acknowledgement</w:t>
      </w:r>
    </w:p>
    <w:p w:rsidR="00EF5609" w:rsidRPr="00EF5609" w:rsidRDefault="00EF5609" w:rsidP="00EF5609">
      <w:pPr>
        <w:spacing w:after="120"/>
        <w:rPr>
          <w:rFonts w:ascii="Arial" w:hAnsi="Arial"/>
        </w:rPr>
      </w:pPr>
      <w:r w:rsidRPr="00EF5609">
        <w:rPr>
          <w:rFonts w:ascii="Arial" w:hAnsi="Arial"/>
        </w:rPr>
        <w:t>Completing this dissertation has been a challenging but valuable experience, and I would not have been able to reach this point without the support and encouragement of many people.</w:t>
      </w:r>
    </w:p>
    <w:p w:rsidR="00EF5609" w:rsidRPr="00EF5609" w:rsidRDefault="00EF5609" w:rsidP="00EF5609">
      <w:pPr>
        <w:spacing w:after="120"/>
        <w:rPr>
          <w:rFonts w:ascii="Arial" w:hAnsi="Arial"/>
        </w:rPr>
      </w:pPr>
      <w:r w:rsidRPr="00EF5609">
        <w:rPr>
          <w:rFonts w:ascii="Arial" w:hAnsi="Arial"/>
        </w:rPr>
        <w:t>First, I would like to sincerely thank my supervisor for the guidance, patience, and constructive feedback provided throughout this research. Their advice helped me to stay focused, improve my work, and overcome many of the difficulties I faced during the research process.</w:t>
      </w:r>
    </w:p>
    <w:p w:rsidR="00EF5609" w:rsidRPr="00EF5609" w:rsidRDefault="00EF5609" w:rsidP="00EF5609">
      <w:pPr>
        <w:spacing w:after="120"/>
        <w:rPr>
          <w:rFonts w:ascii="Arial" w:hAnsi="Arial"/>
        </w:rPr>
      </w:pPr>
      <w:r w:rsidRPr="00EF5609">
        <w:rPr>
          <w:rFonts w:ascii="Arial" w:hAnsi="Arial"/>
        </w:rPr>
        <w:t>I am also very grateful to everyone who participated in my study and took the time to complete the questionnaire. Their willingness to share their views made this research possible and provided the information needed to complete the study.</w:t>
      </w:r>
    </w:p>
    <w:p w:rsidR="00EF5609" w:rsidRPr="00EF5609" w:rsidRDefault="00EF5609" w:rsidP="00EF5609">
      <w:pPr>
        <w:spacing w:after="120"/>
        <w:rPr>
          <w:rFonts w:ascii="Arial" w:hAnsi="Arial"/>
        </w:rPr>
      </w:pPr>
      <w:r w:rsidRPr="00EF5609">
        <w:rPr>
          <w:rFonts w:ascii="Arial" w:hAnsi="Arial"/>
        </w:rPr>
        <w:t>My sincere thanks also go to all my lecturers and everyone at the university who contributed to my learning and development throughout my academic journey. The knowledge and experience I gained during my studies have played an important role in completing this dissertation.</w:t>
      </w:r>
    </w:p>
    <w:p w:rsidR="00EF5609" w:rsidRPr="00EF5609" w:rsidRDefault="00EF5609" w:rsidP="00EF5609">
      <w:pPr>
        <w:spacing w:after="120"/>
        <w:rPr>
          <w:rFonts w:ascii="Arial" w:hAnsi="Arial"/>
        </w:rPr>
      </w:pPr>
      <w:r w:rsidRPr="00EF5609">
        <w:rPr>
          <w:rFonts w:ascii="Arial" w:hAnsi="Arial"/>
        </w:rPr>
        <w:t>Most importantly, I would like to thank my family and friends for their constant support and encouragement. There were times when the research felt difficult and overwhelming, but their patience, understanding, and kind words helped me to keep going. I truly appreciate all the support they have given me throughout this journey.</w:t>
      </w:r>
    </w:p>
    <w:p w:rsidR="00EF5609" w:rsidRPr="00EF5609" w:rsidRDefault="00EF5609" w:rsidP="00EF5609">
      <w:pPr>
        <w:spacing w:after="120"/>
        <w:rPr>
          <w:rFonts w:ascii="Arial" w:hAnsi="Arial"/>
        </w:rPr>
      </w:pPr>
      <w:r w:rsidRPr="00EF5609">
        <w:rPr>
          <w:rFonts w:ascii="Arial" w:hAnsi="Arial"/>
        </w:rPr>
        <w:t>Finally, I am grateful to everyone who, in one way or another, contributed to the completion of this dissertation. This work represents not only an academic achievement but also a learning experience that I will carry with me in the future.</w:t>
      </w:r>
    </w:p>
    <w:p w:rsidR="00EF5609" w:rsidRPr="00EF5609" w:rsidRDefault="00EF5609" w:rsidP="00EF5609">
      <w:pPr>
        <w:spacing w:after="120"/>
        <w:rPr>
          <w:rFonts w:ascii="Arial" w:hAnsi="Arial"/>
        </w:rPr>
      </w:pPr>
      <w:r w:rsidRPr="00EF5609">
        <w:rPr>
          <w:rFonts w:ascii="Arial" w:hAnsi="Arial"/>
        </w:rPr>
        <w:t>Thank you all.</w:t>
      </w:r>
    </w:p>
    <w:p w:rsidR="00EF5609" w:rsidRPr="002547F3" w:rsidRDefault="00EF5609" w:rsidP="00EF5609">
      <w:pPr>
        <w:rPr>
          <w:rFonts w:ascii="Arial" w:hAnsi="Arial"/>
          <w:b/>
        </w:rPr>
      </w:pPr>
    </w:p>
    <w:p w:rsidR="00535CCE" w:rsidRPr="00C23322" w:rsidRDefault="00EF5609" w:rsidP="00EF5609">
      <w:pPr>
        <w:spacing w:after="160" w:line="259" w:lineRule="auto"/>
        <w:jc w:val="left"/>
        <w:rPr>
          <w:rFonts w:ascii="Arial" w:hAnsi="Arial"/>
          <w:b/>
          <w:sz w:val="36"/>
          <w:szCs w:val="36"/>
        </w:rPr>
      </w:pPr>
      <w:r>
        <w:rPr>
          <w:rFonts w:ascii="Arial" w:hAnsi="Arial"/>
          <w:b/>
          <w:sz w:val="36"/>
          <w:szCs w:val="36"/>
        </w:rPr>
        <w:br w:type="page"/>
      </w:r>
    </w:p>
    <w:p w:rsidR="00CF09ED" w:rsidRDefault="00CF09ED" w:rsidP="00CF09ED">
      <w:pPr>
        <w:pBdr>
          <w:top w:val="single" w:sz="4" w:space="1" w:color="000000"/>
          <w:left w:val="single" w:sz="4" w:space="4" w:color="000000"/>
          <w:bottom w:val="single" w:sz="4" w:space="1" w:color="000000"/>
          <w:right w:val="single" w:sz="4" w:space="4" w:color="000000"/>
        </w:pBdr>
        <w:spacing w:after="120"/>
        <w:jc w:val="center"/>
        <w:rPr>
          <w:rFonts w:ascii="Arial" w:hAnsi="Arial"/>
        </w:rPr>
      </w:pPr>
      <w:r>
        <w:rPr>
          <w:rFonts w:ascii="Arial" w:hAnsi="Arial"/>
          <w:noProof/>
        </w:rPr>
        <w:lastRenderedPageBreak/>
        <w:drawing>
          <wp:inline distT="0" distB="0" distL="114300" distR="114300" wp14:anchorId="6B5225B1" wp14:editId="497CDB68">
            <wp:extent cx="2846705" cy="116586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2846705" cy="1165860"/>
                    </a:xfrm>
                    <a:prstGeom prst="rect">
                      <a:avLst/>
                    </a:prstGeom>
                    <a:ln/>
                  </pic:spPr>
                </pic:pic>
              </a:graphicData>
            </a:graphic>
          </wp:inline>
        </w:drawing>
      </w:r>
    </w:p>
    <w:p w:rsidR="00CF09ED" w:rsidRDefault="00CF09ED" w:rsidP="00CF09ED">
      <w:pPr>
        <w:pBdr>
          <w:top w:val="single" w:sz="4" w:space="1" w:color="000000"/>
          <w:left w:val="single" w:sz="4" w:space="4" w:color="000000"/>
          <w:bottom w:val="single" w:sz="4" w:space="1" w:color="000000"/>
          <w:right w:val="single" w:sz="4" w:space="4" w:color="000000"/>
        </w:pBdr>
        <w:spacing w:after="120"/>
        <w:jc w:val="center"/>
        <w:rPr>
          <w:rFonts w:ascii="Arial" w:hAnsi="Arial"/>
          <w:sz w:val="28"/>
          <w:szCs w:val="28"/>
        </w:rPr>
      </w:pPr>
    </w:p>
    <w:p w:rsidR="00CF09ED" w:rsidRDefault="00CF09ED" w:rsidP="00CF09ED">
      <w:pPr>
        <w:pBdr>
          <w:top w:val="single" w:sz="4" w:space="1" w:color="000000"/>
          <w:left w:val="single" w:sz="4" w:space="4" w:color="000000"/>
          <w:bottom w:val="single" w:sz="4" w:space="1" w:color="000000"/>
          <w:right w:val="single" w:sz="4" w:space="4" w:color="000000"/>
        </w:pBdr>
        <w:spacing w:after="120"/>
        <w:jc w:val="center"/>
        <w:rPr>
          <w:rFonts w:ascii="Arial" w:hAnsi="Arial"/>
          <w:sz w:val="28"/>
          <w:szCs w:val="28"/>
        </w:rPr>
      </w:pPr>
      <w:r>
        <w:rPr>
          <w:rFonts w:ascii="Arial" w:hAnsi="Arial"/>
          <w:b/>
          <w:bCs/>
          <w:sz w:val="28"/>
          <w:szCs w:val="28"/>
        </w:rPr>
        <w:t>Master’s Degrees by Examination and Dissertation</w:t>
      </w:r>
    </w:p>
    <w:p w:rsidR="00CF09ED" w:rsidRDefault="00CF09ED" w:rsidP="00CF09ED">
      <w:pPr>
        <w:pBdr>
          <w:top w:val="single" w:sz="4" w:space="1" w:color="000000"/>
          <w:left w:val="single" w:sz="4" w:space="4" w:color="000000"/>
          <w:bottom w:val="single" w:sz="4" w:space="1" w:color="000000"/>
          <w:right w:val="single" w:sz="4" w:space="4" w:color="000000"/>
        </w:pBdr>
        <w:spacing w:after="120"/>
        <w:jc w:val="center"/>
        <w:rPr>
          <w:rFonts w:ascii="Arial" w:hAnsi="Arial"/>
          <w:sz w:val="28"/>
          <w:szCs w:val="28"/>
        </w:rPr>
      </w:pPr>
      <w:r>
        <w:rPr>
          <w:rFonts w:ascii="Arial" w:hAnsi="Arial"/>
          <w:b/>
          <w:bCs/>
          <w:sz w:val="28"/>
          <w:szCs w:val="28"/>
        </w:rPr>
        <w:t>Declaration Form</w:t>
      </w:r>
      <w:r>
        <w:rPr>
          <w:rFonts w:ascii="Arial" w:hAnsi="Arial"/>
          <w:sz w:val="28"/>
          <w:szCs w:val="28"/>
        </w:rPr>
        <w:t>.</w:t>
      </w:r>
    </w:p>
    <w:p w:rsidR="00CF09ED" w:rsidRDefault="00CF09ED" w:rsidP="00CF09ED">
      <w:pPr>
        <w:pBdr>
          <w:top w:val="single" w:sz="4" w:space="1" w:color="000000"/>
          <w:left w:val="single" w:sz="4" w:space="4" w:color="000000"/>
          <w:bottom w:val="single" w:sz="4" w:space="1" w:color="000000"/>
          <w:right w:val="single" w:sz="4" w:space="4" w:color="000000"/>
        </w:pBdr>
        <w:spacing w:after="120" w:line="480" w:lineRule="auto"/>
        <w:rPr>
          <w:rFonts w:ascii="Arial" w:hAnsi="Arial"/>
        </w:rPr>
      </w:pPr>
    </w:p>
    <w:p w:rsidR="00CF09ED" w:rsidRDefault="00EE651A" w:rsidP="00CF09ED">
      <w:pPr>
        <w:pBdr>
          <w:top w:val="single" w:sz="4" w:space="1" w:color="000000"/>
          <w:left w:val="single" w:sz="4" w:space="4" w:color="000000"/>
          <w:bottom w:val="single" w:sz="4" w:space="1" w:color="000000"/>
          <w:right w:val="single" w:sz="4" w:space="4" w:color="000000"/>
        </w:pBdr>
        <w:spacing w:after="120" w:line="480" w:lineRule="auto"/>
        <w:rPr>
          <w:rFonts w:ascii="Arial" w:hAnsi="Arial"/>
        </w:rPr>
      </w:pPr>
      <w:r>
        <w:rPr>
          <w:rFonts w:ascii="Arial" w:hAnsi="Arial"/>
        </w:rPr>
        <w:t>I, Imran Ahmed</w:t>
      </w:r>
      <w:r w:rsidR="00CF09ED">
        <w:rPr>
          <w:rFonts w:ascii="Arial" w:hAnsi="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00CF09ED" w:rsidRDefault="00EE651A" w:rsidP="00CF09ED">
      <w:pPr>
        <w:pBdr>
          <w:top w:val="single" w:sz="4" w:space="1" w:color="000000"/>
          <w:left w:val="single" w:sz="4" w:space="4" w:color="000000"/>
          <w:bottom w:val="single" w:sz="4" w:space="1" w:color="000000"/>
          <w:right w:val="single" w:sz="4" w:space="4" w:color="000000"/>
        </w:pBdr>
        <w:spacing w:after="120" w:line="480" w:lineRule="auto"/>
        <w:rPr>
          <w:rFonts w:ascii="Arial" w:hAnsi="Arial"/>
        </w:rPr>
      </w:pPr>
      <w:r>
        <w:rPr>
          <w:rFonts w:ascii="Arial" w:hAnsi="Arial"/>
          <w:noProof/>
        </w:rPr>
        <mc:AlternateContent>
          <mc:Choice Requires="wps">
            <w:drawing>
              <wp:anchor distT="0" distB="0" distL="114300" distR="114300" simplePos="0" relativeHeight="251663360" behindDoc="0" locked="0" layoutInCell="1" allowOverlap="1">
                <wp:simplePos x="0" y="0"/>
                <wp:positionH relativeFrom="column">
                  <wp:posOffset>815340</wp:posOffset>
                </wp:positionH>
                <wp:positionV relativeFrom="paragraph">
                  <wp:posOffset>169545</wp:posOffset>
                </wp:positionV>
                <wp:extent cx="2522220" cy="342900"/>
                <wp:effectExtent l="0" t="0" r="0" b="0"/>
                <wp:wrapNone/>
                <wp:docPr id="5" name="Text Box 5"/>
                <wp:cNvGraphicFramePr/>
                <a:graphic xmlns:a="http://schemas.openxmlformats.org/drawingml/2006/main">
                  <a:graphicData uri="http://schemas.microsoft.com/office/word/2010/wordprocessingShape">
                    <wps:wsp>
                      <wps:cNvSpPr txBox="1"/>
                      <wps:spPr>
                        <a:xfrm>
                          <a:off x="0" y="0"/>
                          <a:ext cx="252222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5566" w:rsidRPr="00EE651A" w:rsidRDefault="008B5566">
                            <w:pPr>
                              <w:rPr>
                                <w:rFonts w:ascii="Arial" w:hAnsi="Arial"/>
                                <w:lang w:val="en-GB"/>
                              </w:rPr>
                            </w:pPr>
                            <w:r w:rsidRPr="00EE651A">
                              <w:rPr>
                                <w:rFonts w:ascii="Arial" w:hAnsi="Arial"/>
                                <w:lang w:val="en-GB"/>
                              </w:rPr>
                              <w:t>Imran Ahmed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64.2pt;margin-top:13.35pt;width:198.6pt;height:2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" filled="f" stroked="f" strokeweight=".5pt">
                <v:textbox>
                  <w:txbxContent>
                    <w:p w:rsidR="008B5566" w:rsidRPr="00EE651A" w:rsidRDefault="008B5566">
                      <w:pPr>
                        <w:rPr>
                          <w:rFonts w:ascii="Arial" w:hAnsi="Arial"/>
                          <w:lang w:val="en-GB"/>
                        </w:rPr>
                      </w:pPr>
                      <w:r w:rsidRPr="00EE651A">
                        <w:rPr>
                          <w:rFonts w:ascii="Arial" w:hAnsi="Arial"/>
                          <w:lang w:val="en-GB"/>
                        </w:rPr>
                        <w:t>Imran Ahmed</w:t>
                      </w:r>
                    </w:p>
                  </w:txbxContent>
                </v:textbox>
              </v:shape>
            </w:pict>
          </mc:Fallback>
        </mc:AlternateContent>
      </w:r>
      <w:r w:rsidR="00CF09ED">
        <w:rPr>
          <w:rFonts w:ascii="Arial" w:hAnsi="Arial"/>
        </w:rPr>
        <w:t xml:space="preserve"> </w:t>
      </w:r>
    </w:p>
    <w:p w:rsidR="00CF09ED" w:rsidRDefault="00CF09ED" w:rsidP="00CF09ED">
      <w:pPr>
        <w:pBdr>
          <w:top w:val="single" w:sz="4" w:space="1" w:color="000000"/>
          <w:left w:val="single" w:sz="4" w:space="4" w:color="000000"/>
          <w:bottom w:val="single" w:sz="4" w:space="1" w:color="000000"/>
          <w:right w:val="single" w:sz="4" w:space="4" w:color="000000"/>
        </w:pBdr>
        <w:spacing w:after="120" w:line="480" w:lineRule="auto"/>
        <w:rPr>
          <w:rFonts w:ascii="Arial" w:hAnsi="Arial"/>
        </w:rPr>
      </w:pPr>
      <w:r>
        <w:rPr>
          <w:rFonts w:ascii="Arial" w:hAnsi="Arial"/>
        </w:rPr>
        <w:t>Signature: ………………………………............................</w:t>
      </w:r>
    </w:p>
    <w:p w:rsidR="00CF09ED" w:rsidRDefault="00EE651A" w:rsidP="00CF09ED">
      <w:pPr>
        <w:pBdr>
          <w:top w:val="single" w:sz="4" w:space="1" w:color="000000"/>
          <w:left w:val="single" w:sz="4" w:space="4" w:color="000000"/>
          <w:bottom w:val="single" w:sz="4" w:space="1" w:color="000000"/>
          <w:right w:val="single" w:sz="4" w:space="4" w:color="000000"/>
        </w:pBdr>
        <w:spacing w:after="120" w:line="480" w:lineRule="auto"/>
        <w:rPr>
          <w:rFonts w:ascii="Arial" w:hAnsi="Arial"/>
        </w:rPr>
      </w:pPr>
      <w:r>
        <w:rPr>
          <w:rFonts w:ascii="Arial" w:hAnsi="Arial"/>
          <w:noProof/>
        </w:rPr>
        <mc:AlternateContent>
          <mc:Choice Requires="wps">
            <w:drawing>
              <wp:anchor distT="0" distB="0" distL="114300" distR="114300" simplePos="0" relativeHeight="251664384" behindDoc="0" locked="0" layoutInCell="1" allowOverlap="1">
                <wp:simplePos x="0" y="0"/>
                <wp:positionH relativeFrom="column">
                  <wp:posOffset>640080</wp:posOffset>
                </wp:positionH>
                <wp:positionV relativeFrom="paragraph">
                  <wp:posOffset>238125</wp:posOffset>
                </wp:positionV>
                <wp:extent cx="2659380" cy="266700"/>
                <wp:effectExtent l="0" t="0" r="0" b="0"/>
                <wp:wrapNone/>
                <wp:docPr id="6" name="Text Box 6"/>
                <wp:cNvGraphicFramePr/>
                <a:graphic xmlns:a="http://schemas.openxmlformats.org/drawingml/2006/main">
                  <a:graphicData uri="http://schemas.microsoft.com/office/word/2010/wordprocessingShape">
                    <wps:wsp>
                      <wps:cNvSpPr txBox="1"/>
                      <wps:spPr>
                        <a:xfrm>
                          <a:off x="0" y="0"/>
                          <a:ext cx="265938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5566" w:rsidRPr="00EE651A" w:rsidRDefault="008B5566">
                            <w:pPr>
                              <w:rPr>
                                <w:rFonts w:ascii="Arial" w:hAnsi="Arial"/>
                                <w:lang w:val="en-GB"/>
                              </w:rPr>
                            </w:pPr>
                            <w:r w:rsidRPr="00EE651A">
                              <w:rPr>
                                <w:rFonts w:ascii="Arial" w:hAnsi="Arial"/>
                                <w:lang w:val="en-GB"/>
                              </w:rPr>
                              <w:t>25/09/2026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7" type="#_x0000_t202" style="position:absolute;left:0;text-align:left;margin-left:50.4pt;margin-top:18.75pt;width:209.4pt;height:21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" filled="f" stroked="f" strokeweight=".5pt">
                <v:textbox>
                  <w:txbxContent>
                    <w:p w:rsidR="008B5566" w:rsidRPr="00EE651A" w:rsidRDefault="008B5566">
                      <w:pPr>
                        <w:rPr>
                          <w:rFonts w:ascii="Arial" w:hAnsi="Arial"/>
                          <w:lang w:val="en-GB"/>
                        </w:rPr>
                      </w:pPr>
                      <w:r w:rsidRPr="00EE651A">
                        <w:rPr>
                          <w:rFonts w:ascii="Arial" w:hAnsi="Arial"/>
                          <w:lang w:val="en-GB"/>
                        </w:rPr>
                        <w:t>25/09/2026</w:t>
                      </w:r>
                    </w:p>
                  </w:txbxContent>
                </v:textbox>
              </v:shape>
            </w:pict>
          </mc:Fallback>
        </mc:AlternateContent>
      </w:r>
      <w:r w:rsidR="00CF09ED">
        <w:rPr>
          <w:rFonts w:ascii="Arial" w:hAnsi="Arial"/>
        </w:rPr>
        <w:t xml:space="preserve"> </w:t>
      </w:r>
    </w:p>
    <w:p w:rsidR="00CF09ED" w:rsidRDefault="00EE651A" w:rsidP="00CF09ED">
      <w:pPr>
        <w:pBdr>
          <w:top w:val="single" w:sz="4" w:space="1" w:color="000000"/>
          <w:left w:val="single" w:sz="4" w:space="4" w:color="000000"/>
          <w:bottom w:val="single" w:sz="4" w:space="1" w:color="000000"/>
          <w:right w:val="single" w:sz="4" w:space="4" w:color="000000"/>
        </w:pBdr>
        <w:spacing w:after="120" w:line="480" w:lineRule="auto"/>
        <w:rPr>
          <w:rFonts w:ascii="Arial" w:hAnsi="Arial"/>
        </w:rPr>
      </w:pPr>
      <w:r>
        <w:rPr>
          <w:rFonts w:ascii="Arial" w:hAnsi="Arial"/>
        </w:rPr>
        <w:t>Date:</w:t>
      </w:r>
      <w:r w:rsidR="00CF09ED">
        <w:rPr>
          <w:rFonts w:ascii="Arial" w:hAnsi="Arial"/>
        </w:rPr>
        <w:t xml:space="preserve"> ………………………………............................</w:t>
      </w:r>
    </w:p>
    <w:p w:rsidR="003170B4" w:rsidRPr="007E7216" w:rsidRDefault="003170B4" w:rsidP="007E7216">
      <w:pPr>
        <w:spacing w:after="160" w:line="259" w:lineRule="auto"/>
        <w:jc w:val="left"/>
        <w:rPr>
          <w:rFonts w:ascii="Arial" w:hAnsi="Arial"/>
          <w:b/>
          <w:sz w:val="36"/>
          <w:szCs w:val="36"/>
        </w:rPr>
      </w:pPr>
      <w:r w:rsidRPr="007E7216">
        <w:rPr>
          <w:rFonts w:ascii="Arial" w:hAnsi="Arial"/>
          <w:b/>
          <w:sz w:val="36"/>
          <w:szCs w:val="36"/>
        </w:rPr>
        <w:br w:type="page"/>
      </w:r>
    </w:p>
    <w:p w:rsidR="003170B4" w:rsidRPr="00C23322" w:rsidRDefault="002C0901" w:rsidP="002C0901">
      <w:pPr>
        <w:tabs>
          <w:tab w:val="left" w:pos="1296"/>
          <w:tab w:val="center" w:pos="4680"/>
        </w:tabs>
        <w:spacing w:after="160" w:line="259" w:lineRule="auto"/>
        <w:jc w:val="left"/>
        <w:rPr>
          <w:rFonts w:ascii="Arial" w:hAnsi="Arial"/>
          <w:b/>
          <w:sz w:val="28"/>
          <w:szCs w:val="28"/>
        </w:rPr>
      </w:pPr>
      <w:r>
        <w:rPr>
          <w:rFonts w:ascii="Arial" w:hAnsi="Arial"/>
          <w:b/>
          <w:sz w:val="28"/>
          <w:szCs w:val="28"/>
        </w:rPr>
        <w:lastRenderedPageBreak/>
        <w:tab/>
      </w:r>
      <w:r>
        <w:rPr>
          <w:rFonts w:ascii="Arial" w:hAnsi="Arial"/>
          <w:b/>
          <w:sz w:val="28"/>
          <w:szCs w:val="28"/>
        </w:rPr>
        <w:tab/>
      </w:r>
      <w:r w:rsidR="003170B4" w:rsidRPr="00C23322">
        <w:rPr>
          <w:rFonts w:ascii="Arial" w:hAnsi="Arial"/>
          <w:b/>
          <w:sz w:val="28"/>
          <w:szCs w:val="28"/>
        </w:rPr>
        <w:t>Abstract</w:t>
      </w:r>
    </w:p>
    <w:p w:rsidR="009F426B" w:rsidRPr="009F426B" w:rsidRDefault="009F426B" w:rsidP="009F426B">
      <w:pPr>
        <w:pStyle w:val="NormalWeb"/>
        <w:spacing w:line="360" w:lineRule="auto"/>
        <w:jc w:val="both"/>
        <w:rPr>
          <w:rFonts w:ascii="Arial" w:hAnsi="Arial" w:cs="Arial"/>
        </w:rPr>
      </w:pPr>
      <w:r w:rsidRPr="009F426B">
        <w:rPr>
          <w:rFonts w:ascii="Arial" w:hAnsi="Arial" w:cs="Arial"/>
        </w:rPr>
        <w:t>When household budgets are tight, it is still not obvious what keeps shoppers engaged with a supermarket loyalty scheme. This dissertation examines sustained engagement with the Tesco Clubcard among consumers in Greater London during the cost-of-living crisis. Drawing on Self-Determination Theory, it tests whether autonomy, competence and relatedness predict sustained engagement, and whether perceived financial pressure moderates those relationships.</w:t>
      </w:r>
      <w:r>
        <w:rPr>
          <w:rFonts w:ascii="Arial" w:hAnsi="Arial" w:cs="Arial"/>
        </w:rPr>
        <w:t xml:space="preserve"> </w:t>
      </w:r>
      <w:r w:rsidRPr="009F426B">
        <w:rPr>
          <w:rFonts w:ascii="Arial" w:hAnsi="Arial" w:cs="Arial"/>
        </w:rPr>
        <w:t>The study is positivist, deductive and quantitative. A cross-sectional online survey was completed by active Clubcard holders in Greater London, and 99 valid responses were analysed using descriptive statistics, reliability analysis, Pearson correlation, multiple regression</w:t>
      </w:r>
      <w:r>
        <w:rPr>
          <w:rFonts w:ascii="Arial" w:hAnsi="Arial" w:cs="Arial"/>
        </w:rPr>
        <w:t>s</w:t>
      </w:r>
      <w:r w:rsidRPr="009F426B">
        <w:rPr>
          <w:rFonts w:ascii="Arial" w:hAnsi="Arial" w:cs="Arial"/>
        </w:rPr>
        <w:t xml:space="preserve"> and moderation analysis.</w:t>
      </w:r>
      <w:r>
        <w:rPr>
          <w:rFonts w:ascii="Arial" w:hAnsi="Arial" w:cs="Arial"/>
        </w:rPr>
        <w:t xml:space="preserve"> </w:t>
      </w:r>
      <w:r w:rsidRPr="009F426B">
        <w:rPr>
          <w:rFonts w:ascii="Arial" w:hAnsi="Arial" w:cs="Arial"/>
        </w:rPr>
        <w:t>All three needs were significant positive predictors of engagement. Competence had the largest standardised coefficient (β = .357, p &lt; .001), followed by autonomy (β = .344, p &lt; .001) and relatedness (β = .185, p = .037). Together they explained 59.1% of the variance in sustained engagement (R² = .591). Perceived financial pressure did not significantly moderate any of the three relationships. Because the moderation analysis was exploratory, these null results are inconclusive rather than evidence that no moderation exists. Financial pressure was also positively correlated with engagement, an association the study had not hypothesised.</w:t>
      </w:r>
      <w:r>
        <w:rPr>
          <w:rFonts w:ascii="Arial" w:hAnsi="Arial" w:cs="Arial"/>
        </w:rPr>
        <w:t xml:space="preserve"> </w:t>
      </w:r>
      <w:r w:rsidRPr="009F426B">
        <w:rPr>
          <w:rFonts w:ascii="Arial" w:hAnsi="Arial" w:cs="Arial"/>
        </w:rPr>
        <w:t xml:space="preserve">The findings extend Self-Determination Theory to grocery </w:t>
      </w:r>
      <w:r>
        <w:rPr>
          <w:rFonts w:ascii="Arial" w:hAnsi="Arial" w:cs="Arial"/>
        </w:rPr>
        <w:t xml:space="preserve"> </w:t>
      </w:r>
      <w:r w:rsidRPr="009F426B">
        <w:rPr>
          <w:rFonts w:ascii="Arial" w:hAnsi="Arial" w:cs="Arial"/>
        </w:rPr>
        <w:t xml:space="preserve"> have choice, when the programme works for them, and when they feel recognised. The cross-sectional design and non-probability sampling limit causal inference and generalisability, so the results should be read as associations among Greater London Clubcard holders.</w:t>
      </w:r>
    </w:p>
    <w:p w:rsidR="00535CCE" w:rsidRPr="00C23322" w:rsidRDefault="003170B4" w:rsidP="003170B4">
      <w:pPr>
        <w:spacing w:after="160"/>
        <w:rPr>
          <w:rFonts w:ascii="Arial" w:hAnsi="Arial"/>
          <w:b/>
          <w:sz w:val="36"/>
          <w:szCs w:val="36"/>
        </w:rPr>
      </w:pPr>
      <w:r w:rsidRPr="00C23322">
        <w:rPr>
          <w:rFonts w:ascii="Arial" w:hAnsi="Arial"/>
        </w:rPr>
        <w:t>.</w:t>
      </w:r>
      <w:r w:rsidR="00535CCE" w:rsidRPr="00C23322">
        <w:rPr>
          <w:rFonts w:ascii="Arial" w:hAnsi="Arial"/>
          <w:b/>
          <w:sz w:val="36"/>
          <w:szCs w:val="36"/>
        </w:rPr>
        <w:br w:type="page"/>
      </w:r>
    </w:p>
    <w:sdt>
      <w:sdtPr>
        <w:rPr>
          <w:rFonts w:ascii="Arial" w:eastAsia="Arial" w:hAnsi="Arial" w:cs="Arial"/>
          <w:color w:val="auto"/>
          <w:sz w:val="22"/>
          <w:szCs w:val="22"/>
        </w:rPr>
        <w:id w:val="-257760754"/>
        <w:docPartObj>
          <w:docPartGallery w:val="Table of Contents"/>
          <w:docPartUnique/>
        </w:docPartObj>
      </w:sdtPr>
      <w:sdtEndPr>
        <w:rPr>
          <w:b/>
          <w:bCs/>
          <w:noProof/>
          <w:sz w:val="24"/>
          <w:szCs w:val="24"/>
        </w:rPr>
      </w:sdtEndPr>
      <w:sdtContent>
        <w:p w:rsidR="00535CCE" w:rsidRPr="0024481F" w:rsidRDefault="00535CCE" w:rsidP="00E326DA">
          <w:pPr>
            <w:pStyle w:val="TOCHeading"/>
            <w:jc w:val="center"/>
            <w:rPr>
              <w:rFonts w:ascii="Arial" w:hAnsi="Arial" w:cs="Arial"/>
              <w:b/>
              <w:color w:val="000000" w:themeColor="text1"/>
              <w:sz w:val="28"/>
              <w:szCs w:val="28"/>
            </w:rPr>
          </w:pPr>
          <w:r w:rsidRPr="0024481F">
            <w:rPr>
              <w:rFonts w:ascii="Arial" w:hAnsi="Arial" w:cs="Arial"/>
              <w:b/>
              <w:color w:val="000000" w:themeColor="text1"/>
              <w:sz w:val="28"/>
              <w:szCs w:val="28"/>
            </w:rPr>
            <w:t>Table of Contents</w:t>
          </w:r>
        </w:p>
        <w:p w:rsidR="008B5566" w:rsidRPr="008B5566" w:rsidRDefault="00535CCE">
          <w:pPr>
            <w:pStyle w:val="TOC1"/>
            <w:tabs>
              <w:tab w:val="right" w:leader="dot" w:pos="9350"/>
            </w:tabs>
            <w:rPr>
              <w:rFonts w:ascii="Arial" w:eastAsiaTheme="minorEastAsia" w:hAnsi="Arial"/>
              <w:noProof/>
              <w:sz w:val="22"/>
              <w:szCs w:val="22"/>
            </w:rPr>
          </w:pPr>
          <w:r w:rsidRPr="00E326DA">
            <w:rPr>
              <w:rFonts w:ascii="Arial" w:hAnsi="Arial"/>
              <w:sz w:val="22"/>
              <w:szCs w:val="22"/>
            </w:rPr>
            <w:fldChar w:fldCharType="begin"/>
          </w:r>
          <w:r w:rsidRPr="00E326DA">
            <w:rPr>
              <w:rFonts w:ascii="Arial" w:hAnsi="Arial"/>
              <w:sz w:val="22"/>
              <w:szCs w:val="22"/>
            </w:rPr>
            <w:instrText xml:space="preserve"> TOC \o "1-3" \h \z \u </w:instrText>
          </w:r>
          <w:r w:rsidRPr="00E326DA">
            <w:rPr>
              <w:rFonts w:ascii="Arial" w:hAnsi="Arial"/>
              <w:sz w:val="22"/>
              <w:szCs w:val="22"/>
            </w:rPr>
            <w:fldChar w:fldCharType="separate"/>
          </w:r>
          <w:hyperlink w:anchor="_Toc241116783" w:history="1">
            <w:r w:rsidR="008B5566" w:rsidRPr="008B5566">
              <w:rPr>
                <w:rStyle w:val="Hyperlink"/>
                <w:rFonts w:ascii="Arial" w:hAnsi="Arial"/>
                <w:noProof/>
              </w:rPr>
              <w:t>Chapter 1: Introduction and Rationale</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_Toc241116783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14</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784" w:history="1">
            <w:r w:rsidR="008B5566" w:rsidRPr="008B5566">
              <w:rPr>
                <w:rStyle w:val="Hyperlink"/>
                <w:rFonts w:ascii="Arial" w:hAnsi="Arial"/>
                <w:noProof/>
              </w:rPr>
              <w:t>1.1 Research Background</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_Toc241116784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14</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785" w:history="1">
            <w:r w:rsidR="008B5566" w:rsidRPr="008B5566">
              <w:rPr>
                <w:rStyle w:val="Hyperlink"/>
                <w:rFonts w:ascii="Arial" w:hAnsi="Arial"/>
                <w:noProof/>
              </w:rPr>
              <w:t>1.2 Research Rationale</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_Toc241116785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15</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786" w:history="1">
            <w:r w:rsidR="008B5566" w:rsidRPr="008B5566">
              <w:rPr>
                <w:rStyle w:val="Hyperlink"/>
                <w:rFonts w:ascii="Arial" w:hAnsi="Arial"/>
                <w:noProof/>
              </w:rPr>
              <w:t>1.2.1 Theoretical Justification</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_Toc241116786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15</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787" w:history="1">
            <w:r w:rsidR="008B5566" w:rsidRPr="008B5566">
              <w:rPr>
                <w:rStyle w:val="Hyperlink"/>
                <w:rFonts w:ascii="Arial" w:hAnsi="Arial"/>
                <w:noProof/>
              </w:rPr>
              <w:t>1.2.2 Practical Justification</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_Toc241116787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17</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788" w:history="1">
            <w:r w:rsidR="008B5566" w:rsidRPr="008B5566">
              <w:rPr>
                <w:rStyle w:val="Hyperlink"/>
                <w:rFonts w:ascii="Arial" w:hAnsi="Arial"/>
                <w:noProof/>
              </w:rPr>
              <w:t>1.3 Research Contribution and Motivation</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_Toc241116788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18</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789" w:history="1">
            <w:r w:rsidR="008B5566" w:rsidRPr="008B5566">
              <w:rPr>
                <w:rStyle w:val="Hyperlink"/>
                <w:rFonts w:ascii="Arial" w:hAnsi="Arial"/>
                <w:noProof/>
              </w:rPr>
              <w:t>1.4 Research Aim, Objectives, and Questions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_Toc241116789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19</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790" w:history="1">
            <w:r w:rsidR="008B5566" w:rsidRPr="008B5566">
              <w:rPr>
                <w:rStyle w:val="Hyperlink"/>
                <w:rFonts w:ascii="Arial" w:hAnsi="Arial"/>
                <w:noProof/>
              </w:rPr>
              <w:t>1.5 Dissertation Structure</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_Toc241116790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20</w:t>
            </w:r>
            <w:r w:rsidR="008B5566" w:rsidRPr="008B5566">
              <w:rPr>
                <w:rFonts w:ascii="Arial" w:hAnsi="Arial"/>
                <w:noProof/>
                <w:webHidden/>
              </w:rPr>
              <w:fldChar w:fldCharType="end"/>
            </w:r>
          </w:hyperlink>
        </w:p>
        <w:p w:rsidR="008B5566" w:rsidRPr="008B5566" w:rsidRDefault="00C41AAA">
          <w:pPr>
            <w:pStyle w:val="TOC1"/>
            <w:tabs>
              <w:tab w:val="right" w:leader="dot" w:pos="9350"/>
            </w:tabs>
            <w:rPr>
              <w:rFonts w:ascii="Arial" w:eastAsiaTheme="minorEastAsia" w:hAnsi="Arial"/>
              <w:noProof/>
              <w:sz w:val="22"/>
              <w:szCs w:val="22"/>
            </w:rPr>
          </w:pPr>
          <w:hyperlink w:anchor="_Toc241116791" w:history="1">
            <w:r w:rsidR="008B5566" w:rsidRPr="008B5566">
              <w:rPr>
                <w:rStyle w:val="Hyperlink"/>
                <w:rFonts w:ascii="Arial" w:hAnsi="Arial"/>
                <w:noProof/>
              </w:rPr>
              <w:t>Chapter 2: Literature Review</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_Toc241116791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21</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792" w:history="1">
            <w:r w:rsidR="008B5566" w:rsidRPr="008B5566">
              <w:rPr>
                <w:rStyle w:val="Hyperlink"/>
                <w:rFonts w:ascii="Arial" w:hAnsi="Arial"/>
                <w:noProof/>
              </w:rPr>
              <w:t>2.1 Introduction</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_Toc241116792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21</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793" w:history="1">
            <w:r w:rsidR="008B5566" w:rsidRPr="008B5566">
              <w:rPr>
                <w:rStyle w:val="Hyperlink"/>
                <w:rFonts w:ascii="Arial" w:hAnsi="Arial"/>
                <w:noProof/>
              </w:rPr>
              <w:t>2.2 Customer Loyalty and Engagement</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_Toc241116793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21</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794" w:history="1">
            <w:r w:rsidR="008B5566" w:rsidRPr="008B5566">
              <w:rPr>
                <w:rStyle w:val="Hyperlink"/>
                <w:rFonts w:ascii="Arial" w:hAnsi="Arial"/>
                <w:noProof/>
              </w:rPr>
              <w:t>2.3 Self-Determination Theory</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_Toc241116794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22</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795" w:history="1">
            <w:r w:rsidR="008B5566" w:rsidRPr="008B5566">
              <w:rPr>
                <w:rStyle w:val="Hyperlink"/>
                <w:rFonts w:ascii="Arial" w:hAnsi="Arial"/>
                <w:noProof/>
              </w:rPr>
              <w:t>2.4 Autonomy and H1</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_Toc241116795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24</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796" w:history="1">
            <w:r w:rsidR="008B5566" w:rsidRPr="008B5566">
              <w:rPr>
                <w:rStyle w:val="Hyperlink"/>
                <w:rFonts w:ascii="Arial" w:hAnsi="Arial"/>
                <w:noProof/>
              </w:rPr>
              <w:t>2.5 Competence and H2</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_Toc241116796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25</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797" w:history="1">
            <w:r w:rsidR="008B5566" w:rsidRPr="008B5566">
              <w:rPr>
                <w:rStyle w:val="Hyperlink"/>
                <w:rFonts w:ascii="Arial" w:hAnsi="Arial"/>
                <w:noProof/>
              </w:rPr>
              <w:t>2.6 Relatedness and H3</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_Toc241116797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25</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798" w:history="1">
            <w:r w:rsidR="008B5566" w:rsidRPr="008B5566">
              <w:rPr>
                <w:rStyle w:val="Hyperlink"/>
                <w:rFonts w:ascii="Arial" w:hAnsi="Arial"/>
                <w:noProof/>
              </w:rPr>
              <w:t>2.7 Financial Pressure as Moderator</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_Toc241116798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27</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799" w:history="1">
            <w:r w:rsidR="008B5566" w:rsidRPr="008B5566">
              <w:rPr>
                <w:rStyle w:val="Hyperlink"/>
                <w:rFonts w:ascii="Arial" w:hAnsi="Arial"/>
                <w:noProof/>
              </w:rPr>
              <w:t>2.8 Conceptual Framework</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_Toc241116799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28</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00" w:history="1">
            <w:r w:rsidR="008B5566" w:rsidRPr="008B5566">
              <w:rPr>
                <w:rStyle w:val="Hyperlink"/>
                <w:rFonts w:ascii="Arial" w:hAnsi="Arial"/>
                <w:noProof/>
              </w:rPr>
              <w:t>2.9 Summary of Key Literature</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_Toc241116800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31</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01" w:history="1">
            <w:r w:rsidR="008B5566" w:rsidRPr="008B5566">
              <w:rPr>
                <w:rStyle w:val="Hyperlink"/>
                <w:rFonts w:ascii="Arial" w:hAnsi="Arial"/>
                <w:noProof/>
              </w:rPr>
              <w:t>2.10 Conclusion</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_Toc241116801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33</w:t>
            </w:r>
            <w:r w:rsidR="008B5566" w:rsidRPr="008B5566">
              <w:rPr>
                <w:rFonts w:ascii="Arial" w:hAnsi="Arial"/>
                <w:noProof/>
                <w:webHidden/>
              </w:rPr>
              <w:fldChar w:fldCharType="end"/>
            </w:r>
          </w:hyperlink>
        </w:p>
        <w:p w:rsidR="008B5566" w:rsidRPr="008B5566" w:rsidRDefault="00C41AAA">
          <w:pPr>
            <w:pStyle w:val="TOC1"/>
            <w:tabs>
              <w:tab w:val="right" w:leader="dot" w:pos="9350"/>
            </w:tabs>
            <w:rPr>
              <w:rFonts w:ascii="Arial" w:eastAsiaTheme="minorEastAsia" w:hAnsi="Arial"/>
              <w:noProof/>
              <w:sz w:val="22"/>
              <w:szCs w:val="22"/>
            </w:rPr>
          </w:pPr>
          <w:hyperlink w:anchor="_Toc241116802" w:history="1">
            <w:r w:rsidR="008B5566" w:rsidRPr="008B5566">
              <w:rPr>
                <w:rStyle w:val="Hyperlink"/>
                <w:rFonts w:ascii="Arial" w:hAnsi="Arial"/>
                <w:noProof/>
              </w:rPr>
              <w:t>Chapter 3: Methodology</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_Toc241116802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35</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03" w:history="1">
            <w:r w:rsidR="008B5566" w:rsidRPr="008B5566">
              <w:rPr>
                <w:rStyle w:val="Hyperlink"/>
                <w:rFonts w:ascii="Arial" w:hAnsi="Arial"/>
                <w:noProof/>
              </w:rPr>
              <w:t>3.1 Introduction</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_Toc241116803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35</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04" w:history="1">
            <w:r w:rsidR="008B5566" w:rsidRPr="008B5566">
              <w:rPr>
                <w:rStyle w:val="Hyperlink"/>
                <w:rFonts w:ascii="Arial" w:hAnsi="Arial"/>
                <w:noProof/>
              </w:rPr>
              <w:t>3.2 Research Philosophy, Approach, and Design</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_Toc241116804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36</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05" w:history="1">
            <w:r w:rsidR="008B5566" w:rsidRPr="008B5566">
              <w:rPr>
                <w:rStyle w:val="Hyperlink"/>
                <w:rFonts w:ascii="Arial" w:eastAsia="Times New Roman" w:hAnsi="Arial"/>
                <w:noProof/>
              </w:rPr>
              <w:t>3.2.1 Research Philosophy: Positivism</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_Toc241116805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36</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06" w:history="1">
            <w:r w:rsidR="008B5566" w:rsidRPr="008B5566">
              <w:rPr>
                <w:rStyle w:val="Hyperlink"/>
                <w:rFonts w:ascii="Arial" w:eastAsia="Times New Roman" w:hAnsi="Arial"/>
                <w:noProof/>
              </w:rPr>
              <w:t>3.2.2 Research Approach: Deductive</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_Toc241116806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36</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07" w:history="1">
            <w:r w:rsidR="008B5566" w:rsidRPr="008B5566">
              <w:rPr>
                <w:rStyle w:val="Hyperlink"/>
                <w:rFonts w:ascii="Arial" w:eastAsia="Times New Roman" w:hAnsi="Arial"/>
                <w:noProof/>
              </w:rPr>
              <w:t>3.2.3 Research Strategy: Survey</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_Toc241116807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37</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08" w:history="1">
            <w:r w:rsidR="008B5566" w:rsidRPr="008B5566">
              <w:rPr>
                <w:rStyle w:val="Hyperlink"/>
                <w:rFonts w:ascii="Arial" w:eastAsia="Times New Roman" w:hAnsi="Arial"/>
                <w:noProof/>
              </w:rPr>
              <w:t>3.2.4 Methodological Choice and Time Horizon</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_Toc241116808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37</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09" w:history="1">
            <w:r w:rsidR="008B5566" w:rsidRPr="008B5566">
              <w:rPr>
                <w:rStyle w:val="Hyperlink"/>
                <w:rFonts w:ascii="Arial" w:hAnsi="Arial"/>
                <w:noProof/>
              </w:rPr>
              <w:t>3.3 Justification for Quantitative Survey Methodology</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_Toc241116809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37</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10" w:history="1">
            <w:r w:rsidR="008B5566" w:rsidRPr="008B5566">
              <w:rPr>
                <w:rStyle w:val="Hyperlink"/>
                <w:rFonts w:ascii="Arial" w:hAnsi="Arial"/>
                <w:noProof/>
              </w:rPr>
              <w:t>3.4 Sampling Strategy</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_Toc241116810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38</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11" w:history="1">
            <w:r w:rsidR="008B5566" w:rsidRPr="008B5566">
              <w:rPr>
                <w:rStyle w:val="Hyperlink"/>
                <w:rFonts w:ascii="Arial" w:eastAsia="Times New Roman" w:hAnsi="Arial"/>
                <w:noProof/>
              </w:rPr>
              <w:t>3.4.1 Target Population and Eligibility</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_Toc241116811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38</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12" w:history="1">
            <w:r w:rsidR="008B5566" w:rsidRPr="008B5566">
              <w:rPr>
                <w:rStyle w:val="Hyperlink"/>
                <w:rFonts w:ascii="Arial" w:eastAsia="Times New Roman" w:hAnsi="Arial"/>
                <w:noProof/>
              </w:rPr>
              <w:t>3.4.2 Sampling Method and Sample Size</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_Toc241116812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38</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13" w:history="1">
            <w:r w:rsidR="008B5566" w:rsidRPr="008B5566">
              <w:rPr>
                <w:rStyle w:val="Hyperlink"/>
                <w:rFonts w:ascii="Arial" w:hAnsi="Arial"/>
                <w:noProof/>
              </w:rPr>
              <w:t>3.5 Survey Instrument and Measurement</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_Toc241116813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39</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14" w:history="1">
            <w:r w:rsidR="008B5566" w:rsidRPr="008B5566">
              <w:rPr>
                <w:rStyle w:val="Hyperlink"/>
                <w:rFonts w:ascii="Arial" w:eastAsia="Times New Roman" w:hAnsi="Arial"/>
                <w:noProof/>
              </w:rPr>
              <w:t>3.5.1 Questionnaire Structure and Scale</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_Toc241116814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39</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15" w:history="1">
            <w:r w:rsidR="008B5566" w:rsidRPr="008B5566">
              <w:rPr>
                <w:rStyle w:val="Hyperlink"/>
                <w:rFonts w:ascii="Arial" w:eastAsia="Times New Roman" w:hAnsi="Arial"/>
                <w:noProof/>
              </w:rPr>
              <w:t>3.5.2 Item Sources and Adaptation</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_Toc241116815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39</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16" w:history="1">
            <w:r w:rsidR="008B5566" w:rsidRPr="008B5566">
              <w:rPr>
                <w:rStyle w:val="Hyperlink"/>
                <w:rFonts w:ascii="Arial" w:eastAsia="Times New Roman" w:hAnsi="Arial"/>
                <w:noProof/>
              </w:rPr>
              <w:t>3.5.3 Pilot Testing</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_Toc241116816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43</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17" w:history="1">
            <w:r w:rsidR="008B5566" w:rsidRPr="008B5566">
              <w:rPr>
                <w:rStyle w:val="Hyperlink"/>
                <w:rFonts w:ascii="Arial" w:hAnsi="Arial"/>
                <w:noProof/>
              </w:rPr>
              <w:t>3.6 Data Analysis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_Toc241116817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43</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18" w:history="1">
            <w:r w:rsidR="008B5566" w:rsidRPr="008B5566">
              <w:rPr>
                <w:rStyle w:val="Hyperlink"/>
                <w:rFonts w:ascii="Arial" w:eastAsia="Times New Roman" w:hAnsi="Arial"/>
                <w:noProof/>
              </w:rPr>
              <w:t>3.6.1 Testing H1 to H3</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_Toc241116818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43</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19" w:history="1">
            <w:r w:rsidR="008B5566" w:rsidRPr="008B5566">
              <w:rPr>
                <w:rStyle w:val="Hyperlink"/>
                <w:rFonts w:ascii="Arial" w:eastAsia="Times New Roman" w:hAnsi="Arial"/>
                <w:noProof/>
              </w:rPr>
              <w:t>3.6.2 Testing H4a to H4c</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_Toc241116819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44</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20" w:history="1">
            <w:r w:rsidR="008B5566" w:rsidRPr="008B5566">
              <w:rPr>
                <w:rStyle w:val="Hyperlink"/>
                <w:rFonts w:ascii="Arial" w:hAnsi="Arial"/>
                <w:noProof/>
              </w:rPr>
              <w:t>3.7 Research Quality and Rigour</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_Toc241116820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45</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21" w:history="1">
            <w:r w:rsidR="008B5566" w:rsidRPr="008B5566">
              <w:rPr>
                <w:rStyle w:val="Hyperlink"/>
                <w:rFonts w:ascii="Arial" w:hAnsi="Arial"/>
                <w:noProof/>
              </w:rPr>
              <w:t>3.8 Ethical Considerations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_Toc241116821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46</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22" w:history="1">
            <w:r w:rsidR="008B5566" w:rsidRPr="008B5566">
              <w:rPr>
                <w:rStyle w:val="Hyperlink"/>
                <w:rFonts w:ascii="Arial" w:hAnsi="Arial"/>
                <w:noProof/>
              </w:rPr>
              <w:t>3.9 Chapter Summary</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_Toc241116822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47</w:t>
            </w:r>
            <w:r w:rsidR="008B5566" w:rsidRPr="008B5566">
              <w:rPr>
                <w:rFonts w:ascii="Arial" w:hAnsi="Arial"/>
                <w:noProof/>
                <w:webHidden/>
              </w:rPr>
              <w:fldChar w:fldCharType="end"/>
            </w:r>
          </w:hyperlink>
        </w:p>
        <w:p w:rsidR="008B5566" w:rsidRPr="008B5566" w:rsidRDefault="00C41AAA">
          <w:pPr>
            <w:pStyle w:val="TOC1"/>
            <w:tabs>
              <w:tab w:val="right" w:leader="dot" w:pos="9350"/>
            </w:tabs>
            <w:rPr>
              <w:rFonts w:ascii="Arial" w:eastAsiaTheme="minorEastAsia" w:hAnsi="Arial"/>
              <w:noProof/>
              <w:sz w:val="22"/>
              <w:szCs w:val="22"/>
            </w:rPr>
          </w:pPr>
          <w:hyperlink w:anchor="_Toc241116823" w:history="1">
            <w:r w:rsidR="008B5566" w:rsidRPr="008B5566">
              <w:rPr>
                <w:rStyle w:val="Hyperlink"/>
                <w:rFonts w:ascii="Arial" w:hAnsi="Arial"/>
                <w:noProof/>
              </w:rPr>
              <w:t>CHAPTER 4: DATA ANALYSIS AND RESULTS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_Toc241116823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48</w:t>
            </w:r>
            <w:r w:rsidR="008B5566" w:rsidRPr="008B5566">
              <w:rPr>
                <w:rFonts w:ascii="Arial" w:hAnsi="Arial"/>
                <w:noProof/>
                <w:webHidden/>
              </w:rPr>
              <w:fldChar w:fldCharType="end"/>
            </w:r>
          </w:hyperlink>
        </w:p>
        <w:p w:rsidR="008B5566" w:rsidRPr="008B5566" w:rsidRDefault="00C41AAA">
          <w:pPr>
            <w:pStyle w:val="TOC1"/>
            <w:tabs>
              <w:tab w:val="right" w:leader="dot" w:pos="9350"/>
            </w:tabs>
            <w:rPr>
              <w:rFonts w:ascii="Arial" w:eastAsiaTheme="minorEastAsia" w:hAnsi="Arial"/>
              <w:noProof/>
              <w:sz w:val="22"/>
              <w:szCs w:val="22"/>
            </w:rPr>
          </w:pPr>
          <w:hyperlink w:anchor="_Toc241116824" w:history="1">
            <w:r w:rsidR="008B5566" w:rsidRPr="008B5566">
              <w:rPr>
                <w:rStyle w:val="Hyperlink"/>
                <w:rFonts w:ascii="Arial" w:hAnsi="Arial"/>
                <w:noProof/>
              </w:rPr>
              <w:t>4.1 Introduction</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_Toc241116824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48</w:t>
            </w:r>
            <w:r w:rsidR="008B5566" w:rsidRPr="008B5566">
              <w:rPr>
                <w:rFonts w:ascii="Arial" w:hAnsi="Arial"/>
                <w:noProof/>
                <w:webHidden/>
              </w:rPr>
              <w:fldChar w:fldCharType="end"/>
            </w:r>
          </w:hyperlink>
        </w:p>
        <w:p w:rsidR="008B5566" w:rsidRPr="008B5566" w:rsidRDefault="00C41AAA">
          <w:pPr>
            <w:pStyle w:val="TOC1"/>
            <w:tabs>
              <w:tab w:val="right" w:leader="dot" w:pos="9350"/>
            </w:tabs>
            <w:rPr>
              <w:rFonts w:ascii="Arial" w:eastAsiaTheme="minorEastAsia" w:hAnsi="Arial"/>
              <w:noProof/>
              <w:sz w:val="22"/>
              <w:szCs w:val="22"/>
            </w:rPr>
          </w:pPr>
          <w:hyperlink w:anchor="_Toc241116825" w:history="1">
            <w:r w:rsidR="008B5566" w:rsidRPr="008B5566">
              <w:rPr>
                <w:rStyle w:val="Hyperlink"/>
                <w:rFonts w:ascii="Arial" w:hAnsi="Arial"/>
                <w:noProof/>
              </w:rPr>
              <w:t>4.2 Data Collection and Respondent Profile</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_Toc241116825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48</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26" w:history="1">
            <w:r w:rsidR="008B5566" w:rsidRPr="008B5566">
              <w:rPr>
                <w:rStyle w:val="Hyperlink"/>
                <w:rFonts w:ascii="Arial" w:hAnsi="Arial"/>
                <w:noProof/>
              </w:rPr>
              <w:t>4.2.1 Data Collection and Valid Responses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_Toc241116826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48</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27" w:history="1">
            <w:r w:rsidR="008B5566" w:rsidRPr="008B5566">
              <w:rPr>
                <w:rStyle w:val="Hyperlink"/>
                <w:rFonts w:ascii="Arial" w:hAnsi="Arial"/>
                <w:noProof/>
              </w:rPr>
              <w:t>4.2.2 Demographic Information</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_Toc241116827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49</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28" w:history="1">
            <w:r w:rsidR="008B5566" w:rsidRPr="008B5566">
              <w:rPr>
                <w:rStyle w:val="Hyperlink"/>
                <w:rFonts w:ascii="Arial" w:hAnsi="Arial"/>
                <w:noProof/>
              </w:rPr>
              <w:t>4.2.2.1 Age</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_Toc241116828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49</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29" w:history="1">
            <w:r w:rsidR="008B5566" w:rsidRPr="008B5566">
              <w:rPr>
                <w:rStyle w:val="Hyperlink"/>
                <w:rFonts w:ascii="Arial" w:hAnsi="Arial"/>
                <w:noProof/>
              </w:rPr>
              <w:t>4.2.2.2 Gender</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_Toc241116829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49</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30" w:history="1">
            <w:r w:rsidR="008B5566" w:rsidRPr="008B5566">
              <w:rPr>
                <w:rStyle w:val="Hyperlink"/>
                <w:rFonts w:ascii="Arial" w:hAnsi="Arial"/>
                <w:noProof/>
              </w:rPr>
              <w:t>4.2.2.3 Monthly Household Income</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_Toc241116830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50</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31" w:history="1">
            <w:r w:rsidR="008B5566" w:rsidRPr="008B5566">
              <w:rPr>
                <w:rStyle w:val="Hyperlink"/>
                <w:rFonts w:ascii="Arial" w:hAnsi="Arial"/>
                <w:noProof/>
              </w:rPr>
              <w:t>4.2.2.4 Clubcard Membership Duration</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_Toc241116831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50</w:t>
            </w:r>
            <w:r w:rsidR="008B5566" w:rsidRPr="008B5566">
              <w:rPr>
                <w:rFonts w:ascii="Arial" w:hAnsi="Arial"/>
                <w:noProof/>
                <w:webHidden/>
              </w:rPr>
              <w:fldChar w:fldCharType="end"/>
            </w:r>
          </w:hyperlink>
        </w:p>
        <w:p w:rsidR="008B5566" w:rsidRPr="008B5566" w:rsidRDefault="00C41AAA">
          <w:pPr>
            <w:pStyle w:val="TOC1"/>
            <w:tabs>
              <w:tab w:val="right" w:leader="dot" w:pos="9350"/>
            </w:tabs>
            <w:rPr>
              <w:rFonts w:ascii="Arial" w:eastAsiaTheme="minorEastAsia" w:hAnsi="Arial"/>
              <w:noProof/>
              <w:sz w:val="22"/>
              <w:szCs w:val="22"/>
            </w:rPr>
          </w:pPr>
          <w:hyperlink w:anchor="_Toc241116832" w:history="1">
            <w:r w:rsidR="008B5566" w:rsidRPr="008B5566">
              <w:rPr>
                <w:rStyle w:val="Hyperlink"/>
                <w:rFonts w:ascii="Arial" w:hAnsi="Arial"/>
                <w:noProof/>
              </w:rPr>
              <w:t>4.3 Descriptive Statistics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_Toc241116832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51</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33" w:history="1">
            <w:r w:rsidR="008B5566" w:rsidRPr="008B5566">
              <w:rPr>
                <w:rStyle w:val="Hyperlink"/>
                <w:rFonts w:ascii="Arial" w:hAnsi="Arial"/>
                <w:noProof/>
              </w:rPr>
              <w:t>4.3.1 Descriptive Statistics of Main Variables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_Toc241116833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51</w:t>
            </w:r>
            <w:r w:rsidR="008B5566" w:rsidRPr="008B5566">
              <w:rPr>
                <w:rFonts w:ascii="Arial" w:hAnsi="Arial"/>
                <w:noProof/>
                <w:webHidden/>
              </w:rPr>
              <w:fldChar w:fldCharType="end"/>
            </w:r>
          </w:hyperlink>
        </w:p>
        <w:p w:rsidR="008B5566" w:rsidRPr="008B5566" w:rsidRDefault="00C41AAA">
          <w:pPr>
            <w:pStyle w:val="TOC1"/>
            <w:tabs>
              <w:tab w:val="right" w:leader="dot" w:pos="9350"/>
            </w:tabs>
            <w:rPr>
              <w:rFonts w:ascii="Arial" w:eastAsiaTheme="minorEastAsia" w:hAnsi="Arial"/>
              <w:noProof/>
              <w:sz w:val="22"/>
              <w:szCs w:val="22"/>
            </w:rPr>
          </w:pPr>
          <w:hyperlink w:anchor="_Toc241116834" w:history="1">
            <w:r w:rsidR="008B5566" w:rsidRPr="008B5566">
              <w:rPr>
                <w:rStyle w:val="Hyperlink"/>
                <w:rFonts w:ascii="Arial" w:hAnsi="Arial"/>
                <w:noProof/>
              </w:rPr>
              <w:t>4.4 Measurement Quality</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_Toc241116834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52</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35" w:history="1">
            <w:r w:rsidR="008B5566" w:rsidRPr="008B5566">
              <w:rPr>
                <w:rStyle w:val="Hyperlink"/>
                <w:rFonts w:ascii="Arial" w:hAnsi="Arial"/>
                <w:noProof/>
              </w:rPr>
              <w:t>4.4.1 Quality Measurement of Main Variables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_Toc241116835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52</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36" w:history="1">
            <w:r w:rsidR="008B5566" w:rsidRPr="008B5566">
              <w:rPr>
                <w:rStyle w:val="Hyperlink"/>
                <w:rFonts w:ascii="Arial" w:hAnsi="Arial"/>
                <w:noProof/>
              </w:rPr>
              <w:t>4.4.2 Reliability Test</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_Toc241116836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52</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37" w:history="1">
            <w:r w:rsidR="008B5566" w:rsidRPr="008B5566">
              <w:rPr>
                <w:rStyle w:val="Hyperlink"/>
                <w:rFonts w:ascii="Arial" w:hAnsi="Arial"/>
                <w:noProof/>
              </w:rPr>
              <w:t>4.4.3 Item-Level Reliability</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_Toc241116837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53</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38" w:history="1">
            <w:r w:rsidR="008B5566" w:rsidRPr="008B5566">
              <w:rPr>
                <w:rStyle w:val="Hyperlink"/>
                <w:rFonts w:ascii="Arial" w:hAnsi="Arial"/>
                <w:noProof/>
              </w:rPr>
              <w:t>4.4.4 Assessment of Measurement Quality</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_Toc241116838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53</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39" w:history="1">
            <w:r w:rsidR="008B5566" w:rsidRPr="008B5566">
              <w:rPr>
                <w:rStyle w:val="Hyperlink"/>
                <w:rFonts w:ascii="Arial" w:hAnsi="Arial"/>
                <w:noProof/>
              </w:rPr>
              <w:t>4.4.5 Discriminant Validity and Correlation of Constructs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_Toc241116839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53</w:t>
            </w:r>
            <w:r w:rsidR="008B5566" w:rsidRPr="008B5566">
              <w:rPr>
                <w:rFonts w:ascii="Arial" w:hAnsi="Arial"/>
                <w:noProof/>
                <w:webHidden/>
              </w:rPr>
              <w:fldChar w:fldCharType="end"/>
            </w:r>
          </w:hyperlink>
        </w:p>
        <w:p w:rsidR="008B5566" w:rsidRPr="008B5566" w:rsidRDefault="00C41AAA">
          <w:pPr>
            <w:pStyle w:val="TOC1"/>
            <w:tabs>
              <w:tab w:val="right" w:leader="dot" w:pos="9350"/>
            </w:tabs>
            <w:rPr>
              <w:rFonts w:ascii="Arial" w:eastAsiaTheme="minorEastAsia" w:hAnsi="Arial"/>
              <w:noProof/>
              <w:sz w:val="22"/>
              <w:szCs w:val="22"/>
            </w:rPr>
          </w:pPr>
          <w:hyperlink w:anchor="_Toc241116840" w:history="1">
            <w:r w:rsidR="008B5566" w:rsidRPr="008B5566">
              <w:rPr>
                <w:rStyle w:val="Hyperlink"/>
                <w:rFonts w:ascii="Arial" w:hAnsi="Arial"/>
                <w:noProof/>
              </w:rPr>
              <w:t>4.5 Pearson Correlation Analysis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_Toc241116840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54</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41" w:history="1">
            <w:r w:rsidR="008B5566" w:rsidRPr="008B5566">
              <w:rPr>
                <w:rStyle w:val="Hyperlink"/>
                <w:rFonts w:ascii="Arial" w:hAnsi="Arial"/>
                <w:noProof/>
              </w:rPr>
              <w:t>4.5.1 Pearson Correlation Coefficient</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_Toc241116841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54</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42" w:history="1">
            <w:r w:rsidR="008B5566" w:rsidRPr="008B5566">
              <w:rPr>
                <w:rStyle w:val="Hyperlink"/>
                <w:rFonts w:ascii="Arial" w:hAnsi="Arial"/>
                <w:noProof/>
              </w:rPr>
              <w:t>4.5.2 Correlation and Construct Distinctiveness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_Toc241116842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54</w:t>
            </w:r>
            <w:r w:rsidR="008B5566" w:rsidRPr="008B5566">
              <w:rPr>
                <w:rFonts w:ascii="Arial" w:hAnsi="Arial"/>
                <w:noProof/>
                <w:webHidden/>
              </w:rPr>
              <w:fldChar w:fldCharType="end"/>
            </w:r>
          </w:hyperlink>
        </w:p>
        <w:p w:rsidR="008B5566" w:rsidRPr="008B5566" w:rsidRDefault="00C41AAA">
          <w:pPr>
            <w:pStyle w:val="TOC1"/>
            <w:tabs>
              <w:tab w:val="right" w:leader="dot" w:pos="9350"/>
            </w:tabs>
            <w:rPr>
              <w:rFonts w:ascii="Arial" w:eastAsiaTheme="minorEastAsia" w:hAnsi="Arial"/>
              <w:noProof/>
              <w:sz w:val="22"/>
              <w:szCs w:val="22"/>
            </w:rPr>
          </w:pPr>
          <w:hyperlink w:anchor="_Toc241116843" w:history="1">
            <w:r w:rsidR="008B5566" w:rsidRPr="008B5566">
              <w:rPr>
                <w:rStyle w:val="Hyperlink"/>
                <w:rFonts w:ascii="Arial" w:hAnsi="Arial"/>
                <w:noProof/>
              </w:rPr>
              <w:t>4.6 Regression Analysis and Hypothesis Testing</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_Toc241116843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55</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44" w:history="1">
            <w:r w:rsidR="008B5566" w:rsidRPr="008B5566">
              <w:rPr>
                <w:rStyle w:val="Hyperlink"/>
                <w:rFonts w:ascii="Arial" w:hAnsi="Arial"/>
                <w:noProof/>
              </w:rPr>
              <w:t>4.6.1 Multiple Regression Analysis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_Toc241116844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55</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45" w:history="1">
            <w:r w:rsidR="008B5566" w:rsidRPr="008B5566">
              <w:rPr>
                <w:rStyle w:val="Hyperlink"/>
                <w:rFonts w:ascii="Arial" w:hAnsi="Arial"/>
                <w:noProof/>
              </w:rPr>
              <w:t>4.6.2 Hypothesis H1: Autonomy → Sustained Clubcard Engagement</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_Toc241116845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55</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46" w:history="1">
            <w:r w:rsidR="008B5566" w:rsidRPr="008B5566">
              <w:rPr>
                <w:rStyle w:val="Hyperlink"/>
                <w:rFonts w:ascii="Arial" w:hAnsi="Arial"/>
                <w:noProof/>
              </w:rPr>
              <w:t>4.6.3 Hypothesis H2: Competence → Sustained Clubcard Engagement</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_Toc241116846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56</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47" w:history="1">
            <w:r w:rsidR="008B5566" w:rsidRPr="008B5566">
              <w:rPr>
                <w:rStyle w:val="Hyperlink"/>
                <w:rFonts w:ascii="Arial" w:hAnsi="Arial"/>
                <w:noProof/>
              </w:rPr>
              <w:t>4.6.4 Hypothesis H3: Relatedness → Sustained Clubcard Engagement</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_Toc241116847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56</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48" w:history="1">
            <w:r w:rsidR="008B5566" w:rsidRPr="008B5566">
              <w:rPr>
                <w:rStyle w:val="Hyperlink"/>
                <w:rFonts w:ascii="Arial" w:hAnsi="Arial"/>
                <w:noProof/>
              </w:rPr>
              <w:t>4.6.5 Overall Regression Model</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_Toc241116848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56</w:t>
            </w:r>
            <w:r w:rsidR="008B5566" w:rsidRPr="008B5566">
              <w:rPr>
                <w:rFonts w:ascii="Arial" w:hAnsi="Arial"/>
                <w:noProof/>
                <w:webHidden/>
              </w:rPr>
              <w:fldChar w:fldCharType="end"/>
            </w:r>
          </w:hyperlink>
        </w:p>
        <w:p w:rsidR="008B5566" w:rsidRPr="008B5566" w:rsidRDefault="00C41AAA">
          <w:pPr>
            <w:pStyle w:val="TOC1"/>
            <w:tabs>
              <w:tab w:val="right" w:leader="dot" w:pos="9350"/>
            </w:tabs>
            <w:rPr>
              <w:rFonts w:ascii="Arial" w:eastAsiaTheme="minorEastAsia" w:hAnsi="Arial"/>
              <w:noProof/>
              <w:sz w:val="22"/>
              <w:szCs w:val="22"/>
            </w:rPr>
          </w:pPr>
          <w:hyperlink w:anchor="_Toc241116849" w:history="1">
            <w:r w:rsidR="008B5566" w:rsidRPr="008B5566">
              <w:rPr>
                <w:rStyle w:val="Hyperlink"/>
                <w:rFonts w:ascii="Arial" w:hAnsi="Arial"/>
                <w:noProof/>
              </w:rPr>
              <w:t>4.7 Moderation Analysis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_Toc241116849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57</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50" w:history="1">
            <w:r w:rsidR="008B5566" w:rsidRPr="008B5566">
              <w:rPr>
                <w:rStyle w:val="Hyperlink"/>
                <w:rFonts w:ascii="Arial" w:hAnsi="Arial"/>
                <w:noProof/>
              </w:rPr>
              <w:t>4.7.1 H4a: Financial Pressure as Moderator of Autonomy → Engagement</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_Toc241116850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57</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51" w:history="1">
            <w:r w:rsidR="008B5566" w:rsidRPr="008B5566">
              <w:rPr>
                <w:rStyle w:val="Hyperlink"/>
                <w:rFonts w:ascii="Arial" w:hAnsi="Arial"/>
                <w:noProof/>
              </w:rPr>
              <w:t>4.7.2 H4b: Financial Pressure as Moderator of Competence → Engagement</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_Toc241116851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57</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52" w:history="1">
            <w:r w:rsidR="008B5566" w:rsidRPr="008B5566">
              <w:rPr>
                <w:rStyle w:val="Hyperlink"/>
                <w:rFonts w:ascii="Arial" w:hAnsi="Arial"/>
                <w:noProof/>
              </w:rPr>
              <w:t>4.7.3 H4c: Financial Pressure as Moderator of Relatedness → Engagement</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_Toc241116852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57</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53" w:history="1">
            <w:r w:rsidR="008B5566" w:rsidRPr="008B5566">
              <w:rPr>
                <w:rStyle w:val="Hyperlink"/>
                <w:rFonts w:ascii="Arial" w:hAnsi="Arial"/>
                <w:noProof/>
              </w:rPr>
              <w:t>4.7.4 Overall Moderation Findings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_Toc241116853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57</w:t>
            </w:r>
            <w:r w:rsidR="008B5566" w:rsidRPr="008B5566">
              <w:rPr>
                <w:rFonts w:ascii="Arial" w:hAnsi="Arial"/>
                <w:noProof/>
                <w:webHidden/>
              </w:rPr>
              <w:fldChar w:fldCharType="end"/>
            </w:r>
          </w:hyperlink>
        </w:p>
        <w:p w:rsidR="008B5566" w:rsidRPr="008B5566" w:rsidRDefault="00C41AAA">
          <w:pPr>
            <w:pStyle w:val="TOC1"/>
            <w:tabs>
              <w:tab w:val="right" w:leader="dot" w:pos="9350"/>
            </w:tabs>
            <w:rPr>
              <w:rFonts w:ascii="Arial" w:eastAsiaTheme="minorEastAsia" w:hAnsi="Arial"/>
              <w:noProof/>
              <w:sz w:val="22"/>
              <w:szCs w:val="22"/>
            </w:rPr>
          </w:pPr>
          <w:hyperlink w:anchor="_Toc241116854" w:history="1">
            <w:r w:rsidR="008B5566" w:rsidRPr="008B5566">
              <w:rPr>
                <w:rStyle w:val="Hyperlink"/>
                <w:rFonts w:ascii="Arial" w:hAnsi="Arial"/>
                <w:noProof/>
              </w:rPr>
              <w:t>4.8 Final Conceptual Model and Hypothesis Testing</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_Toc241116854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58</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55" w:history="1">
            <w:r w:rsidR="008B5566" w:rsidRPr="008B5566">
              <w:rPr>
                <w:rStyle w:val="Hyperlink"/>
                <w:rFonts w:ascii="Arial" w:hAnsi="Arial"/>
                <w:noProof/>
              </w:rPr>
              <w:t>4.8.1 Final Conceptual Model with Hypothesis Results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_Toc241116855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58</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56" w:history="1">
            <w:r w:rsidR="008B5566" w:rsidRPr="008B5566">
              <w:rPr>
                <w:rStyle w:val="Hyperlink"/>
                <w:rFonts w:ascii="Arial" w:hAnsi="Arial"/>
                <w:noProof/>
              </w:rPr>
              <w:t>4.8.2 Summary of Hypothesis Testing</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_Toc241116856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58</w:t>
            </w:r>
            <w:r w:rsidR="008B5566" w:rsidRPr="008B5566">
              <w:rPr>
                <w:rFonts w:ascii="Arial" w:hAnsi="Arial"/>
                <w:noProof/>
                <w:webHidden/>
              </w:rPr>
              <w:fldChar w:fldCharType="end"/>
            </w:r>
          </w:hyperlink>
        </w:p>
        <w:p w:rsidR="008B5566" w:rsidRPr="008B5566" w:rsidRDefault="00C41AAA">
          <w:pPr>
            <w:pStyle w:val="TOC1"/>
            <w:tabs>
              <w:tab w:val="right" w:leader="dot" w:pos="9350"/>
            </w:tabs>
            <w:rPr>
              <w:rFonts w:ascii="Arial" w:eastAsiaTheme="minorEastAsia" w:hAnsi="Arial"/>
              <w:noProof/>
              <w:sz w:val="22"/>
              <w:szCs w:val="22"/>
            </w:rPr>
          </w:pPr>
          <w:hyperlink w:anchor="_Toc241116857" w:history="1">
            <w:r w:rsidR="008B5566" w:rsidRPr="008B5566">
              <w:rPr>
                <w:rStyle w:val="Hyperlink"/>
                <w:rFonts w:ascii="Arial" w:hAnsi="Arial"/>
                <w:noProof/>
              </w:rPr>
              <w:t>4.9 Chapter Summary</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_Toc241116857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59</w:t>
            </w:r>
            <w:r w:rsidR="008B5566" w:rsidRPr="008B5566">
              <w:rPr>
                <w:rFonts w:ascii="Arial" w:hAnsi="Arial"/>
                <w:noProof/>
                <w:webHidden/>
              </w:rPr>
              <w:fldChar w:fldCharType="end"/>
            </w:r>
          </w:hyperlink>
        </w:p>
        <w:p w:rsidR="008B5566" w:rsidRPr="008B5566" w:rsidRDefault="00C41AAA">
          <w:pPr>
            <w:pStyle w:val="TOC1"/>
            <w:tabs>
              <w:tab w:val="right" w:leader="dot" w:pos="9350"/>
            </w:tabs>
            <w:rPr>
              <w:rFonts w:ascii="Arial" w:eastAsiaTheme="minorEastAsia" w:hAnsi="Arial"/>
              <w:noProof/>
              <w:sz w:val="22"/>
              <w:szCs w:val="22"/>
            </w:rPr>
          </w:pPr>
          <w:hyperlink w:anchor="_Toc241116858" w:history="1">
            <w:r w:rsidR="008B5566" w:rsidRPr="008B5566">
              <w:rPr>
                <w:rStyle w:val="Hyperlink"/>
                <w:rFonts w:ascii="Arial" w:hAnsi="Arial"/>
                <w:noProof/>
              </w:rPr>
              <w:t>Chapter 5: Discussion and Analysis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_Toc241116858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60</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59" w:history="1">
            <w:r w:rsidR="008B5566" w:rsidRPr="008B5566">
              <w:rPr>
                <w:rStyle w:val="Hyperlink"/>
                <w:rFonts w:ascii="Arial" w:hAnsi="Arial"/>
                <w:noProof/>
              </w:rPr>
              <w:t>5.1 Purpose and Positioning</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_Toc241116859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60</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60" w:history="1">
            <w:r w:rsidR="008B5566" w:rsidRPr="008B5566">
              <w:rPr>
                <w:rStyle w:val="Hyperlink"/>
                <w:rFonts w:ascii="Arial" w:hAnsi="Arial"/>
                <w:noProof/>
              </w:rPr>
              <w:t>5.2 Analytical Framework and Logic</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_Toc241116860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60</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61" w:history="1">
            <w:r w:rsidR="008B5566" w:rsidRPr="008B5566">
              <w:rPr>
                <w:rStyle w:val="Hyperlink"/>
                <w:rFonts w:ascii="Arial" w:hAnsi="Arial"/>
                <w:noProof/>
              </w:rPr>
              <w:t>5.3 Discussion by Hypothesis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_Toc241116861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61</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62" w:history="1">
            <w:r w:rsidR="008B5566" w:rsidRPr="008B5566">
              <w:rPr>
                <w:rStyle w:val="Hyperlink"/>
                <w:rFonts w:ascii="Arial" w:hAnsi="Arial"/>
                <w:noProof/>
              </w:rPr>
              <w:t>5.3.1 Autonomy and Competence as Co-Dominant Predictors (H1, H2)</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_Toc241116862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61</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63" w:history="1">
            <w:r w:rsidR="008B5566" w:rsidRPr="008B5566">
              <w:rPr>
                <w:rStyle w:val="Hyperlink"/>
                <w:rFonts w:ascii="Arial" w:hAnsi="Arial"/>
                <w:noProof/>
              </w:rPr>
              <w:t>5.3.2 Relatedness as the Weakest Predictor (H3)</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_Toc241116863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63</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64" w:history="1">
            <w:r w:rsidR="008B5566" w:rsidRPr="008B5566">
              <w:rPr>
                <w:rStyle w:val="Hyperlink"/>
                <w:rFonts w:ascii="Arial" w:hAnsi="Arial"/>
                <w:noProof/>
              </w:rPr>
              <w:t>5.3.3 The Null Moderation of Financial Pressure (H4)</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_Toc241116864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64</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65" w:history="1">
            <w:r w:rsidR="008B5566" w:rsidRPr="008B5566">
              <w:rPr>
                <w:rStyle w:val="Hyperlink"/>
                <w:rFonts w:ascii="Arial" w:hAnsi="Arial"/>
                <w:noProof/>
              </w:rPr>
              <w:t>5.4 Integration with the Conceptual Model</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_Toc241116865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65</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66" w:history="1">
            <w:r w:rsidR="008B5566" w:rsidRPr="008B5566">
              <w:rPr>
                <w:rStyle w:val="Hyperlink"/>
                <w:rFonts w:ascii="Arial" w:hAnsi="Arial"/>
                <w:noProof/>
              </w:rPr>
              <w:t>5.5 Robustness Considerations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_Toc241116866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66</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67" w:history="1">
            <w:r w:rsidR="008B5566" w:rsidRPr="008B5566">
              <w:rPr>
                <w:rStyle w:val="Hyperlink"/>
                <w:rFonts w:ascii="Arial" w:hAnsi="Arial"/>
                <w:noProof/>
              </w:rPr>
              <w:t>5.6 Practical Synthesis (Bridge to Chapter 6)</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_Toc241116867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67</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68" w:history="1">
            <w:r w:rsidR="008B5566" w:rsidRPr="008B5566">
              <w:rPr>
                <w:rStyle w:val="Hyperlink"/>
                <w:rFonts w:ascii="Arial" w:hAnsi="Arial"/>
                <w:noProof/>
              </w:rPr>
              <w:t>5.7 Chapter Summary</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_Toc241116868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68</w:t>
            </w:r>
            <w:r w:rsidR="008B5566" w:rsidRPr="008B5566">
              <w:rPr>
                <w:rFonts w:ascii="Arial" w:hAnsi="Arial"/>
                <w:noProof/>
                <w:webHidden/>
              </w:rPr>
              <w:fldChar w:fldCharType="end"/>
            </w:r>
          </w:hyperlink>
        </w:p>
        <w:p w:rsidR="008B5566" w:rsidRPr="008B5566" w:rsidRDefault="00C41AAA">
          <w:pPr>
            <w:pStyle w:val="TOC1"/>
            <w:tabs>
              <w:tab w:val="right" w:leader="dot" w:pos="9350"/>
            </w:tabs>
            <w:rPr>
              <w:rFonts w:ascii="Arial" w:eastAsiaTheme="minorEastAsia" w:hAnsi="Arial"/>
              <w:noProof/>
              <w:sz w:val="22"/>
              <w:szCs w:val="22"/>
            </w:rPr>
          </w:pPr>
          <w:hyperlink w:anchor="_Toc241116869" w:history="1">
            <w:r w:rsidR="008B5566" w:rsidRPr="008B5566">
              <w:rPr>
                <w:rStyle w:val="Hyperlink"/>
                <w:rFonts w:ascii="Arial" w:hAnsi="Arial"/>
                <w:noProof/>
              </w:rPr>
              <w:t>Chapter 6: Conclusion</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_Toc241116869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69</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70" w:history="1">
            <w:r w:rsidR="008B5566" w:rsidRPr="008B5566">
              <w:rPr>
                <w:rStyle w:val="Hyperlink"/>
                <w:rFonts w:ascii="Arial" w:hAnsi="Arial"/>
                <w:noProof/>
              </w:rPr>
              <w:t>6.1 Introduction</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_Toc241116870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69</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71" w:history="1">
            <w:r w:rsidR="008B5566" w:rsidRPr="008B5566">
              <w:rPr>
                <w:rStyle w:val="Hyperlink"/>
                <w:rFonts w:ascii="Arial" w:hAnsi="Arial"/>
                <w:noProof/>
              </w:rPr>
              <w:t>6.2 Brief Summary of Key Findings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_Toc241116871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69</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72" w:history="1">
            <w:r w:rsidR="008B5566" w:rsidRPr="008B5566">
              <w:rPr>
                <w:rStyle w:val="Hyperlink"/>
                <w:rFonts w:ascii="Arial" w:hAnsi="Arial"/>
                <w:noProof/>
              </w:rPr>
              <w:t>6.3 Theoretical Contributions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_Toc241116872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70</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73" w:history="1">
            <w:r w:rsidR="008B5566" w:rsidRPr="008B5566">
              <w:rPr>
                <w:rStyle w:val="Hyperlink"/>
                <w:rFonts w:ascii="Arial" w:hAnsi="Arial"/>
                <w:noProof/>
              </w:rPr>
              <w:t>6.3.1 Extending SDT to Mainstream Grocery Loyalty programmes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_Toc241116873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70</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74" w:history="1">
            <w:r w:rsidR="008B5566" w:rsidRPr="008B5566">
              <w:rPr>
                <w:rStyle w:val="Hyperlink"/>
                <w:rFonts w:ascii="Arial" w:hAnsi="Arial"/>
                <w:noProof/>
              </w:rPr>
              <w:t>6.3.2 Demonstrating Context-Dependent Differences in the Relative Importance of Psychological Needs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_Toc241116874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70</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75" w:history="1">
            <w:r w:rsidR="008B5566" w:rsidRPr="008B5566">
              <w:rPr>
                <w:rStyle w:val="Hyperlink"/>
                <w:rFonts w:ascii="Arial" w:hAnsi="Arial"/>
                <w:noProof/>
              </w:rPr>
              <w:t>6.3.3 The Inconclusive Role of Financial Pressure as a Moderator</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_Toc241116875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71</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76" w:history="1">
            <w:r w:rsidR="008B5566" w:rsidRPr="008B5566">
              <w:rPr>
                <w:rStyle w:val="Hyperlink"/>
                <w:rFonts w:ascii="Arial" w:hAnsi="Arial"/>
                <w:noProof/>
              </w:rPr>
              <w:t>6.4 Managerial Implications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_Toc241116876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71</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77" w:history="1">
            <w:r w:rsidR="008B5566" w:rsidRPr="008B5566">
              <w:rPr>
                <w:rStyle w:val="Hyperlink"/>
                <w:rFonts w:ascii="Arial" w:hAnsi="Arial"/>
                <w:noProof/>
              </w:rPr>
              <w:t>6.4.1 Strengthen Both Autonomy and Competence in Clubcard Use</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_Toc241116877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71</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78" w:history="1">
            <w:r w:rsidR="008B5566" w:rsidRPr="008B5566">
              <w:rPr>
                <w:rStyle w:val="Hyperlink"/>
                <w:rFonts w:ascii="Arial" w:hAnsi="Arial"/>
                <w:noProof/>
              </w:rPr>
              <w:t>6.4.2 Develop Relatedness through Tenure-Based Recognition</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_Toc241116878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72</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79" w:history="1">
            <w:r w:rsidR="008B5566" w:rsidRPr="008B5566">
              <w:rPr>
                <w:rStyle w:val="Hyperlink"/>
                <w:rFonts w:ascii="Arial" w:hAnsi="Arial"/>
                <w:noProof/>
              </w:rPr>
              <w:t>6.4.3 Strengthen the Three Psychological Needs across Customer Groups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_Toc241116879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73</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80" w:history="1">
            <w:r w:rsidR="008B5566" w:rsidRPr="008B5566">
              <w:rPr>
                <w:rStyle w:val="Hyperlink"/>
                <w:rFonts w:ascii="Arial" w:hAnsi="Arial"/>
                <w:noProof/>
              </w:rPr>
              <w:t>6.4.4 Make Financial Savings More Visible to Financially Pressured Customers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_Toc241116880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73</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81" w:history="1">
            <w:r w:rsidR="008B5566" w:rsidRPr="008B5566">
              <w:rPr>
                <w:rStyle w:val="Hyperlink"/>
                <w:rFonts w:ascii="Arial" w:hAnsi="Arial"/>
                <w:noProof/>
              </w:rPr>
              <w:t>6.5 Limitations and Directions for Future Research</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_Toc241116881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74</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82" w:history="1">
            <w:r w:rsidR="008B5566" w:rsidRPr="008B5566">
              <w:rPr>
                <w:rStyle w:val="Hyperlink"/>
                <w:rFonts w:ascii="Arial" w:hAnsi="Arial"/>
                <w:noProof/>
              </w:rPr>
              <w:t>6.5.1 Limitations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_Toc241116882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74</w:t>
            </w:r>
            <w:r w:rsidR="008B5566" w:rsidRPr="008B5566">
              <w:rPr>
                <w:rFonts w:ascii="Arial" w:hAnsi="Arial"/>
                <w:noProof/>
                <w:webHidden/>
              </w:rPr>
              <w:fldChar w:fldCharType="end"/>
            </w:r>
          </w:hyperlink>
        </w:p>
        <w:p w:rsidR="008B5566" w:rsidRPr="008B5566" w:rsidRDefault="00C41AAA">
          <w:pPr>
            <w:pStyle w:val="TOC3"/>
            <w:tabs>
              <w:tab w:val="right" w:leader="dot" w:pos="9350"/>
            </w:tabs>
            <w:rPr>
              <w:rFonts w:ascii="Arial" w:eastAsiaTheme="minorEastAsia" w:hAnsi="Arial"/>
              <w:noProof/>
              <w:sz w:val="22"/>
              <w:szCs w:val="22"/>
            </w:rPr>
          </w:pPr>
          <w:hyperlink w:anchor="_Toc241116883" w:history="1">
            <w:r w:rsidR="008B5566" w:rsidRPr="008B5566">
              <w:rPr>
                <w:rStyle w:val="Hyperlink"/>
                <w:rFonts w:ascii="Arial" w:hAnsi="Arial"/>
                <w:noProof/>
              </w:rPr>
              <w:t>6.5.2 Directions for Future Research</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_Toc241116883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75</w:t>
            </w:r>
            <w:r w:rsidR="008B5566" w:rsidRPr="008B5566">
              <w:rPr>
                <w:rFonts w:ascii="Arial" w:hAnsi="Arial"/>
                <w:noProof/>
                <w:webHidden/>
              </w:rPr>
              <w:fldChar w:fldCharType="end"/>
            </w:r>
          </w:hyperlink>
        </w:p>
        <w:p w:rsidR="008B5566" w:rsidRPr="008B5566" w:rsidRDefault="00C41AAA">
          <w:pPr>
            <w:pStyle w:val="TOC2"/>
            <w:tabs>
              <w:tab w:val="right" w:leader="dot" w:pos="9350"/>
            </w:tabs>
            <w:rPr>
              <w:rFonts w:ascii="Arial" w:eastAsiaTheme="minorEastAsia" w:hAnsi="Arial"/>
              <w:noProof/>
              <w:sz w:val="22"/>
              <w:szCs w:val="22"/>
            </w:rPr>
          </w:pPr>
          <w:hyperlink w:anchor="_Toc241116884" w:history="1">
            <w:r w:rsidR="008B5566" w:rsidRPr="008B5566">
              <w:rPr>
                <w:rStyle w:val="Hyperlink"/>
                <w:rFonts w:ascii="Arial" w:hAnsi="Arial"/>
                <w:noProof/>
              </w:rPr>
              <w:t>6.6 Closing Statement</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_Toc241116884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75</w:t>
            </w:r>
            <w:r w:rsidR="008B5566" w:rsidRPr="008B5566">
              <w:rPr>
                <w:rFonts w:ascii="Arial" w:hAnsi="Arial"/>
                <w:noProof/>
                <w:webHidden/>
              </w:rPr>
              <w:fldChar w:fldCharType="end"/>
            </w:r>
          </w:hyperlink>
        </w:p>
        <w:p w:rsidR="008B5566" w:rsidRPr="008B5566" w:rsidRDefault="00C41AAA">
          <w:pPr>
            <w:pStyle w:val="TOC1"/>
            <w:tabs>
              <w:tab w:val="right" w:leader="dot" w:pos="9350"/>
            </w:tabs>
            <w:rPr>
              <w:rFonts w:ascii="Arial" w:eastAsiaTheme="minorEastAsia" w:hAnsi="Arial"/>
              <w:noProof/>
              <w:sz w:val="22"/>
              <w:szCs w:val="22"/>
            </w:rPr>
          </w:pPr>
          <w:hyperlink w:anchor="_Toc241116885" w:history="1">
            <w:r w:rsidR="008B5566" w:rsidRPr="008B5566">
              <w:rPr>
                <w:rStyle w:val="Hyperlink"/>
                <w:rFonts w:ascii="Arial" w:hAnsi="Arial"/>
                <w:noProof/>
              </w:rPr>
              <w:t>References</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_Toc241116885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76</w:t>
            </w:r>
            <w:r w:rsidR="008B5566" w:rsidRPr="008B5566">
              <w:rPr>
                <w:rFonts w:ascii="Arial" w:hAnsi="Arial"/>
                <w:noProof/>
                <w:webHidden/>
              </w:rPr>
              <w:fldChar w:fldCharType="end"/>
            </w:r>
          </w:hyperlink>
        </w:p>
        <w:p w:rsidR="008B5566" w:rsidRPr="008B5566" w:rsidRDefault="00C41AAA">
          <w:pPr>
            <w:pStyle w:val="TOC1"/>
            <w:tabs>
              <w:tab w:val="right" w:leader="dot" w:pos="9350"/>
            </w:tabs>
            <w:rPr>
              <w:rFonts w:ascii="Arial" w:eastAsiaTheme="minorEastAsia" w:hAnsi="Arial"/>
              <w:noProof/>
              <w:sz w:val="22"/>
              <w:szCs w:val="22"/>
            </w:rPr>
          </w:pPr>
          <w:hyperlink w:anchor="_Toc241116886" w:history="1">
            <w:r w:rsidR="008B5566" w:rsidRPr="008B5566">
              <w:rPr>
                <w:rStyle w:val="Hyperlink"/>
                <w:rFonts w:ascii="Arial" w:hAnsi="Arial"/>
                <w:noProof/>
              </w:rPr>
              <w:t>Appendix</w:t>
            </w:r>
            <w:r w:rsidR="008B5566" w:rsidRPr="008B5566">
              <w:rPr>
                <w:rFonts w:ascii="Arial" w:hAnsi="Arial"/>
                <w:noProof/>
                <w:webHidden/>
              </w:rPr>
              <w:tab/>
            </w:r>
            <w:r w:rsidR="008B5566" w:rsidRPr="008B5566">
              <w:rPr>
                <w:rFonts w:ascii="Arial" w:hAnsi="Arial"/>
                <w:noProof/>
                <w:webHidden/>
              </w:rPr>
              <w:fldChar w:fldCharType="begin"/>
            </w:r>
            <w:r w:rsidR="008B5566" w:rsidRPr="008B5566">
              <w:rPr>
                <w:rFonts w:ascii="Arial" w:hAnsi="Arial"/>
                <w:noProof/>
                <w:webHidden/>
              </w:rPr>
              <w:instrText xml:space="preserve"> PAGEREF _Toc241116886 \h </w:instrText>
            </w:r>
            <w:r w:rsidR="008B5566" w:rsidRPr="008B5566">
              <w:rPr>
                <w:rFonts w:ascii="Arial" w:hAnsi="Arial"/>
                <w:noProof/>
                <w:webHidden/>
              </w:rPr>
            </w:r>
            <w:r w:rsidR="008B5566" w:rsidRPr="008B5566">
              <w:rPr>
                <w:rFonts w:ascii="Arial" w:hAnsi="Arial"/>
                <w:noProof/>
                <w:webHidden/>
              </w:rPr>
              <w:fldChar w:fldCharType="separate"/>
            </w:r>
            <w:r w:rsidR="00630D5C">
              <w:rPr>
                <w:rFonts w:ascii="Arial" w:hAnsi="Arial"/>
                <w:noProof/>
                <w:webHidden/>
              </w:rPr>
              <w:t>79</w:t>
            </w:r>
            <w:r w:rsidR="008B5566" w:rsidRPr="008B5566">
              <w:rPr>
                <w:rFonts w:ascii="Arial" w:hAnsi="Arial"/>
                <w:noProof/>
                <w:webHidden/>
              </w:rPr>
              <w:fldChar w:fldCharType="end"/>
            </w:r>
          </w:hyperlink>
        </w:p>
        <w:p w:rsidR="00535CCE" w:rsidRPr="00C23322" w:rsidRDefault="00535CCE" w:rsidP="00535CCE">
          <w:pPr>
            <w:rPr>
              <w:rFonts w:ascii="Arial" w:hAnsi="Arial"/>
            </w:rPr>
          </w:pPr>
          <w:r w:rsidRPr="00E326DA">
            <w:rPr>
              <w:rFonts w:ascii="Arial" w:hAnsi="Arial"/>
              <w:b/>
              <w:bCs/>
              <w:noProof/>
              <w:sz w:val="22"/>
              <w:szCs w:val="22"/>
            </w:rPr>
            <w:fldChar w:fldCharType="end"/>
          </w:r>
        </w:p>
      </w:sdtContent>
    </w:sdt>
    <w:p w:rsidR="00216DCE" w:rsidRDefault="00216DCE">
      <w:pPr>
        <w:spacing w:after="160" w:line="259" w:lineRule="auto"/>
        <w:jc w:val="left"/>
        <w:rPr>
          <w:rFonts w:ascii="Arial" w:hAnsi="Arial"/>
        </w:rPr>
      </w:pPr>
      <w:r>
        <w:rPr>
          <w:rFonts w:ascii="Arial" w:hAnsi="Arial"/>
        </w:rPr>
        <w:br w:type="page"/>
      </w:r>
    </w:p>
    <w:p w:rsidR="00216DCE" w:rsidRPr="00467D15" w:rsidRDefault="00216DCE" w:rsidP="0067684D">
      <w:pPr>
        <w:pStyle w:val="TableofFigures"/>
        <w:tabs>
          <w:tab w:val="right" w:leader="dot" w:pos="9350"/>
        </w:tabs>
        <w:spacing w:after="120"/>
        <w:jc w:val="center"/>
        <w:rPr>
          <w:rFonts w:ascii="Arial" w:hAnsi="Arial"/>
          <w:b/>
          <w:color w:val="000000" w:themeColor="text1"/>
          <w:sz w:val="28"/>
          <w:szCs w:val="28"/>
          <w:u w:val="single"/>
        </w:rPr>
      </w:pPr>
      <w:r w:rsidRPr="00467D15">
        <w:rPr>
          <w:rFonts w:ascii="Arial" w:hAnsi="Arial"/>
          <w:b/>
          <w:color w:val="000000" w:themeColor="text1"/>
          <w:sz w:val="28"/>
          <w:szCs w:val="28"/>
          <w:u w:val="single"/>
        </w:rPr>
        <w:lastRenderedPageBreak/>
        <w:t>List of Figures</w:t>
      </w:r>
    </w:p>
    <w:p w:rsidR="00467D15" w:rsidRPr="00467D15" w:rsidRDefault="00467D15" w:rsidP="0067684D">
      <w:pPr>
        <w:pStyle w:val="TableofFigures"/>
        <w:tabs>
          <w:tab w:val="right" w:leader="dot" w:pos="9350"/>
        </w:tabs>
        <w:spacing w:after="120"/>
        <w:jc w:val="left"/>
        <w:rPr>
          <w:rFonts w:ascii="Arial" w:eastAsiaTheme="minorEastAsia" w:hAnsi="Arial"/>
          <w:noProof/>
          <w:sz w:val="22"/>
          <w:szCs w:val="22"/>
        </w:rPr>
      </w:pPr>
      <w:r w:rsidRPr="00467D15">
        <w:rPr>
          <w:rFonts w:ascii="Arial" w:hAnsi="Arial"/>
          <w:bCs/>
          <w:sz w:val="22"/>
          <w:szCs w:val="22"/>
          <w:u w:val="single"/>
        </w:rPr>
        <w:fldChar w:fldCharType="begin"/>
      </w:r>
      <w:r w:rsidRPr="00467D15">
        <w:rPr>
          <w:rFonts w:ascii="Arial" w:hAnsi="Arial"/>
          <w:bCs/>
          <w:sz w:val="22"/>
          <w:szCs w:val="22"/>
          <w:u w:val="single"/>
        </w:rPr>
        <w:instrText xml:space="preserve"> TOC \h \z \c "Figure" </w:instrText>
      </w:r>
      <w:r w:rsidRPr="00467D15">
        <w:rPr>
          <w:rFonts w:ascii="Arial" w:hAnsi="Arial"/>
          <w:bCs/>
          <w:sz w:val="22"/>
          <w:szCs w:val="22"/>
          <w:u w:val="single"/>
        </w:rPr>
        <w:fldChar w:fldCharType="separate"/>
      </w:r>
      <w:hyperlink w:anchor="_Toc241117630" w:history="1">
        <w:r w:rsidRPr="00467D15">
          <w:rPr>
            <w:rStyle w:val="Hyperlink"/>
            <w:rFonts w:ascii="Arial" w:hAnsi="Arial"/>
            <w:noProof/>
            <w:sz w:val="22"/>
            <w:szCs w:val="22"/>
          </w:rPr>
          <w:t>Figure 2.1: Conceptual Framework - SDT-Based Loyalty Engagement under Financial Pressure</w:t>
        </w:r>
        <w:r w:rsidRPr="00467D15">
          <w:rPr>
            <w:rFonts w:ascii="Arial" w:hAnsi="Arial"/>
            <w:noProof/>
            <w:webHidden/>
            <w:sz w:val="22"/>
            <w:szCs w:val="22"/>
          </w:rPr>
          <w:tab/>
        </w:r>
        <w:r w:rsidRPr="00467D15">
          <w:rPr>
            <w:rFonts w:ascii="Arial" w:hAnsi="Arial"/>
            <w:noProof/>
            <w:webHidden/>
            <w:sz w:val="22"/>
            <w:szCs w:val="22"/>
          </w:rPr>
          <w:fldChar w:fldCharType="begin"/>
        </w:r>
        <w:r w:rsidRPr="00467D15">
          <w:rPr>
            <w:rFonts w:ascii="Arial" w:hAnsi="Arial"/>
            <w:noProof/>
            <w:webHidden/>
            <w:sz w:val="22"/>
            <w:szCs w:val="22"/>
          </w:rPr>
          <w:instrText xml:space="preserve"> PAGEREF _Toc241117630 \h </w:instrText>
        </w:r>
        <w:r w:rsidRPr="00467D15">
          <w:rPr>
            <w:rFonts w:ascii="Arial" w:hAnsi="Arial"/>
            <w:noProof/>
            <w:webHidden/>
            <w:sz w:val="22"/>
            <w:szCs w:val="22"/>
          </w:rPr>
        </w:r>
        <w:r w:rsidRPr="00467D15">
          <w:rPr>
            <w:rFonts w:ascii="Arial" w:hAnsi="Arial"/>
            <w:noProof/>
            <w:webHidden/>
            <w:sz w:val="22"/>
            <w:szCs w:val="22"/>
          </w:rPr>
          <w:fldChar w:fldCharType="separate"/>
        </w:r>
        <w:r w:rsidRPr="00467D15">
          <w:rPr>
            <w:rFonts w:ascii="Arial" w:hAnsi="Arial"/>
            <w:noProof/>
            <w:webHidden/>
            <w:sz w:val="22"/>
            <w:szCs w:val="22"/>
          </w:rPr>
          <w:t>2</w:t>
        </w:r>
        <w:r w:rsidRPr="00467D15">
          <w:rPr>
            <w:rFonts w:ascii="Arial" w:hAnsi="Arial"/>
            <w:noProof/>
            <w:webHidden/>
            <w:sz w:val="22"/>
            <w:szCs w:val="22"/>
          </w:rPr>
          <w:fldChar w:fldCharType="end"/>
        </w:r>
      </w:hyperlink>
      <w:r w:rsidR="00630D5C">
        <w:rPr>
          <w:rFonts w:ascii="Arial" w:hAnsi="Arial"/>
          <w:noProof/>
          <w:sz w:val="22"/>
          <w:szCs w:val="22"/>
        </w:rPr>
        <w:t>9</w:t>
      </w:r>
    </w:p>
    <w:p w:rsidR="00467D15" w:rsidRPr="00467D15" w:rsidRDefault="00467D15" w:rsidP="0067684D">
      <w:pPr>
        <w:pStyle w:val="Caption"/>
        <w:spacing w:after="120" w:line="360" w:lineRule="auto"/>
        <w:rPr>
          <w:rFonts w:ascii="Arial" w:hAnsi="Arial" w:cs="Arial"/>
          <w:i w:val="0"/>
          <w:color w:val="000000" w:themeColor="text1"/>
          <w:sz w:val="22"/>
          <w:szCs w:val="22"/>
        </w:rPr>
      </w:pPr>
      <w:r w:rsidRPr="00467D15">
        <w:rPr>
          <w:rFonts w:ascii="Arial" w:hAnsi="Arial" w:cs="Arial"/>
          <w:bCs/>
          <w:sz w:val="22"/>
          <w:szCs w:val="22"/>
          <w:u w:val="single"/>
        </w:rPr>
        <w:fldChar w:fldCharType="end"/>
      </w:r>
      <w:r w:rsidRPr="00467D15">
        <w:rPr>
          <w:rFonts w:ascii="Arial" w:hAnsi="Arial" w:cs="Arial"/>
          <w:i w:val="0"/>
          <w:color w:val="000000" w:themeColor="text1"/>
          <w:sz w:val="22"/>
          <w:szCs w:val="22"/>
        </w:rPr>
        <w:t>Figure 3.1: Research Onion and Methodological Position</w:t>
      </w:r>
      <w:r w:rsidRPr="00467D15">
        <w:rPr>
          <w:rFonts w:ascii="Arial" w:hAnsi="Arial" w:cs="Arial"/>
          <w:bCs/>
          <w:sz w:val="22"/>
          <w:szCs w:val="22"/>
        </w:rPr>
        <w:t xml:space="preserve"> </w:t>
      </w:r>
      <w:r w:rsidRPr="00467D15">
        <w:rPr>
          <w:rFonts w:ascii="Arial" w:hAnsi="Arial" w:cs="Arial"/>
          <w:bCs/>
          <w:i w:val="0"/>
          <w:color w:val="000000" w:themeColor="text1"/>
          <w:sz w:val="22"/>
          <w:szCs w:val="22"/>
        </w:rPr>
        <w:t>(adapted from Saunders, Lewis and Thornhill, 2019)…………………………………………………………………………………</w:t>
      </w:r>
      <w:r w:rsidRPr="00467D15">
        <w:rPr>
          <w:rFonts w:ascii="Arial" w:hAnsi="Arial" w:cs="Arial"/>
          <w:i w:val="0"/>
          <w:webHidden/>
          <w:sz w:val="22"/>
          <w:szCs w:val="22"/>
        </w:rPr>
        <w:t>…</w:t>
      </w:r>
      <w:r>
        <w:rPr>
          <w:rFonts w:ascii="Arial" w:hAnsi="Arial" w:cs="Arial"/>
          <w:i w:val="0"/>
          <w:webHidden/>
          <w:sz w:val="22"/>
          <w:szCs w:val="22"/>
        </w:rPr>
        <w:t>…….</w:t>
      </w:r>
      <w:r w:rsidRPr="00467D15">
        <w:rPr>
          <w:rFonts w:ascii="Arial" w:hAnsi="Arial" w:cs="Arial"/>
          <w:bCs/>
          <w:i w:val="0"/>
          <w:webHidden/>
          <w:color w:val="000000" w:themeColor="text1"/>
          <w:sz w:val="22"/>
          <w:szCs w:val="22"/>
        </w:rPr>
        <w:t>3</w:t>
      </w:r>
      <w:r w:rsidR="00630D5C">
        <w:rPr>
          <w:rFonts w:ascii="Arial" w:hAnsi="Arial" w:cs="Arial"/>
          <w:bCs/>
          <w:i w:val="0"/>
          <w:webHidden/>
          <w:color w:val="000000" w:themeColor="text1"/>
          <w:sz w:val="22"/>
          <w:szCs w:val="22"/>
        </w:rPr>
        <w:t>6</w:t>
      </w:r>
      <w:r w:rsidRPr="00467D15">
        <w:rPr>
          <w:rFonts w:ascii="Arial" w:hAnsi="Arial" w:cs="Arial"/>
          <w:i w:val="0"/>
          <w:color w:val="000000" w:themeColor="text1"/>
          <w:sz w:val="22"/>
          <w:szCs w:val="22"/>
        </w:rPr>
        <w:t xml:space="preserve"> </w:t>
      </w:r>
    </w:p>
    <w:p w:rsidR="00467D15" w:rsidRPr="00467D15" w:rsidRDefault="00467D15" w:rsidP="0067684D">
      <w:pPr>
        <w:spacing w:after="120"/>
        <w:jc w:val="left"/>
        <w:rPr>
          <w:rFonts w:ascii="Arial" w:hAnsi="Arial"/>
          <w:sz w:val="22"/>
          <w:szCs w:val="22"/>
        </w:rPr>
      </w:pPr>
      <w:r w:rsidRPr="00467D15">
        <w:rPr>
          <w:rFonts w:ascii="Arial" w:hAnsi="Arial"/>
          <w:sz w:val="22"/>
          <w:szCs w:val="22"/>
        </w:rPr>
        <w:t>Figure 4.1: Final Conceptual Model with Hypothesis Testing Results…………………...</w:t>
      </w:r>
      <w:r>
        <w:rPr>
          <w:rFonts w:ascii="Arial" w:hAnsi="Arial"/>
          <w:sz w:val="22"/>
          <w:szCs w:val="22"/>
        </w:rPr>
        <w:t>............</w:t>
      </w:r>
      <w:r w:rsidR="00630D5C">
        <w:rPr>
          <w:rFonts w:ascii="Arial" w:hAnsi="Arial"/>
          <w:sz w:val="22"/>
          <w:szCs w:val="22"/>
        </w:rPr>
        <w:t>59</w:t>
      </w:r>
    </w:p>
    <w:p w:rsidR="00467D15" w:rsidRDefault="00467D15">
      <w:pPr>
        <w:spacing w:after="160" w:line="259" w:lineRule="auto"/>
        <w:jc w:val="left"/>
        <w:rPr>
          <w:rFonts w:ascii="Arial" w:hAnsi="Arial"/>
          <w:bCs/>
          <w:sz w:val="28"/>
          <w:szCs w:val="28"/>
          <w:u w:val="single"/>
        </w:rPr>
      </w:pPr>
    </w:p>
    <w:p w:rsidR="0067684D" w:rsidRDefault="0067684D">
      <w:pPr>
        <w:spacing w:after="160" w:line="259" w:lineRule="auto"/>
        <w:jc w:val="left"/>
        <w:rPr>
          <w:rFonts w:ascii="Arial" w:hAnsi="Arial"/>
          <w:bCs/>
          <w:sz w:val="28"/>
          <w:szCs w:val="28"/>
          <w:u w:val="single"/>
        </w:rPr>
      </w:pPr>
      <w:r>
        <w:rPr>
          <w:rFonts w:ascii="Arial" w:hAnsi="Arial"/>
          <w:bCs/>
          <w:sz w:val="28"/>
          <w:szCs w:val="28"/>
          <w:u w:val="single"/>
        </w:rPr>
        <w:br w:type="page"/>
      </w:r>
    </w:p>
    <w:p w:rsidR="0067684D" w:rsidRPr="0024481F" w:rsidRDefault="0067684D" w:rsidP="0067684D">
      <w:pPr>
        <w:spacing w:after="160" w:line="259" w:lineRule="auto"/>
        <w:jc w:val="center"/>
        <w:rPr>
          <w:rFonts w:ascii="Arial" w:hAnsi="Arial"/>
          <w:b/>
          <w:bCs/>
          <w:sz w:val="28"/>
          <w:szCs w:val="28"/>
          <w:u w:val="single"/>
        </w:rPr>
      </w:pPr>
      <w:r w:rsidRPr="0024481F">
        <w:rPr>
          <w:rFonts w:ascii="Arial" w:hAnsi="Arial"/>
          <w:b/>
          <w:bCs/>
          <w:sz w:val="28"/>
          <w:szCs w:val="28"/>
          <w:u w:val="single"/>
        </w:rPr>
        <w:lastRenderedPageBreak/>
        <w:t>List of Table</w:t>
      </w:r>
    </w:p>
    <w:tbl>
      <w:tblPr>
        <w:tblStyle w:val="TableGrid"/>
        <w:tblW w:w="0" w:type="auto"/>
        <w:tblLook w:val="04A0" w:firstRow="1" w:lastRow="0" w:firstColumn="1" w:lastColumn="0" w:noHBand="0" w:noVBand="1"/>
      </w:tblPr>
      <w:tblGrid>
        <w:gridCol w:w="1552"/>
        <w:gridCol w:w="7088"/>
        <w:gridCol w:w="710"/>
      </w:tblGrid>
      <w:tr w:rsidR="00D3685C" w:rsidRPr="002547F3" w:rsidTr="001B06AB">
        <w:trPr>
          <w:trHeight w:val="510"/>
        </w:trPr>
        <w:tc>
          <w:tcPr>
            <w:tcW w:w="1555" w:type="dxa"/>
            <w:vAlign w:val="center"/>
            <w:hideMark/>
          </w:tcPr>
          <w:p w:rsidR="00D3685C" w:rsidRPr="002547F3" w:rsidRDefault="00D3685C" w:rsidP="00DF58F5">
            <w:pPr>
              <w:spacing w:line="240" w:lineRule="auto"/>
              <w:jc w:val="center"/>
              <w:rPr>
                <w:rFonts w:eastAsia="Times New Roman" w:cs="Times New Roman"/>
                <w:b/>
                <w:bCs/>
              </w:rPr>
            </w:pPr>
            <w:r w:rsidRPr="002547F3">
              <w:rPr>
                <w:rFonts w:eastAsia="Times New Roman" w:cs="Times New Roman"/>
                <w:b/>
                <w:bCs/>
              </w:rPr>
              <w:t>Table</w:t>
            </w:r>
          </w:p>
        </w:tc>
        <w:tc>
          <w:tcPr>
            <w:tcW w:w="7112" w:type="dxa"/>
            <w:vAlign w:val="center"/>
            <w:hideMark/>
          </w:tcPr>
          <w:p w:rsidR="00D3685C" w:rsidRPr="002547F3" w:rsidRDefault="00D3685C" w:rsidP="00DF58F5">
            <w:pPr>
              <w:spacing w:line="240" w:lineRule="auto"/>
              <w:jc w:val="center"/>
              <w:rPr>
                <w:rFonts w:eastAsia="Times New Roman" w:cs="Times New Roman"/>
                <w:b/>
                <w:bCs/>
              </w:rPr>
            </w:pPr>
            <w:r w:rsidRPr="002547F3">
              <w:rPr>
                <w:rFonts w:eastAsia="Times New Roman" w:cs="Times New Roman"/>
                <w:b/>
                <w:bCs/>
              </w:rPr>
              <w:t>Title</w:t>
            </w:r>
          </w:p>
        </w:tc>
        <w:tc>
          <w:tcPr>
            <w:tcW w:w="0" w:type="auto"/>
            <w:vAlign w:val="center"/>
            <w:hideMark/>
          </w:tcPr>
          <w:p w:rsidR="00D3685C" w:rsidRPr="002547F3" w:rsidRDefault="00D3685C" w:rsidP="00DF58F5">
            <w:pPr>
              <w:spacing w:line="240" w:lineRule="auto"/>
              <w:jc w:val="center"/>
              <w:rPr>
                <w:rFonts w:eastAsia="Times New Roman" w:cs="Times New Roman"/>
                <w:b/>
                <w:bCs/>
              </w:rPr>
            </w:pPr>
            <w:r w:rsidRPr="002547F3">
              <w:rPr>
                <w:rFonts w:eastAsia="Times New Roman" w:cs="Times New Roman"/>
                <w:b/>
                <w:bCs/>
              </w:rPr>
              <w:t>Page</w:t>
            </w:r>
          </w:p>
        </w:tc>
      </w:tr>
      <w:tr w:rsidR="00D3685C" w:rsidRPr="002547F3" w:rsidTr="001B06AB">
        <w:trPr>
          <w:trHeight w:val="510"/>
        </w:trPr>
        <w:tc>
          <w:tcPr>
            <w:tcW w:w="1555" w:type="dxa"/>
            <w:vAlign w:val="center"/>
            <w:hideMark/>
          </w:tcPr>
          <w:p w:rsidR="00D3685C" w:rsidRPr="002547F3" w:rsidRDefault="00D3685C" w:rsidP="001B06AB">
            <w:pPr>
              <w:spacing w:line="240" w:lineRule="auto"/>
              <w:jc w:val="center"/>
              <w:rPr>
                <w:rFonts w:eastAsia="Times New Roman" w:cs="Times New Roman"/>
              </w:rPr>
            </w:pPr>
            <w:r w:rsidRPr="002547F3">
              <w:rPr>
                <w:rFonts w:eastAsia="Times New Roman" w:cs="Times New Roman"/>
                <w:bCs/>
              </w:rPr>
              <w:t>Table 2.1</w:t>
            </w:r>
          </w:p>
        </w:tc>
        <w:tc>
          <w:tcPr>
            <w:tcW w:w="7112" w:type="dxa"/>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Key Studies Informing the Literature Review and Hypothesis Development</w:t>
            </w:r>
          </w:p>
        </w:tc>
        <w:tc>
          <w:tcPr>
            <w:tcW w:w="0" w:type="auto"/>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32</w:t>
            </w:r>
          </w:p>
        </w:tc>
      </w:tr>
      <w:tr w:rsidR="00D3685C" w:rsidRPr="002547F3" w:rsidTr="001B06AB">
        <w:trPr>
          <w:trHeight w:val="510"/>
        </w:trPr>
        <w:tc>
          <w:tcPr>
            <w:tcW w:w="1555" w:type="dxa"/>
            <w:vAlign w:val="center"/>
            <w:hideMark/>
          </w:tcPr>
          <w:p w:rsidR="00D3685C" w:rsidRPr="002547F3" w:rsidRDefault="00D3685C" w:rsidP="001B06AB">
            <w:pPr>
              <w:spacing w:line="240" w:lineRule="auto"/>
              <w:jc w:val="center"/>
              <w:rPr>
                <w:rFonts w:eastAsia="Times New Roman" w:cs="Times New Roman"/>
              </w:rPr>
            </w:pPr>
            <w:r>
              <w:rPr>
                <w:rFonts w:eastAsia="Times New Roman" w:cs="Times New Roman"/>
                <w:bCs/>
              </w:rPr>
              <w:t>Table 3.1</w:t>
            </w:r>
          </w:p>
        </w:tc>
        <w:tc>
          <w:tcPr>
            <w:tcW w:w="7112" w:type="dxa"/>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Survey Instrument: Constructs, Items, 7 Point Likert Scale, and Sources</w:t>
            </w:r>
          </w:p>
        </w:tc>
        <w:tc>
          <w:tcPr>
            <w:tcW w:w="0" w:type="auto"/>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35</w:t>
            </w:r>
          </w:p>
        </w:tc>
      </w:tr>
      <w:tr w:rsidR="00D3685C" w:rsidRPr="002547F3" w:rsidTr="001B06AB">
        <w:trPr>
          <w:trHeight w:val="510"/>
        </w:trPr>
        <w:tc>
          <w:tcPr>
            <w:tcW w:w="1555" w:type="dxa"/>
            <w:vAlign w:val="center"/>
            <w:hideMark/>
          </w:tcPr>
          <w:p w:rsidR="00D3685C" w:rsidRPr="002547F3" w:rsidRDefault="00D3685C" w:rsidP="001B06AB">
            <w:pPr>
              <w:spacing w:line="240" w:lineRule="auto"/>
              <w:jc w:val="center"/>
              <w:rPr>
                <w:rFonts w:eastAsia="Times New Roman" w:cs="Times New Roman"/>
              </w:rPr>
            </w:pPr>
            <w:r>
              <w:rPr>
                <w:rFonts w:eastAsia="Times New Roman" w:cs="Times New Roman"/>
                <w:bCs/>
              </w:rPr>
              <w:t>Table 3.2</w:t>
            </w:r>
          </w:p>
        </w:tc>
        <w:tc>
          <w:tcPr>
            <w:tcW w:w="7112" w:type="dxa"/>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Statistical Analysis and Hypothesis Testing</w:t>
            </w:r>
          </w:p>
        </w:tc>
        <w:tc>
          <w:tcPr>
            <w:tcW w:w="0" w:type="auto"/>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38</w:t>
            </w:r>
          </w:p>
        </w:tc>
      </w:tr>
      <w:tr w:rsidR="00D3685C" w:rsidRPr="002547F3" w:rsidTr="001B06AB">
        <w:trPr>
          <w:trHeight w:val="510"/>
        </w:trPr>
        <w:tc>
          <w:tcPr>
            <w:tcW w:w="1555" w:type="dxa"/>
            <w:vAlign w:val="center"/>
            <w:hideMark/>
          </w:tcPr>
          <w:p w:rsidR="00D3685C" w:rsidRPr="002547F3" w:rsidRDefault="00D3685C" w:rsidP="001B06AB">
            <w:pPr>
              <w:spacing w:line="240" w:lineRule="auto"/>
              <w:jc w:val="center"/>
              <w:rPr>
                <w:rFonts w:eastAsia="Times New Roman" w:cs="Times New Roman"/>
              </w:rPr>
            </w:pPr>
            <w:r>
              <w:rPr>
                <w:rFonts w:eastAsia="Times New Roman" w:cs="Times New Roman"/>
                <w:bCs/>
              </w:rPr>
              <w:t>Table 3.3</w:t>
            </w:r>
          </w:p>
        </w:tc>
        <w:tc>
          <w:tcPr>
            <w:tcW w:w="7112" w:type="dxa"/>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Validity, Reliability and Quality Considerations</w:t>
            </w:r>
          </w:p>
        </w:tc>
        <w:tc>
          <w:tcPr>
            <w:tcW w:w="0" w:type="auto"/>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40</w:t>
            </w:r>
          </w:p>
        </w:tc>
      </w:tr>
      <w:tr w:rsidR="00D3685C" w:rsidRPr="002547F3" w:rsidTr="001B06AB">
        <w:trPr>
          <w:trHeight w:val="510"/>
        </w:trPr>
        <w:tc>
          <w:tcPr>
            <w:tcW w:w="1555" w:type="dxa"/>
            <w:vAlign w:val="center"/>
            <w:hideMark/>
          </w:tcPr>
          <w:p w:rsidR="00D3685C" w:rsidRPr="002547F3" w:rsidRDefault="00D3685C" w:rsidP="001B06AB">
            <w:pPr>
              <w:spacing w:line="240" w:lineRule="auto"/>
              <w:jc w:val="center"/>
              <w:rPr>
                <w:rFonts w:eastAsia="Times New Roman" w:cs="Times New Roman"/>
              </w:rPr>
            </w:pPr>
            <w:r w:rsidRPr="002547F3">
              <w:rPr>
                <w:rFonts w:eastAsia="Times New Roman" w:cs="Times New Roman"/>
                <w:bCs/>
              </w:rPr>
              <w:t>Table 4.1</w:t>
            </w:r>
          </w:p>
        </w:tc>
        <w:tc>
          <w:tcPr>
            <w:tcW w:w="7112" w:type="dxa"/>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Valid Questionnaire Responses</w:t>
            </w:r>
          </w:p>
        </w:tc>
        <w:tc>
          <w:tcPr>
            <w:tcW w:w="0" w:type="auto"/>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48</w:t>
            </w:r>
          </w:p>
        </w:tc>
      </w:tr>
      <w:tr w:rsidR="00D3685C" w:rsidRPr="002547F3" w:rsidTr="001B06AB">
        <w:trPr>
          <w:trHeight w:val="510"/>
        </w:trPr>
        <w:tc>
          <w:tcPr>
            <w:tcW w:w="1555" w:type="dxa"/>
            <w:vAlign w:val="center"/>
            <w:hideMark/>
          </w:tcPr>
          <w:p w:rsidR="00D3685C" w:rsidRPr="002547F3" w:rsidRDefault="00D3685C" w:rsidP="001B06AB">
            <w:pPr>
              <w:spacing w:line="240" w:lineRule="auto"/>
              <w:jc w:val="center"/>
              <w:rPr>
                <w:rFonts w:eastAsia="Times New Roman" w:cs="Times New Roman"/>
              </w:rPr>
            </w:pPr>
            <w:r w:rsidRPr="002547F3">
              <w:rPr>
                <w:rFonts w:eastAsia="Times New Roman" w:cs="Times New Roman"/>
                <w:bCs/>
              </w:rPr>
              <w:t>Table 4.2</w:t>
            </w:r>
          </w:p>
        </w:tc>
        <w:tc>
          <w:tcPr>
            <w:tcW w:w="7112" w:type="dxa"/>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Age Distribution of Respondents</w:t>
            </w:r>
          </w:p>
        </w:tc>
        <w:tc>
          <w:tcPr>
            <w:tcW w:w="0" w:type="auto"/>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49</w:t>
            </w:r>
          </w:p>
        </w:tc>
      </w:tr>
      <w:tr w:rsidR="00D3685C" w:rsidRPr="002547F3" w:rsidTr="001B06AB">
        <w:trPr>
          <w:trHeight w:val="510"/>
        </w:trPr>
        <w:tc>
          <w:tcPr>
            <w:tcW w:w="1555" w:type="dxa"/>
            <w:vAlign w:val="center"/>
            <w:hideMark/>
          </w:tcPr>
          <w:p w:rsidR="00D3685C" w:rsidRPr="002547F3" w:rsidRDefault="00D3685C" w:rsidP="001B06AB">
            <w:pPr>
              <w:spacing w:line="240" w:lineRule="auto"/>
              <w:jc w:val="center"/>
              <w:rPr>
                <w:rFonts w:eastAsia="Times New Roman" w:cs="Times New Roman"/>
              </w:rPr>
            </w:pPr>
            <w:r w:rsidRPr="002547F3">
              <w:rPr>
                <w:rFonts w:eastAsia="Times New Roman" w:cs="Times New Roman"/>
                <w:bCs/>
              </w:rPr>
              <w:t>Table 4.3</w:t>
            </w:r>
          </w:p>
        </w:tc>
        <w:tc>
          <w:tcPr>
            <w:tcW w:w="7112" w:type="dxa"/>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Gender Distribution of Respondents</w:t>
            </w:r>
          </w:p>
        </w:tc>
        <w:tc>
          <w:tcPr>
            <w:tcW w:w="0" w:type="auto"/>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49</w:t>
            </w:r>
          </w:p>
        </w:tc>
      </w:tr>
      <w:tr w:rsidR="00D3685C" w:rsidRPr="002547F3" w:rsidTr="001B06AB">
        <w:trPr>
          <w:trHeight w:val="510"/>
        </w:trPr>
        <w:tc>
          <w:tcPr>
            <w:tcW w:w="1555" w:type="dxa"/>
            <w:vAlign w:val="center"/>
            <w:hideMark/>
          </w:tcPr>
          <w:p w:rsidR="00D3685C" w:rsidRPr="002547F3" w:rsidRDefault="00D3685C" w:rsidP="001B06AB">
            <w:pPr>
              <w:spacing w:line="240" w:lineRule="auto"/>
              <w:jc w:val="center"/>
              <w:rPr>
                <w:rFonts w:eastAsia="Times New Roman" w:cs="Times New Roman"/>
              </w:rPr>
            </w:pPr>
            <w:r w:rsidRPr="002547F3">
              <w:rPr>
                <w:rFonts w:eastAsia="Times New Roman" w:cs="Times New Roman"/>
                <w:bCs/>
              </w:rPr>
              <w:t>Table 4.4</w:t>
            </w:r>
          </w:p>
        </w:tc>
        <w:tc>
          <w:tcPr>
            <w:tcW w:w="7112" w:type="dxa"/>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Monthly Household Income Distribution</w:t>
            </w:r>
          </w:p>
        </w:tc>
        <w:tc>
          <w:tcPr>
            <w:tcW w:w="0" w:type="auto"/>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50</w:t>
            </w:r>
          </w:p>
        </w:tc>
      </w:tr>
      <w:tr w:rsidR="00D3685C" w:rsidRPr="002547F3" w:rsidTr="001B06AB">
        <w:trPr>
          <w:trHeight w:val="510"/>
        </w:trPr>
        <w:tc>
          <w:tcPr>
            <w:tcW w:w="1555" w:type="dxa"/>
            <w:vAlign w:val="center"/>
            <w:hideMark/>
          </w:tcPr>
          <w:p w:rsidR="00D3685C" w:rsidRPr="002547F3" w:rsidRDefault="00D3685C" w:rsidP="001B06AB">
            <w:pPr>
              <w:spacing w:line="240" w:lineRule="auto"/>
              <w:jc w:val="center"/>
              <w:rPr>
                <w:rFonts w:eastAsia="Times New Roman" w:cs="Times New Roman"/>
              </w:rPr>
            </w:pPr>
            <w:r w:rsidRPr="002547F3">
              <w:rPr>
                <w:rFonts w:eastAsia="Times New Roman" w:cs="Times New Roman"/>
                <w:bCs/>
              </w:rPr>
              <w:t>Table 4.5</w:t>
            </w:r>
          </w:p>
        </w:tc>
        <w:tc>
          <w:tcPr>
            <w:tcW w:w="7112" w:type="dxa"/>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Clubcard Membership Duration</w:t>
            </w:r>
          </w:p>
        </w:tc>
        <w:tc>
          <w:tcPr>
            <w:tcW w:w="0" w:type="auto"/>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50</w:t>
            </w:r>
          </w:p>
        </w:tc>
      </w:tr>
      <w:tr w:rsidR="00D3685C" w:rsidRPr="002547F3" w:rsidTr="001B06AB">
        <w:trPr>
          <w:trHeight w:val="510"/>
        </w:trPr>
        <w:tc>
          <w:tcPr>
            <w:tcW w:w="1555" w:type="dxa"/>
            <w:vAlign w:val="center"/>
            <w:hideMark/>
          </w:tcPr>
          <w:p w:rsidR="00D3685C" w:rsidRPr="002547F3" w:rsidRDefault="00D3685C" w:rsidP="001B06AB">
            <w:pPr>
              <w:spacing w:line="240" w:lineRule="auto"/>
              <w:jc w:val="center"/>
              <w:rPr>
                <w:rFonts w:eastAsia="Times New Roman" w:cs="Times New Roman"/>
              </w:rPr>
            </w:pPr>
            <w:r w:rsidRPr="002547F3">
              <w:rPr>
                <w:rFonts w:eastAsia="Times New Roman" w:cs="Times New Roman"/>
                <w:bCs/>
              </w:rPr>
              <w:t>Table 4.6</w:t>
            </w:r>
          </w:p>
        </w:tc>
        <w:tc>
          <w:tcPr>
            <w:tcW w:w="7112" w:type="dxa"/>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Descriptive Statistics of Study Variables</w:t>
            </w:r>
          </w:p>
        </w:tc>
        <w:tc>
          <w:tcPr>
            <w:tcW w:w="0" w:type="auto"/>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51</w:t>
            </w:r>
          </w:p>
        </w:tc>
      </w:tr>
      <w:tr w:rsidR="00D3685C" w:rsidRPr="002547F3" w:rsidTr="001B06AB">
        <w:trPr>
          <w:trHeight w:val="510"/>
        </w:trPr>
        <w:tc>
          <w:tcPr>
            <w:tcW w:w="1555" w:type="dxa"/>
            <w:vAlign w:val="center"/>
            <w:hideMark/>
          </w:tcPr>
          <w:p w:rsidR="00D3685C" w:rsidRPr="002547F3" w:rsidRDefault="00D3685C" w:rsidP="001B06AB">
            <w:pPr>
              <w:spacing w:line="240" w:lineRule="auto"/>
              <w:jc w:val="center"/>
              <w:rPr>
                <w:rFonts w:eastAsia="Times New Roman" w:cs="Times New Roman"/>
              </w:rPr>
            </w:pPr>
            <w:r w:rsidRPr="002547F3">
              <w:rPr>
                <w:rFonts w:eastAsia="Times New Roman" w:cs="Times New Roman"/>
                <w:bCs/>
              </w:rPr>
              <w:t>Table 4.7</w:t>
            </w:r>
          </w:p>
        </w:tc>
        <w:tc>
          <w:tcPr>
            <w:tcW w:w="7112" w:type="dxa"/>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Pearson Correlations Among Study Variables</w:t>
            </w:r>
          </w:p>
        </w:tc>
        <w:tc>
          <w:tcPr>
            <w:tcW w:w="0" w:type="auto"/>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54</w:t>
            </w:r>
          </w:p>
        </w:tc>
      </w:tr>
      <w:tr w:rsidR="00D3685C" w:rsidRPr="002547F3" w:rsidTr="001B06AB">
        <w:trPr>
          <w:trHeight w:val="510"/>
        </w:trPr>
        <w:tc>
          <w:tcPr>
            <w:tcW w:w="1555" w:type="dxa"/>
            <w:vAlign w:val="center"/>
            <w:hideMark/>
          </w:tcPr>
          <w:p w:rsidR="00D3685C" w:rsidRPr="002547F3" w:rsidRDefault="00D3685C" w:rsidP="001B06AB">
            <w:pPr>
              <w:spacing w:line="240" w:lineRule="auto"/>
              <w:jc w:val="center"/>
              <w:rPr>
                <w:rFonts w:eastAsia="Times New Roman" w:cs="Times New Roman"/>
              </w:rPr>
            </w:pPr>
            <w:r w:rsidRPr="002547F3">
              <w:rPr>
                <w:rFonts w:eastAsia="Times New Roman" w:cs="Times New Roman"/>
                <w:bCs/>
              </w:rPr>
              <w:t>Table 4.8</w:t>
            </w:r>
          </w:p>
        </w:tc>
        <w:tc>
          <w:tcPr>
            <w:tcW w:w="7112" w:type="dxa"/>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Reliability Statistics for Study Constructs</w:t>
            </w:r>
          </w:p>
        </w:tc>
        <w:tc>
          <w:tcPr>
            <w:tcW w:w="0" w:type="auto"/>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52</w:t>
            </w:r>
          </w:p>
        </w:tc>
      </w:tr>
      <w:tr w:rsidR="00D3685C" w:rsidRPr="002547F3" w:rsidTr="001B06AB">
        <w:trPr>
          <w:trHeight w:val="510"/>
        </w:trPr>
        <w:tc>
          <w:tcPr>
            <w:tcW w:w="1555" w:type="dxa"/>
            <w:vAlign w:val="center"/>
            <w:hideMark/>
          </w:tcPr>
          <w:p w:rsidR="00D3685C" w:rsidRPr="002547F3" w:rsidRDefault="00D3685C" w:rsidP="001B06AB">
            <w:pPr>
              <w:spacing w:line="240" w:lineRule="auto"/>
              <w:jc w:val="center"/>
              <w:rPr>
                <w:rFonts w:eastAsia="Times New Roman" w:cs="Times New Roman"/>
              </w:rPr>
            </w:pPr>
            <w:r w:rsidRPr="002547F3">
              <w:rPr>
                <w:rFonts w:eastAsia="Times New Roman" w:cs="Times New Roman"/>
                <w:bCs/>
              </w:rPr>
              <w:t>Table 4.9</w:t>
            </w:r>
          </w:p>
        </w:tc>
        <w:tc>
          <w:tcPr>
            <w:tcW w:w="7112" w:type="dxa"/>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Multiple Linear Regression Results</w:t>
            </w:r>
          </w:p>
        </w:tc>
        <w:tc>
          <w:tcPr>
            <w:tcW w:w="0" w:type="auto"/>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55</w:t>
            </w:r>
          </w:p>
        </w:tc>
      </w:tr>
      <w:tr w:rsidR="00D3685C" w:rsidRPr="002547F3" w:rsidTr="001B06AB">
        <w:trPr>
          <w:trHeight w:val="510"/>
        </w:trPr>
        <w:tc>
          <w:tcPr>
            <w:tcW w:w="1555" w:type="dxa"/>
            <w:vAlign w:val="center"/>
            <w:hideMark/>
          </w:tcPr>
          <w:p w:rsidR="00D3685C" w:rsidRPr="002547F3" w:rsidRDefault="00D3685C" w:rsidP="001B06AB">
            <w:pPr>
              <w:spacing w:line="240" w:lineRule="auto"/>
              <w:jc w:val="center"/>
              <w:rPr>
                <w:rFonts w:eastAsia="Times New Roman" w:cs="Times New Roman"/>
              </w:rPr>
            </w:pPr>
            <w:r w:rsidRPr="002547F3">
              <w:rPr>
                <w:rFonts w:eastAsia="Times New Roman" w:cs="Times New Roman"/>
                <w:bCs/>
              </w:rPr>
              <w:t>Table 4.10</w:t>
            </w:r>
          </w:p>
        </w:tc>
        <w:tc>
          <w:tcPr>
            <w:tcW w:w="7112" w:type="dxa"/>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Moderation Analysis Results</w:t>
            </w:r>
          </w:p>
        </w:tc>
        <w:tc>
          <w:tcPr>
            <w:tcW w:w="0" w:type="auto"/>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57</w:t>
            </w:r>
          </w:p>
        </w:tc>
      </w:tr>
      <w:tr w:rsidR="00D3685C" w:rsidRPr="002547F3" w:rsidTr="001B06AB">
        <w:trPr>
          <w:trHeight w:val="510"/>
        </w:trPr>
        <w:tc>
          <w:tcPr>
            <w:tcW w:w="1555" w:type="dxa"/>
            <w:vAlign w:val="center"/>
            <w:hideMark/>
          </w:tcPr>
          <w:p w:rsidR="00D3685C" w:rsidRPr="002547F3" w:rsidRDefault="00D3685C" w:rsidP="001B06AB">
            <w:pPr>
              <w:spacing w:line="240" w:lineRule="auto"/>
              <w:jc w:val="center"/>
              <w:rPr>
                <w:rFonts w:eastAsia="Times New Roman" w:cs="Times New Roman"/>
              </w:rPr>
            </w:pPr>
            <w:r w:rsidRPr="002547F3">
              <w:rPr>
                <w:rFonts w:eastAsia="Times New Roman" w:cs="Times New Roman"/>
                <w:bCs/>
              </w:rPr>
              <w:t>Table 4.11</w:t>
            </w:r>
          </w:p>
        </w:tc>
        <w:tc>
          <w:tcPr>
            <w:tcW w:w="7112" w:type="dxa"/>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Hypothesis Testing Summary</w:t>
            </w:r>
          </w:p>
        </w:tc>
        <w:tc>
          <w:tcPr>
            <w:tcW w:w="0" w:type="auto"/>
            <w:vAlign w:val="center"/>
            <w:hideMark/>
          </w:tcPr>
          <w:p w:rsidR="00D3685C" w:rsidRPr="002547F3" w:rsidRDefault="00D3685C" w:rsidP="00DF58F5">
            <w:pPr>
              <w:spacing w:line="240" w:lineRule="auto"/>
              <w:jc w:val="center"/>
              <w:rPr>
                <w:rFonts w:eastAsia="Times New Roman" w:cs="Times New Roman"/>
              </w:rPr>
            </w:pPr>
            <w:r w:rsidRPr="002547F3">
              <w:rPr>
                <w:rFonts w:eastAsia="Times New Roman" w:cs="Times New Roman"/>
              </w:rPr>
              <w:t>58</w:t>
            </w:r>
          </w:p>
        </w:tc>
      </w:tr>
    </w:tbl>
    <w:p w:rsidR="00D3685C" w:rsidRDefault="00D3685C" w:rsidP="00E326DA">
      <w:pPr>
        <w:spacing w:after="160" w:line="259" w:lineRule="auto"/>
        <w:jc w:val="center"/>
        <w:rPr>
          <w:b/>
          <w:bCs/>
          <w:sz w:val="28"/>
          <w:szCs w:val="28"/>
          <w:u w:val="single"/>
        </w:rPr>
      </w:pPr>
    </w:p>
    <w:p w:rsidR="00D3685C" w:rsidRDefault="00D3685C">
      <w:pPr>
        <w:spacing w:after="160" w:line="259" w:lineRule="auto"/>
        <w:jc w:val="left"/>
        <w:rPr>
          <w:b/>
          <w:bCs/>
          <w:sz w:val="28"/>
          <w:szCs w:val="28"/>
          <w:u w:val="single"/>
        </w:rPr>
      </w:pPr>
      <w:r>
        <w:rPr>
          <w:b/>
          <w:bCs/>
          <w:sz w:val="28"/>
          <w:szCs w:val="28"/>
          <w:u w:val="single"/>
        </w:rPr>
        <w:br w:type="page"/>
      </w:r>
    </w:p>
    <w:p w:rsidR="00E326DA" w:rsidRPr="00E326DA" w:rsidRDefault="00E326DA" w:rsidP="00E326DA">
      <w:pPr>
        <w:spacing w:after="160" w:line="259" w:lineRule="auto"/>
        <w:jc w:val="center"/>
        <w:rPr>
          <w:b/>
          <w:bCs/>
          <w:sz w:val="28"/>
          <w:szCs w:val="28"/>
          <w:u w:val="single"/>
        </w:rPr>
      </w:pPr>
      <w:r w:rsidRPr="00E326DA">
        <w:rPr>
          <w:b/>
          <w:bCs/>
          <w:sz w:val="28"/>
          <w:szCs w:val="28"/>
          <w:u w:val="single"/>
        </w:rPr>
        <w:lastRenderedPageBreak/>
        <w:t>Abbreviation</w:t>
      </w:r>
    </w:p>
    <w:tbl>
      <w:tblPr>
        <w:tblStyle w:val="GridTable2"/>
        <w:tblW w:w="963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4082"/>
        <w:gridCol w:w="5552"/>
      </w:tblGrid>
      <w:tr w:rsidR="00E326DA" w:rsidTr="00E326DA">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082" w:type="dxa"/>
            <w:tcBorders>
              <w:top w:val="none" w:sz="0" w:space="0" w:color="auto"/>
              <w:bottom w:val="none" w:sz="0" w:space="0" w:color="auto"/>
              <w:right w:val="none" w:sz="0" w:space="0" w:color="auto"/>
            </w:tcBorders>
            <w:vAlign w:val="center"/>
            <w:hideMark/>
          </w:tcPr>
          <w:p w:rsidR="00E326DA" w:rsidRPr="00C703B5" w:rsidRDefault="00E326DA" w:rsidP="00E326DA">
            <w:pPr>
              <w:jc w:val="center"/>
            </w:pPr>
            <w:r w:rsidRPr="00C703B5">
              <w:rPr>
                <w:bCs w:val="0"/>
              </w:rPr>
              <w:t>Abbreviation</w:t>
            </w:r>
          </w:p>
        </w:tc>
        <w:tc>
          <w:tcPr>
            <w:tcW w:w="5552" w:type="dxa"/>
            <w:tcBorders>
              <w:top w:val="none" w:sz="0" w:space="0" w:color="auto"/>
              <w:left w:val="none" w:sz="0" w:space="0" w:color="auto"/>
              <w:bottom w:val="none" w:sz="0" w:space="0" w:color="auto"/>
            </w:tcBorders>
            <w:vAlign w:val="center"/>
            <w:hideMark/>
          </w:tcPr>
          <w:p w:rsidR="00E326DA" w:rsidRPr="00C703B5" w:rsidRDefault="00E326DA" w:rsidP="00E326DA">
            <w:pPr>
              <w:jc w:val="center"/>
              <w:cnfStyle w:val="100000000000" w:firstRow="1" w:lastRow="0" w:firstColumn="0" w:lastColumn="0" w:oddVBand="0" w:evenVBand="0" w:oddHBand="0" w:evenHBand="0" w:firstRowFirstColumn="0" w:firstRowLastColumn="0" w:lastRowFirstColumn="0" w:lastRowLastColumn="0"/>
              <w:rPr>
                <w:bCs w:val="0"/>
              </w:rPr>
            </w:pPr>
            <w:r w:rsidRPr="00C703B5">
              <w:rPr>
                <w:bCs w:val="0"/>
              </w:rPr>
              <w:t>Full Term</w:t>
            </w:r>
          </w:p>
        </w:tc>
      </w:tr>
      <w:tr w:rsidR="00E326DA" w:rsidTr="00E326D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082" w:type="dxa"/>
            <w:vAlign w:val="center"/>
            <w:hideMark/>
          </w:tcPr>
          <w:p w:rsidR="00E326DA" w:rsidRDefault="00E326DA" w:rsidP="00E326DA">
            <w:pPr>
              <w:jc w:val="center"/>
              <w:rPr>
                <w:b w:val="0"/>
                <w:bCs w:val="0"/>
              </w:rPr>
            </w:pPr>
            <w:r>
              <w:rPr>
                <w:rStyle w:val="Strong"/>
              </w:rPr>
              <w:t>BPNT</w:t>
            </w:r>
          </w:p>
        </w:tc>
        <w:tc>
          <w:tcPr>
            <w:tcW w:w="5552" w:type="dxa"/>
            <w:vAlign w:val="center"/>
            <w:hideMark/>
          </w:tcPr>
          <w:p w:rsidR="00E326DA" w:rsidRDefault="00E326DA" w:rsidP="00E326DA">
            <w:pPr>
              <w:jc w:val="center"/>
              <w:cnfStyle w:val="000000100000" w:firstRow="0" w:lastRow="0" w:firstColumn="0" w:lastColumn="0" w:oddVBand="0" w:evenVBand="0" w:oddHBand="1" w:evenHBand="0" w:firstRowFirstColumn="0" w:firstRowLastColumn="0" w:lastRowFirstColumn="0" w:lastRowLastColumn="0"/>
            </w:pPr>
            <w:r>
              <w:t>Basic Psychological Needs Theory</w:t>
            </w:r>
          </w:p>
        </w:tc>
      </w:tr>
      <w:tr w:rsidR="00E326DA" w:rsidTr="00E326DA">
        <w:trPr>
          <w:trHeight w:val="567"/>
        </w:trPr>
        <w:tc>
          <w:tcPr>
            <w:cnfStyle w:val="001000000000" w:firstRow="0" w:lastRow="0" w:firstColumn="1" w:lastColumn="0" w:oddVBand="0" w:evenVBand="0" w:oddHBand="0" w:evenHBand="0" w:firstRowFirstColumn="0" w:firstRowLastColumn="0" w:lastRowFirstColumn="0" w:lastRowLastColumn="0"/>
            <w:tcW w:w="4082" w:type="dxa"/>
            <w:vAlign w:val="center"/>
            <w:hideMark/>
          </w:tcPr>
          <w:p w:rsidR="00E326DA" w:rsidRDefault="00E326DA" w:rsidP="00E326DA">
            <w:pPr>
              <w:jc w:val="center"/>
            </w:pPr>
            <w:r>
              <w:rPr>
                <w:rStyle w:val="Strong"/>
              </w:rPr>
              <w:t>CMA</w:t>
            </w:r>
          </w:p>
        </w:tc>
        <w:tc>
          <w:tcPr>
            <w:tcW w:w="5552" w:type="dxa"/>
            <w:vAlign w:val="center"/>
            <w:hideMark/>
          </w:tcPr>
          <w:p w:rsidR="00E326DA" w:rsidRDefault="00E326DA" w:rsidP="00E326DA">
            <w:pPr>
              <w:jc w:val="center"/>
              <w:cnfStyle w:val="000000000000" w:firstRow="0" w:lastRow="0" w:firstColumn="0" w:lastColumn="0" w:oddVBand="0" w:evenVBand="0" w:oddHBand="0" w:evenHBand="0" w:firstRowFirstColumn="0" w:firstRowLastColumn="0" w:lastRowFirstColumn="0" w:lastRowLastColumn="0"/>
            </w:pPr>
            <w:r>
              <w:t>Competition and Markets Authority</w:t>
            </w:r>
          </w:p>
        </w:tc>
      </w:tr>
      <w:tr w:rsidR="00E326DA" w:rsidTr="00E326D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082" w:type="dxa"/>
            <w:vAlign w:val="center"/>
            <w:hideMark/>
          </w:tcPr>
          <w:p w:rsidR="00E326DA" w:rsidRDefault="00E326DA" w:rsidP="00E326DA">
            <w:pPr>
              <w:jc w:val="center"/>
            </w:pPr>
            <w:r>
              <w:rPr>
                <w:rStyle w:val="Strong"/>
              </w:rPr>
              <w:t>DV</w:t>
            </w:r>
          </w:p>
        </w:tc>
        <w:tc>
          <w:tcPr>
            <w:tcW w:w="5552" w:type="dxa"/>
            <w:vAlign w:val="center"/>
            <w:hideMark/>
          </w:tcPr>
          <w:p w:rsidR="00E326DA" w:rsidRDefault="00E326DA" w:rsidP="00E326DA">
            <w:pPr>
              <w:jc w:val="center"/>
              <w:cnfStyle w:val="000000100000" w:firstRow="0" w:lastRow="0" w:firstColumn="0" w:lastColumn="0" w:oddVBand="0" w:evenVBand="0" w:oddHBand="1" w:evenHBand="0" w:firstRowFirstColumn="0" w:firstRowLastColumn="0" w:lastRowFirstColumn="0" w:lastRowLastColumn="0"/>
            </w:pPr>
            <w:r>
              <w:t>Dependent Variable</w:t>
            </w:r>
          </w:p>
        </w:tc>
      </w:tr>
      <w:tr w:rsidR="00E326DA" w:rsidTr="00E326DA">
        <w:trPr>
          <w:trHeight w:val="567"/>
        </w:trPr>
        <w:tc>
          <w:tcPr>
            <w:cnfStyle w:val="001000000000" w:firstRow="0" w:lastRow="0" w:firstColumn="1" w:lastColumn="0" w:oddVBand="0" w:evenVBand="0" w:oddHBand="0" w:evenHBand="0" w:firstRowFirstColumn="0" w:firstRowLastColumn="0" w:lastRowFirstColumn="0" w:lastRowLastColumn="0"/>
            <w:tcW w:w="4082" w:type="dxa"/>
            <w:vAlign w:val="center"/>
            <w:hideMark/>
          </w:tcPr>
          <w:p w:rsidR="00E326DA" w:rsidRDefault="00E326DA" w:rsidP="00E326DA">
            <w:pPr>
              <w:jc w:val="center"/>
            </w:pPr>
            <w:r>
              <w:rPr>
                <w:rStyle w:val="Strong"/>
              </w:rPr>
              <w:t>IV</w:t>
            </w:r>
          </w:p>
        </w:tc>
        <w:tc>
          <w:tcPr>
            <w:tcW w:w="5552" w:type="dxa"/>
            <w:vAlign w:val="center"/>
            <w:hideMark/>
          </w:tcPr>
          <w:p w:rsidR="00E326DA" w:rsidRDefault="00E326DA" w:rsidP="00E326DA">
            <w:pPr>
              <w:jc w:val="center"/>
              <w:cnfStyle w:val="000000000000" w:firstRow="0" w:lastRow="0" w:firstColumn="0" w:lastColumn="0" w:oddVBand="0" w:evenVBand="0" w:oddHBand="0" w:evenHBand="0" w:firstRowFirstColumn="0" w:firstRowLastColumn="0" w:lastRowFirstColumn="0" w:lastRowLastColumn="0"/>
            </w:pPr>
            <w:r>
              <w:t>Independent Variable</w:t>
            </w:r>
          </w:p>
        </w:tc>
      </w:tr>
      <w:tr w:rsidR="00E326DA" w:rsidTr="00E326D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082" w:type="dxa"/>
            <w:vAlign w:val="center"/>
            <w:hideMark/>
          </w:tcPr>
          <w:p w:rsidR="00E326DA" w:rsidRDefault="00E326DA" w:rsidP="00E326DA">
            <w:pPr>
              <w:jc w:val="center"/>
            </w:pPr>
            <w:r>
              <w:rPr>
                <w:rStyle w:val="Strong"/>
              </w:rPr>
              <w:t>ONS</w:t>
            </w:r>
          </w:p>
        </w:tc>
        <w:tc>
          <w:tcPr>
            <w:tcW w:w="5552" w:type="dxa"/>
            <w:vAlign w:val="center"/>
            <w:hideMark/>
          </w:tcPr>
          <w:p w:rsidR="00E326DA" w:rsidRDefault="00E326DA" w:rsidP="00E326DA">
            <w:pPr>
              <w:jc w:val="center"/>
              <w:cnfStyle w:val="000000100000" w:firstRow="0" w:lastRow="0" w:firstColumn="0" w:lastColumn="0" w:oddVBand="0" w:evenVBand="0" w:oddHBand="1" w:evenHBand="0" w:firstRowFirstColumn="0" w:firstRowLastColumn="0" w:lastRowFirstColumn="0" w:lastRowLastColumn="0"/>
            </w:pPr>
            <w:r>
              <w:t>Office for National Statistics</w:t>
            </w:r>
          </w:p>
        </w:tc>
      </w:tr>
      <w:tr w:rsidR="00E326DA" w:rsidTr="00E326DA">
        <w:trPr>
          <w:trHeight w:val="567"/>
        </w:trPr>
        <w:tc>
          <w:tcPr>
            <w:cnfStyle w:val="001000000000" w:firstRow="0" w:lastRow="0" w:firstColumn="1" w:lastColumn="0" w:oddVBand="0" w:evenVBand="0" w:oddHBand="0" w:evenHBand="0" w:firstRowFirstColumn="0" w:firstRowLastColumn="0" w:lastRowFirstColumn="0" w:lastRowLastColumn="0"/>
            <w:tcW w:w="4082" w:type="dxa"/>
            <w:vAlign w:val="center"/>
            <w:hideMark/>
          </w:tcPr>
          <w:p w:rsidR="00E326DA" w:rsidRDefault="00E326DA" w:rsidP="00E326DA">
            <w:pPr>
              <w:jc w:val="center"/>
            </w:pPr>
            <w:r>
              <w:rPr>
                <w:rStyle w:val="Strong"/>
              </w:rPr>
              <w:t>PROCESS</w:t>
            </w:r>
          </w:p>
        </w:tc>
        <w:tc>
          <w:tcPr>
            <w:tcW w:w="5552" w:type="dxa"/>
            <w:vAlign w:val="center"/>
            <w:hideMark/>
          </w:tcPr>
          <w:p w:rsidR="00E326DA" w:rsidRDefault="00E326DA" w:rsidP="00E326DA">
            <w:pPr>
              <w:jc w:val="center"/>
              <w:cnfStyle w:val="000000000000" w:firstRow="0" w:lastRow="0" w:firstColumn="0" w:lastColumn="0" w:oddVBand="0" w:evenVBand="0" w:oddHBand="0" w:evenHBand="0" w:firstRowFirstColumn="0" w:firstRowLastColumn="0" w:lastRowFirstColumn="0" w:lastRowLastColumn="0"/>
            </w:pPr>
            <w:r>
              <w:t>Regression-based moderation and mediation analysis procedure developed by Andrew F. Hayes</w:t>
            </w:r>
          </w:p>
        </w:tc>
      </w:tr>
      <w:tr w:rsidR="00E326DA" w:rsidTr="00E326D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082" w:type="dxa"/>
            <w:vAlign w:val="center"/>
            <w:hideMark/>
          </w:tcPr>
          <w:p w:rsidR="00E326DA" w:rsidRDefault="00E326DA" w:rsidP="00E326DA">
            <w:pPr>
              <w:jc w:val="center"/>
            </w:pPr>
            <w:r>
              <w:rPr>
                <w:rStyle w:val="Strong"/>
              </w:rPr>
              <w:t>SDT</w:t>
            </w:r>
          </w:p>
        </w:tc>
        <w:tc>
          <w:tcPr>
            <w:tcW w:w="5552" w:type="dxa"/>
            <w:vAlign w:val="center"/>
            <w:hideMark/>
          </w:tcPr>
          <w:p w:rsidR="00E326DA" w:rsidRDefault="00E326DA" w:rsidP="00E326DA">
            <w:pPr>
              <w:jc w:val="center"/>
              <w:cnfStyle w:val="000000100000" w:firstRow="0" w:lastRow="0" w:firstColumn="0" w:lastColumn="0" w:oddVBand="0" w:evenVBand="0" w:oddHBand="1" w:evenHBand="0" w:firstRowFirstColumn="0" w:firstRowLastColumn="0" w:lastRowFirstColumn="0" w:lastRowLastColumn="0"/>
            </w:pPr>
            <w:r>
              <w:t>Self-Determination Theory</w:t>
            </w:r>
          </w:p>
        </w:tc>
      </w:tr>
      <w:tr w:rsidR="00E326DA" w:rsidTr="00E326DA">
        <w:trPr>
          <w:trHeight w:val="567"/>
        </w:trPr>
        <w:tc>
          <w:tcPr>
            <w:cnfStyle w:val="001000000000" w:firstRow="0" w:lastRow="0" w:firstColumn="1" w:lastColumn="0" w:oddVBand="0" w:evenVBand="0" w:oddHBand="0" w:evenHBand="0" w:firstRowFirstColumn="0" w:firstRowLastColumn="0" w:lastRowFirstColumn="0" w:lastRowLastColumn="0"/>
            <w:tcW w:w="4082" w:type="dxa"/>
            <w:vAlign w:val="center"/>
            <w:hideMark/>
          </w:tcPr>
          <w:p w:rsidR="00E326DA" w:rsidRDefault="00E326DA" w:rsidP="00E326DA">
            <w:pPr>
              <w:jc w:val="center"/>
            </w:pPr>
            <w:r>
              <w:rPr>
                <w:rStyle w:val="Strong"/>
              </w:rPr>
              <w:t>SPSS</w:t>
            </w:r>
          </w:p>
        </w:tc>
        <w:tc>
          <w:tcPr>
            <w:tcW w:w="5552" w:type="dxa"/>
            <w:vAlign w:val="center"/>
            <w:hideMark/>
          </w:tcPr>
          <w:p w:rsidR="00E326DA" w:rsidRDefault="00E326DA" w:rsidP="00E326DA">
            <w:pPr>
              <w:jc w:val="center"/>
              <w:cnfStyle w:val="000000000000" w:firstRow="0" w:lastRow="0" w:firstColumn="0" w:lastColumn="0" w:oddVBand="0" w:evenVBand="0" w:oddHBand="0" w:evenHBand="0" w:firstRowFirstColumn="0" w:firstRowLastColumn="0" w:lastRowFirstColumn="0" w:lastRowLastColumn="0"/>
            </w:pPr>
            <w:r>
              <w:t>Statistical Package for the Social Sciences</w:t>
            </w:r>
          </w:p>
        </w:tc>
      </w:tr>
      <w:tr w:rsidR="00E326DA" w:rsidTr="00E326D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082" w:type="dxa"/>
            <w:vAlign w:val="center"/>
            <w:hideMark/>
          </w:tcPr>
          <w:p w:rsidR="00E326DA" w:rsidRDefault="00E326DA" w:rsidP="00E326DA">
            <w:pPr>
              <w:jc w:val="center"/>
            </w:pPr>
            <w:r>
              <w:rPr>
                <w:rStyle w:val="Strong"/>
              </w:rPr>
              <w:t>H4</w:t>
            </w:r>
          </w:p>
        </w:tc>
        <w:tc>
          <w:tcPr>
            <w:tcW w:w="5552" w:type="dxa"/>
            <w:vAlign w:val="center"/>
            <w:hideMark/>
          </w:tcPr>
          <w:p w:rsidR="00E326DA" w:rsidRDefault="00E326DA" w:rsidP="00E326DA">
            <w:pPr>
              <w:jc w:val="center"/>
              <w:cnfStyle w:val="000000100000" w:firstRow="0" w:lastRow="0" w:firstColumn="0" w:lastColumn="0" w:oddVBand="0" w:evenVBand="0" w:oddHBand="1" w:evenHBand="0" w:firstRowFirstColumn="0" w:firstRowLastColumn="0" w:lastRowFirstColumn="0" w:lastRowLastColumn="0"/>
            </w:pPr>
            <w:r>
              <w:t>Overall moderation hypothesis</w:t>
            </w:r>
          </w:p>
        </w:tc>
      </w:tr>
      <w:tr w:rsidR="00E326DA" w:rsidTr="00E326DA">
        <w:trPr>
          <w:trHeight w:val="567"/>
        </w:trPr>
        <w:tc>
          <w:tcPr>
            <w:cnfStyle w:val="001000000000" w:firstRow="0" w:lastRow="0" w:firstColumn="1" w:lastColumn="0" w:oddVBand="0" w:evenVBand="0" w:oddHBand="0" w:evenHBand="0" w:firstRowFirstColumn="0" w:firstRowLastColumn="0" w:lastRowFirstColumn="0" w:lastRowLastColumn="0"/>
            <w:tcW w:w="4082" w:type="dxa"/>
            <w:vAlign w:val="center"/>
            <w:hideMark/>
          </w:tcPr>
          <w:p w:rsidR="00E326DA" w:rsidRDefault="00E326DA" w:rsidP="00E326DA">
            <w:pPr>
              <w:jc w:val="center"/>
            </w:pPr>
            <w:r>
              <w:rPr>
                <w:rStyle w:val="Strong"/>
              </w:rPr>
              <w:t>H4a</w:t>
            </w:r>
          </w:p>
        </w:tc>
        <w:tc>
          <w:tcPr>
            <w:tcW w:w="5552" w:type="dxa"/>
            <w:vAlign w:val="center"/>
            <w:hideMark/>
          </w:tcPr>
          <w:p w:rsidR="00E326DA" w:rsidRDefault="00E326DA" w:rsidP="00E326DA">
            <w:pPr>
              <w:jc w:val="center"/>
              <w:cnfStyle w:val="000000000000" w:firstRow="0" w:lastRow="0" w:firstColumn="0" w:lastColumn="0" w:oddVBand="0" w:evenVBand="0" w:oddHBand="0" w:evenHBand="0" w:firstRowFirstColumn="0" w:firstRowLastColumn="0" w:lastRowFirstColumn="0" w:lastRowLastColumn="0"/>
            </w:pPr>
            <w:r>
              <w:t>Autonomy × Financial Pressure interaction hypothesis</w:t>
            </w:r>
          </w:p>
        </w:tc>
      </w:tr>
      <w:tr w:rsidR="00E326DA" w:rsidTr="00E326D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082" w:type="dxa"/>
            <w:vAlign w:val="center"/>
            <w:hideMark/>
          </w:tcPr>
          <w:p w:rsidR="00E326DA" w:rsidRDefault="00E326DA" w:rsidP="00E326DA">
            <w:pPr>
              <w:jc w:val="center"/>
            </w:pPr>
            <w:r>
              <w:rPr>
                <w:rStyle w:val="Strong"/>
              </w:rPr>
              <w:t>H4b</w:t>
            </w:r>
          </w:p>
        </w:tc>
        <w:tc>
          <w:tcPr>
            <w:tcW w:w="5552" w:type="dxa"/>
            <w:vAlign w:val="center"/>
            <w:hideMark/>
          </w:tcPr>
          <w:p w:rsidR="00E326DA" w:rsidRDefault="00E326DA" w:rsidP="00E326DA">
            <w:pPr>
              <w:jc w:val="center"/>
              <w:cnfStyle w:val="000000100000" w:firstRow="0" w:lastRow="0" w:firstColumn="0" w:lastColumn="0" w:oddVBand="0" w:evenVBand="0" w:oddHBand="1" w:evenHBand="0" w:firstRowFirstColumn="0" w:firstRowLastColumn="0" w:lastRowFirstColumn="0" w:lastRowLastColumn="0"/>
            </w:pPr>
            <w:r>
              <w:t>Competence × Financial Pressure interaction hypothesis</w:t>
            </w:r>
          </w:p>
        </w:tc>
      </w:tr>
      <w:tr w:rsidR="00E326DA" w:rsidTr="00E326DA">
        <w:trPr>
          <w:trHeight w:val="567"/>
        </w:trPr>
        <w:tc>
          <w:tcPr>
            <w:cnfStyle w:val="001000000000" w:firstRow="0" w:lastRow="0" w:firstColumn="1" w:lastColumn="0" w:oddVBand="0" w:evenVBand="0" w:oddHBand="0" w:evenHBand="0" w:firstRowFirstColumn="0" w:firstRowLastColumn="0" w:lastRowFirstColumn="0" w:lastRowLastColumn="0"/>
            <w:tcW w:w="4082" w:type="dxa"/>
            <w:vAlign w:val="center"/>
            <w:hideMark/>
          </w:tcPr>
          <w:p w:rsidR="00E326DA" w:rsidRDefault="00E326DA" w:rsidP="00E326DA">
            <w:pPr>
              <w:jc w:val="center"/>
            </w:pPr>
            <w:r>
              <w:rPr>
                <w:rStyle w:val="Strong"/>
              </w:rPr>
              <w:t>H4c</w:t>
            </w:r>
          </w:p>
        </w:tc>
        <w:tc>
          <w:tcPr>
            <w:tcW w:w="5552" w:type="dxa"/>
            <w:vAlign w:val="center"/>
            <w:hideMark/>
          </w:tcPr>
          <w:p w:rsidR="00E326DA" w:rsidRDefault="00E326DA" w:rsidP="00E326DA">
            <w:pPr>
              <w:jc w:val="center"/>
              <w:cnfStyle w:val="000000000000" w:firstRow="0" w:lastRow="0" w:firstColumn="0" w:lastColumn="0" w:oddVBand="0" w:evenVBand="0" w:oddHBand="0" w:evenHBand="0" w:firstRowFirstColumn="0" w:firstRowLastColumn="0" w:lastRowFirstColumn="0" w:lastRowLastColumn="0"/>
            </w:pPr>
            <w:r>
              <w:t>Relatedness × Financial Pressure interaction hypothesis</w:t>
            </w:r>
          </w:p>
        </w:tc>
      </w:tr>
      <w:tr w:rsidR="00E326DA" w:rsidTr="00E326D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082" w:type="dxa"/>
            <w:vAlign w:val="center"/>
            <w:hideMark/>
          </w:tcPr>
          <w:p w:rsidR="00E326DA" w:rsidRDefault="00E326DA" w:rsidP="00E326DA">
            <w:pPr>
              <w:jc w:val="center"/>
            </w:pPr>
            <w:r>
              <w:rPr>
                <w:rStyle w:val="Strong"/>
              </w:rPr>
              <w:t>R²</w:t>
            </w:r>
          </w:p>
        </w:tc>
        <w:tc>
          <w:tcPr>
            <w:tcW w:w="5552" w:type="dxa"/>
            <w:vAlign w:val="center"/>
            <w:hideMark/>
          </w:tcPr>
          <w:p w:rsidR="00E326DA" w:rsidRDefault="00E326DA" w:rsidP="00E326DA">
            <w:pPr>
              <w:jc w:val="center"/>
              <w:cnfStyle w:val="000000100000" w:firstRow="0" w:lastRow="0" w:firstColumn="0" w:lastColumn="0" w:oddVBand="0" w:evenVBand="0" w:oddHBand="1" w:evenHBand="0" w:firstRowFirstColumn="0" w:firstRowLastColumn="0" w:lastRowFirstColumn="0" w:lastRowLastColumn="0"/>
            </w:pPr>
            <w:r>
              <w:t>Coefficient of determination</w:t>
            </w:r>
          </w:p>
        </w:tc>
      </w:tr>
      <w:tr w:rsidR="00E326DA" w:rsidTr="00E326DA">
        <w:trPr>
          <w:trHeight w:val="567"/>
        </w:trPr>
        <w:tc>
          <w:tcPr>
            <w:cnfStyle w:val="001000000000" w:firstRow="0" w:lastRow="0" w:firstColumn="1" w:lastColumn="0" w:oddVBand="0" w:evenVBand="0" w:oddHBand="0" w:evenHBand="0" w:firstRowFirstColumn="0" w:firstRowLastColumn="0" w:lastRowFirstColumn="0" w:lastRowLastColumn="0"/>
            <w:tcW w:w="4082" w:type="dxa"/>
            <w:vAlign w:val="center"/>
            <w:hideMark/>
          </w:tcPr>
          <w:p w:rsidR="00E326DA" w:rsidRDefault="00E326DA" w:rsidP="00E326DA">
            <w:pPr>
              <w:jc w:val="center"/>
            </w:pPr>
            <w:r>
              <w:rPr>
                <w:rStyle w:val="Strong"/>
              </w:rPr>
              <w:t>β</w:t>
            </w:r>
          </w:p>
        </w:tc>
        <w:tc>
          <w:tcPr>
            <w:tcW w:w="5552" w:type="dxa"/>
            <w:vAlign w:val="center"/>
            <w:hideMark/>
          </w:tcPr>
          <w:p w:rsidR="00E326DA" w:rsidRDefault="00E326DA" w:rsidP="00E326DA">
            <w:pPr>
              <w:jc w:val="center"/>
              <w:cnfStyle w:val="000000000000" w:firstRow="0" w:lastRow="0" w:firstColumn="0" w:lastColumn="0" w:oddVBand="0" w:evenVBand="0" w:oddHBand="0" w:evenHBand="0" w:firstRowFirstColumn="0" w:firstRowLastColumn="0" w:lastRowFirstColumn="0" w:lastRowLastColumn="0"/>
            </w:pPr>
            <w:r>
              <w:t>Standardised regression coefficient</w:t>
            </w:r>
          </w:p>
        </w:tc>
      </w:tr>
      <w:tr w:rsidR="00E326DA" w:rsidTr="00E326D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082" w:type="dxa"/>
            <w:vAlign w:val="center"/>
            <w:hideMark/>
          </w:tcPr>
          <w:p w:rsidR="00E326DA" w:rsidRDefault="00E326DA" w:rsidP="00E326DA">
            <w:pPr>
              <w:jc w:val="center"/>
            </w:pPr>
            <w:r>
              <w:rPr>
                <w:rStyle w:val="Strong"/>
              </w:rPr>
              <w:t>p</w:t>
            </w:r>
          </w:p>
        </w:tc>
        <w:tc>
          <w:tcPr>
            <w:tcW w:w="5552" w:type="dxa"/>
            <w:vAlign w:val="center"/>
            <w:hideMark/>
          </w:tcPr>
          <w:p w:rsidR="00E326DA" w:rsidRDefault="00E326DA" w:rsidP="00E326DA">
            <w:pPr>
              <w:jc w:val="center"/>
              <w:cnfStyle w:val="000000100000" w:firstRow="0" w:lastRow="0" w:firstColumn="0" w:lastColumn="0" w:oddVBand="0" w:evenVBand="0" w:oddHBand="1" w:evenHBand="0" w:firstRowFirstColumn="0" w:firstRowLastColumn="0" w:lastRowFirstColumn="0" w:lastRowLastColumn="0"/>
            </w:pPr>
            <w:r>
              <w:t>Probability value used in statistical significance testing</w:t>
            </w:r>
          </w:p>
        </w:tc>
      </w:tr>
      <w:tr w:rsidR="00E326DA" w:rsidTr="00E326DA">
        <w:trPr>
          <w:trHeight w:val="567"/>
        </w:trPr>
        <w:tc>
          <w:tcPr>
            <w:cnfStyle w:val="001000000000" w:firstRow="0" w:lastRow="0" w:firstColumn="1" w:lastColumn="0" w:oddVBand="0" w:evenVBand="0" w:oddHBand="0" w:evenHBand="0" w:firstRowFirstColumn="0" w:firstRowLastColumn="0" w:lastRowFirstColumn="0" w:lastRowLastColumn="0"/>
            <w:tcW w:w="4082" w:type="dxa"/>
            <w:vAlign w:val="center"/>
            <w:hideMark/>
          </w:tcPr>
          <w:p w:rsidR="00E326DA" w:rsidRDefault="00E326DA" w:rsidP="00E326DA">
            <w:pPr>
              <w:jc w:val="center"/>
            </w:pPr>
            <w:r>
              <w:rPr>
                <w:rStyle w:val="Strong"/>
              </w:rPr>
              <w:t>r</w:t>
            </w:r>
          </w:p>
        </w:tc>
        <w:tc>
          <w:tcPr>
            <w:tcW w:w="5552" w:type="dxa"/>
            <w:vAlign w:val="center"/>
            <w:hideMark/>
          </w:tcPr>
          <w:p w:rsidR="00E326DA" w:rsidRDefault="00E326DA" w:rsidP="00E326DA">
            <w:pPr>
              <w:jc w:val="center"/>
              <w:cnfStyle w:val="000000000000" w:firstRow="0" w:lastRow="0" w:firstColumn="0" w:lastColumn="0" w:oddVBand="0" w:evenVBand="0" w:oddHBand="0" w:evenHBand="0" w:firstRowFirstColumn="0" w:firstRowLastColumn="0" w:lastRowFirstColumn="0" w:lastRowLastColumn="0"/>
            </w:pPr>
            <w:r>
              <w:t>Pearson correlation coefficient</w:t>
            </w:r>
          </w:p>
        </w:tc>
      </w:tr>
      <w:tr w:rsidR="00E326DA" w:rsidTr="00E326D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082" w:type="dxa"/>
            <w:vAlign w:val="center"/>
            <w:hideMark/>
          </w:tcPr>
          <w:p w:rsidR="00E326DA" w:rsidRDefault="00E326DA" w:rsidP="00E326DA">
            <w:pPr>
              <w:jc w:val="center"/>
            </w:pPr>
            <w:r>
              <w:rPr>
                <w:rStyle w:val="Strong"/>
              </w:rPr>
              <w:t>N</w:t>
            </w:r>
          </w:p>
        </w:tc>
        <w:tc>
          <w:tcPr>
            <w:tcW w:w="5552" w:type="dxa"/>
            <w:vAlign w:val="center"/>
            <w:hideMark/>
          </w:tcPr>
          <w:p w:rsidR="00E326DA" w:rsidRDefault="00E326DA" w:rsidP="00E326DA">
            <w:pPr>
              <w:jc w:val="center"/>
              <w:cnfStyle w:val="000000100000" w:firstRow="0" w:lastRow="0" w:firstColumn="0" w:lastColumn="0" w:oddVBand="0" w:evenVBand="0" w:oddHBand="1" w:evenHBand="0" w:firstRowFirstColumn="0" w:firstRowLastColumn="0" w:lastRowFirstColumn="0" w:lastRowLastColumn="0"/>
            </w:pPr>
            <w:r>
              <w:t>Sample size</w:t>
            </w:r>
          </w:p>
        </w:tc>
      </w:tr>
      <w:tr w:rsidR="00E326DA" w:rsidTr="00E326DA">
        <w:trPr>
          <w:trHeight w:val="567"/>
        </w:trPr>
        <w:tc>
          <w:tcPr>
            <w:cnfStyle w:val="001000000000" w:firstRow="0" w:lastRow="0" w:firstColumn="1" w:lastColumn="0" w:oddVBand="0" w:evenVBand="0" w:oddHBand="0" w:evenHBand="0" w:firstRowFirstColumn="0" w:firstRowLastColumn="0" w:lastRowFirstColumn="0" w:lastRowLastColumn="0"/>
            <w:tcW w:w="4082" w:type="dxa"/>
            <w:vAlign w:val="center"/>
            <w:hideMark/>
          </w:tcPr>
          <w:p w:rsidR="00E326DA" w:rsidRDefault="00E326DA" w:rsidP="00E326DA">
            <w:pPr>
              <w:jc w:val="center"/>
            </w:pPr>
            <w:r>
              <w:rPr>
                <w:rStyle w:val="Strong"/>
              </w:rPr>
              <w:t>SD</w:t>
            </w:r>
          </w:p>
        </w:tc>
        <w:tc>
          <w:tcPr>
            <w:tcW w:w="5552" w:type="dxa"/>
            <w:vAlign w:val="center"/>
            <w:hideMark/>
          </w:tcPr>
          <w:p w:rsidR="00E326DA" w:rsidRDefault="00E326DA" w:rsidP="00E326DA">
            <w:pPr>
              <w:jc w:val="center"/>
              <w:cnfStyle w:val="000000000000" w:firstRow="0" w:lastRow="0" w:firstColumn="0" w:lastColumn="0" w:oddVBand="0" w:evenVBand="0" w:oddHBand="0" w:evenHBand="0" w:firstRowFirstColumn="0" w:firstRowLastColumn="0" w:lastRowFirstColumn="0" w:lastRowLastColumn="0"/>
            </w:pPr>
            <w:r>
              <w:t>Standard deviation</w:t>
            </w:r>
          </w:p>
        </w:tc>
      </w:tr>
    </w:tbl>
    <w:p w:rsidR="00535CCE" w:rsidRPr="00E326DA" w:rsidRDefault="00186F1F" w:rsidP="00E326DA">
      <w:pPr>
        <w:pStyle w:val="Heading1"/>
      </w:pPr>
      <w:r w:rsidRPr="00E326DA">
        <w:br w:type="page"/>
      </w:r>
      <w:bookmarkStart w:id="0" w:name="_Toc241116783"/>
      <w:r w:rsidR="00535CCE" w:rsidRPr="00E326DA">
        <w:lastRenderedPageBreak/>
        <w:t>Chapter 1: Introduction and Rationale</w:t>
      </w:r>
      <w:bookmarkEnd w:id="0"/>
    </w:p>
    <w:p w:rsidR="00535CCE" w:rsidRPr="002C0901" w:rsidRDefault="00535CCE" w:rsidP="002C0901">
      <w:pPr>
        <w:pStyle w:val="Heading2"/>
        <w:spacing w:before="0" w:after="120"/>
        <w:rPr>
          <w:rFonts w:ascii="Arial" w:hAnsi="Arial" w:cs="Arial"/>
        </w:rPr>
      </w:pPr>
      <w:bookmarkStart w:id="1" w:name="_Toc241116784"/>
      <w:r w:rsidRPr="00C23322">
        <w:rPr>
          <w:rFonts w:ascii="Arial" w:hAnsi="Arial" w:cs="Arial"/>
          <w:sz w:val="24"/>
        </w:rPr>
        <w:t>1</w:t>
      </w:r>
      <w:r w:rsidRPr="002C0901">
        <w:rPr>
          <w:rFonts w:ascii="Arial" w:hAnsi="Arial" w:cs="Arial"/>
          <w:sz w:val="24"/>
        </w:rPr>
        <w:t>.1 Research Background</w:t>
      </w:r>
      <w:bookmarkEnd w:id="1"/>
    </w:p>
    <w:p w:rsidR="00535CCE" w:rsidRPr="002C0901" w:rsidRDefault="002C0901" w:rsidP="002C0901">
      <w:pPr>
        <w:spacing w:after="120"/>
        <w:rPr>
          <w:rFonts w:ascii="Arial" w:eastAsia="Times New Roman" w:hAnsi="Arial"/>
        </w:rPr>
      </w:pPr>
      <w:r w:rsidRPr="002C0901">
        <w:rPr>
          <w:rFonts w:ascii="Arial" w:eastAsia="Times New Roman" w:hAnsi="Arial"/>
        </w:rPr>
        <w:t>The grocery retail industry in the United Kingdom has experienced significant structural transformation recently propelled by escalating price rivalry, the rapid expansion of discount food chains such as Aldi and Lidl, and persistent inflationary strains o</w:t>
      </w:r>
      <w:r>
        <w:rPr>
          <w:rFonts w:ascii="Arial" w:eastAsia="Times New Roman" w:hAnsi="Arial"/>
        </w:rPr>
        <w:t>n family finances</w:t>
      </w:r>
      <w:r w:rsidR="00203EA9" w:rsidRPr="002C0901">
        <w:rPr>
          <w:rFonts w:ascii="Arial" w:eastAsia="Times New Roman" w:hAnsi="Arial"/>
        </w:rPr>
        <w:t xml:space="preserve">. In this context, </w:t>
      </w:r>
      <w:r>
        <w:rPr>
          <w:rFonts w:ascii="Arial" w:eastAsia="Times New Roman" w:hAnsi="Arial"/>
        </w:rPr>
        <w:t xml:space="preserve">loyalty </w:t>
      </w:r>
      <w:r w:rsidR="00180CC5">
        <w:rPr>
          <w:rFonts w:ascii="Arial" w:eastAsia="Times New Roman" w:hAnsi="Arial"/>
        </w:rPr>
        <w:t>programme</w:t>
      </w:r>
      <w:r w:rsidR="00203EA9" w:rsidRPr="002C0901">
        <w:rPr>
          <w:rFonts w:ascii="Arial" w:eastAsia="Times New Roman" w:hAnsi="Arial"/>
        </w:rPr>
        <w:t>s have emerged as a key strategy for major supermarket chains as a way to build customer loyalty, keeping price-sensitive shoppers engaged by offering value beyond price. Launched in 1995 and now owned by more than 23 million UK households (Tesco PLC, 2025), Tesco Clubcard is the largest and most data-rich loyalty scheme in the United Kingdom, and a strategically</w:t>
      </w:r>
      <w:r w:rsidR="00203EA9" w:rsidRPr="00C23322">
        <w:rPr>
          <w:rFonts w:ascii="Arial" w:eastAsia="Times New Roman" w:hAnsi="Arial"/>
        </w:rPr>
        <w:t xml:space="preserve"> important context in which to explore the operation of </w:t>
      </w:r>
      <w:r>
        <w:rPr>
          <w:rFonts w:ascii="Arial" w:eastAsia="Times New Roman" w:hAnsi="Arial"/>
        </w:rPr>
        <w:t xml:space="preserve">loyalty </w:t>
      </w:r>
      <w:r w:rsidR="00180CC5">
        <w:rPr>
          <w:rFonts w:ascii="Arial" w:eastAsia="Times New Roman" w:hAnsi="Arial"/>
        </w:rPr>
        <w:t>programme</w:t>
      </w:r>
      <w:r w:rsidR="00203EA9" w:rsidRPr="00C23322">
        <w:rPr>
          <w:rFonts w:ascii="Arial" w:eastAsia="Times New Roman" w:hAnsi="Arial"/>
        </w:rPr>
        <w:t>s in times of economic difficulty</w:t>
      </w:r>
      <w:r w:rsidR="00535CCE" w:rsidRPr="00C23322">
        <w:rPr>
          <w:rFonts w:ascii="Arial" w:eastAsia="Times New Roman" w:hAnsi="Arial"/>
        </w:rPr>
        <w:t>.</w:t>
      </w:r>
    </w:p>
    <w:p w:rsidR="00535CCE" w:rsidRPr="00C23322" w:rsidRDefault="00E7084B" w:rsidP="00B21D3F">
      <w:pPr>
        <w:spacing w:after="120"/>
        <w:rPr>
          <w:rFonts w:ascii="Arial" w:hAnsi="Arial"/>
        </w:rPr>
      </w:pPr>
      <w:r w:rsidRPr="00C23322">
        <w:rPr>
          <w:rFonts w:ascii="Arial" w:eastAsia="Times New Roman" w:hAnsi="Arial"/>
        </w:rPr>
        <w:t xml:space="preserve">The cost-of-living crisis that started in 2021/22 dramatically changed how consumers interact with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s in the UK. As of May 2026, around two-thirds of adults in Great Britain reported their cost of living had increased in the past month, with the price of food shopping cited as the most common driver (ONS, 2026). As a result of declining real income and the highest grocery price inflation in decades, consumers were more conscious of value for money and many of them were deliberately changing their stores, trading down to alternative brands and reevaluating their brand loyalty. In this context, loyalty schemes like Clubcard are no longer just about incentivising repeat customers; they have become </w:t>
      </w:r>
      <w:r w:rsidR="00A25AA9" w:rsidRPr="00C23322">
        <w:rPr>
          <w:rFonts w:ascii="Arial" w:hAnsi="Arial"/>
        </w:rPr>
        <w:t>an increasingly important mechanism for financially constrained consumers</w:t>
      </w:r>
      <w:r w:rsidRPr="00C23322">
        <w:rPr>
          <w:rFonts w:ascii="Arial" w:eastAsia="Times New Roman" w:hAnsi="Arial"/>
        </w:rPr>
        <w:t xml:space="preserve"> who have never had more of a reason to take their money elsewhere</w:t>
      </w:r>
      <w:r w:rsidR="00535CCE" w:rsidRPr="00C23322">
        <w:rPr>
          <w:rFonts w:ascii="Arial" w:eastAsia="Times New Roman" w:hAnsi="Arial"/>
        </w:rPr>
        <w:t>.</w:t>
      </w:r>
    </w:p>
    <w:p w:rsidR="00535CCE" w:rsidRPr="00C23322" w:rsidRDefault="00E7084B" w:rsidP="00B21D3F">
      <w:pPr>
        <w:spacing w:after="120"/>
        <w:rPr>
          <w:rFonts w:ascii="Arial" w:hAnsi="Arial"/>
        </w:rPr>
      </w:pPr>
      <w:r w:rsidRPr="00C23322">
        <w:rPr>
          <w:rFonts w:ascii="Arial" w:eastAsia="Times New Roman" w:hAnsi="Arial"/>
        </w:rPr>
        <w:t xml:space="preserve">Previous research and business insights into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s have focused on the financial structure of the scheme (discounts, points accumulation, how to redeem them, etc.) and on the actual sales behaviour of the customer, such as repurchasing or increasing basket size (Kumar and Shah, 2004). While this emphasis on financial and behavioural consequences is relevant in the practical context, it does not address the psychological mechanisms involved in consumers' interactions with a </w:t>
      </w:r>
      <w:r w:rsidR="002C0901">
        <w:rPr>
          <w:rFonts w:ascii="Arial" w:eastAsia="Times New Roman" w:hAnsi="Arial"/>
        </w:rPr>
        <w:t>loyalty programme</w:t>
      </w:r>
      <w:r w:rsidRPr="00C23322">
        <w:rPr>
          <w:rFonts w:ascii="Arial" w:eastAsia="Times New Roman" w:hAnsi="Arial"/>
        </w:rPr>
        <w:t xml:space="preserve"> if financial incentives are the same. This is particularly interesting because financial stress is acknowledged to be a psychological driver as well as an economic one when it comes to consumers' decisions on how to spend their money (Ryan and Deci, 2000)</w:t>
      </w:r>
      <w:r w:rsidR="00535CCE" w:rsidRPr="00C23322">
        <w:rPr>
          <w:rFonts w:ascii="Arial" w:eastAsia="Times New Roman" w:hAnsi="Arial"/>
        </w:rPr>
        <w:t>.</w:t>
      </w:r>
    </w:p>
    <w:p w:rsidR="00535CCE" w:rsidRPr="00C23322" w:rsidRDefault="00E7084B" w:rsidP="00B21D3F">
      <w:pPr>
        <w:spacing w:after="120"/>
        <w:rPr>
          <w:rFonts w:ascii="Arial" w:hAnsi="Arial"/>
        </w:rPr>
      </w:pPr>
      <w:r w:rsidRPr="00C23322">
        <w:rPr>
          <w:rFonts w:ascii="Arial" w:eastAsia="Times New Roman" w:hAnsi="Arial"/>
        </w:rPr>
        <w:lastRenderedPageBreak/>
        <w:t>This dissertation examines the non-financial factors (i.e. beyond financial discount</w:t>
      </w:r>
      <w:r w:rsidR="00A25AA9" w:rsidRPr="00C23322">
        <w:rPr>
          <w:rFonts w:ascii="Arial" w:eastAsia="Times New Roman" w:hAnsi="Arial"/>
        </w:rPr>
        <w:t>s</w:t>
      </w:r>
      <w:r w:rsidRPr="00C23322">
        <w:rPr>
          <w:rFonts w:ascii="Arial" w:eastAsia="Times New Roman" w:hAnsi="Arial"/>
        </w:rPr>
        <w:t xml:space="preserve">) contributing to consumer engagement with Tesco Clubcard during the current and continuing cost-of-living crisis </w:t>
      </w:r>
      <w:r w:rsidR="002C0901">
        <w:rPr>
          <w:rFonts w:ascii="Arial" w:eastAsia="Times New Roman" w:hAnsi="Arial"/>
        </w:rPr>
        <w:t>among</w:t>
      </w:r>
      <w:r w:rsidRPr="00C23322">
        <w:rPr>
          <w:rFonts w:ascii="Arial" w:eastAsia="Times New Roman" w:hAnsi="Arial"/>
        </w:rPr>
        <w:t xml:space="preserve"> consumers in London. The geographical focus is London, as it is a place especially impacted by cost-of-living pressures compared to the rest of the UK, and has a demographically diverse consumer base, both of which are likely to amplify the psychological drivers of loyalty (Trust for London, 2026). The value of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s to retail strategy is widely recognised, but the exact mechanisms by which customers continue their relationship with retailers during periods of acute financial strain are relatively under-researched and is explored in great depth in Section 1.2</w:t>
      </w:r>
      <w:r w:rsidR="00535CCE" w:rsidRPr="00C23322">
        <w:rPr>
          <w:rFonts w:ascii="Arial" w:eastAsia="Times New Roman" w:hAnsi="Arial"/>
        </w:rPr>
        <w:t>.</w:t>
      </w:r>
    </w:p>
    <w:p w:rsidR="00535CCE" w:rsidRPr="00C23322" w:rsidRDefault="00535CCE" w:rsidP="00B21D3F">
      <w:pPr>
        <w:pStyle w:val="Heading2"/>
        <w:spacing w:before="0" w:after="120"/>
        <w:rPr>
          <w:rFonts w:ascii="Arial" w:hAnsi="Arial" w:cs="Arial"/>
        </w:rPr>
      </w:pPr>
      <w:bookmarkStart w:id="2" w:name="_Toc241116785"/>
      <w:r w:rsidRPr="00C23322">
        <w:rPr>
          <w:rFonts w:ascii="Arial" w:hAnsi="Arial" w:cs="Arial"/>
          <w:sz w:val="24"/>
        </w:rPr>
        <w:t>1.2 Research Rationale</w:t>
      </w:r>
      <w:bookmarkEnd w:id="2"/>
    </w:p>
    <w:p w:rsidR="00535CCE" w:rsidRPr="00C23322" w:rsidRDefault="00535CCE" w:rsidP="00457493">
      <w:pPr>
        <w:pStyle w:val="Heading3"/>
        <w:rPr>
          <w:rFonts w:ascii="Arial" w:hAnsi="Arial" w:cs="Arial"/>
        </w:rPr>
      </w:pPr>
      <w:bookmarkStart w:id="3" w:name="_Toc241116786"/>
      <w:r w:rsidRPr="00C23322">
        <w:rPr>
          <w:rFonts w:ascii="Arial" w:hAnsi="Arial" w:cs="Arial"/>
        </w:rPr>
        <w:t>1.2.1 Theoretical Justification</w:t>
      </w:r>
      <w:bookmarkEnd w:id="3"/>
    </w:p>
    <w:p w:rsidR="00535CCE" w:rsidRPr="00C23322" w:rsidRDefault="00E7084B" w:rsidP="00B21D3F">
      <w:pPr>
        <w:spacing w:after="120"/>
        <w:rPr>
          <w:rFonts w:ascii="Arial" w:hAnsi="Arial"/>
        </w:rPr>
      </w:pPr>
      <w:r w:rsidRPr="00C23322">
        <w:rPr>
          <w:rFonts w:ascii="Arial" w:eastAsia="Times New Roman" w:hAnsi="Arial"/>
        </w:rPr>
        <w:t xml:space="preserve">A substantial body of academic literature establishes the theoretical foundations of customer loyalty and engagement. Attitudinal and behavioural conceptualisations of loyalty are well established, with a distinction between observable repeat purchase behaviour and the psychological attachment a consumer has towards a brand (Dick and Basu, 1994). Another perspective presented by relationship marketing theory is that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s are a tool that will establish long-term exchange relationships between firm and consumer based on trust and commitment (Berry, 1983; Morgan and Hunt, 1994). Recent research on customer engagement suggests that consumer engagement with a brand is more than just a transactional process; it is a psychological state of a customer involving cognitive, emotional and volitional aspects (Brodie et al., 2011; Hollebeek, 2011). Together, these models position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 engagement as both a behavioural and psychological phenomenon and suggest a theoretical lens is needed to account for why consumers continue to pa</w:t>
      </w:r>
      <w:r w:rsidR="00836341" w:rsidRPr="00C23322">
        <w:rPr>
          <w:rFonts w:ascii="Arial" w:eastAsia="Times New Roman" w:hAnsi="Arial"/>
        </w:rPr>
        <w:t xml:space="preserve">rticipate in a </w:t>
      </w:r>
      <w:r w:rsidR="002C0901">
        <w:rPr>
          <w:rFonts w:ascii="Arial" w:eastAsia="Times New Roman" w:hAnsi="Arial"/>
        </w:rPr>
        <w:t>loyalty programme</w:t>
      </w:r>
      <w:r w:rsidRPr="00C23322">
        <w:rPr>
          <w:rFonts w:ascii="Arial" w:eastAsia="Times New Roman" w:hAnsi="Arial"/>
        </w:rPr>
        <w:t xml:space="preserve">, even when the </w:t>
      </w:r>
      <w:r w:rsidR="002C0901">
        <w:rPr>
          <w:rFonts w:ascii="Arial" w:eastAsia="Times New Roman" w:hAnsi="Arial"/>
        </w:rPr>
        <w:t>programme</w:t>
      </w:r>
      <w:r w:rsidRPr="00C23322">
        <w:rPr>
          <w:rFonts w:ascii="Arial" w:eastAsia="Times New Roman" w:hAnsi="Arial"/>
        </w:rPr>
        <w:t xml:space="preserve"> provides only an external, financial reward</w:t>
      </w:r>
      <w:r w:rsidR="00535CCE" w:rsidRPr="00C23322">
        <w:rPr>
          <w:rFonts w:ascii="Arial" w:eastAsia="Times New Roman" w:hAnsi="Arial"/>
        </w:rPr>
        <w:t>.</w:t>
      </w:r>
    </w:p>
    <w:p w:rsidR="00535CCE" w:rsidRPr="00C23322" w:rsidRDefault="002C0901" w:rsidP="00B21D3F">
      <w:pPr>
        <w:spacing w:after="120"/>
        <w:rPr>
          <w:rFonts w:ascii="Arial" w:hAnsi="Arial"/>
        </w:rPr>
      </w:pPr>
      <w:r>
        <w:rPr>
          <w:rFonts w:ascii="Arial" w:eastAsia="Times New Roman" w:hAnsi="Arial"/>
        </w:rPr>
        <w:t>Self-Determination Theory</w:t>
      </w:r>
      <w:r w:rsidR="00E7084B" w:rsidRPr="00C23322">
        <w:rPr>
          <w:rFonts w:ascii="Arial" w:eastAsia="Times New Roman" w:hAnsi="Arial"/>
        </w:rPr>
        <w:t xml:space="preserve"> (SDT), as developed by Ryan and Deci (2000), provides precisely such a lens. Autonomy, competence and relatedness are believed to be three basic human psychological needs that, when satisfied, lead to ongoing human motivation and engagement. What's important is that SDT differentiates between two types of motivation: extrinsic and intrinsic. When translated to the realm of </w:t>
      </w:r>
      <w:r>
        <w:rPr>
          <w:rFonts w:ascii="Arial" w:eastAsia="Times New Roman" w:hAnsi="Arial"/>
        </w:rPr>
        <w:t xml:space="preserve">loyalty </w:t>
      </w:r>
      <w:r w:rsidR="00180CC5">
        <w:rPr>
          <w:rFonts w:ascii="Arial" w:eastAsia="Times New Roman" w:hAnsi="Arial"/>
        </w:rPr>
        <w:t>programme</w:t>
      </w:r>
      <w:r w:rsidR="00E7084B" w:rsidRPr="00C23322">
        <w:rPr>
          <w:rFonts w:ascii="Arial" w:eastAsia="Times New Roman" w:hAnsi="Arial"/>
        </w:rPr>
        <w:t xml:space="preserve"> </w:t>
      </w:r>
      <w:r w:rsidR="00E7084B" w:rsidRPr="00C23322">
        <w:rPr>
          <w:rFonts w:ascii="Arial" w:eastAsia="Times New Roman" w:hAnsi="Arial"/>
        </w:rPr>
        <w:lastRenderedPageBreak/>
        <w:t xml:space="preserve">engagement, it is particularly revealing; it provides a principled answer as to why it is that some consumers keep actively using Tesco Clubcard when the financial benefits of such loyalty are eroded, questioned or insufficient to warrant their engagement based purely on economic considerations. When the </w:t>
      </w:r>
      <w:r>
        <w:rPr>
          <w:rFonts w:ascii="Arial" w:eastAsia="Times New Roman" w:hAnsi="Arial"/>
        </w:rPr>
        <w:t>programme</w:t>
      </w:r>
      <w:r w:rsidR="00E7084B" w:rsidRPr="00C23322">
        <w:rPr>
          <w:rFonts w:ascii="Arial" w:eastAsia="Times New Roman" w:hAnsi="Arial"/>
        </w:rPr>
        <w:t xml:space="preserve"> effectively fulfils autonomy (personalised offers and perceived control over how the points are earned and redeemed), competence (mastery experience of how to deal with the </w:t>
      </w:r>
      <w:r>
        <w:rPr>
          <w:rFonts w:ascii="Arial" w:eastAsia="Times New Roman" w:hAnsi="Arial"/>
        </w:rPr>
        <w:t>programme</w:t>
      </w:r>
      <w:r w:rsidR="00E7084B" w:rsidRPr="00C23322">
        <w:rPr>
          <w:rFonts w:ascii="Arial" w:eastAsia="Times New Roman" w:hAnsi="Arial"/>
        </w:rPr>
        <w:t xml:space="preserve"> effectively) and relatedness (feeling valued as a customer), SDT predicts that engagement will not be transactional, but self-sustaining. Thus SDT is a suitable and theoretically sound model to explore psychological loyalty in a context of high financial stress and the possibility that only an extrinsic reward might not be enough to maintain consumer commitment</w:t>
      </w:r>
      <w:r w:rsidR="00535CCE" w:rsidRPr="00C23322">
        <w:rPr>
          <w:rFonts w:ascii="Arial" w:eastAsia="Times New Roman" w:hAnsi="Arial"/>
        </w:rPr>
        <w:t>.</w:t>
      </w:r>
    </w:p>
    <w:p w:rsidR="00535CCE" w:rsidRPr="00C23322" w:rsidRDefault="00E7084B" w:rsidP="00B21D3F">
      <w:pPr>
        <w:spacing w:after="120"/>
        <w:rPr>
          <w:rFonts w:ascii="Arial" w:hAnsi="Arial"/>
        </w:rPr>
      </w:pPr>
      <w:r w:rsidRPr="00C23322">
        <w:rPr>
          <w:rFonts w:ascii="Arial" w:eastAsia="Times New Roman" w:hAnsi="Arial"/>
        </w:rPr>
        <w:t xml:space="preserve">Although this is a solid theoretical framework, there are dimensions of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 engagement that have not been sufficiently explored in the context of economic hardship. Firstly, most empirical studies on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s have been carried out during stable or growth conditions in the economy, with SDT-based models being relatively under-tested during times of severe financial crisis (Kumar and Shah, 2004). The relationship between need for autonomy and the perceived fairness of a reward system of a loyalty scheme might function differently when enduring economic pressures than in times of economic stability, which could question SDT's need satisfaction mechanisms and their consistency across different economic situations. Secondly, previous studies often define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 engagement in a unidimensional way, and the importance of the three SDT need dimensions (autonomy, competence, and relatedness) for engagement is less often examined, compared to the importance for different dimensions when financial constraint is a salient part of the consumer's life (Dick and Basu, 1994). Third, the evidence base is primarily limited to a number of sectors, including airlines, hospitality and financial services, while there is comparatively little evidence of the use of SDT in grocery retail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s specifically, where grocery spending is a disproportionately large and inelastic component of household budgets during cost-of-living pressures (Competition and Markets Authority, 2024). These gaps could be attributed to the ever-changing economic landscape, the methodological preference for cross-sectional behavioural data over psychologically-based survey instruments, and the </w:t>
      </w:r>
      <w:r w:rsidRPr="00C23322">
        <w:rPr>
          <w:rFonts w:ascii="Arial" w:eastAsia="Times New Roman" w:hAnsi="Arial"/>
        </w:rPr>
        <w:lastRenderedPageBreak/>
        <w:t>relative dearth of geographically disaggregated UK-specific research (Saunders, Lewis and Thornhill, 2019)</w:t>
      </w:r>
      <w:r w:rsidR="00535CCE" w:rsidRPr="00C23322">
        <w:rPr>
          <w:rFonts w:ascii="Arial" w:eastAsia="Times New Roman" w:hAnsi="Arial"/>
        </w:rPr>
        <w:t>.</w:t>
      </w:r>
    </w:p>
    <w:p w:rsidR="00535CCE" w:rsidRPr="00C23322" w:rsidRDefault="00CC5FB6" w:rsidP="00B21D3F">
      <w:pPr>
        <w:spacing w:after="120"/>
        <w:rPr>
          <w:rFonts w:ascii="Arial" w:eastAsia="Times New Roman" w:hAnsi="Arial"/>
        </w:rPr>
      </w:pPr>
      <w:r w:rsidRPr="00C23322">
        <w:rPr>
          <w:rFonts w:ascii="Arial" w:eastAsia="Times New Roman" w:hAnsi="Arial"/>
        </w:rPr>
        <w:t xml:space="preserve">On the above basis this dissertation outlines a specific research gap: It has not been experimentally investigated if </w:t>
      </w:r>
      <w:r w:rsidR="002C0901">
        <w:rPr>
          <w:rFonts w:ascii="Arial" w:eastAsia="Times New Roman" w:hAnsi="Arial"/>
        </w:rPr>
        <w:t>Self-Determination Theory</w:t>
      </w:r>
      <w:r w:rsidRPr="00C23322">
        <w:rPr>
          <w:rFonts w:ascii="Arial" w:eastAsia="Times New Roman" w:hAnsi="Arial"/>
        </w:rPr>
        <w:t xml:space="preserve"> may explain continued </w:t>
      </w:r>
      <w:r w:rsidR="002C0901">
        <w:rPr>
          <w:rFonts w:ascii="Arial" w:eastAsia="Times New Roman" w:hAnsi="Arial"/>
        </w:rPr>
        <w:t>loyalty programme</w:t>
      </w:r>
      <w:r w:rsidRPr="00C23322">
        <w:rPr>
          <w:rFonts w:ascii="Arial" w:eastAsia="Times New Roman" w:hAnsi="Arial"/>
        </w:rPr>
        <w:t xml:space="preserve"> involvement in a UK supermarket retail environment during a period of persistent economic distress. It is theoretically important because it could restrict the generalisability of the engagement constructs that have been developed based on SDT to situations where the economy is not so precarious, and also because it would answer the question of whether or not psychological need satisfaction (as defined by SDT) would continue to be a valid predictor of loyalty when the consumer is put under acute and chronic economic stress. Filling this gap is relevant to consumer loyalty theory building, and can have direct impact on the desig</w:t>
      </w:r>
      <w:r w:rsidR="00A23D0B" w:rsidRPr="00C23322">
        <w:rPr>
          <w:rFonts w:ascii="Arial" w:eastAsia="Times New Roman" w:hAnsi="Arial"/>
        </w:rPr>
        <w:t xml:space="preserve">n of consumer </w:t>
      </w:r>
      <w:r w:rsidR="002C0901">
        <w:rPr>
          <w:rFonts w:ascii="Arial" w:eastAsia="Times New Roman" w:hAnsi="Arial"/>
        </w:rPr>
        <w:t>loyalty programme</w:t>
      </w:r>
      <w:r w:rsidRPr="00C23322">
        <w:rPr>
          <w:rFonts w:ascii="Arial" w:eastAsia="Times New Roman" w:hAnsi="Arial"/>
        </w:rPr>
        <w:t xml:space="preserve"> in the context of economic uncertainty</w:t>
      </w:r>
      <w:r w:rsidR="00535CCE" w:rsidRPr="00C23322">
        <w:rPr>
          <w:rFonts w:ascii="Arial" w:eastAsia="Times New Roman" w:hAnsi="Arial"/>
        </w:rPr>
        <w:t>.</w:t>
      </w:r>
    </w:p>
    <w:p w:rsidR="00535CCE" w:rsidRPr="00C23322" w:rsidRDefault="00535CCE" w:rsidP="00457493">
      <w:pPr>
        <w:pStyle w:val="Heading3"/>
        <w:rPr>
          <w:rFonts w:ascii="Arial" w:hAnsi="Arial" w:cs="Arial"/>
        </w:rPr>
      </w:pPr>
      <w:bookmarkStart w:id="4" w:name="_Toc241116787"/>
      <w:r w:rsidRPr="00C23322">
        <w:rPr>
          <w:rFonts w:ascii="Arial" w:hAnsi="Arial" w:cs="Arial"/>
        </w:rPr>
        <w:t>1.2.2 Practical Justification</w:t>
      </w:r>
      <w:bookmarkEnd w:id="4"/>
    </w:p>
    <w:p w:rsidR="00535CCE" w:rsidRPr="00C23322" w:rsidRDefault="00CC5FB6" w:rsidP="00B21D3F">
      <w:pPr>
        <w:spacing w:after="120"/>
        <w:rPr>
          <w:rFonts w:ascii="Arial" w:eastAsia="Times New Roman" w:hAnsi="Arial"/>
        </w:rPr>
      </w:pPr>
      <w:r w:rsidRPr="00C23322">
        <w:rPr>
          <w:rFonts w:ascii="Arial" w:eastAsia="Times New Roman" w:hAnsi="Arial"/>
        </w:rPr>
        <w:t xml:space="preserve">The theoretical gap mentioned above has direct and significant impact on policymakers and shop managers. </w:t>
      </w:r>
      <w:r w:rsidR="00A25AA9" w:rsidRPr="00C23322">
        <w:rPr>
          <w:rFonts w:ascii="Arial" w:hAnsi="Arial"/>
        </w:rPr>
        <w:t xml:space="preserve">Retailers invest substantial resources </w:t>
      </w:r>
      <w:r w:rsidRPr="00C23322">
        <w:rPr>
          <w:rFonts w:ascii="Arial" w:eastAsia="Times New Roman" w:hAnsi="Arial"/>
        </w:rPr>
        <w:t xml:space="preserve">on the infrastructure of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s, including points, tiered pricing, and apps to engage customers through various means, primarily because they believe that the money is what keeps the customers happy (Competition and Markets Authority, 2024). Retailers could end up investing in discount-driven mechanics at the expense of emotionally-focused engagement strategies that might be more effective and cost-efficient at a time when consumers are price conscious and </w:t>
      </w:r>
      <w:r w:rsidR="00A25AA9" w:rsidRPr="00C23322">
        <w:rPr>
          <w:rFonts w:ascii="Arial" w:hAnsi="Arial"/>
        </w:rPr>
        <w:t>financially constrained</w:t>
      </w:r>
      <w:r w:rsidRPr="00C23322">
        <w:rPr>
          <w:rFonts w:ascii="Arial" w:eastAsia="Times New Roman" w:hAnsi="Arial"/>
        </w:rPr>
        <w:t xml:space="preserve">. Retailers could design </w:t>
      </w:r>
      <w:r w:rsidR="002C0901">
        <w:rPr>
          <w:rFonts w:ascii="Arial" w:eastAsia="Times New Roman" w:hAnsi="Arial"/>
        </w:rPr>
        <w:t>loyalty programme</w:t>
      </w:r>
      <w:r w:rsidRPr="00C23322">
        <w:rPr>
          <w:rFonts w:ascii="Arial" w:eastAsia="Times New Roman" w:hAnsi="Arial"/>
        </w:rPr>
        <w:t>s that function not only in conjunction with their consumers' psychological motives, but with them, if they could determine which SDT need characteristics are most likely to underpin participation during times of economic constraint</w:t>
      </w:r>
      <w:r w:rsidR="00535CCE" w:rsidRPr="00C23322">
        <w:rPr>
          <w:rFonts w:ascii="Arial" w:eastAsia="Times New Roman" w:hAnsi="Arial"/>
        </w:rPr>
        <w:t>.</w:t>
      </w:r>
    </w:p>
    <w:p w:rsidR="00535CCE" w:rsidRPr="00C23322" w:rsidRDefault="00CC5FB6" w:rsidP="00B21D3F">
      <w:pPr>
        <w:spacing w:after="120"/>
        <w:rPr>
          <w:rFonts w:ascii="Arial" w:hAnsi="Arial"/>
        </w:rPr>
      </w:pPr>
      <w:r w:rsidRPr="00C23322">
        <w:rPr>
          <w:rFonts w:ascii="Arial" w:eastAsia="Times New Roman" w:hAnsi="Arial"/>
        </w:rPr>
        <w:t xml:space="preserve">This issue is strategically significant at an industry level. One of the most wide-spread consumer engagement infrastructures in UK retail is the grocery retail loyalty schemes, which now reach the vast majority of households in the UK, including Tesco Clubcard and similar schemes provided by Sainsbury's, Morrisons and Co-op. The Competition and Markets Authority's November 2024 loyalty pricing review concluded that the revenue </w:t>
      </w:r>
      <w:r w:rsidRPr="00C23322">
        <w:rPr>
          <w:rFonts w:ascii="Arial" w:eastAsia="Times New Roman" w:hAnsi="Arial"/>
        </w:rPr>
        <w:lastRenderedPageBreak/>
        <w:t xml:space="preserve">from the offering of loyalty-priced grocery products was likely to be over £5 billion in a single quarter, accounting for around 22 per cent of supermarkets' total revenues in that period, which demonstrates the size of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s and the cost to retailers of lacking a full understanding of the factors that drive consumers' loyalty to them when their price sensitivity is already high (Competition and Markets Authority, 2024)</w:t>
      </w:r>
      <w:r w:rsidR="00535CCE" w:rsidRPr="00C23322">
        <w:rPr>
          <w:rFonts w:ascii="Arial" w:eastAsia="Times New Roman" w:hAnsi="Arial"/>
        </w:rPr>
        <w:t>.</w:t>
      </w:r>
    </w:p>
    <w:p w:rsidR="00535CCE" w:rsidRPr="00C23322" w:rsidRDefault="00CC5FB6" w:rsidP="00B21D3F">
      <w:pPr>
        <w:spacing w:after="120"/>
        <w:rPr>
          <w:rFonts w:ascii="Arial" w:hAnsi="Arial"/>
        </w:rPr>
      </w:pPr>
      <w:r w:rsidRPr="00C23322">
        <w:rPr>
          <w:rFonts w:ascii="Arial" w:eastAsia="Times New Roman" w:hAnsi="Arial"/>
        </w:rPr>
        <w:t xml:space="preserve">It is a real and unsolved issue for managers: if the psychological aspects of the actual participation of a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 are not measurable, then it is impossible to make investment decisions based on incomplete behavioural measures. The next two big "opportunity cost" areas are customer retention and marketing effectiveness, and they're the two places that are most needed. The present study attemp</w:t>
      </w:r>
      <w:r w:rsidR="00A37033" w:rsidRPr="00C23322">
        <w:rPr>
          <w:rFonts w:ascii="Arial" w:eastAsia="Times New Roman" w:hAnsi="Arial"/>
        </w:rPr>
        <w:t>ts to address this issue</w:t>
      </w:r>
      <w:r w:rsidRPr="00C23322">
        <w:rPr>
          <w:rFonts w:ascii="Arial" w:eastAsia="Times New Roman" w:hAnsi="Arial"/>
        </w:rPr>
        <w:t xml:space="preserve"> and may be able to provide e</w:t>
      </w:r>
      <w:r w:rsidR="00180CC5">
        <w:rPr>
          <w:rFonts w:ascii="Arial" w:eastAsia="Times New Roman" w:hAnsi="Arial"/>
        </w:rPr>
        <w:t>vidence-</w:t>
      </w:r>
      <w:r w:rsidRPr="00C23322">
        <w:rPr>
          <w:rFonts w:ascii="Arial" w:eastAsia="Times New Roman" w:hAnsi="Arial"/>
        </w:rPr>
        <w:t xml:space="preserve">based insight to </w:t>
      </w:r>
      <w:r w:rsidR="00A25AA9" w:rsidRPr="00C23322">
        <w:rPr>
          <w:rFonts w:ascii="Arial" w:hAnsi="Arial"/>
        </w:rPr>
        <w:t xml:space="preserve">the psychological mechanisms that can be leveraged </w:t>
      </w:r>
      <w:r w:rsidRPr="00C23322">
        <w:rPr>
          <w:rFonts w:ascii="Arial" w:eastAsia="Times New Roman" w:hAnsi="Arial"/>
        </w:rPr>
        <w:t xml:space="preserve">to sustain the engagement of Tesco Clubcard </w:t>
      </w:r>
      <w:r w:rsidR="002C0901">
        <w:rPr>
          <w:rFonts w:ascii="Arial" w:eastAsia="Times New Roman" w:hAnsi="Arial"/>
        </w:rPr>
        <w:t>among</w:t>
      </w:r>
      <w:r w:rsidRPr="00C23322">
        <w:rPr>
          <w:rFonts w:ascii="Arial" w:eastAsia="Times New Roman" w:hAnsi="Arial"/>
        </w:rPr>
        <w:t xml:space="preserve"> London consumers, thus providing a more targeted approach in designing Tesco's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 than financial data</w:t>
      </w:r>
      <w:r w:rsidR="00535CCE" w:rsidRPr="00C23322">
        <w:rPr>
          <w:rFonts w:ascii="Arial" w:eastAsia="Times New Roman" w:hAnsi="Arial"/>
        </w:rPr>
        <w:t>.</w:t>
      </w:r>
    </w:p>
    <w:p w:rsidR="00535CCE" w:rsidRPr="00C23322" w:rsidRDefault="00535CCE" w:rsidP="00B21D3F">
      <w:pPr>
        <w:pStyle w:val="Heading2"/>
        <w:spacing w:before="0" w:after="120"/>
        <w:rPr>
          <w:rFonts w:ascii="Arial" w:hAnsi="Arial" w:cs="Arial"/>
        </w:rPr>
      </w:pPr>
      <w:bookmarkStart w:id="5" w:name="_Toc241116788"/>
      <w:r w:rsidRPr="00C23322">
        <w:rPr>
          <w:rFonts w:ascii="Arial" w:hAnsi="Arial" w:cs="Arial"/>
          <w:sz w:val="24"/>
        </w:rPr>
        <w:t>1.3 Research Contribution and Motivation</w:t>
      </w:r>
      <w:bookmarkEnd w:id="5"/>
    </w:p>
    <w:p w:rsidR="00535CCE" w:rsidRPr="00C23322" w:rsidRDefault="00CC5FB6" w:rsidP="00B21D3F">
      <w:pPr>
        <w:spacing w:after="120"/>
        <w:rPr>
          <w:rFonts w:ascii="Arial" w:hAnsi="Arial"/>
        </w:rPr>
      </w:pPr>
      <w:r w:rsidRPr="00C23322">
        <w:rPr>
          <w:rFonts w:ascii="Arial" w:eastAsia="Times New Roman" w:hAnsi="Arial"/>
        </w:rPr>
        <w:t xml:space="preserve">Theoretically, this research contributes to the existing literature on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s by applying a well-known psychological and motivational theory, the </w:t>
      </w:r>
      <w:r w:rsidR="002C0901">
        <w:rPr>
          <w:rFonts w:ascii="Arial" w:eastAsia="Times New Roman" w:hAnsi="Arial"/>
        </w:rPr>
        <w:t>Self-Determination Theory</w:t>
      </w:r>
      <w:r w:rsidRPr="00C23322">
        <w:rPr>
          <w:rFonts w:ascii="Arial" w:eastAsia="Times New Roman" w:hAnsi="Arial"/>
        </w:rPr>
        <w:t xml:space="preserve"> (Ryan and Deci, 2000), to the context of grocery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 engagement in the UK during prolonged economic downturns, which is not well explored in the literature. The study does not provide a new theoretical model but extends the core need satisfaction model of SDT into a new empirical setting to see if and how the three psychological needs (autonomy, competence, and relatedness) predict continued Clubcard use in an environment where financial pressure is a major component. This is a context-specific test and extension of SDT towards the learning, work and health behaviour contexts where it has been most frequently applied, which helps to build understanding of the theory and its operation outside these contexts</w:t>
      </w:r>
      <w:r w:rsidR="00535CCE" w:rsidRPr="00C23322">
        <w:rPr>
          <w:rFonts w:ascii="Arial" w:eastAsia="Times New Roman" w:hAnsi="Arial"/>
        </w:rPr>
        <w:t>.</w:t>
      </w:r>
    </w:p>
    <w:p w:rsidR="00535CCE" w:rsidRPr="00C23322" w:rsidRDefault="00CC5FB6" w:rsidP="00B21D3F">
      <w:pPr>
        <w:spacing w:after="120"/>
        <w:rPr>
          <w:rFonts w:ascii="Arial" w:hAnsi="Arial"/>
        </w:rPr>
      </w:pPr>
      <w:r w:rsidRPr="00C23322">
        <w:rPr>
          <w:rFonts w:ascii="Arial" w:eastAsia="Times New Roman" w:hAnsi="Arial"/>
        </w:rPr>
        <w:t xml:space="preserve">Empirically, the research is important because it was designed and administered a structured, survey-based instrument to measure the SDT need satisfaction constructs </w:t>
      </w:r>
      <w:r w:rsidR="002C0901">
        <w:rPr>
          <w:rFonts w:ascii="Arial" w:eastAsia="Times New Roman" w:hAnsi="Arial"/>
        </w:rPr>
        <w:t>among</w:t>
      </w:r>
      <w:r w:rsidRPr="00C23322">
        <w:rPr>
          <w:rFonts w:ascii="Arial" w:eastAsia="Times New Roman" w:hAnsi="Arial"/>
        </w:rPr>
        <w:t xml:space="preserve"> Tesco Clubcard users in London. A quantitative survey design is suitable for this research aim as it can be used to systematically test the relative strength of autonomy, </w:t>
      </w:r>
      <w:r w:rsidRPr="00C23322">
        <w:rPr>
          <w:rFonts w:ascii="Arial" w:eastAsia="Times New Roman" w:hAnsi="Arial"/>
        </w:rPr>
        <w:lastRenderedPageBreak/>
        <w:t>competence and relatedness as predictors of engagement across a meaningful sample, which a smaller qualitative approach would not be able to support (Saunders, Lewis and Thornhill, 2019). The focus on the single retail brand and on a single city means it is limited in terms of geographic coverage, but it will make it possible to measure SDT constructs more internally consistently than a multi-brand or multi-city design would do in the context of a dissertation.</w:t>
      </w:r>
    </w:p>
    <w:p w:rsidR="00535CCE" w:rsidRPr="00C23322" w:rsidRDefault="00CC5FB6" w:rsidP="00B21D3F">
      <w:pPr>
        <w:spacing w:after="120"/>
        <w:rPr>
          <w:rFonts w:ascii="Arial" w:hAnsi="Arial"/>
        </w:rPr>
      </w:pPr>
      <w:r w:rsidRPr="00C23322">
        <w:rPr>
          <w:rFonts w:ascii="Arial" w:eastAsia="Times New Roman" w:hAnsi="Arial"/>
        </w:rPr>
        <w:t xml:space="preserve">In terms of practical implications, this study will offer a deeper evidence-based understanding of the psychological aspects of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 adoption that are most likely to drive </w:t>
      </w:r>
      <w:r w:rsidR="002C0901">
        <w:rPr>
          <w:rFonts w:ascii="Arial" w:eastAsia="Times New Roman" w:hAnsi="Arial"/>
        </w:rPr>
        <w:t>programme</w:t>
      </w:r>
      <w:r w:rsidRPr="00C23322">
        <w:rPr>
          <w:rFonts w:ascii="Arial" w:eastAsia="Times New Roman" w:hAnsi="Arial"/>
        </w:rPr>
        <w:t xml:space="preserve"> engagement during financial stress, which will be supplemented by theoretically grounded evidence that will help retail managers guide their investment decisions more accurately. What is unique about this research is the use of a well-established motivational framework, a retail sector and geographic setting that is little known to psychological research, and a time of great and immediate economic importance, all of which yield a theoretically important and managerially relevant insight</w:t>
      </w:r>
      <w:r w:rsidR="00535CCE" w:rsidRPr="00C23322">
        <w:rPr>
          <w:rFonts w:ascii="Arial" w:eastAsia="Times New Roman" w:hAnsi="Arial"/>
        </w:rPr>
        <w:t>.</w:t>
      </w:r>
    </w:p>
    <w:p w:rsidR="00535CCE" w:rsidRPr="00C23322" w:rsidRDefault="00535CCE" w:rsidP="00B21D3F">
      <w:pPr>
        <w:pStyle w:val="Heading2"/>
        <w:spacing w:before="0" w:after="120"/>
        <w:rPr>
          <w:rFonts w:ascii="Arial" w:hAnsi="Arial" w:cs="Arial"/>
        </w:rPr>
      </w:pPr>
      <w:bookmarkStart w:id="6" w:name="_Toc241116789"/>
      <w:r w:rsidRPr="00C23322">
        <w:rPr>
          <w:rFonts w:ascii="Arial" w:hAnsi="Arial" w:cs="Arial"/>
          <w:sz w:val="24"/>
        </w:rPr>
        <w:t>1.4 Research Aim, Objectives, and Questions</w:t>
      </w:r>
      <w:bookmarkEnd w:id="6"/>
    </w:p>
    <w:p w:rsidR="00535CCE" w:rsidRPr="00C23322" w:rsidRDefault="00535CCE" w:rsidP="00B21D3F">
      <w:pPr>
        <w:spacing w:after="120"/>
        <w:rPr>
          <w:rFonts w:ascii="Arial" w:hAnsi="Arial"/>
        </w:rPr>
      </w:pPr>
      <w:r w:rsidRPr="00C23322">
        <w:rPr>
          <w:rFonts w:ascii="Arial" w:eastAsia="Times New Roman" w:hAnsi="Arial"/>
          <w:b/>
          <w:bCs/>
        </w:rPr>
        <w:t xml:space="preserve">Research Aim: </w:t>
      </w:r>
      <w:r w:rsidRPr="00C23322">
        <w:rPr>
          <w:rFonts w:ascii="Arial" w:eastAsia="Times New Roman" w:hAnsi="Arial"/>
        </w:rPr>
        <w:t xml:space="preserve">The aim of this research is to examine the extent to which </w:t>
      </w:r>
      <w:r w:rsidR="002C0901">
        <w:rPr>
          <w:rFonts w:ascii="Arial" w:eastAsia="Times New Roman" w:hAnsi="Arial"/>
        </w:rPr>
        <w:t>Self-Determination Theory</w:t>
      </w:r>
      <w:r w:rsidRPr="00C23322">
        <w:rPr>
          <w:rFonts w:ascii="Arial" w:eastAsia="Times New Roman" w:hAnsi="Arial"/>
        </w:rPr>
        <w:t xml:space="preserve"> explains sustained Tesco Clubcard engagement among London consumers during the cost-of-living crisis, and to assess the relative contribution of autonomy, competence, and relatedness need satisfaction to continued </w:t>
      </w:r>
      <w:r w:rsidR="002C0901">
        <w:rPr>
          <w:rFonts w:ascii="Arial" w:eastAsia="Times New Roman" w:hAnsi="Arial"/>
        </w:rPr>
        <w:t>programme</w:t>
      </w:r>
      <w:r w:rsidRPr="00C23322">
        <w:rPr>
          <w:rFonts w:ascii="Arial" w:eastAsia="Times New Roman" w:hAnsi="Arial"/>
        </w:rPr>
        <w:t xml:space="preserve"> participation.</w:t>
      </w:r>
    </w:p>
    <w:p w:rsidR="00535CCE" w:rsidRPr="00C23322" w:rsidRDefault="00535CCE" w:rsidP="00B21D3F">
      <w:pPr>
        <w:spacing w:after="120"/>
        <w:rPr>
          <w:rFonts w:ascii="Arial" w:hAnsi="Arial"/>
        </w:rPr>
      </w:pPr>
      <w:r w:rsidRPr="00C23322">
        <w:rPr>
          <w:rFonts w:ascii="Arial" w:eastAsia="Times New Roman" w:hAnsi="Arial"/>
          <w:b/>
          <w:bCs/>
        </w:rPr>
        <w:t>Research Objectives:</w:t>
      </w:r>
    </w:p>
    <w:p w:rsidR="00535CCE" w:rsidRPr="00C23322" w:rsidRDefault="00535CCE" w:rsidP="00B21D3F">
      <w:pPr>
        <w:pStyle w:val="ListParagraph"/>
        <w:numPr>
          <w:ilvl w:val="0"/>
          <w:numId w:val="1"/>
        </w:numPr>
        <w:spacing w:after="120" w:line="360" w:lineRule="auto"/>
        <w:jc w:val="both"/>
        <w:rPr>
          <w:rFonts w:ascii="Arial" w:hAnsi="Arial" w:cs="Arial"/>
        </w:rPr>
      </w:pPr>
      <w:r w:rsidRPr="00C23322">
        <w:rPr>
          <w:rFonts w:ascii="Arial" w:hAnsi="Arial" w:cs="Arial"/>
        </w:rPr>
        <w:t>To assess the extent to which satisfaction of the SDT psychological needs of autonomy, competence, and relatedness predicts continued Tesco Clubcard engagement among London consumers.</w:t>
      </w:r>
    </w:p>
    <w:p w:rsidR="00535CCE" w:rsidRPr="00C23322" w:rsidRDefault="00535CCE" w:rsidP="00B21D3F">
      <w:pPr>
        <w:pStyle w:val="ListParagraph"/>
        <w:numPr>
          <w:ilvl w:val="0"/>
          <w:numId w:val="1"/>
        </w:numPr>
        <w:spacing w:after="120" w:line="360" w:lineRule="auto"/>
        <w:jc w:val="both"/>
        <w:rPr>
          <w:rFonts w:ascii="Arial" w:hAnsi="Arial" w:cs="Arial"/>
        </w:rPr>
      </w:pPr>
      <w:r w:rsidRPr="00C23322">
        <w:rPr>
          <w:rFonts w:ascii="Arial" w:hAnsi="Arial" w:cs="Arial"/>
        </w:rPr>
        <w:t>To examine whether financial pressure associated with the cost-of-living crisis moderates the relationship between SDT need satisfaction and Clubcard engagement.</w:t>
      </w:r>
    </w:p>
    <w:p w:rsidR="00535CCE" w:rsidRPr="00C23322" w:rsidRDefault="00535CCE" w:rsidP="00B21D3F">
      <w:pPr>
        <w:pStyle w:val="ListParagraph"/>
        <w:numPr>
          <w:ilvl w:val="0"/>
          <w:numId w:val="1"/>
        </w:numPr>
        <w:spacing w:after="120" w:line="360" w:lineRule="auto"/>
        <w:jc w:val="both"/>
        <w:rPr>
          <w:rFonts w:ascii="Arial" w:hAnsi="Arial" w:cs="Arial"/>
        </w:rPr>
      </w:pPr>
      <w:r w:rsidRPr="00C23322">
        <w:rPr>
          <w:rFonts w:ascii="Arial" w:hAnsi="Arial" w:cs="Arial"/>
        </w:rPr>
        <w:lastRenderedPageBreak/>
        <w:t xml:space="preserve">To determine which of the three SDT need dimensions (autonomy, competence, or relatedness) most strongly predicts </w:t>
      </w:r>
      <w:r w:rsidR="002C0901">
        <w:rPr>
          <w:rFonts w:ascii="Arial" w:hAnsi="Arial" w:cs="Arial"/>
        </w:rPr>
        <w:t xml:space="preserve">loyalty </w:t>
      </w:r>
      <w:r w:rsidR="00180CC5">
        <w:rPr>
          <w:rFonts w:ascii="Arial" w:hAnsi="Arial" w:cs="Arial"/>
        </w:rPr>
        <w:t>programme</w:t>
      </w:r>
      <w:r w:rsidRPr="00C23322">
        <w:rPr>
          <w:rFonts w:ascii="Arial" w:hAnsi="Arial" w:cs="Arial"/>
        </w:rPr>
        <w:t xml:space="preserve"> engagement in a financially constrained consumer context.</w:t>
      </w:r>
    </w:p>
    <w:p w:rsidR="00535CCE" w:rsidRPr="00C23322" w:rsidRDefault="00535CCE" w:rsidP="00B21D3F">
      <w:pPr>
        <w:spacing w:after="120"/>
        <w:rPr>
          <w:rFonts w:ascii="Arial" w:hAnsi="Arial"/>
        </w:rPr>
      </w:pPr>
      <w:r w:rsidRPr="00C23322">
        <w:rPr>
          <w:rFonts w:ascii="Arial" w:eastAsia="Times New Roman" w:hAnsi="Arial"/>
          <w:b/>
          <w:bCs/>
        </w:rPr>
        <w:t>Research Questions:</w:t>
      </w:r>
    </w:p>
    <w:p w:rsidR="00535CCE" w:rsidRPr="00C23322" w:rsidRDefault="00535CCE" w:rsidP="00B21D3F">
      <w:pPr>
        <w:pStyle w:val="ListParagraph"/>
        <w:numPr>
          <w:ilvl w:val="0"/>
          <w:numId w:val="1"/>
        </w:numPr>
        <w:spacing w:after="120" w:line="360" w:lineRule="auto"/>
        <w:jc w:val="both"/>
        <w:rPr>
          <w:rFonts w:ascii="Arial" w:hAnsi="Arial" w:cs="Arial"/>
        </w:rPr>
      </w:pPr>
      <w:r w:rsidRPr="00C23322">
        <w:rPr>
          <w:rFonts w:ascii="Arial" w:hAnsi="Arial" w:cs="Arial"/>
        </w:rPr>
        <w:t xml:space="preserve">To what extent does </w:t>
      </w:r>
      <w:r w:rsidR="002C0901">
        <w:rPr>
          <w:rFonts w:ascii="Arial" w:hAnsi="Arial" w:cs="Arial"/>
        </w:rPr>
        <w:t>Self-Determination Theory</w:t>
      </w:r>
      <w:r w:rsidRPr="00C23322">
        <w:rPr>
          <w:rFonts w:ascii="Arial" w:hAnsi="Arial" w:cs="Arial"/>
        </w:rPr>
        <w:t xml:space="preserve"> account for sustained Tesco Clubcard engagement among London consumers during the cost-of-living crisis?</w:t>
      </w:r>
    </w:p>
    <w:p w:rsidR="00535CCE" w:rsidRPr="00C23322" w:rsidRDefault="00A37033" w:rsidP="00B21D3F">
      <w:pPr>
        <w:pStyle w:val="ListParagraph"/>
        <w:numPr>
          <w:ilvl w:val="0"/>
          <w:numId w:val="1"/>
        </w:numPr>
        <w:spacing w:after="120" w:line="360" w:lineRule="auto"/>
        <w:jc w:val="both"/>
        <w:rPr>
          <w:rFonts w:ascii="Arial" w:hAnsi="Arial" w:cs="Arial"/>
        </w:rPr>
      </w:pPr>
      <w:r w:rsidRPr="00C23322">
        <w:rPr>
          <w:rFonts w:ascii="Arial" w:hAnsi="Arial" w:cs="Arial"/>
        </w:rPr>
        <w:t>Which SDT need dimension (autonomy, competence, or relatedness) has the largest standardised regression coefficient in predicting sustained Clubcard engagement</w:t>
      </w:r>
      <w:r w:rsidR="00535CCE" w:rsidRPr="00C23322">
        <w:rPr>
          <w:rFonts w:ascii="Arial" w:hAnsi="Arial" w:cs="Arial"/>
        </w:rPr>
        <w:t xml:space="preserve"> when consumers are subject to financial pressure?</w:t>
      </w:r>
    </w:p>
    <w:p w:rsidR="00535CCE" w:rsidRPr="00C23322" w:rsidRDefault="00535CCE" w:rsidP="00B21D3F">
      <w:pPr>
        <w:pStyle w:val="Heading2"/>
        <w:spacing w:before="0" w:after="120"/>
        <w:rPr>
          <w:rFonts w:ascii="Arial" w:hAnsi="Arial" w:cs="Arial"/>
        </w:rPr>
      </w:pPr>
      <w:bookmarkStart w:id="7" w:name="_Toc241116790"/>
      <w:r w:rsidRPr="00C23322">
        <w:rPr>
          <w:rFonts w:ascii="Arial" w:hAnsi="Arial" w:cs="Arial"/>
          <w:sz w:val="24"/>
        </w:rPr>
        <w:t>1.5 Dissertation Structure</w:t>
      </w:r>
      <w:bookmarkEnd w:id="7"/>
    </w:p>
    <w:p w:rsidR="00974B8B" w:rsidRPr="00C23322" w:rsidRDefault="002D74EB" w:rsidP="00B21D3F">
      <w:pPr>
        <w:spacing w:after="120"/>
        <w:rPr>
          <w:rFonts w:ascii="Arial" w:eastAsia="Times New Roman" w:hAnsi="Arial"/>
        </w:rPr>
      </w:pPr>
      <w:r w:rsidRPr="00C23322">
        <w:rPr>
          <w:rFonts w:ascii="Arial" w:eastAsia="Times New Roman" w:hAnsi="Arial"/>
        </w:rPr>
        <w:t xml:space="preserve">The remainder of this dissertation is structured as follows. Chapter 2 reviews the existing literature on customer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s, sustained customer engagement, </w:t>
      </w:r>
      <w:r w:rsidR="002C0901">
        <w:rPr>
          <w:rFonts w:ascii="Arial" w:eastAsia="Times New Roman" w:hAnsi="Arial"/>
        </w:rPr>
        <w:t>Self-Determination Theory</w:t>
      </w:r>
      <w:r w:rsidRPr="00C23322">
        <w:rPr>
          <w:rFonts w:ascii="Arial" w:eastAsia="Times New Roman" w:hAnsi="Arial"/>
        </w:rPr>
        <w:t xml:space="preserve"> (SDT), and the psychological needs of autonomy, competence, and relatedness. It also formulates the conceptualization and hypotheses regarding these psychological needs, continued involvement with Tesco Clubcard and the moderating effect of perceived financial pressure. Chapter 3 outlines the research methodology, including the research philosophy, approach, design, sampling strategy, survey instrument, measurement of the study variables, and analytical procedures used to test the proposed hypotheses. Chapter 4 presents the findings of the quantitative analysis, including descriptive statistics, reliability analysis, correlation analysis, multiple regression, and moderation analysis. Chapter 5 examines the findings in the light of the literature and SDT, particularly with regard to the dimensions of autonomy, competence, relatedness and financial pressure within the context of the continued use of the Clubcard. Finally, Chapter 6 summarises the dissertation and outlines the study's theoretical contributions, managerial implications, limitations, and suggestions for future research.</w:t>
      </w:r>
    </w:p>
    <w:p w:rsidR="00974B8B" w:rsidRPr="00C23322" w:rsidRDefault="00974B8B" w:rsidP="00B21D3F">
      <w:pPr>
        <w:spacing w:after="120" w:line="259" w:lineRule="auto"/>
        <w:jc w:val="left"/>
        <w:rPr>
          <w:rFonts w:ascii="Arial" w:eastAsia="Times New Roman" w:hAnsi="Arial"/>
        </w:rPr>
      </w:pPr>
      <w:r w:rsidRPr="00C23322">
        <w:rPr>
          <w:rFonts w:ascii="Arial" w:eastAsia="Times New Roman" w:hAnsi="Arial"/>
        </w:rPr>
        <w:br w:type="page"/>
      </w:r>
    </w:p>
    <w:p w:rsidR="002707D2" w:rsidRPr="00C23322" w:rsidRDefault="002707D2" w:rsidP="00E326DA">
      <w:pPr>
        <w:pStyle w:val="Heading1"/>
      </w:pPr>
      <w:bookmarkStart w:id="8" w:name="_Toc241116791"/>
      <w:r w:rsidRPr="00C23322">
        <w:lastRenderedPageBreak/>
        <w:t>Chapter 2: Literature Review</w:t>
      </w:r>
      <w:bookmarkEnd w:id="8"/>
    </w:p>
    <w:p w:rsidR="002707D2" w:rsidRPr="00C23322" w:rsidRDefault="002707D2" w:rsidP="002707D2">
      <w:pPr>
        <w:pStyle w:val="Heading2"/>
        <w:spacing w:before="0" w:after="120"/>
        <w:rPr>
          <w:rFonts w:ascii="Arial" w:hAnsi="Arial" w:cs="Arial"/>
        </w:rPr>
      </w:pPr>
      <w:bookmarkStart w:id="9" w:name="_Toc241116792"/>
      <w:r w:rsidRPr="00C23322">
        <w:rPr>
          <w:rFonts w:ascii="Arial" w:hAnsi="Arial" w:cs="Arial"/>
          <w:color w:val="000000"/>
          <w:szCs w:val="26"/>
        </w:rPr>
        <w:t>2.1 Introduction</w:t>
      </w:r>
      <w:bookmarkEnd w:id="9"/>
    </w:p>
    <w:p w:rsidR="002707D2" w:rsidRPr="00C23322" w:rsidRDefault="002D74EB" w:rsidP="002707D2">
      <w:pPr>
        <w:spacing w:after="120"/>
        <w:rPr>
          <w:rFonts w:ascii="Arial" w:hAnsi="Arial"/>
        </w:rPr>
      </w:pPr>
      <w:r w:rsidRPr="00C23322">
        <w:rPr>
          <w:rFonts w:ascii="Arial" w:eastAsia="Times New Roman" w:hAnsi="Arial"/>
        </w:rPr>
        <w:t xml:space="preserve">This chapter reviews the literature on customer loyalty, customer engagement and </w:t>
      </w:r>
      <w:r w:rsidR="002C0901">
        <w:rPr>
          <w:rFonts w:ascii="Arial" w:eastAsia="Times New Roman" w:hAnsi="Arial"/>
        </w:rPr>
        <w:t>Self-Determination Theory</w:t>
      </w:r>
      <w:r w:rsidRPr="00C23322">
        <w:rPr>
          <w:rFonts w:ascii="Arial" w:eastAsia="Times New Roman" w:hAnsi="Arial"/>
        </w:rPr>
        <w:t xml:space="preserve"> (SDT) to build the hypotheses tested later in this study. It states that customer engagement is more relevant than behavioural loyalty alone to how London consumers are relating to Tesco Clubcard during the </w:t>
      </w:r>
      <w:r w:rsidR="002C0901">
        <w:rPr>
          <w:rFonts w:ascii="Arial" w:eastAsia="Times New Roman" w:hAnsi="Arial"/>
        </w:rPr>
        <w:t>cost-of-living crisis</w:t>
      </w:r>
      <w:r w:rsidRPr="00C23322">
        <w:rPr>
          <w:rFonts w:ascii="Arial" w:eastAsia="Times New Roman" w:hAnsi="Arial"/>
        </w:rPr>
        <w:t>, and that SDT is an appropriate framework to explain this. Section 2.2 differentiates between loyalty and engagement, Section 2.3 introduces SDT and its three basic needs, Section 2.4-2.6 develops hypotheses for autonomy, competence and relatedness, Section 2.7 introduces financial pressure as a moderator, while Section 2.8-2.10 provides the conceptual framework, summarises the literature and sets out the resulting research gaps</w:t>
      </w:r>
      <w:r w:rsidR="002707D2" w:rsidRPr="00C23322">
        <w:rPr>
          <w:rFonts w:ascii="Arial" w:eastAsia="Times New Roman" w:hAnsi="Arial"/>
        </w:rPr>
        <w:t>.</w:t>
      </w:r>
    </w:p>
    <w:p w:rsidR="002707D2" w:rsidRPr="00C23322" w:rsidRDefault="002707D2" w:rsidP="002707D2">
      <w:pPr>
        <w:pStyle w:val="Heading2"/>
        <w:spacing w:before="0" w:after="120"/>
        <w:rPr>
          <w:rFonts w:ascii="Arial" w:hAnsi="Arial" w:cs="Arial"/>
        </w:rPr>
      </w:pPr>
      <w:bookmarkStart w:id="10" w:name="_Toc241116793"/>
      <w:r w:rsidRPr="00C23322">
        <w:rPr>
          <w:rFonts w:ascii="Arial" w:hAnsi="Arial" w:cs="Arial"/>
          <w:color w:val="000000"/>
          <w:szCs w:val="26"/>
        </w:rPr>
        <w:t>2.2 Customer Loyalty and Engagement</w:t>
      </w:r>
      <w:bookmarkEnd w:id="10"/>
    </w:p>
    <w:p w:rsidR="002707D2" w:rsidRPr="00C23322" w:rsidRDefault="00B54EE8" w:rsidP="002707D2">
      <w:pPr>
        <w:spacing w:after="120"/>
        <w:rPr>
          <w:rFonts w:ascii="Arial" w:hAnsi="Arial"/>
        </w:rPr>
      </w:pPr>
      <w:r w:rsidRPr="00C23322">
        <w:rPr>
          <w:rFonts w:ascii="Arial" w:eastAsia="Times New Roman" w:hAnsi="Arial"/>
        </w:rPr>
        <w:t xml:space="preserve">In traditional loyalty research, behavioural loyalty is defined by repurchasing: a buyer who purchases from the same store on multiple occasions is considered loyal. This is easy to measure using transaction data, </w:t>
      </w:r>
      <w:r w:rsidR="00A37033" w:rsidRPr="00C23322">
        <w:rPr>
          <w:rFonts w:ascii="Arial" w:hAnsi="Arial"/>
        </w:rPr>
        <w:t>however, repeat purchasing alone may reflect habitual behaviour or situational convenience rather than genuine attitudinal commitment</w:t>
      </w:r>
      <w:r w:rsidRPr="00C23322">
        <w:rPr>
          <w:rFonts w:ascii="Arial" w:eastAsia="Times New Roman" w:hAnsi="Arial"/>
        </w:rPr>
        <w:t>. This means that a customer can go back to Tesco just because it is the closest supermarket, rather than being tempted by the loyalty scheme or brand in the first place. Dick and Basu (1994) remedied this by distinguishing between behavioural loyalty and attitudinal loyalty, insisting that true loyalty involves repeat patronage and a positive attitude. Oliver (1999) took it one step further, suggesting that the highest level of loyalty is when the customer has a psychological attachment to the company that does not waver when situational factors get in the way. These contributions all imply that repeat purchase is an insufficient indicator of Clubcard loyalty</w:t>
      </w:r>
      <w:r w:rsidR="002707D2" w:rsidRPr="00C23322">
        <w:rPr>
          <w:rFonts w:ascii="Arial" w:eastAsia="Times New Roman" w:hAnsi="Arial"/>
        </w:rPr>
        <w:t>.</w:t>
      </w:r>
    </w:p>
    <w:p w:rsidR="002707D2" w:rsidRPr="00C23322" w:rsidRDefault="00B54EE8" w:rsidP="00A37033">
      <w:pPr>
        <w:spacing w:after="120"/>
        <w:rPr>
          <w:rFonts w:ascii="Arial" w:hAnsi="Arial"/>
        </w:rPr>
      </w:pPr>
      <w:r w:rsidRPr="00C23322">
        <w:rPr>
          <w:rFonts w:ascii="Arial" w:eastAsia="Times New Roman" w:hAnsi="Arial"/>
        </w:rPr>
        <w:t xml:space="preserve">An alternative </w:t>
      </w:r>
      <w:r w:rsidRPr="00180CC5">
        <w:rPr>
          <w:rFonts w:ascii="Arial" w:eastAsia="Times New Roman" w:hAnsi="Arial"/>
        </w:rPr>
        <w:t xml:space="preserve">perspective </w:t>
      </w:r>
      <w:r w:rsidR="00180CC5" w:rsidRPr="00180CC5">
        <w:rPr>
          <w:rFonts w:ascii="Arial" w:hAnsi="Arial"/>
        </w:rPr>
        <w:t>is provided by</w:t>
      </w:r>
      <w:r w:rsidR="00180CC5" w:rsidRPr="00180CC5">
        <w:rPr>
          <w:rFonts w:ascii="Arial" w:eastAsia="Times New Roman" w:hAnsi="Arial"/>
        </w:rPr>
        <w:t xml:space="preserve"> </w:t>
      </w:r>
      <w:r w:rsidRPr="00180CC5">
        <w:rPr>
          <w:rFonts w:ascii="Arial" w:eastAsia="Times New Roman" w:hAnsi="Arial"/>
        </w:rPr>
        <w:t>the</w:t>
      </w:r>
      <w:r w:rsidRPr="00C23322">
        <w:rPr>
          <w:rFonts w:ascii="Arial" w:eastAsia="Times New Roman" w:hAnsi="Arial"/>
        </w:rPr>
        <w:t xml:space="preserve"> customer engagement. Brodie et al. (2011) define engagement as psychological state emerging from interactive co-creative experiences with a brand, and Hollebeek (2011) decomposes the state into cognitive, emotional, behavioural dimensions, with a later work adding a motivational dimension that describes the underlying drive to participate. Cognitive engagement is being attentive to </w:t>
      </w:r>
      <w:r w:rsidRPr="00C23322">
        <w:rPr>
          <w:rFonts w:ascii="Arial" w:eastAsia="Times New Roman" w:hAnsi="Arial"/>
        </w:rPr>
        <w:lastRenderedPageBreak/>
        <w:t>the Clubcard offers and Clubcard Prices, emotional engagement is feeling valued by Tesco, behavioural engagement is using the card, app and vouchers, and motivational engagement is wanting to make repeat purchases from the scheme versus switching to other clubs. Engagement thus reflects why a consumer "engages" rather than just that they do</w:t>
      </w:r>
      <w:r w:rsidR="002707D2" w:rsidRPr="00C23322">
        <w:rPr>
          <w:rFonts w:ascii="Arial" w:eastAsia="Times New Roman" w:hAnsi="Arial"/>
        </w:rPr>
        <w:t>.</w:t>
      </w:r>
    </w:p>
    <w:p w:rsidR="002707D2" w:rsidRPr="00C23322" w:rsidRDefault="000547B3" w:rsidP="00A37033">
      <w:pPr>
        <w:spacing w:after="120"/>
        <w:rPr>
          <w:rFonts w:ascii="Arial" w:eastAsia="Times New Roman" w:hAnsi="Arial"/>
        </w:rPr>
      </w:pPr>
      <w:r w:rsidRPr="00C23322">
        <w:rPr>
          <w:rFonts w:ascii="Arial" w:eastAsia="Times New Roman" w:hAnsi="Arial"/>
        </w:rPr>
        <w:t xml:space="preserve">The majority of the loyalty work today is </w:t>
      </w:r>
      <w:r w:rsidR="002C0901">
        <w:rPr>
          <w:rFonts w:ascii="Arial" w:eastAsia="Times New Roman" w:hAnsi="Arial"/>
        </w:rPr>
        <w:t>behavioural</w:t>
      </w:r>
      <w:r w:rsidRPr="00C23322">
        <w:rPr>
          <w:rFonts w:ascii="Arial" w:eastAsia="Times New Roman" w:hAnsi="Arial"/>
        </w:rPr>
        <w:t>. It is not measuring the</w:t>
      </w:r>
      <w:r w:rsidR="00180CC5">
        <w:rPr>
          <w:rFonts w:ascii="Arial" w:eastAsia="Times New Roman" w:hAnsi="Arial"/>
        </w:rPr>
        <w:t xml:space="preserve"> psychological states Brodie et</w:t>
      </w:r>
      <w:r w:rsidRPr="00C23322">
        <w:rPr>
          <w:rFonts w:ascii="Arial" w:eastAsia="Times New Roman" w:hAnsi="Arial"/>
        </w:rPr>
        <w:t xml:space="preserve"> al (2011) and Hollebeek (2011) are describing, it is measuring visits and spend. When engagement has been researched directly, it has primarily been in relation to digital and service environments: social media communities, mobile apps, hospitality. Groceries are different. Although people might select which store they would like to purchase a product from, and they might decide which specific items they would like to buy, it is still a fact that much of shopping is a necessity and food shopping is no different. </w:t>
      </w:r>
      <w:r w:rsidR="00A37033" w:rsidRPr="00C23322">
        <w:rPr>
          <w:rFonts w:ascii="Arial" w:eastAsia="Times New Roman" w:hAnsi="Arial"/>
        </w:rPr>
        <w:t xml:space="preserve">Unlike many of the experiences of discretionary consumption, grocery shopping is mostly a necessity. This can thus lead to less freedom for consumers to detach from the buying activity itself. Engagement with a </w:t>
      </w:r>
      <w:r w:rsidR="002C0901">
        <w:rPr>
          <w:rFonts w:ascii="Arial" w:eastAsia="Times New Roman" w:hAnsi="Arial"/>
        </w:rPr>
        <w:t xml:space="preserve">loyalty </w:t>
      </w:r>
      <w:r w:rsidR="00180CC5">
        <w:rPr>
          <w:rFonts w:ascii="Arial" w:eastAsia="Times New Roman" w:hAnsi="Arial"/>
        </w:rPr>
        <w:t>programme</w:t>
      </w:r>
      <w:r w:rsidR="00A37033" w:rsidRPr="00C23322">
        <w:rPr>
          <w:rFonts w:ascii="Arial" w:eastAsia="Times New Roman" w:hAnsi="Arial"/>
        </w:rPr>
        <w:t xml:space="preserve"> is a separate issue from engagemen</w:t>
      </w:r>
      <w:r w:rsidR="00180CC5">
        <w:rPr>
          <w:rFonts w:ascii="Arial" w:eastAsia="Times New Roman" w:hAnsi="Arial"/>
        </w:rPr>
        <w:t>t with the underlying purchase</w:t>
      </w:r>
      <w:r w:rsidRPr="00C23322">
        <w:rPr>
          <w:rFonts w:ascii="Arial" w:eastAsia="Times New Roman" w:hAnsi="Arial"/>
        </w:rPr>
        <w:t xml:space="preserve">. So whatever people do with Clubcard is tacked on to something they need to do. </w:t>
      </w:r>
      <w:r w:rsidR="00180CC5" w:rsidRPr="00180CC5">
        <w:rPr>
          <w:rFonts w:ascii="Arial" w:hAnsi="Arial"/>
        </w:rPr>
        <w:t>This distinction becomes particularly important in the context of the cost-of-living crisis</w:t>
      </w:r>
      <w:r w:rsidRPr="00180CC5">
        <w:rPr>
          <w:rFonts w:ascii="Arial" w:eastAsia="Times New Roman" w:hAnsi="Arial"/>
        </w:rPr>
        <w:t>. For a financially constrained shopper, there are few other avenues</w:t>
      </w:r>
      <w:r w:rsidRPr="00C23322">
        <w:rPr>
          <w:rFonts w:ascii="Arial" w:eastAsia="Times New Roman" w:hAnsi="Arial"/>
        </w:rPr>
        <w:t xml:space="preserve"> to use choice, effectiveness and recognition in buying behaviour, creating a psychological foundation for engagement to be more significant than a behavioural one. </w:t>
      </w:r>
      <w:r w:rsidR="00BA4EF7" w:rsidRPr="00C23322">
        <w:rPr>
          <w:rFonts w:ascii="Arial" w:hAnsi="Arial"/>
        </w:rPr>
        <w:t xml:space="preserve">Accordingly, </w:t>
      </w:r>
      <w:r w:rsidR="002C0901">
        <w:rPr>
          <w:rFonts w:ascii="Arial" w:hAnsi="Arial"/>
        </w:rPr>
        <w:t>Self-Determination Theory</w:t>
      </w:r>
      <w:r w:rsidR="00BA4EF7" w:rsidRPr="00C23322">
        <w:rPr>
          <w:rFonts w:ascii="Arial" w:hAnsi="Arial"/>
        </w:rPr>
        <w:t xml:space="preserve"> is used in this study to explain sustained Clubcard engagement </w:t>
      </w:r>
      <w:r w:rsidRPr="00C23322">
        <w:rPr>
          <w:rFonts w:ascii="Arial" w:eastAsia="Times New Roman" w:hAnsi="Arial"/>
        </w:rPr>
        <w:t>to explain prolonged Clubcard use, rather than using concepts developed for non-compulsory consumption.</w:t>
      </w:r>
    </w:p>
    <w:p w:rsidR="002707D2" w:rsidRPr="00C23322" w:rsidRDefault="002707D2" w:rsidP="002707D2">
      <w:pPr>
        <w:pStyle w:val="Heading2"/>
        <w:spacing w:before="0" w:after="120"/>
        <w:rPr>
          <w:rFonts w:ascii="Arial" w:hAnsi="Arial" w:cs="Arial"/>
        </w:rPr>
      </w:pPr>
      <w:bookmarkStart w:id="11" w:name="_Toc241116794"/>
      <w:r w:rsidRPr="00C23322">
        <w:rPr>
          <w:rFonts w:ascii="Arial" w:hAnsi="Arial" w:cs="Arial"/>
          <w:color w:val="000000"/>
          <w:szCs w:val="26"/>
        </w:rPr>
        <w:t xml:space="preserve">2.3 </w:t>
      </w:r>
      <w:r w:rsidR="002C0901">
        <w:rPr>
          <w:rFonts w:ascii="Arial" w:hAnsi="Arial" w:cs="Arial"/>
          <w:color w:val="000000"/>
          <w:szCs w:val="26"/>
        </w:rPr>
        <w:t>Self-Determination Theory</w:t>
      </w:r>
      <w:bookmarkEnd w:id="11"/>
    </w:p>
    <w:p w:rsidR="000547B3" w:rsidRPr="00C23322" w:rsidRDefault="000547B3" w:rsidP="000547B3">
      <w:pPr>
        <w:spacing w:after="120"/>
        <w:rPr>
          <w:rFonts w:ascii="Arial" w:eastAsia="Times New Roman" w:hAnsi="Arial"/>
        </w:rPr>
      </w:pPr>
      <w:r w:rsidRPr="00C23322">
        <w:rPr>
          <w:rFonts w:ascii="Arial" w:eastAsia="Times New Roman" w:hAnsi="Arial"/>
        </w:rPr>
        <w:t xml:space="preserve">According to </w:t>
      </w:r>
      <w:r w:rsidR="002C0901">
        <w:rPr>
          <w:rFonts w:ascii="Arial" w:eastAsia="Times New Roman" w:hAnsi="Arial"/>
        </w:rPr>
        <w:t>Self-Determination Theory</w:t>
      </w:r>
      <w:r w:rsidRPr="00C23322">
        <w:rPr>
          <w:rFonts w:ascii="Arial" w:eastAsia="Times New Roman" w:hAnsi="Arial"/>
        </w:rPr>
        <w:t xml:space="preserve"> (SDT) developed by Deci and Ryan (1985) and later refined by Ryan and Deci (2000), it is the motive to participate in activities one finds interesting or valuable, as opposed to simply feeling pressured to participate, that is the subject of interest. Within SDT, Basic Psychological Needs Theory (BPNT) proposes that motivation and well</w:t>
      </w:r>
      <w:r w:rsidR="00180CC5">
        <w:rPr>
          <w:rFonts w:ascii="Arial" w:eastAsia="Times New Roman" w:hAnsi="Arial"/>
        </w:rPr>
        <w:t>-</w:t>
      </w:r>
      <w:r w:rsidRPr="00C23322">
        <w:rPr>
          <w:rFonts w:ascii="Arial" w:eastAsia="Times New Roman" w:hAnsi="Arial"/>
        </w:rPr>
        <w:t xml:space="preserve">being are influenced by the satisfaction of three basic psychological needs: autonomy, competence and relatedness. If these needs are met, individuals are </w:t>
      </w:r>
      <w:r w:rsidR="00BA4EF7" w:rsidRPr="00C23322">
        <w:rPr>
          <w:rFonts w:ascii="Arial" w:hAnsi="Arial"/>
        </w:rPr>
        <w:lastRenderedPageBreak/>
        <w:t>more likely to experience sustained and self-determined motivation</w:t>
      </w:r>
      <w:r w:rsidRPr="00C23322">
        <w:rPr>
          <w:rFonts w:ascii="Arial" w:eastAsia="Times New Roman" w:hAnsi="Arial"/>
        </w:rPr>
        <w:t xml:space="preserve">. However, when these needs are unfulfilled, motivation can become more controlled and be short-lived. It is helpful for understanding why certain consumers stick to a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 over time, when others may grow weary once the rewards or incentives have grown less alluring.</w:t>
      </w:r>
    </w:p>
    <w:p w:rsidR="000547B3" w:rsidRPr="00C23322" w:rsidRDefault="000547B3" w:rsidP="000547B3">
      <w:pPr>
        <w:spacing w:after="120"/>
        <w:rPr>
          <w:rFonts w:ascii="Arial" w:eastAsia="Times New Roman" w:hAnsi="Arial"/>
        </w:rPr>
      </w:pPr>
      <w:r w:rsidRPr="00C23322">
        <w:rPr>
          <w:rFonts w:ascii="Arial" w:eastAsia="Times New Roman" w:hAnsi="Arial"/>
        </w:rPr>
        <w:t xml:space="preserve">Autonomy refers to the feeling that a person's behaviour is based on their own choice and is not imposed by others. In the case of Clubcard, this need may be satisfied when shoppers feel that participating in the </w:t>
      </w:r>
      <w:r w:rsidR="002C0901">
        <w:rPr>
          <w:rFonts w:ascii="Arial" w:eastAsia="Times New Roman" w:hAnsi="Arial"/>
        </w:rPr>
        <w:t>programme</w:t>
      </w:r>
      <w:r w:rsidRPr="00C23322">
        <w:rPr>
          <w:rFonts w:ascii="Arial" w:eastAsia="Times New Roman" w:hAnsi="Arial"/>
        </w:rPr>
        <w:t xml:space="preserve"> is their own decision rather than something expected or required by Tesco. Competence is the sense of ability and effectiveness in producing a desired result. For Clubcard users, this could be reflected in their perception that they are using the </w:t>
      </w:r>
      <w:r w:rsidR="002C0901">
        <w:rPr>
          <w:rFonts w:ascii="Arial" w:eastAsia="Times New Roman" w:hAnsi="Arial"/>
        </w:rPr>
        <w:t>programme</w:t>
      </w:r>
      <w:r w:rsidRPr="00C23322">
        <w:rPr>
          <w:rFonts w:ascii="Arial" w:eastAsia="Times New Roman" w:hAnsi="Arial"/>
        </w:rPr>
        <w:t xml:space="preserve"> effectively to obtain discounts, savings or other benefits. Relatedness refers to the feeling of being connected to, recognised and valued by others. In the Clubcard case, it can happen when consumers believe that Tesco understands their specific needs and preferences </w:t>
      </w:r>
      <w:r w:rsidR="00BA4EF7" w:rsidRPr="00C23322">
        <w:rPr>
          <w:rFonts w:ascii="Arial" w:hAnsi="Arial"/>
        </w:rPr>
        <w:t>rather than treating them solely as transactional customers</w:t>
      </w:r>
      <w:r w:rsidRPr="00C23322">
        <w:rPr>
          <w:rFonts w:ascii="Arial" w:eastAsia="Times New Roman" w:hAnsi="Arial"/>
        </w:rPr>
        <w:t>.</w:t>
      </w:r>
    </w:p>
    <w:p w:rsidR="000547B3" w:rsidRPr="00C23322" w:rsidRDefault="000547B3" w:rsidP="000547B3">
      <w:pPr>
        <w:spacing w:after="120"/>
        <w:rPr>
          <w:rFonts w:ascii="Arial" w:eastAsia="Times New Roman" w:hAnsi="Arial"/>
        </w:rPr>
      </w:pPr>
      <w:r w:rsidRPr="00C23322">
        <w:rPr>
          <w:rFonts w:ascii="Arial" w:eastAsia="Times New Roman" w:hAnsi="Arial"/>
        </w:rPr>
        <w:t xml:space="preserve">Previous research on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s suggests that satisfying these psychological needs can contribute to continued engagement. Deci et al. (1999) describe how providing autonomy can enhance intrinsic motivation, while rewards that are experienced as controlling can decrease intrinsic motivation. In a similar vein, Peng and Hung (2020) and Xi and Hamari (2020), in their respective </w:t>
      </w:r>
      <w:r w:rsidR="002C0901">
        <w:rPr>
          <w:rFonts w:ascii="Arial" w:eastAsia="Times New Roman" w:hAnsi="Arial"/>
        </w:rPr>
        <w:t>programme</w:t>
      </w:r>
      <w:r w:rsidRPr="00C23322">
        <w:rPr>
          <w:rFonts w:ascii="Arial" w:eastAsia="Times New Roman" w:hAnsi="Arial"/>
        </w:rPr>
        <w:t xml:space="preserve">-specific research, found that autonomy, competence and relatedness independently facilitate persistence with loyalty and gamification reward </w:t>
      </w:r>
      <w:r w:rsidR="002C0901">
        <w:rPr>
          <w:rFonts w:ascii="Arial" w:eastAsia="Times New Roman" w:hAnsi="Arial"/>
        </w:rPr>
        <w:t>programme</w:t>
      </w:r>
      <w:r w:rsidRPr="00C23322">
        <w:rPr>
          <w:rFonts w:ascii="Arial" w:eastAsia="Times New Roman" w:hAnsi="Arial"/>
        </w:rPr>
        <w:t xml:space="preserve">s. Beyond consumer behaviour, SDT has been used and advocated in many other contexts. This broad application is relevant to the present study because grocery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s have received less attention from an SDT perspective.</w:t>
      </w:r>
    </w:p>
    <w:p w:rsidR="002707D2" w:rsidRPr="00C23322" w:rsidRDefault="000547B3" w:rsidP="000547B3">
      <w:pPr>
        <w:spacing w:after="120"/>
        <w:rPr>
          <w:rFonts w:ascii="Arial" w:hAnsi="Arial"/>
        </w:rPr>
      </w:pPr>
      <w:r w:rsidRPr="00C23322">
        <w:rPr>
          <w:rFonts w:ascii="Arial" w:eastAsia="Times New Roman" w:hAnsi="Arial"/>
        </w:rPr>
        <w:t xml:space="preserve">Yet, the current studies in the field of </w:t>
      </w:r>
      <w:r w:rsidR="002C0901">
        <w:rPr>
          <w:rFonts w:ascii="Arial" w:eastAsia="Times New Roman" w:hAnsi="Arial"/>
        </w:rPr>
        <w:t>programme</w:t>
      </w:r>
      <w:r w:rsidRPr="00C23322">
        <w:rPr>
          <w:rFonts w:ascii="Arial" w:eastAsia="Times New Roman" w:hAnsi="Arial"/>
        </w:rPr>
        <w:t xml:space="preserve">s are primarily conducted on digital platforms and gamified reward systems. There is limited evidence examining a mainstream grocery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 particularly in a context where consumers and retailers are experiencing financial pressure. The present study therefore applies SDT to Tesco Clubcard to explore whether autonomy, competence and relatedness can help </w:t>
      </w:r>
      <w:r w:rsidRPr="00C23322">
        <w:rPr>
          <w:rFonts w:ascii="Arial" w:eastAsia="Times New Roman" w:hAnsi="Arial"/>
        </w:rPr>
        <w:lastRenderedPageBreak/>
        <w:t xml:space="preserve">explain consumers' continued engagement with the </w:t>
      </w:r>
      <w:r w:rsidR="002C0901">
        <w:rPr>
          <w:rFonts w:ascii="Arial" w:eastAsia="Times New Roman" w:hAnsi="Arial"/>
        </w:rPr>
        <w:t>programme</w:t>
      </w:r>
      <w:r w:rsidRPr="00C23322">
        <w:rPr>
          <w:rFonts w:ascii="Arial" w:eastAsia="Times New Roman" w:hAnsi="Arial"/>
        </w:rPr>
        <w:t>. This provides an opportunity to extend the application of SDT into a more traditional grocery loyalty setting</w:t>
      </w:r>
      <w:r w:rsidR="002707D2" w:rsidRPr="00C23322">
        <w:rPr>
          <w:rFonts w:ascii="Arial" w:eastAsia="Times New Roman" w:hAnsi="Arial"/>
        </w:rPr>
        <w:t>.</w:t>
      </w:r>
    </w:p>
    <w:p w:rsidR="002707D2" w:rsidRPr="00C23322" w:rsidRDefault="002707D2" w:rsidP="002707D2">
      <w:pPr>
        <w:pStyle w:val="Heading2"/>
        <w:spacing w:before="0" w:after="120"/>
        <w:rPr>
          <w:rFonts w:ascii="Arial" w:hAnsi="Arial" w:cs="Arial"/>
        </w:rPr>
      </w:pPr>
      <w:bookmarkStart w:id="12" w:name="_Toc241116795"/>
      <w:r w:rsidRPr="00C23322">
        <w:rPr>
          <w:rFonts w:ascii="Arial" w:hAnsi="Arial" w:cs="Arial"/>
          <w:color w:val="000000"/>
          <w:szCs w:val="26"/>
        </w:rPr>
        <w:t>2.4 Autonomy and H1</w:t>
      </w:r>
      <w:bookmarkEnd w:id="12"/>
    </w:p>
    <w:p w:rsidR="000547B3" w:rsidRPr="00C23322" w:rsidRDefault="000547B3" w:rsidP="000547B3">
      <w:pPr>
        <w:spacing w:after="120"/>
        <w:rPr>
          <w:rFonts w:ascii="Arial" w:eastAsia="Times New Roman" w:hAnsi="Arial"/>
        </w:rPr>
      </w:pPr>
      <w:r w:rsidRPr="00C23322">
        <w:rPr>
          <w:rFonts w:ascii="Arial" w:eastAsia="Times New Roman" w:hAnsi="Arial"/>
        </w:rPr>
        <w:t>Autonomy is the sense that one's actions are really one's own and not under the control of others. Within Clubcard, autonomy need satisfaction is defined as a shopper feeling like they are participating in the scheme voluntarily, not because they are being forced to by Tesco. Personalised offers, where a shopper is not given one blanket discount, but is able to select which discounts to act on; and flexible use of rewards, where a shopper is not required to redeem Clubcard vouchers at a fixed time.</w:t>
      </w:r>
    </w:p>
    <w:p w:rsidR="000547B3" w:rsidRPr="00C23322" w:rsidRDefault="000547B3" w:rsidP="000547B3">
      <w:pPr>
        <w:spacing w:after="120"/>
        <w:rPr>
          <w:rFonts w:ascii="Arial" w:eastAsia="Times New Roman" w:hAnsi="Arial"/>
        </w:rPr>
      </w:pPr>
      <w:r w:rsidRPr="00C23322">
        <w:rPr>
          <w:rFonts w:ascii="Arial" w:eastAsia="Times New Roman" w:hAnsi="Arial"/>
        </w:rPr>
        <w:t xml:space="preserve">Autonomy is a core element of self-determined motivation according to Ryan and Deci (2000) and it is reflected in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 research. Peng and Hung (2020) reveal that out of the three fundamental needs, autonomy proved to be the most significant predictor of continued usage of a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 while Xi and Hamari (2020) discovered a similar trend for gamified reward </w:t>
      </w:r>
      <w:r w:rsidR="002C0901">
        <w:rPr>
          <w:rFonts w:ascii="Arial" w:eastAsia="Times New Roman" w:hAnsi="Arial"/>
        </w:rPr>
        <w:t>programme</w:t>
      </w:r>
      <w:r w:rsidRPr="00C23322">
        <w:rPr>
          <w:rFonts w:ascii="Arial" w:eastAsia="Times New Roman" w:hAnsi="Arial"/>
        </w:rPr>
        <w:t xml:space="preserve">s, with users who experienced greater freedom in how to engage with the </w:t>
      </w:r>
      <w:r w:rsidR="002C0901">
        <w:rPr>
          <w:rFonts w:ascii="Arial" w:eastAsia="Times New Roman" w:hAnsi="Arial"/>
        </w:rPr>
        <w:t>programme</w:t>
      </w:r>
      <w:r w:rsidRPr="00C23322">
        <w:rPr>
          <w:rFonts w:ascii="Arial" w:eastAsia="Times New Roman" w:hAnsi="Arial"/>
        </w:rPr>
        <w:t xml:space="preserve"> showing higher long-term engagement. These studies would collectively indicate that autonomy is the most significant of the three needs, if a business were to sustain everyone's engagement, but neither considers the grocery retail environment or the period of ongoing economic strain, so it is unclear if the same needs would apply to a Clubcard customer.</w:t>
      </w:r>
    </w:p>
    <w:p w:rsidR="002707D2" w:rsidRPr="00C23322" w:rsidRDefault="000547B3" w:rsidP="000547B3">
      <w:pPr>
        <w:spacing w:after="120"/>
        <w:rPr>
          <w:rFonts w:ascii="Arial" w:hAnsi="Arial"/>
        </w:rPr>
      </w:pPr>
      <w:r w:rsidRPr="00C23322">
        <w:rPr>
          <w:rFonts w:ascii="Arial" w:eastAsia="Times New Roman" w:hAnsi="Arial"/>
        </w:rPr>
        <w:t>Financial pressure may also limit consumer choice, as a tight budget lessens the number of shops, brands and products that are perceived as viable options for the consumer. Clubcard can help compensate for this in part: a financially squeezed shopper will have some choice over which personalised offers to leverage, or when to avail of the savings, to some degree. No previous research has investigated this phenomenon in the context of grocery loyalty or for an extended period of economic strain, which gives rise to the first hypothesis</w:t>
      </w:r>
      <w:r w:rsidR="002707D2" w:rsidRPr="00C23322">
        <w:rPr>
          <w:rFonts w:ascii="Arial" w:eastAsia="Times New Roman" w:hAnsi="Arial"/>
        </w:rPr>
        <w:t>:</w:t>
      </w:r>
    </w:p>
    <w:p w:rsidR="002707D2" w:rsidRPr="00C23322" w:rsidRDefault="002707D2" w:rsidP="002707D2">
      <w:pPr>
        <w:spacing w:after="120"/>
        <w:ind w:left="720"/>
        <w:rPr>
          <w:rFonts w:ascii="Arial" w:hAnsi="Arial"/>
        </w:rPr>
      </w:pPr>
      <w:r w:rsidRPr="00C23322">
        <w:rPr>
          <w:rFonts w:ascii="Arial" w:eastAsia="Times New Roman" w:hAnsi="Arial"/>
          <w:b/>
          <w:bCs/>
        </w:rPr>
        <w:t>H1: Autonomy need satisfaction is positively associated with sustained Tesco Clubcard engagement among London consumers during the cost-of-living crisis.</w:t>
      </w:r>
    </w:p>
    <w:p w:rsidR="002707D2" w:rsidRPr="00C23322" w:rsidRDefault="002707D2" w:rsidP="002707D2">
      <w:pPr>
        <w:pStyle w:val="Heading2"/>
        <w:spacing w:before="0" w:after="120"/>
        <w:rPr>
          <w:rFonts w:ascii="Arial" w:hAnsi="Arial" w:cs="Arial"/>
        </w:rPr>
      </w:pPr>
      <w:bookmarkStart w:id="13" w:name="_Toc241116796"/>
      <w:r w:rsidRPr="00C23322">
        <w:rPr>
          <w:rFonts w:ascii="Arial" w:hAnsi="Arial" w:cs="Arial"/>
          <w:color w:val="000000"/>
          <w:szCs w:val="26"/>
        </w:rPr>
        <w:lastRenderedPageBreak/>
        <w:t>2.5 Competence and H2</w:t>
      </w:r>
      <w:bookmarkEnd w:id="13"/>
    </w:p>
    <w:p w:rsidR="000547B3" w:rsidRPr="00C23322" w:rsidRDefault="000547B3" w:rsidP="000547B3">
      <w:pPr>
        <w:spacing w:after="120"/>
        <w:rPr>
          <w:rFonts w:ascii="Arial" w:eastAsia="Times New Roman" w:hAnsi="Arial"/>
        </w:rPr>
      </w:pPr>
      <w:r w:rsidRPr="00C23322">
        <w:rPr>
          <w:rFonts w:ascii="Arial" w:eastAsia="Times New Roman" w:hAnsi="Arial"/>
        </w:rPr>
        <w:t>Competence is the sense of being able and competent to accomplish a desired effect. In the context of Clubcard, this need may be satisfied when shoppers can easily find Clubcard Prices, use personalised offers correctly and achieve the savings they expected. For instance, a customer who consistently finds ways to make significant savings could believe that they are more able to use the scheme than a customer who finds the offers to be confusing or hard to apply.</w:t>
      </w:r>
    </w:p>
    <w:p w:rsidR="000547B3" w:rsidRPr="00C23322" w:rsidRDefault="000547B3" w:rsidP="000547B3">
      <w:pPr>
        <w:spacing w:after="120"/>
        <w:rPr>
          <w:rFonts w:ascii="Arial" w:eastAsia="Times New Roman" w:hAnsi="Arial"/>
        </w:rPr>
      </w:pPr>
      <w:r w:rsidRPr="00C23322">
        <w:rPr>
          <w:rFonts w:ascii="Arial" w:eastAsia="Times New Roman" w:hAnsi="Arial"/>
        </w:rPr>
        <w:t xml:space="preserve">Peng and Hung (2020) and Xi and Hamari (2020) have shown that competence need satisfaction has been found to be somewhat less important than autonomy need satisfaction in predicting ongoing engagement with loyalty/reward systems. More generally, Legault and Inzlicht (2013) explain how competence is crucial for sustained motivation but may be especially important when the task is not fully automatic but has some level of difficulty. This is important to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s, as sometimes, it takes effort to make them effective, such as comparing offers, checking personalised discounts or planning purchases around price drops.</w:t>
      </w:r>
    </w:p>
    <w:p w:rsidR="002707D2" w:rsidRPr="00C23322" w:rsidRDefault="000547B3" w:rsidP="000547B3">
      <w:pPr>
        <w:spacing w:after="120"/>
        <w:rPr>
          <w:rFonts w:ascii="Arial" w:eastAsia="Times New Roman" w:hAnsi="Arial"/>
        </w:rPr>
      </w:pPr>
      <w:r w:rsidRPr="00C23322">
        <w:rPr>
          <w:rFonts w:ascii="Arial" w:eastAsia="Times New Roman" w:hAnsi="Arial"/>
        </w:rPr>
        <w:t xml:space="preserve">Competence can be more evident during times of heightened household constraint. Resembling this, the use of Clubcard to secure authentic savings could enhance customers' feelings of successful purchase management. This is not the main topic of the current debate, but the larger grocery industry in the UK has also been under scrutiny for pricing in this time. The focus here is specifically on whether successful use of Clubcard influences how capable and effective shoppers feel when using the </w:t>
      </w:r>
      <w:r w:rsidR="002C0901">
        <w:rPr>
          <w:rFonts w:ascii="Arial" w:eastAsia="Times New Roman" w:hAnsi="Arial"/>
        </w:rPr>
        <w:t>programme</w:t>
      </w:r>
      <w:r w:rsidRPr="00C23322">
        <w:rPr>
          <w:rFonts w:ascii="Arial" w:eastAsia="Times New Roman" w:hAnsi="Arial"/>
        </w:rPr>
        <w:t xml:space="preserve">. There seems to be little research so far that has focused on competence need satisfaction in a mainstream grocery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 in financial pressure situations. This forms the foundation for the second hypothesis</w:t>
      </w:r>
      <w:r w:rsidR="002707D2" w:rsidRPr="00C23322">
        <w:rPr>
          <w:rFonts w:ascii="Arial" w:eastAsia="Times New Roman" w:hAnsi="Arial"/>
        </w:rPr>
        <w:t>:</w:t>
      </w:r>
    </w:p>
    <w:p w:rsidR="002707D2" w:rsidRPr="00C23322" w:rsidRDefault="002707D2" w:rsidP="002707D2">
      <w:pPr>
        <w:spacing w:after="120"/>
        <w:ind w:left="720"/>
        <w:rPr>
          <w:rFonts w:ascii="Arial" w:hAnsi="Arial"/>
        </w:rPr>
      </w:pPr>
      <w:r w:rsidRPr="00C23322">
        <w:rPr>
          <w:rFonts w:ascii="Arial" w:eastAsia="Times New Roman" w:hAnsi="Arial"/>
          <w:b/>
          <w:bCs/>
        </w:rPr>
        <w:t>H2: Competence need satisfaction is positively associated with sustained Tesco Clubcard engagement among London consumers during the cost-of-living crisis.</w:t>
      </w:r>
    </w:p>
    <w:p w:rsidR="002707D2" w:rsidRPr="00C23322" w:rsidRDefault="002707D2" w:rsidP="002707D2">
      <w:pPr>
        <w:pStyle w:val="Heading2"/>
        <w:spacing w:before="0" w:after="120"/>
        <w:rPr>
          <w:rFonts w:ascii="Arial" w:hAnsi="Arial" w:cs="Arial"/>
        </w:rPr>
      </w:pPr>
      <w:bookmarkStart w:id="14" w:name="_Toc241116797"/>
      <w:r w:rsidRPr="00C23322">
        <w:rPr>
          <w:rFonts w:ascii="Arial" w:hAnsi="Arial" w:cs="Arial"/>
          <w:color w:val="000000"/>
          <w:szCs w:val="26"/>
        </w:rPr>
        <w:t>2.6 Relatedness and H3</w:t>
      </w:r>
      <w:bookmarkEnd w:id="14"/>
    </w:p>
    <w:p w:rsidR="000547B3" w:rsidRPr="00C23322" w:rsidRDefault="000547B3" w:rsidP="000547B3">
      <w:pPr>
        <w:spacing w:after="120"/>
        <w:rPr>
          <w:rFonts w:ascii="Arial" w:eastAsia="Times New Roman" w:hAnsi="Arial"/>
        </w:rPr>
      </w:pPr>
      <w:r w:rsidRPr="00C23322">
        <w:rPr>
          <w:rFonts w:ascii="Arial" w:eastAsia="Times New Roman" w:hAnsi="Arial"/>
        </w:rPr>
        <w:lastRenderedPageBreak/>
        <w:t>Relatedness refers to the feeling of being connected to, recognised and valued by other people or organisations. In the context of Clubcard, this need may be satisfied through personalised communications and offers that reflect a shopper's individual purchasing habits. It can also occur when consumers believe Tesco knows them as a person and not just as a transaction. For example, offers relevant to the shopper's typical purchasing behaviour are likely to give a higher feeling of being recognised, while offers that are generic and irrelevant are unlikely to give a feeling of personalisation.</w:t>
      </w:r>
    </w:p>
    <w:p w:rsidR="000547B3" w:rsidRPr="00C23322" w:rsidRDefault="000547B3" w:rsidP="000547B3">
      <w:pPr>
        <w:spacing w:after="120"/>
        <w:rPr>
          <w:rFonts w:ascii="Arial" w:eastAsia="Times New Roman" w:hAnsi="Arial"/>
        </w:rPr>
      </w:pPr>
    </w:p>
    <w:p w:rsidR="000547B3" w:rsidRPr="00C23322" w:rsidRDefault="000547B3" w:rsidP="000547B3">
      <w:pPr>
        <w:spacing w:after="120"/>
        <w:rPr>
          <w:rFonts w:ascii="Arial" w:eastAsia="Times New Roman" w:hAnsi="Arial"/>
        </w:rPr>
      </w:pPr>
      <w:r w:rsidRPr="00C23322">
        <w:rPr>
          <w:rFonts w:ascii="Arial" w:eastAsia="Times New Roman" w:hAnsi="Arial"/>
        </w:rPr>
        <w:t xml:space="preserve">Peng and Hung (2020) and Xi and Hamari (2020) both indicate that relatedness can have some positive influence on sustaining involvement in and loyalty to loyalty and reward </w:t>
      </w:r>
      <w:r w:rsidR="00180CC5">
        <w:rPr>
          <w:rFonts w:ascii="Arial" w:eastAsia="Times New Roman" w:hAnsi="Arial"/>
        </w:rPr>
        <w:t>programme</w:t>
      </w:r>
      <w:r w:rsidRPr="00C23322">
        <w:rPr>
          <w:rFonts w:ascii="Arial" w:eastAsia="Times New Roman" w:hAnsi="Arial"/>
        </w:rPr>
        <w:t>s, though generally these effects are less strong than those of autonomy and competence. This has sometimes resulted in relatedness receiving less attention in loyalty research. However, Sheldon et al. (2011) suggest that the importance of the three psychological needs can change depending on the circumstances. What may not be a critical need under regular circumstances may become more salient when people's circumstances shift, or when other sources of stability are diminished. In the present context, this raises the possibility that relatedness could become more important when consumers are experiencing financial pressure. When customers have a smaller budget to spend, they care more about being noticed and appreciated by a retailer than merely being another account number.</w:t>
      </w:r>
    </w:p>
    <w:p w:rsidR="000547B3" w:rsidRPr="00C23322" w:rsidRDefault="000547B3" w:rsidP="000547B3">
      <w:pPr>
        <w:spacing w:after="120"/>
        <w:rPr>
          <w:rFonts w:ascii="Arial" w:eastAsia="Times New Roman" w:hAnsi="Arial"/>
        </w:rPr>
      </w:pPr>
    </w:p>
    <w:p w:rsidR="002707D2" w:rsidRPr="00C23322" w:rsidRDefault="000547B3" w:rsidP="000547B3">
      <w:pPr>
        <w:spacing w:after="120"/>
        <w:rPr>
          <w:rFonts w:ascii="Arial" w:hAnsi="Arial"/>
        </w:rPr>
      </w:pPr>
      <w:r w:rsidRPr="00C23322">
        <w:rPr>
          <w:rFonts w:ascii="Arial" w:eastAsia="Times New Roman" w:hAnsi="Arial"/>
        </w:rPr>
        <w:t xml:space="preserve">However, the factor of relatedness has been sparsely studied in the context of grocery loyalty, especially when it comes to financial hardship. It remains unclear whether the changing importance of psychological needs described by Sheldon et al. (2011) also applies to retail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s, or whether financial pressure makes consumers place greater value on recognition from retailers such as Tesco. The purpose of this study is thus to fill this gap by investigating the role of relatedness in the Clubcard context</w:t>
      </w:r>
      <w:r w:rsidR="002707D2" w:rsidRPr="00C23322">
        <w:rPr>
          <w:rFonts w:ascii="Arial" w:eastAsia="Times New Roman" w:hAnsi="Arial"/>
        </w:rPr>
        <w:t>:</w:t>
      </w:r>
    </w:p>
    <w:p w:rsidR="002707D2" w:rsidRPr="00C23322" w:rsidRDefault="002707D2" w:rsidP="002707D2">
      <w:pPr>
        <w:spacing w:after="120"/>
        <w:ind w:left="720"/>
        <w:rPr>
          <w:rFonts w:ascii="Arial" w:hAnsi="Arial"/>
        </w:rPr>
      </w:pPr>
      <w:r w:rsidRPr="00C23322">
        <w:rPr>
          <w:rFonts w:ascii="Arial" w:eastAsia="Times New Roman" w:hAnsi="Arial"/>
          <w:b/>
          <w:bCs/>
        </w:rPr>
        <w:t>H3: Relatedness need satisfaction is positively associated with sustained Tesco Clubcard engagement among London consumers during the cost-of-living crisis.</w:t>
      </w:r>
    </w:p>
    <w:p w:rsidR="002707D2" w:rsidRPr="00C23322" w:rsidRDefault="002707D2" w:rsidP="002707D2">
      <w:pPr>
        <w:pStyle w:val="Heading2"/>
        <w:spacing w:before="0" w:after="120"/>
        <w:rPr>
          <w:rFonts w:ascii="Arial" w:hAnsi="Arial" w:cs="Arial"/>
        </w:rPr>
      </w:pPr>
      <w:bookmarkStart w:id="15" w:name="_Toc241116798"/>
      <w:r w:rsidRPr="00C23322">
        <w:rPr>
          <w:rFonts w:ascii="Arial" w:hAnsi="Arial" w:cs="Arial"/>
          <w:color w:val="000000"/>
          <w:szCs w:val="26"/>
        </w:rPr>
        <w:lastRenderedPageBreak/>
        <w:t>2.7 Financial Pressure as Moderator</w:t>
      </w:r>
      <w:bookmarkEnd w:id="15"/>
    </w:p>
    <w:p w:rsidR="000547B3" w:rsidRPr="00C23322" w:rsidRDefault="000547B3" w:rsidP="000547B3">
      <w:pPr>
        <w:spacing w:after="120"/>
        <w:rPr>
          <w:rFonts w:ascii="Arial" w:eastAsia="Times New Roman" w:hAnsi="Arial"/>
        </w:rPr>
      </w:pPr>
      <w:r w:rsidRPr="00C23322">
        <w:rPr>
          <w:rFonts w:ascii="Arial" w:eastAsia="Times New Roman" w:hAnsi="Arial"/>
        </w:rPr>
        <w:t>Londoners continue to face challenges in their cost of living, and escalating food costs are adding to the financial strain. According to the Office for National Statistics (ONS, 2026), households in the UK, including those in London, continue to struggle with high living costs. Trust for London (2026) also highlights the difficulties many London households experience in meeting the cost of essential food shopping. The high housing and transport costs relative to income in London also contribute to the situation as these are large components of the typical household budget and can leave less room for food spending. These conditions provide the context for examining Clubcard engagement in this study. Financial pressure is thus not only a part of the background, but is regarded as a variable in itself.</w:t>
      </w:r>
    </w:p>
    <w:p w:rsidR="000547B3" w:rsidRPr="00C23322" w:rsidRDefault="000547B3" w:rsidP="000547B3">
      <w:pPr>
        <w:spacing w:after="120"/>
        <w:rPr>
          <w:rFonts w:ascii="Arial" w:eastAsia="Times New Roman" w:hAnsi="Arial"/>
        </w:rPr>
      </w:pPr>
      <w:r w:rsidRPr="00C23322">
        <w:rPr>
          <w:rFonts w:ascii="Arial" w:eastAsia="Times New Roman" w:hAnsi="Arial"/>
        </w:rPr>
        <w:t xml:space="preserve">Financial pressures may make the satisfaction of psychological needs more salient as one possible explanation. Vansteenkiste et al. (2010) argue that psychological needs can become particularly important when people's circumstances are restricted, as satisfying these needs may provide a sense of stability when other aspects of life are less secure. Likewise, Davvetas and Sharma (2023) propose that brands and consumer </w:t>
      </w:r>
      <w:r w:rsidR="002C0901">
        <w:rPr>
          <w:rFonts w:ascii="Arial" w:eastAsia="Times New Roman" w:hAnsi="Arial"/>
        </w:rPr>
        <w:t>programme</w:t>
      </w:r>
      <w:r w:rsidRPr="00C23322">
        <w:rPr>
          <w:rFonts w:ascii="Arial" w:eastAsia="Times New Roman" w:hAnsi="Arial"/>
        </w:rPr>
        <w:t xml:space="preserve">s that align with consumers' need for autonomy, competence and relatedness could grow in value during challenging economic times. Consumers facing financial strain may be more likely to connect with Clubcard from this point of view, if the </w:t>
      </w:r>
      <w:r w:rsidR="002C0901">
        <w:rPr>
          <w:rFonts w:ascii="Arial" w:eastAsia="Times New Roman" w:hAnsi="Arial"/>
        </w:rPr>
        <w:t>programme</w:t>
      </w:r>
      <w:r w:rsidRPr="00C23322">
        <w:rPr>
          <w:rFonts w:ascii="Arial" w:eastAsia="Times New Roman" w:hAnsi="Arial"/>
        </w:rPr>
        <w:t xml:space="preserve"> makes them feel empowered, in control or valued.</w:t>
      </w:r>
    </w:p>
    <w:p w:rsidR="000547B3" w:rsidRPr="00C23322" w:rsidRDefault="000547B3" w:rsidP="000547B3">
      <w:pPr>
        <w:spacing w:after="120"/>
        <w:rPr>
          <w:rFonts w:ascii="Arial" w:eastAsia="Times New Roman" w:hAnsi="Arial"/>
        </w:rPr>
      </w:pPr>
    </w:p>
    <w:p w:rsidR="000547B3" w:rsidRPr="00C23322" w:rsidRDefault="000547B3" w:rsidP="000547B3">
      <w:pPr>
        <w:spacing w:after="120"/>
        <w:rPr>
          <w:rFonts w:ascii="Arial" w:eastAsia="Times New Roman" w:hAnsi="Arial"/>
        </w:rPr>
      </w:pPr>
      <w:r w:rsidRPr="00C23322">
        <w:rPr>
          <w:rFonts w:ascii="Arial" w:eastAsia="Times New Roman" w:hAnsi="Arial"/>
        </w:rPr>
        <w:t>Another view, however, is that money stress may have the reverse impact. Mullainathan and Shafir (2013) state that the need to conserve money may consume a lot of cognitive resources, and this leaves people with less cognitive resources to devote to other tasks. A related explanation is Hobfoll's (1989) Conservation of Resources theory, in which individuals who are losing resources tend to concentrate on safeguarding what they have rather than investing more time and energy into other pursuits. For Clubcard, this could translate to a reduced interest in activities which demand extra effort from the financially constrained customer, such as searching for personalised promotions or comparing other promotions, despite the fact that these actions may offer better potential savings.</w:t>
      </w:r>
    </w:p>
    <w:p w:rsidR="002707D2" w:rsidRPr="00C23322" w:rsidRDefault="000547B3" w:rsidP="000547B3">
      <w:pPr>
        <w:spacing w:after="120"/>
        <w:rPr>
          <w:rFonts w:ascii="Arial" w:hAnsi="Arial"/>
        </w:rPr>
      </w:pPr>
      <w:r w:rsidRPr="00C23322">
        <w:rPr>
          <w:rFonts w:ascii="Arial" w:eastAsia="Times New Roman" w:hAnsi="Arial"/>
        </w:rPr>
        <w:lastRenderedPageBreak/>
        <w:t xml:space="preserve">These two points of view imply different relationships between financial pressure and psychological need satisfaction to Clubcard engagement, respectively. The former implies that consumers might prioritize filling their needs more when they are in financial hardship, and the latter implies that financial pressure could limit consumers' ability or desire to participate in the </w:t>
      </w:r>
      <w:r w:rsidR="002C0901">
        <w:rPr>
          <w:rFonts w:ascii="Arial" w:eastAsia="Times New Roman" w:hAnsi="Arial"/>
        </w:rPr>
        <w:t>programme</w:t>
      </w:r>
      <w:r w:rsidRPr="00C23322">
        <w:rPr>
          <w:rFonts w:ascii="Arial" w:eastAsia="Times New Roman" w:hAnsi="Arial"/>
        </w:rPr>
        <w:t xml:space="preserve">. Past studies have not directly compared these alternative explanations in a real-world grocery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In this study, therefore, it is investigated whether or not there is a shift in the relationship between psychological need satisfaction and engagement when there is financial pressure, and whether this shift is in a positive or negative direction is not assumed</w:t>
      </w:r>
      <w:r w:rsidR="002707D2" w:rsidRPr="00C23322">
        <w:rPr>
          <w:rFonts w:ascii="Arial" w:eastAsia="Times New Roman" w:hAnsi="Arial"/>
        </w:rPr>
        <w:t>:</w:t>
      </w:r>
    </w:p>
    <w:p w:rsidR="002707D2" w:rsidRPr="00C23322" w:rsidRDefault="002707D2" w:rsidP="002707D2">
      <w:pPr>
        <w:spacing w:after="120"/>
        <w:ind w:left="720"/>
        <w:rPr>
          <w:rFonts w:ascii="Arial" w:eastAsia="Times New Roman" w:hAnsi="Arial"/>
          <w:b/>
          <w:bCs/>
        </w:rPr>
      </w:pPr>
      <w:r w:rsidRPr="00C23322">
        <w:rPr>
          <w:rFonts w:ascii="Arial" w:eastAsia="Times New Roman" w:hAnsi="Arial"/>
          <w:b/>
          <w:bCs/>
        </w:rPr>
        <w:t>H4: Perceived financial pressure moderates the relationship between SDT need satisfaction and sustained Tesco Clubcard engagement, such that higher financial pressure amplifies the positive effect of each need dimension on engagement.</w:t>
      </w:r>
    </w:p>
    <w:p w:rsidR="00C57488" w:rsidRPr="00C23322" w:rsidRDefault="00C57488" w:rsidP="00C57488">
      <w:pPr>
        <w:shd w:val="clear" w:color="auto" w:fill="FFFFFF"/>
        <w:spacing w:after="120"/>
        <w:rPr>
          <w:rFonts w:ascii="Arial" w:eastAsia="Times New Roman" w:hAnsi="Arial"/>
          <w:color w:val="0F1115"/>
        </w:rPr>
      </w:pPr>
      <w:r w:rsidRPr="00C23322">
        <w:rPr>
          <w:rFonts w:ascii="Arial" w:eastAsia="Times New Roman" w:hAnsi="Arial"/>
          <w:color w:val="0F1115"/>
        </w:rPr>
        <w:t>H4 is tested through three sub-hypotheses, one for each SDT need dimension:</w:t>
      </w:r>
    </w:p>
    <w:p w:rsidR="00C57488" w:rsidRPr="00C23322" w:rsidRDefault="00C57488" w:rsidP="00C57488">
      <w:pPr>
        <w:pStyle w:val="ListParagraph"/>
        <w:numPr>
          <w:ilvl w:val="0"/>
          <w:numId w:val="3"/>
        </w:numPr>
        <w:shd w:val="clear" w:color="auto" w:fill="FFFFFF"/>
        <w:spacing w:after="120" w:line="360" w:lineRule="auto"/>
        <w:rPr>
          <w:rFonts w:ascii="Arial" w:hAnsi="Arial" w:cs="Arial"/>
          <w:color w:val="0F1115"/>
        </w:rPr>
      </w:pPr>
      <w:r w:rsidRPr="00C23322">
        <w:rPr>
          <w:rFonts w:ascii="Arial" w:hAnsi="Arial" w:cs="Arial"/>
          <w:b/>
          <w:bCs/>
          <w:color w:val="0F1115"/>
        </w:rPr>
        <w:t>H4a:</w:t>
      </w:r>
      <w:r w:rsidRPr="00C23322">
        <w:rPr>
          <w:rFonts w:ascii="Arial" w:hAnsi="Arial" w:cs="Arial"/>
          <w:color w:val="0F1115"/>
        </w:rPr>
        <w:t xml:space="preserve"> Perceived financial pressure moderates the relationship between autonomy need satisfaction and sustained Clubcard engagement.</w:t>
      </w:r>
    </w:p>
    <w:p w:rsidR="00C57488" w:rsidRPr="00C23322" w:rsidRDefault="00C57488" w:rsidP="00C57488">
      <w:pPr>
        <w:pStyle w:val="ListParagraph"/>
        <w:numPr>
          <w:ilvl w:val="0"/>
          <w:numId w:val="3"/>
        </w:numPr>
        <w:shd w:val="clear" w:color="auto" w:fill="FFFFFF"/>
        <w:spacing w:after="120" w:line="360" w:lineRule="auto"/>
        <w:rPr>
          <w:rFonts w:ascii="Arial" w:hAnsi="Arial" w:cs="Arial"/>
          <w:color w:val="0F1115"/>
        </w:rPr>
      </w:pPr>
      <w:r w:rsidRPr="00C23322">
        <w:rPr>
          <w:rFonts w:ascii="Arial" w:hAnsi="Arial" w:cs="Arial"/>
          <w:b/>
          <w:bCs/>
          <w:color w:val="0F1115"/>
        </w:rPr>
        <w:t>H4b:</w:t>
      </w:r>
      <w:r w:rsidRPr="00C23322">
        <w:rPr>
          <w:rFonts w:ascii="Arial" w:hAnsi="Arial" w:cs="Arial"/>
          <w:color w:val="0F1115"/>
        </w:rPr>
        <w:t xml:space="preserve"> Perceived financial pressure moderates the relationship between competence need satisfaction and sustained Clubcard engagement.</w:t>
      </w:r>
    </w:p>
    <w:p w:rsidR="00C57488" w:rsidRPr="00C23322" w:rsidRDefault="00C57488" w:rsidP="00C57488">
      <w:pPr>
        <w:pStyle w:val="ListParagraph"/>
        <w:numPr>
          <w:ilvl w:val="0"/>
          <w:numId w:val="3"/>
        </w:numPr>
        <w:shd w:val="clear" w:color="auto" w:fill="FFFFFF"/>
        <w:spacing w:after="120" w:line="360" w:lineRule="auto"/>
        <w:rPr>
          <w:rFonts w:ascii="Arial" w:hAnsi="Arial" w:cs="Arial"/>
          <w:color w:val="0F1115"/>
        </w:rPr>
      </w:pPr>
      <w:r w:rsidRPr="00C23322">
        <w:rPr>
          <w:rFonts w:ascii="Arial" w:hAnsi="Arial" w:cs="Arial"/>
          <w:b/>
          <w:bCs/>
          <w:color w:val="0F1115"/>
        </w:rPr>
        <w:t>H4c:</w:t>
      </w:r>
      <w:r w:rsidRPr="00C23322">
        <w:rPr>
          <w:rFonts w:ascii="Arial" w:hAnsi="Arial" w:cs="Arial"/>
          <w:color w:val="0F1115"/>
        </w:rPr>
        <w:t xml:space="preserve"> Perceived financial pressure moderates the relationship between relatedness need satisfaction and sustained Clubcard engagement.</w:t>
      </w:r>
    </w:p>
    <w:p w:rsidR="002707D2" w:rsidRPr="00C23322" w:rsidRDefault="002707D2" w:rsidP="002707D2">
      <w:pPr>
        <w:pStyle w:val="Heading2"/>
        <w:spacing w:before="0" w:after="120"/>
        <w:rPr>
          <w:rFonts w:ascii="Arial" w:hAnsi="Arial" w:cs="Arial"/>
        </w:rPr>
      </w:pPr>
      <w:bookmarkStart w:id="16" w:name="_Toc241116799"/>
      <w:r w:rsidRPr="00C23322">
        <w:rPr>
          <w:rFonts w:ascii="Arial" w:hAnsi="Arial" w:cs="Arial"/>
          <w:color w:val="000000"/>
          <w:szCs w:val="26"/>
        </w:rPr>
        <w:t>2.8 Conceptual Framework</w:t>
      </w:r>
      <w:bookmarkEnd w:id="16"/>
    </w:p>
    <w:p w:rsidR="0062647F" w:rsidRPr="00C23322" w:rsidRDefault="0062647F" w:rsidP="0062647F">
      <w:pPr>
        <w:spacing w:after="120"/>
        <w:rPr>
          <w:rFonts w:ascii="Arial" w:eastAsia="Times New Roman" w:hAnsi="Arial"/>
        </w:rPr>
      </w:pPr>
      <w:r w:rsidRPr="00C23322">
        <w:rPr>
          <w:rFonts w:ascii="Arial" w:eastAsia="Times New Roman" w:hAnsi="Arial"/>
        </w:rPr>
        <w:t xml:space="preserve">Based on the literature review, the conceptual model suggests that PN is directly related to engagement in three ways. </w:t>
      </w:r>
      <w:r w:rsidR="00BA4EF7" w:rsidRPr="00C23322">
        <w:rPr>
          <w:rFonts w:ascii="Arial" w:hAnsi="Arial"/>
        </w:rPr>
        <w:t>The first relationship proposes that autonomy need satisfaction positively predicts engagement (H1), while the second proposes that competence need satisfaction positively predicts engagement (H2). The third proposes that relatedness need satisfaction positively predicts engagement (H3)</w:t>
      </w:r>
      <w:r w:rsidRPr="00C23322">
        <w:rPr>
          <w:rFonts w:ascii="Arial" w:eastAsia="Times New Roman" w:hAnsi="Arial"/>
        </w:rPr>
        <w:t>.</w:t>
      </w:r>
    </w:p>
    <w:p w:rsidR="0062647F" w:rsidRPr="00C23322" w:rsidRDefault="0062647F" w:rsidP="0062647F">
      <w:pPr>
        <w:spacing w:after="120"/>
        <w:rPr>
          <w:rFonts w:ascii="Arial" w:eastAsia="Times New Roman" w:hAnsi="Arial"/>
        </w:rPr>
      </w:pPr>
      <w:r w:rsidRPr="00C23322">
        <w:rPr>
          <w:rFonts w:ascii="Arial" w:eastAsia="Times New Roman" w:hAnsi="Arial"/>
        </w:rPr>
        <w:t xml:space="preserve">Financial pressure is positioned as a moderator of all three relationships rather than as a separate predictor of engagement. H4 is therefore divided into three sub-hypotheses (H4a–H4c), with each examining whether financial pressure changes the relationship </w:t>
      </w:r>
      <w:r w:rsidRPr="00C23322">
        <w:rPr>
          <w:rFonts w:ascii="Arial" w:eastAsia="Times New Roman" w:hAnsi="Arial"/>
        </w:rPr>
        <w:lastRenderedPageBreak/>
        <w:t>between one of the three SDT need dimensions and engagement. More specifically, H4 suggests that financial pressure positively influences the relationship between each psychological need and engagement and that this relationship becomes stronger at higher levels of financial pressure. This expectation is in line with the amplification argument that was presented in Section 2.7, indicating that psychological need satisfaction can be more important when consumers are more economically restricted.</w:t>
      </w:r>
    </w:p>
    <w:p w:rsidR="0005483A" w:rsidRPr="00C23322" w:rsidRDefault="0062647F" w:rsidP="0062647F">
      <w:pPr>
        <w:spacing w:after="120"/>
        <w:rPr>
          <w:rFonts w:ascii="Arial" w:hAnsi="Arial"/>
          <w:color w:val="0F1115"/>
          <w:shd w:val="clear" w:color="auto" w:fill="FFFFFF"/>
        </w:rPr>
      </w:pPr>
      <w:r w:rsidRPr="00C23322">
        <w:rPr>
          <w:rFonts w:ascii="Arial" w:eastAsia="Times New Roman" w:hAnsi="Arial"/>
        </w:rPr>
        <w:t>While financial pressure is mostly examined in the conceptual model as moderator, the direct relationship between financial pressure and engagement is also analysed in the correlation analysis. This direct relationship should not be interpreted as a hypothesis, as the theory does not state it as an independent predictor of engagement. For clarity, this exploratory relationship is shown as a dashed line as in Figure 2.1</w:t>
      </w:r>
      <w:r w:rsidR="0005483A" w:rsidRPr="00C23322">
        <w:rPr>
          <w:rFonts w:ascii="Arial" w:hAnsi="Arial"/>
          <w:color w:val="0F1115"/>
          <w:shd w:val="clear" w:color="auto" w:fill="FFFFFF"/>
        </w:rPr>
        <w:t>.</w:t>
      </w:r>
    </w:p>
    <w:p w:rsidR="00216DCE" w:rsidRDefault="0005483A" w:rsidP="00216DCE">
      <w:pPr>
        <w:keepNext/>
        <w:spacing w:after="120"/>
        <w:jc w:val="center"/>
      </w:pPr>
      <w:bookmarkStart w:id="17" w:name="_Toc241117630"/>
      <w:r w:rsidRPr="00C23322">
        <w:rPr>
          <w:rFonts w:ascii="Arial" w:hAnsi="Arial"/>
          <w:noProof/>
        </w:rPr>
        <w:drawing>
          <wp:anchor distT="0" distB="0" distL="114300" distR="114300" simplePos="0" relativeHeight="251662336" behindDoc="0" locked="0" layoutInCell="1" allowOverlap="1" wp14:anchorId="7A1F3D8F" wp14:editId="1B8992E2">
            <wp:simplePos x="0" y="0"/>
            <wp:positionH relativeFrom="margin">
              <wp:align>center</wp:align>
            </wp:positionH>
            <wp:positionV relativeFrom="paragraph">
              <wp:posOffset>0</wp:posOffset>
            </wp:positionV>
            <wp:extent cx="4480560" cy="2987040"/>
            <wp:effectExtent l="0" t="0" r="0" b="381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480560" cy="2987040"/>
                    </a:xfrm>
                    <a:prstGeom prst="rect">
                      <a:avLst/>
                    </a:prstGeom>
                  </pic:spPr>
                </pic:pic>
              </a:graphicData>
            </a:graphic>
          </wp:anchor>
        </w:drawing>
      </w:r>
      <w:r w:rsidR="00216DCE">
        <w:t>Figure 2.</w:t>
      </w:r>
      <w:fldSimple w:instr=" SEQ Figure \* ARABIC ">
        <w:r w:rsidR="00467D15">
          <w:rPr>
            <w:noProof/>
          </w:rPr>
          <w:t>1</w:t>
        </w:r>
      </w:fldSimple>
      <w:r w:rsidR="00216DCE">
        <w:t xml:space="preserve">: </w:t>
      </w:r>
      <w:r w:rsidR="00467D15">
        <w:t xml:space="preserve">Conceptual Framework - </w:t>
      </w:r>
      <w:r w:rsidR="00216DCE" w:rsidRPr="00F278C7">
        <w:t>SDT-Based Loyalty Engagement under Financial Pressure</w:t>
      </w:r>
      <w:bookmarkEnd w:id="17"/>
    </w:p>
    <w:p w:rsidR="002707D2" w:rsidRPr="00C23322" w:rsidRDefault="002707D2" w:rsidP="0005483A">
      <w:pPr>
        <w:spacing w:after="120"/>
        <w:jc w:val="center"/>
        <w:rPr>
          <w:rFonts w:ascii="Arial" w:eastAsia="Times New Roman" w:hAnsi="Arial"/>
        </w:rPr>
      </w:pPr>
      <w:r w:rsidRPr="00C23322">
        <w:rPr>
          <w:rFonts w:ascii="Arial" w:hAnsi="Arial"/>
          <w:i/>
          <w:sz w:val="20"/>
          <w:szCs w:val="20"/>
        </w:rPr>
        <w:t>(Adapted from Ryan and Deci, 2000; Brodie et al., 2011; Peng and Hung, 2020; Mullainathan and Shafir, 2013)</w:t>
      </w:r>
    </w:p>
    <w:p w:rsidR="002707D2" w:rsidRPr="00C23322" w:rsidRDefault="002707D2" w:rsidP="002707D2">
      <w:pPr>
        <w:spacing w:after="120"/>
        <w:rPr>
          <w:rFonts w:ascii="Arial" w:hAnsi="Arial"/>
        </w:rPr>
      </w:pPr>
      <w:r w:rsidRPr="00C23322">
        <w:rPr>
          <w:rFonts w:ascii="Arial" w:eastAsia="Times New Roman" w:hAnsi="Arial"/>
        </w:rPr>
        <w:t>This framework guides the remainder of the study: it informs the design of the survey instrument in Chapter 3, the choice of moderated regression as the main analytical technique in Chapter 4, and the structure against which the results are interpreted in Chapter 5.</w:t>
      </w:r>
    </w:p>
    <w:p w:rsidR="002707D2" w:rsidRPr="00C23322" w:rsidRDefault="002707D2" w:rsidP="002707D2">
      <w:pPr>
        <w:rPr>
          <w:rFonts w:ascii="Arial" w:hAnsi="Arial"/>
          <w:b/>
          <w:bCs/>
          <w:color w:val="000000"/>
          <w:sz w:val="26"/>
          <w:szCs w:val="26"/>
        </w:rPr>
      </w:pPr>
      <w:bookmarkStart w:id="18" w:name="_GoBack"/>
      <w:bookmarkEnd w:id="18"/>
      <w:r w:rsidRPr="00C23322">
        <w:rPr>
          <w:rFonts w:ascii="Arial" w:hAnsi="Arial"/>
          <w:b/>
          <w:bCs/>
          <w:color w:val="000000"/>
        </w:rPr>
        <w:br w:type="page"/>
      </w:r>
    </w:p>
    <w:p w:rsidR="002707D2" w:rsidRPr="00C23322" w:rsidRDefault="002707D2" w:rsidP="002707D2">
      <w:pPr>
        <w:pStyle w:val="Heading2"/>
        <w:spacing w:before="0" w:after="120"/>
        <w:rPr>
          <w:rFonts w:ascii="Arial" w:hAnsi="Arial" w:cs="Arial"/>
          <w:b w:val="0"/>
          <w:bCs w:val="0"/>
          <w:color w:val="000000"/>
          <w:sz w:val="24"/>
        </w:rPr>
      </w:pPr>
      <w:bookmarkStart w:id="19" w:name="_Toc241116800"/>
      <w:r w:rsidRPr="00C23322">
        <w:rPr>
          <w:rFonts w:ascii="Arial" w:hAnsi="Arial" w:cs="Arial"/>
          <w:color w:val="000000"/>
          <w:sz w:val="24"/>
        </w:rPr>
        <w:lastRenderedPageBreak/>
        <w:t>2.9 Summary of Key Literature</w:t>
      </w:r>
      <w:bookmarkEnd w:id="19"/>
    </w:p>
    <w:p w:rsidR="002707D2" w:rsidRPr="00C23322" w:rsidRDefault="002707D2" w:rsidP="002707D2">
      <w:pPr>
        <w:spacing w:after="120"/>
        <w:rPr>
          <w:rFonts w:ascii="Arial" w:hAnsi="Arial"/>
        </w:rPr>
      </w:pPr>
      <w:r w:rsidRPr="00C23322">
        <w:rPr>
          <w:rFonts w:ascii="Arial" w:hAnsi="Arial"/>
        </w:rPr>
        <w:t xml:space="preserve">Table 2.1 summarises the twelve key studies that most directly inform the literature review and support the development of the four hypotheses H1 to H4. The table maps each study to its linked hypothesis, enabling the reader to trace the chain of evidence from literature to empirical </w:t>
      </w:r>
      <w:r w:rsidR="002C0901">
        <w:rPr>
          <w:rFonts w:ascii="Arial" w:hAnsi="Arial"/>
        </w:rPr>
        <w:t>programme</w:t>
      </w:r>
      <w:r w:rsidRPr="00C23322">
        <w:rPr>
          <w:rFonts w:ascii="Arial" w:hAnsi="Arial"/>
        </w:rPr>
        <w:t>.</w:t>
      </w:r>
    </w:p>
    <w:tbl>
      <w:tblPr>
        <w:tblW w:w="95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44"/>
        <w:gridCol w:w="1032"/>
        <w:gridCol w:w="1067"/>
        <w:gridCol w:w="1156"/>
        <w:gridCol w:w="1439"/>
        <w:gridCol w:w="1227"/>
        <w:gridCol w:w="1512"/>
        <w:gridCol w:w="1023"/>
      </w:tblGrid>
      <w:tr w:rsidR="002707D2" w:rsidRPr="00C23322" w:rsidTr="002707D2">
        <w:tc>
          <w:tcPr>
            <w:tcW w:w="1050" w:type="dxa"/>
            <w:shd w:val="clear" w:color="auto" w:fill="1F3864"/>
            <w:tcMar>
              <w:top w:w="60" w:type="dxa"/>
              <w:left w:w="80" w:type="dxa"/>
              <w:bottom w:w="60" w:type="dxa"/>
              <w:right w:w="80" w:type="dxa"/>
            </w:tcMar>
          </w:tcPr>
          <w:p w:rsidR="002707D2" w:rsidRPr="00C23322" w:rsidRDefault="002707D2" w:rsidP="002707D2">
            <w:pPr>
              <w:jc w:val="center"/>
              <w:rPr>
                <w:rFonts w:ascii="Arial" w:hAnsi="Arial"/>
              </w:rPr>
            </w:pPr>
            <w:r w:rsidRPr="00C23322">
              <w:rPr>
                <w:rFonts w:ascii="Arial" w:hAnsi="Arial"/>
                <w:b/>
                <w:bCs/>
                <w:color w:val="FFFFFF"/>
                <w:sz w:val="16"/>
                <w:szCs w:val="16"/>
              </w:rPr>
              <w:t>Author(s) and Year</w:t>
            </w:r>
          </w:p>
        </w:tc>
        <w:tc>
          <w:tcPr>
            <w:tcW w:w="1000" w:type="dxa"/>
            <w:shd w:val="clear" w:color="auto" w:fill="1F3864"/>
            <w:tcMar>
              <w:top w:w="60" w:type="dxa"/>
              <w:left w:w="80" w:type="dxa"/>
              <w:bottom w:w="60" w:type="dxa"/>
              <w:right w:w="80" w:type="dxa"/>
            </w:tcMar>
          </w:tcPr>
          <w:p w:rsidR="002707D2" w:rsidRPr="00C23322" w:rsidRDefault="002707D2" w:rsidP="002707D2">
            <w:pPr>
              <w:jc w:val="center"/>
              <w:rPr>
                <w:rFonts w:ascii="Arial" w:hAnsi="Arial"/>
              </w:rPr>
            </w:pPr>
            <w:r w:rsidRPr="00C23322">
              <w:rPr>
                <w:rFonts w:ascii="Arial" w:hAnsi="Arial"/>
                <w:b/>
                <w:bCs/>
                <w:color w:val="FFFFFF"/>
                <w:sz w:val="16"/>
                <w:szCs w:val="16"/>
              </w:rPr>
              <w:t>Theory</w:t>
            </w:r>
          </w:p>
        </w:tc>
        <w:tc>
          <w:tcPr>
            <w:tcW w:w="1150" w:type="dxa"/>
            <w:shd w:val="clear" w:color="auto" w:fill="1F3864"/>
            <w:tcMar>
              <w:top w:w="60" w:type="dxa"/>
              <w:left w:w="80" w:type="dxa"/>
              <w:bottom w:w="60" w:type="dxa"/>
              <w:right w:w="80" w:type="dxa"/>
            </w:tcMar>
          </w:tcPr>
          <w:p w:rsidR="002707D2" w:rsidRPr="00C23322" w:rsidRDefault="002707D2" w:rsidP="002707D2">
            <w:pPr>
              <w:jc w:val="center"/>
              <w:rPr>
                <w:rFonts w:ascii="Arial" w:hAnsi="Arial"/>
              </w:rPr>
            </w:pPr>
            <w:r w:rsidRPr="00C23322">
              <w:rPr>
                <w:rFonts w:ascii="Arial" w:hAnsi="Arial"/>
                <w:b/>
                <w:bCs/>
                <w:color w:val="FFFFFF"/>
                <w:sz w:val="16"/>
                <w:szCs w:val="16"/>
              </w:rPr>
              <w:t>Key Constructs</w:t>
            </w:r>
          </w:p>
        </w:tc>
        <w:tc>
          <w:tcPr>
            <w:tcW w:w="900" w:type="dxa"/>
            <w:shd w:val="clear" w:color="auto" w:fill="1F3864"/>
            <w:tcMar>
              <w:top w:w="60" w:type="dxa"/>
              <w:left w:w="80" w:type="dxa"/>
              <w:bottom w:w="60" w:type="dxa"/>
              <w:right w:w="80" w:type="dxa"/>
            </w:tcMar>
          </w:tcPr>
          <w:p w:rsidR="002707D2" w:rsidRPr="00C23322" w:rsidRDefault="002707D2" w:rsidP="002707D2">
            <w:pPr>
              <w:jc w:val="center"/>
              <w:rPr>
                <w:rFonts w:ascii="Arial" w:hAnsi="Arial"/>
              </w:rPr>
            </w:pPr>
            <w:r w:rsidRPr="00C23322">
              <w:rPr>
                <w:rFonts w:ascii="Arial" w:hAnsi="Arial"/>
                <w:b/>
                <w:bCs/>
                <w:color w:val="FFFFFF"/>
                <w:sz w:val="16"/>
                <w:szCs w:val="16"/>
              </w:rPr>
              <w:t>Methodology</w:t>
            </w:r>
          </w:p>
        </w:tc>
        <w:tc>
          <w:tcPr>
            <w:tcW w:w="1700" w:type="dxa"/>
            <w:shd w:val="clear" w:color="auto" w:fill="1F3864"/>
            <w:tcMar>
              <w:top w:w="60" w:type="dxa"/>
              <w:left w:w="80" w:type="dxa"/>
              <w:bottom w:w="60" w:type="dxa"/>
              <w:right w:w="80" w:type="dxa"/>
            </w:tcMar>
          </w:tcPr>
          <w:p w:rsidR="002707D2" w:rsidRPr="00C23322" w:rsidRDefault="002707D2" w:rsidP="002707D2">
            <w:pPr>
              <w:jc w:val="center"/>
              <w:rPr>
                <w:rFonts w:ascii="Arial" w:hAnsi="Arial"/>
              </w:rPr>
            </w:pPr>
            <w:r w:rsidRPr="00C23322">
              <w:rPr>
                <w:rFonts w:ascii="Arial" w:hAnsi="Arial"/>
                <w:b/>
                <w:bCs/>
                <w:color w:val="FFFFFF"/>
                <w:sz w:val="16"/>
                <w:szCs w:val="16"/>
              </w:rPr>
              <w:t>Key Finding</w:t>
            </w:r>
          </w:p>
        </w:tc>
        <w:tc>
          <w:tcPr>
            <w:tcW w:w="1150" w:type="dxa"/>
            <w:shd w:val="clear" w:color="auto" w:fill="1F3864"/>
            <w:tcMar>
              <w:top w:w="60" w:type="dxa"/>
              <w:left w:w="80" w:type="dxa"/>
              <w:bottom w:w="60" w:type="dxa"/>
              <w:right w:w="80" w:type="dxa"/>
            </w:tcMar>
          </w:tcPr>
          <w:p w:rsidR="002707D2" w:rsidRPr="00C23322" w:rsidRDefault="002707D2" w:rsidP="002707D2">
            <w:pPr>
              <w:jc w:val="center"/>
              <w:rPr>
                <w:rFonts w:ascii="Arial" w:hAnsi="Arial"/>
              </w:rPr>
            </w:pPr>
            <w:r w:rsidRPr="00C23322">
              <w:rPr>
                <w:rFonts w:ascii="Arial" w:hAnsi="Arial"/>
                <w:b/>
                <w:bCs/>
                <w:color w:val="FFFFFF"/>
                <w:sz w:val="16"/>
                <w:szCs w:val="16"/>
              </w:rPr>
              <w:t>Limitation</w:t>
            </w:r>
          </w:p>
        </w:tc>
        <w:tc>
          <w:tcPr>
            <w:tcW w:w="1850" w:type="dxa"/>
            <w:shd w:val="clear" w:color="auto" w:fill="1F3864"/>
            <w:tcMar>
              <w:top w:w="60" w:type="dxa"/>
              <w:left w:w="80" w:type="dxa"/>
              <w:bottom w:w="60" w:type="dxa"/>
              <w:right w:w="80" w:type="dxa"/>
            </w:tcMar>
          </w:tcPr>
          <w:p w:rsidR="002707D2" w:rsidRPr="00C23322" w:rsidRDefault="002707D2" w:rsidP="002707D2">
            <w:pPr>
              <w:jc w:val="center"/>
              <w:rPr>
                <w:rFonts w:ascii="Arial" w:hAnsi="Arial"/>
              </w:rPr>
            </w:pPr>
            <w:r w:rsidRPr="00C23322">
              <w:rPr>
                <w:rFonts w:ascii="Arial" w:hAnsi="Arial"/>
                <w:b/>
                <w:bCs/>
                <w:color w:val="FFFFFF"/>
                <w:sz w:val="16"/>
                <w:szCs w:val="16"/>
              </w:rPr>
              <w:t>Relevance to This Study</w:t>
            </w:r>
          </w:p>
        </w:tc>
        <w:tc>
          <w:tcPr>
            <w:tcW w:w="700" w:type="dxa"/>
            <w:shd w:val="clear" w:color="auto" w:fill="1F3864"/>
            <w:tcMar>
              <w:top w:w="60" w:type="dxa"/>
              <w:left w:w="80" w:type="dxa"/>
              <w:bottom w:w="60" w:type="dxa"/>
              <w:right w:w="80" w:type="dxa"/>
            </w:tcMar>
          </w:tcPr>
          <w:p w:rsidR="002707D2" w:rsidRPr="00C23322" w:rsidRDefault="002707D2" w:rsidP="002707D2">
            <w:pPr>
              <w:jc w:val="center"/>
              <w:rPr>
                <w:rFonts w:ascii="Arial" w:hAnsi="Arial"/>
              </w:rPr>
            </w:pPr>
            <w:r w:rsidRPr="00C23322">
              <w:rPr>
                <w:rFonts w:ascii="Arial" w:hAnsi="Arial"/>
                <w:b/>
                <w:bCs/>
                <w:color w:val="FFFFFF"/>
                <w:sz w:val="16"/>
                <w:szCs w:val="16"/>
              </w:rPr>
              <w:t>Linked Hypothesis</w:t>
            </w:r>
          </w:p>
        </w:tc>
      </w:tr>
      <w:tr w:rsidR="002707D2" w:rsidRPr="00C23322" w:rsidTr="002707D2">
        <w:tc>
          <w:tcPr>
            <w:tcW w:w="10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Dick and Basu (1994)</w:t>
            </w:r>
          </w:p>
        </w:tc>
        <w:tc>
          <w:tcPr>
            <w:tcW w:w="10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Attitudinal Loyalty</w:t>
            </w:r>
          </w:p>
        </w:tc>
        <w:tc>
          <w:tcPr>
            <w:tcW w:w="11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Relative attitude; repeat patronage; spurious loyalty</w:t>
            </w:r>
          </w:p>
        </w:tc>
        <w:tc>
          <w:tcPr>
            <w:tcW w:w="9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Conceptual</w:t>
            </w:r>
          </w:p>
        </w:tc>
        <w:tc>
          <w:tcPr>
            <w:tcW w:w="17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 xml:space="preserve">Financial </w:t>
            </w:r>
            <w:r w:rsidR="002C0901">
              <w:rPr>
                <w:rFonts w:ascii="Arial" w:hAnsi="Arial"/>
                <w:sz w:val="14"/>
                <w:szCs w:val="14"/>
              </w:rPr>
              <w:t>programme</w:t>
            </w:r>
            <w:r w:rsidRPr="00C23322">
              <w:rPr>
                <w:rFonts w:ascii="Arial" w:hAnsi="Arial"/>
                <w:sz w:val="14"/>
                <w:szCs w:val="14"/>
              </w:rPr>
              <w:t>s generate spurious loyalty only; attitudinal grounding needed</w:t>
            </w:r>
          </w:p>
        </w:tc>
        <w:tc>
          <w:tcPr>
            <w:tcW w:w="11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Theoretical only; no empirical test; services context</w:t>
            </w:r>
          </w:p>
        </w:tc>
        <w:tc>
          <w:tcPr>
            <w:tcW w:w="18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Grounds the dependent variable; explains why financial-only explanations of Clubcard engagement are insufficient</w:t>
            </w:r>
          </w:p>
        </w:tc>
        <w:tc>
          <w:tcPr>
            <w:tcW w:w="7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DV construct</w:t>
            </w:r>
          </w:p>
        </w:tc>
      </w:tr>
      <w:tr w:rsidR="002707D2" w:rsidRPr="00C23322" w:rsidTr="002707D2">
        <w:tc>
          <w:tcPr>
            <w:tcW w:w="10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Oliver (1999)</w:t>
            </w:r>
          </w:p>
        </w:tc>
        <w:tc>
          <w:tcPr>
            <w:tcW w:w="10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Four-Stage Loyalty</w:t>
            </w:r>
          </w:p>
        </w:tc>
        <w:tc>
          <w:tcPr>
            <w:tcW w:w="11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Cognitive, affective, conative, action loyalty</w:t>
            </w:r>
          </w:p>
        </w:tc>
        <w:tc>
          <w:tcPr>
            <w:tcW w:w="9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Conceptual</w:t>
            </w:r>
          </w:p>
        </w:tc>
        <w:tc>
          <w:tcPr>
            <w:tcW w:w="17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Only affective/conative loyalty is resilient under disruption</w:t>
            </w:r>
          </w:p>
        </w:tc>
        <w:tc>
          <w:tcPr>
            <w:tcW w:w="11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Theoretical; Western services context; pre-digital</w:t>
            </w:r>
          </w:p>
        </w:tc>
        <w:tc>
          <w:tcPr>
            <w:tcW w:w="18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Explains why psychological, not behavioural, engagement is the relevant outcome</w:t>
            </w:r>
          </w:p>
        </w:tc>
        <w:tc>
          <w:tcPr>
            <w:tcW w:w="7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DV construct</w:t>
            </w:r>
          </w:p>
        </w:tc>
      </w:tr>
      <w:tr w:rsidR="002707D2" w:rsidRPr="00C23322" w:rsidTr="002707D2">
        <w:tc>
          <w:tcPr>
            <w:tcW w:w="10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Brodie et al. (2011)</w:t>
            </w:r>
          </w:p>
        </w:tc>
        <w:tc>
          <w:tcPr>
            <w:tcW w:w="10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Customer Engagement Theory</w:t>
            </w:r>
          </w:p>
        </w:tc>
        <w:tc>
          <w:tcPr>
            <w:tcW w:w="11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Cognitive; emotional; volitional engagement</w:t>
            </w:r>
          </w:p>
        </w:tc>
        <w:tc>
          <w:tcPr>
            <w:tcW w:w="9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Conceptual / mixed</w:t>
            </w:r>
          </w:p>
        </w:tc>
        <w:tc>
          <w:tcPr>
            <w:tcW w:w="17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Engagement is multidimensional; exceeds transactional behaviour</w:t>
            </w:r>
          </w:p>
        </w:tc>
        <w:tc>
          <w:tcPr>
            <w:tcW w:w="11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Limited empirical validation in grocery retail</w:t>
            </w:r>
          </w:p>
        </w:tc>
        <w:tc>
          <w:tcPr>
            <w:tcW w:w="18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Provides operationalisation of the dependent variable</w:t>
            </w:r>
          </w:p>
        </w:tc>
        <w:tc>
          <w:tcPr>
            <w:tcW w:w="7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DV construct</w:t>
            </w:r>
          </w:p>
        </w:tc>
      </w:tr>
      <w:tr w:rsidR="002707D2" w:rsidRPr="00C23322" w:rsidTr="002707D2">
        <w:tc>
          <w:tcPr>
            <w:tcW w:w="10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Hollebeek (2011)</w:t>
            </w:r>
          </w:p>
        </w:tc>
        <w:tc>
          <w:tcPr>
            <w:tcW w:w="10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Customer Brand Engagement</w:t>
            </w:r>
          </w:p>
        </w:tc>
        <w:tc>
          <w:tcPr>
            <w:tcW w:w="11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Cognitive processing; affection; activation</w:t>
            </w:r>
          </w:p>
        </w:tc>
        <w:tc>
          <w:tcPr>
            <w:tcW w:w="9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Qualitative, n=9</w:t>
            </w:r>
          </w:p>
        </w:tc>
        <w:tc>
          <w:tcPr>
            <w:tcW w:w="17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Engagement is motivational, context-dependent, and varies in intensity</w:t>
            </w:r>
          </w:p>
        </w:tc>
        <w:tc>
          <w:tcPr>
            <w:tcW w:w="11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Small qualitative sample; single brand</w:t>
            </w:r>
          </w:p>
        </w:tc>
        <w:tc>
          <w:tcPr>
            <w:tcW w:w="18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Refines engagement toward motivational states; aligns with SDT framing</w:t>
            </w:r>
          </w:p>
        </w:tc>
        <w:tc>
          <w:tcPr>
            <w:tcW w:w="7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DV construct</w:t>
            </w:r>
          </w:p>
        </w:tc>
      </w:tr>
      <w:tr w:rsidR="002707D2" w:rsidRPr="00C23322" w:rsidTr="002707D2">
        <w:tc>
          <w:tcPr>
            <w:tcW w:w="10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Ryan and Deci (2000)</w:t>
            </w:r>
          </w:p>
        </w:tc>
        <w:tc>
          <w:tcPr>
            <w:tcW w:w="1000" w:type="dxa"/>
            <w:shd w:val="clear" w:color="auto" w:fill="EBF3FB"/>
            <w:tcMar>
              <w:top w:w="40" w:type="dxa"/>
              <w:left w:w="80" w:type="dxa"/>
              <w:bottom w:w="40" w:type="dxa"/>
              <w:right w:w="80" w:type="dxa"/>
            </w:tcMar>
          </w:tcPr>
          <w:p w:rsidR="002707D2" w:rsidRPr="00C23322" w:rsidRDefault="002C0901" w:rsidP="002707D2">
            <w:pPr>
              <w:rPr>
                <w:rFonts w:ascii="Arial" w:hAnsi="Arial"/>
              </w:rPr>
            </w:pPr>
            <w:r>
              <w:rPr>
                <w:rFonts w:ascii="Arial" w:hAnsi="Arial"/>
                <w:sz w:val="14"/>
                <w:szCs w:val="14"/>
              </w:rPr>
              <w:t>Self-Determination Theory</w:t>
            </w:r>
            <w:r w:rsidR="002707D2" w:rsidRPr="00C23322">
              <w:rPr>
                <w:rFonts w:ascii="Arial" w:hAnsi="Arial"/>
                <w:sz w:val="14"/>
                <w:szCs w:val="14"/>
              </w:rPr>
              <w:t xml:space="preserve"> / BPNT</w:t>
            </w:r>
          </w:p>
        </w:tc>
        <w:tc>
          <w:tcPr>
            <w:tcW w:w="11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Autonomy; competence; relatedness; intrinsic vs. extrinsic motivation</w:t>
            </w:r>
          </w:p>
        </w:tc>
        <w:tc>
          <w:tcPr>
            <w:tcW w:w="9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Conceptual / meta-analytic</w:t>
            </w:r>
          </w:p>
        </w:tc>
        <w:tc>
          <w:tcPr>
            <w:tcW w:w="17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Need satisfaction predicts sustained, self-sustaining motivation across domains</w:t>
            </w:r>
          </w:p>
        </w:tc>
        <w:tc>
          <w:tcPr>
            <w:tcW w:w="11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Validated mostly in education/health; limited grocery retail application</w:t>
            </w:r>
          </w:p>
        </w:tc>
        <w:tc>
          <w:tcPr>
            <w:tcW w:w="18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Primary theoretical lens; generates H1, H2, H3, H4</w:t>
            </w:r>
          </w:p>
        </w:tc>
        <w:tc>
          <w:tcPr>
            <w:tcW w:w="7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H1–H4</w:t>
            </w:r>
          </w:p>
        </w:tc>
      </w:tr>
      <w:tr w:rsidR="002707D2" w:rsidRPr="00C23322" w:rsidTr="002707D2">
        <w:tc>
          <w:tcPr>
            <w:tcW w:w="10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Deci et al. (1999)</w:t>
            </w:r>
          </w:p>
        </w:tc>
        <w:tc>
          <w:tcPr>
            <w:tcW w:w="10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SDT — meta-analysis</w:t>
            </w:r>
          </w:p>
        </w:tc>
        <w:tc>
          <w:tcPr>
            <w:tcW w:w="11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Extrinsic rewards; intrinsic motivation; perceived control</w:t>
            </w:r>
          </w:p>
        </w:tc>
        <w:tc>
          <w:tcPr>
            <w:tcW w:w="9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Meta-analysis (128 studies)</w:t>
            </w:r>
          </w:p>
        </w:tc>
        <w:tc>
          <w:tcPr>
            <w:tcW w:w="17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Extrinsic rewards undermine intrinsic motivation when perceived as controlling</w:t>
            </w:r>
          </w:p>
        </w:tc>
        <w:tc>
          <w:tcPr>
            <w:tcW w:w="11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Publication bias possible; many studies lab-based</w:t>
            </w:r>
          </w:p>
        </w:tc>
        <w:tc>
          <w:tcPr>
            <w:tcW w:w="18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Explains risk of Clubcard becoming purely extrinsic and why psychological grounding matters</w:t>
            </w:r>
          </w:p>
        </w:tc>
        <w:tc>
          <w:tcPr>
            <w:tcW w:w="7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Theory foundation</w:t>
            </w:r>
          </w:p>
        </w:tc>
      </w:tr>
      <w:tr w:rsidR="002707D2" w:rsidRPr="00C23322" w:rsidTr="002707D2">
        <w:tc>
          <w:tcPr>
            <w:tcW w:w="10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Peng and Hung (2020)</w:t>
            </w:r>
          </w:p>
        </w:tc>
        <w:tc>
          <w:tcPr>
            <w:tcW w:w="10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 xml:space="preserve">SDT in </w:t>
            </w:r>
            <w:r w:rsidR="002C0901">
              <w:rPr>
                <w:rFonts w:ascii="Arial" w:hAnsi="Arial"/>
                <w:sz w:val="14"/>
                <w:szCs w:val="14"/>
              </w:rPr>
              <w:t xml:space="preserve">loyalty </w:t>
            </w:r>
            <w:r w:rsidR="00180CC5">
              <w:rPr>
                <w:rFonts w:ascii="Arial" w:hAnsi="Arial"/>
                <w:sz w:val="14"/>
                <w:szCs w:val="14"/>
              </w:rPr>
              <w:t>programme</w:t>
            </w:r>
            <w:r w:rsidRPr="00C23322">
              <w:rPr>
                <w:rFonts w:ascii="Arial" w:hAnsi="Arial"/>
                <w:sz w:val="14"/>
                <w:szCs w:val="14"/>
              </w:rPr>
              <w:t>s</w:t>
            </w:r>
          </w:p>
        </w:tc>
        <w:tc>
          <w:tcPr>
            <w:tcW w:w="11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 xml:space="preserve">Autonomy; competence; </w:t>
            </w:r>
            <w:r w:rsidRPr="00C23322">
              <w:rPr>
                <w:rFonts w:ascii="Arial" w:hAnsi="Arial"/>
                <w:sz w:val="14"/>
                <w:szCs w:val="14"/>
              </w:rPr>
              <w:lastRenderedPageBreak/>
              <w:t>relatedness; engagement</w:t>
            </w:r>
          </w:p>
        </w:tc>
        <w:tc>
          <w:tcPr>
            <w:tcW w:w="9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lastRenderedPageBreak/>
              <w:t>Survey, n=312, Taiwan</w:t>
            </w:r>
          </w:p>
        </w:tc>
        <w:tc>
          <w:tcPr>
            <w:tcW w:w="17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 xml:space="preserve">Autonomy β=0.41; Competence β=0.29; </w:t>
            </w:r>
            <w:r w:rsidRPr="00C23322">
              <w:rPr>
                <w:rFonts w:ascii="Arial" w:hAnsi="Arial"/>
                <w:sz w:val="14"/>
                <w:szCs w:val="14"/>
              </w:rPr>
              <w:lastRenderedPageBreak/>
              <w:t>Relatedness β=0.18; all significant</w:t>
            </w:r>
          </w:p>
        </w:tc>
        <w:tc>
          <w:tcPr>
            <w:tcW w:w="11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lastRenderedPageBreak/>
              <w:t xml:space="preserve">Single country; digital; no financial </w:t>
            </w:r>
            <w:r w:rsidRPr="00C23322">
              <w:rPr>
                <w:rFonts w:ascii="Arial" w:hAnsi="Arial"/>
                <w:sz w:val="14"/>
                <w:szCs w:val="14"/>
              </w:rPr>
              <w:lastRenderedPageBreak/>
              <w:t>pressure; cross-sectional</w:t>
            </w:r>
          </w:p>
        </w:tc>
        <w:tc>
          <w:tcPr>
            <w:tcW w:w="18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lastRenderedPageBreak/>
              <w:t>Strongest direct empirical precedent; informs H1, H2, H3</w:t>
            </w:r>
          </w:p>
        </w:tc>
        <w:tc>
          <w:tcPr>
            <w:tcW w:w="7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H1, H2, H3</w:t>
            </w:r>
          </w:p>
        </w:tc>
      </w:tr>
      <w:tr w:rsidR="002707D2" w:rsidRPr="00C23322" w:rsidTr="002707D2">
        <w:tc>
          <w:tcPr>
            <w:tcW w:w="10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lastRenderedPageBreak/>
              <w:t>Xi and Hamari (2020)</w:t>
            </w:r>
          </w:p>
        </w:tc>
        <w:tc>
          <w:tcPr>
            <w:tcW w:w="10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SDT / gamification</w:t>
            </w:r>
          </w:p>
        </w:tc>
        <w:tc>
          <w:tcPr>
            <w:tcW w:w="11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Autonomy; competence; relatedness; loyalty platform</w:t>
            </w:r>
          </w:p>
        </w:tc>
        <w:tc>
          <w:tcPr>
            <w:tcW w:w="9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Survey, n=841</w:t>
            </w:r>
          </w:p>
        </w:tc>
        <w:tc>
          <w:tcPr>
            <w:tcW w:w="17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All three SDT needs significantly predict loyalty engagement; autonomy dominant</w:t>
            </w:r>
          </w:p>
        </w:tc>
        <w:tc>
          <w:tcPr>
            <w:tcW w:w="11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 xml:space="preserve">Asian digital/gamified context; may inflate autonomy vs. standard </w:t>
            </w:r>
            <w:r w:rsidR="002C0901">
              <w:rPr>
                <w:rFonts w:ascii="Arial" w:hAnsi="Arial"/>
                <w:sz w:val="14"/>
                <w:szCs w:val="14"/>
              </w:rPr>
              <w:t>programme</w:t>
            </w:r>
            <w:r w:rsidRPr="00C23322">
              <w:rPr>
                <w:rFonts w:ascii="Arial" w:hAnsi="Arial"/>
                <w:sz w:val="14"/>
                <w:szCs w:val="14"/>
              </w:rPr>
              <w:t>s</w:t>
            </w:r>
          </w:p>
        </w:tc>
        <w:tc>
          <w:tcPr>
            <w:tcW w:w="18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Corroborates SDT need effects for H1, H2, H3; large sample strengthens confidence</w:t>
            </w:r>
          </w:p>
        </w:tc>
        <w:tc>
          <w:tcPr>
            <w:tcW w:w="7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H1, H2, H3</w:t>
            </w:r>
          </w:p>
        </w:tc>
      </w:tr>
      <w:tr w:rsidR="002707D2" w:rsidRPr="00C23322" w:rsidTr="002707D2">
        <w:tc>
          <w:tcPr>
            <w:tcW w:w="10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Legault and Inzlicht (2013)</w:t>
            </w:r>
          </w:p>
        </w:tc>
        <w:tc>
          <w:tcPr>
            <w:tcW w:w="10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SDT / neuroscience</w:t>
            </w:r>
          </w:p>
        </w:tc>
        <w:tc>
          <w:tcPr>
            <w:tcW w:w="11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Competence; self-regulation under threat</w:t>
            </w:r>
          </w:p>
        </w:tc>
        <w:tc>
          <w:tcPr>
            <w:tcW w:w="9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Experimental, n=58</w:t>
            </w:r>
          </w:p>
        </w:tc>
        <w:tc>
          <w:tcPr>
            <w:tcW w:w="17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Competence satisfaction improves self-regulation under conditions of challenge</w:t>
            </w:r>
          </w:p>
        </w:tc>
        <w:tc>
          <w:tcPr>
            <w:tcW w:w="11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Laboratory; no consumer or retail context tested</w:t>
            </w:r>
          </w:p>
        </w:tc>
        <w:tc>
          <w:tcPr>
            <w:tcW w:w="18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Theoretical support for H2: competence especially salient under financial pressure</w:t>
            </w:r>
          </w:p>
        </w:tc>
        <w:tc>
          <w:tcPr>
            <w:tcW w:w="7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H2</w:t>
            </w:r>
          </w:p>
        </w:tc>
      </w:tr>
      <w:tr w:rsidR="002707D2" w:rsidRPr="00C23322" w:rsidTr="002707D2">
        <w:tc>
          <w:tcPr>
            <w:tcW w:w="10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Sheldon et al. (2011)</w:t>
            </w:r>
          </w:p>
        </w:tc>
        <w:tc>
          <w:tcPr>
            <w:tcW w:w="10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SDT cross-cultural</w:t>
            </w:r>
          </w:p>
        </w:tc>
        <w:tc>
          <w:tcPr>
            <w:tcW w:w="11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Relatedness; well</w:t>
            </w:r>
            <w:r w:rsidR="00180CC5">
              <w:rPr>
                <w:rFonts w:ascii="Arial" w:hAnsi="Arial"/>
                <w:sz w:val="14"/>
                <w:szCs w:val="14"/>
              </w:rPr>
              <w:t>-</w:t>
            </w:r>
            <w:r w:rsidRPr="00C23322">
              <w:rPr>
                <w:rFonts w:ascii="Arial" w:hAnsi="Arial"/>
                <w:sz w:val="14"/>
                <w:szCs w:val="14"/>
              </w:rPr>
              <w:t>being during difficulty</w:t>
            </w:r>
          </w:p>
        </w:tc>
        <w:tc>
          <w:tcPr>
            <w:tcW w:w="9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Longitudinal, 4 countries</w:t>
            </w:r>
          </w:p>
        </w:tc>
        <w:tc>
          <w:tcPr>
            <w:tcW w:w="17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Relatedness strongest SDT predictor of well</w:t>
            </w:r>
            <w:r w:rsidR="00180CC5">
              <w:rPr>
                <w:rFonts w:ascii="Arial" w:hAnsi="Arial"/>
                <w:sz w:val="14"/>
                <w:szCs w:val="14"/>
              </w:rPr>
              <w:t>-</w:t>
            </w:r>
            <w:r w:rsidRPr="00C23322">
              <w:rPr>
                <w:rFonts w:ascii="Arial" w:hAnsi="Arial"/>
                <w:sz w:val="14"/>
                <w:szCs w:val="14"/>
              </w:rPr>
              <w:t>being during periods of life difficulty</w:t>
            </w:r>
          </w:p>
        </w:tc>
        <w:tc>
          <w:tcPr>
            <w:tcW w:w="11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Well</w:t>
            </w:r>
            <w:r w:rsidR="00180CC5">
              <w:rPr>
                <w:rFonts w:ascii="Arial" w:hAnsi="Arial"/>
                <w:sz w:val="14"/>
                <w:szCs w:val="14"/>
              </w:rPr>
              <w:t>-</w:t>
            </w:r>
            <w:r w:rsidRPr="00C23322">
              <w:rPr>
                <w:rFonts w:ascii="Arial" w:hAnsi="Arial"/>
                <w:sz w:val="14"/>
                <w:szCs w:val="14"/>
              </w:rPr>
              <w:t>being not engagement; non-consumer context</w:t>
            </w:r>
          </w:p>
        </w:tc>
        <w:tc>
          <w:tcPr>
            <w:tcW w:w="18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Creates theoretically important context for H3; motivates examination of relatedness under hardship</w:t>
            </w:r>
          </w:p>
        </w:tc>
        <w:tc>
          <w:tcPr>
            <w:tcW w:w="7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H3</w:t>
            </w:r>
          </w:p>
        </w:tc>
      </w:tr>
      <w:tr w:rsidR="002707D2" w:rsidRPr="00C23322" w:rsidTr="002707D2">
        <w:tc>
          <w:tcPr>
            <w:tcW w:w="10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Vansteenkiste et al. (2010)</w:t>
            </w:r>
          </w:p>
        </w:tc>
        <w:tc>
          <w:tcPr>
            <w:tcW w:w="10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SDT under constraint</w:t>
            </w:r>
          </w:p>
        </w:tc>
        <w:tc>
          <w:tcPr>
            <w:tcW w:w="11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Autonomy; external pressure; need salience</w:t>
            </w:r>
          </w:p>
        </w:tc>
        <w:tc>
          <w:tcPr>
            <w:tcW w:w="9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Conceptual / review</w:t>
            </w:r>
          </w:p>
        </w:tc>
        <w:tc>
          <w:tcPr>
            <w:tcW w:w="17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External constraint amplifies — not reduces — motivational importance of need satisfaction</w:t>
            </w:r>
          </w:p>
        </w:tc>
        <w:tc>
          <w:tcPr>
            <w:tcW w:w="11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Theoretical review; not tested in retail or loyalty contexts</w:t>
            </w:r>
          </w:p>
        </w:tc>
        <w:tc>
          <w:tcPr>
            <w:tcW w:w="185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Underpins H4 amplification argument; financial pressure strengthens SDT effects</w:t>
            </w:r>
          </w:p>
        </w:tc>
        <w:tc>
          <w:tcPr>
            <w:tcW w:w="700" w:type="dxa"/>
            <w:shd w:val="clear" w:color="auto" w:fill="EBF3FB"/>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H4</w:t>
            </w:r>
          </w:p>
        </w:tc>
      </w:tr>
      <w:tr w:rsidR="002707D2" w:rsidRPr="00C23322" w:rsidTr="002707D2">
        <w:tc>
          <w:tcPr>
            <w:tcW w:w="10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Mullainathan and Shafir (2013)</w:t>
            </w:r>
          </w:p>
        </w:tc>
        <w:tc>
          <w:tcPr>
            <w:tcW w:w="10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Scarcity Theory</w:t>
            </w:r>
          </w:p>
        </w:tc>
        <w:tc>
          <w:tcPr>
            <w:tcW w:w="11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Financial scarcity; cognitive bandwidth; decision-making</w:t>
            </w:r>
          </w:p>
        </w:tc>
        <w:tc>
          <w:tcPr>
            <w:tcW w:w="9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Mixed lab and field</w:t>
            </w:r>
          </w:p>
        </w:tc>
        <w:tc>
          <w:tcPr>
            <w:tcW w:w="17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Scarcity narrows cognitive bandwidth toward immediate gains</w:t>
            </w:r>
          </w:p>
        </w:tc>
        <w:tc>
          <w:tcPr>
            <w:tcW w:w="11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 xml:space="preserve">Limited ecological validity; not tested in </w:t>
            </w:r>
            <w:r w:rsidR="002C0901">
              <w:rPr>
                <w:rFonts w:ascii="Arial" w:hAnsi="Arial"/>
                <w:sz w:val="14"/>
                <w:szCs w:val="14"/>
              </w:rPr>
              <w:t xml:space="preserve">loyalty </w:t>
            </w:r>
            <w:r w:rsidR="00180CC5">
              <w:rPr>
                <w:rFonts w:ascii="Arial" w:hAnsi="Arial"/>
                <w:sz w:val="14"/>
                <w:szCs w:val="14"/>
              </w:rPr>
              <w:t>programme</w:t>
            </w:r>
            <w:r w:rsidRPr="00C23322">
              <w:rPr>
                <w:rFonts w:ascii="Arial" w:hAnsi="Arial"/>
                <w:sz w:val="14"/>
                <w:szCs w:val="14"/>
              </w:rPr>
              <w:t xml:space="preserve"> context</w:t>
            </w:r>
          </w:p>
        </w:tc>
        <w:tc>
          <w:tcPr>
            <w:tcW w:w="185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Provides competing attenuation account for H4; frames the moderation debate</w:t>
            </w:r>
          </w:p>
        </w:tc>
        <w:tc>
          <w:tcPr>
            <w:tcW w:w="700" w:type="dxa"/>
            <w:shd w:val="clear" w:color="auto" w:fill="FFFFFF"/>
            <w:tcMar>
              <w:top w:w="40" w:type="dxa"/>
              <w:left w:w="80" w:type="dxa"/>
              <w:bottom w:w="40" w:type="dxa"/>
              <w:right w:w="80" w:type="dxa"/>
            </w:tcMar>
          </w:tcPr>
          <w:p w:rsidR="002707D2" w:rsidRPr="00C23322" w:rsidRDefault="002707D2" w:rsidP="002707D2">
            <w:pPr>
              <w:rPr>
                <w:rFonts w:ascii="Arial" w:hAnsi="Arial"/>
              </w:rPr>
            </w:pPr>
            <w:r w:rsidRPr="00C23322">
              <w:rPr>
                <w:rFonts w:ascii="Arial" w:hAnsi="Arial"/>
                <w:sz w:val="14"/>
                <w:szCs w:val="14"/>
              </w:rPr>
              <w:t>H4</w:t>
            </w:r>
          </w:p>
        </w:tc>
      </w:tr>
    </w:tbl>
    <w:p w:rsidR="002707D2" w:rsidRPr="00C23322" w:rsidRDefault="002707D2" w:rsidP="002707D2">
      <w:pPr>
        <w:jc w:val="center"/>
        <w:rPr>
          <w:rFonts w:ascii="Arial" w:hAnsi="Arial"/>
          <w:sz w:val="20"/>
          <w:szCs w:val="20"/>
        </w:rPr>
      </w:pPr>
      <w:r w:rsidRPr="00C23322">
        <w:rPr>
          <w:rFonts w:ascii="Arial" w:hAnsi="Arial"/>
          <w:i/>
          <w:sz w:val="20"/>
          <w:szCs w:val="20"/>
        </w:rPr>
        <w:t>Table 2.1: Key Studies Informing the Literature Review and Hypothesis Development</w:t>
      </w:r>
      <w:r w:rsidRPr="00C23322">
        <w:rPr>
          <w:rFonts w:ascii="Arial" w:hAnsi="Arial"/>
          <w:b/>
          <w:bCs/>
          <w:i/>
          <w:color w:val="000000"/>
        </w:rPr>
        <w:t xml:space="preserve"> </w:t>
      </w:r>
      <w:r w:rsidRPr="00C23322">
        <w:rPr>
          <w:rFonts w:ascii="Arial" w:hAnsi="Arial"/>
          <w:b/>
          <w:bCs/>
          <w:i/>
          <w:color w:val="000000"/>
        </w:rPr>
        <w:br w:type="page"/>
      </w:r>
    </w:p>
    <w:p w:rsidR="002707D2" w:rsidRPr="00C23322" w:rsidRDefault="002707D2" w:rsidP="002707D2">
      <w:pPr>
        <w:pStyle w:val="Heading2"/>
        <w:spacing w:before="0" w:after="120"/>
        <w:rPr>
          <w:rFonts w:ascii="Arial" w:hAnsi="Arial" w:cs="Arial"/>
        </w:rPr>
      </w:pPr>
      <w:bookmarkStart w:id="20" w:name="_Toc241116801"/>
      <w:r w:rsidRPr="00C23322">
        <w:rPr>
          <w:rFonts w:ascii="Arial" w:hAnsi="Arial" w:cs="Arial"/>
          <w:color w:val="000000"/>
          <w:szCs w:val="26"/>
        </w:rPr>
        <w:lastRenderedPageBreak/>
        <w:t>2.10 Conclusion</w:t>
      </w:r>
      <w:bookmarkEnd w:id="20"/>
    </w:p>
    <w:p w:rsidR="0062647F" w:rsidRPr="00C23322" w:rsidRDefault="0062647F" w:rsidP="0062647F">
      <w:pPr>
        <w:spacing w:after="120"/>
        <w:rPr>
          <w:rFonts w:ascii="Arial" w:eastAsia="Times New Roman" w:hAnsi="Arial"/>
        </w:rPr>
      </w:pPr>
      <w:r w:rsidRPr="00C23322">
        <w:rPr>
          <w:rFonts w:ascii="Arial" w:eastAsia="Times New Roman" w:hAnsi="Arial"/>
        </w:rPr>
        <w:t>This chapter has claimed that, instead of behavioural loyalty, customer engagement is a more appropriate way of understanding the relationship between consumers in London and Tesco Clubcard. Behavioural loyalty measures repeat purchasing but says little about the psychological commitment behind it (Dick and Basu, 1994; Oliver, 1999), whereas engagement, as defined by Brodie et al. (2011) and Hollebeek (2011), captures the cognitive, emotional, behavioural and motivational dimensions of participation that repeat-purchase data alone cannot reveal. This distinction is important for the grocery context in particular, because there is often little choice over how often the goods are purchased and this is therefore not a good indicator of how attached people are to the scheme.</w:t>
      </w:r>
    </w:p>
    <w:p w:rsidR="0062647F" w:rsidRPr="00C23322" w:rsidRDefault="0062647F" w:rsidP="0062647F">
      <w:pPr>
        <w:spacing w:after="120"/>
        <w:rPr>
          <w:rFonts w:ascii="Arial" w:eastAsia="Times New Roman" w:hAnsi="Arial"/>
        </w:rPr>
      </w:pPr>
      <w:r w:rsidRPr="00C23322">
        <w:rPr>
          <w:rFonts w:ascii="Arial" w:eastAsia="Times New Roman" w:hAnsi="Arial"/>
        </w:rPr>
        <w:t xml:space="preserve">The study is theoretically grounded in </w:t>
      </w:r>
      <w:r w:rsidR="002C0901">
        <w:rPr>
          <w:rFonts w:ascii="Arial" w:eastAsia="Times New Roman" w:hAnsi="Arial"/>
        </w:rPr>
        <w:t>Self-Determination Theory</w:t>
      </w:r>
      <w:r w:rsidRPr="00C23322">
        <w:rPr>
          <w:rFonts w:ascii="Arial" w:eastAsia="Times New Roman" w:hAnsi="Arial"/>
        </w:rPr>
        <w:t>. Autonomy, competence and relatedness need satisfaction are each expected to positively influence sustained Clubcard engagement, generating the first three hypotheses: H1 (autonomy), H2 (competence) and H3 (relatedness). Based on the research of Peng and Hung (2020) and Xi and Hamari (2020), autonomy will probably be the strongest of the three and competence second and relatedness the weakest, but this sequence has not been tested in grocery retail.</w:t>
      </w:r>
    </w:p>
    <w:p w:rsidR="0062647F" w:rsidRPr="00C23322" w:rsidRDefault="0062647F" w:rsidP="0062647F">
      <w:pPr>
        <w:spacing w:after="120"/>
        <w:rPr>
          <w:rFonts w:ascii="Arial" w:eastAsia="Times New Roman" w:hAnsi="Arial"/>
        </w:rPr>
      </w:pPr>
      <w:r w:rsidRPr="00C23322">
        <w:rPr>
          <w:rFonts w:ascii="Arial" w:eastAsia="Times New Roman" w:hAnsi="Arial"/>
        </w:rPr>
        <w:t>Financial pressure is not included as a predictor variable, but rather as a moderator variable of the three relationships. Note that the amplification account (Vansteenkiste et al., 2010; Davvetas and Sharma, 2023) and attenuation account (Mullainathan and Shafir, 2013; Hobfoll, 1989) make opposing predictions regarding the direction of this moderation, and H4 is intended to settle this empirical question rather than to assume which account is correct a priori. Both accounts are in theory defensible, but this is why the moderation should be tested and not presumed.</w:t>
      </w:r>
    </w:p>
    <w:p w:rsidR="00AF77FB" w:rsidRPr="00C23322" w:rsidRDefault="0062647F" w:rsidP="0062647F">
      <w:pPr>
        <w:spacing w:after="120"/>
        <w:rPr>
          <w:rFonts w:ascii="Arial" w:eastAsia="Times New Roman" w:hAnsi="Arial"/>
        </w:rPr>
      </w:pPr>
      <w:r w:rsidRPr="00C23322">
        <w:rPr>
          <w:rFonts w:ascii="Arial" w:eastAsia="Times New Roman" w:hAnsi="Arial"/>
        </w:rPr>
        <w:t xml:space="preserve">Overall, this review highlights three gaps that the present study addresses: the use of SDT in the context of UK grocery </w:t>
      </w:r>
      <w:r w:rsidR="002C0901">
        <w:rPr>
          <w:rFonts w:ascii="Arial" w:eastAsia="Times New Roman" w:hAnsi="Arial"/>
        </w:rPr>
        <w:t xml:space="preserve">loyalty </w:t>
      </w:r>
      <w:r w:rsidR="00180CC5">
        <w:rPr>
          <w:rFonts w:ascii="Arial" w:eastAsia="Times New Roman" w:hAnsi="Arial"/>
        </w:rPr>
        <w:t>programme</w:t>
      </w:r>
      <w:r w:rsidRPr="00C23322">
        <w:rPr>
          <w:rFonts w:ascii="Arial" w:eastAsia="Times New Roman" w:hAnsi="Arial"/>
        </w:rPr>
        <w:t xml:space="preserve">s is limited; few studies have combined all three basic needs within a single model with a financial-pressure moderator; there are no direct empirical tests of financial pressure as a moderator in a real-world retail environment during a period of true economic hardship. The methodology that was </w:t>
      </w:r>
      <w:r w:rsidRPr="00C23322">
        <w:rPr>
          <w:rFonts w:ascii="Arial" w:eastAsia="Times New Roman" w:hAnsi="Arial"/>
        </w:rPr>
        <w:lastRenderedPageBreak/>
        <w:t>adopted in testing H1 to H4 with these gaps is presented in the next chapter, which outlines the sampling strategy, survey instrument and analytical approach that was used for the London-based Clubcard users</w:t>
      </w:r>
      <w:r w:rsidR="002707D2" w:rsidRPr="00C23322">
        <w:rPr>
          <w:rFonts w:ascii="Arial" w:eastAsia="Times New Roman" w:hAnsi="Arial"/>
        </w:rPr>
        <w:t>.</w:t>
      </w:r>
    </w:p>
    <w:p w:rsidR="00AF77FB" w:rsidRPr="00C23322" w:rsidRDefault="00AF77FB" w:rsidP="00AF77FB">
      <w:pPr>
        <w:spacing w:after="160" w:line="259" w:lineRule="auto"/>
        <w:jc w:val="left"/>
        <w:rPr>
          <w:rFonts w:ascii="Arial" w:hAnsi="Arial"/>
        </w:rPr>
      </w:pPr>
      <w:r w:rsidRPr="00C23322">
        <w:rPr>
          <w:rFonts w:ascii="Arial" w:hAnsi="Arial"/>
        </w:rPr>
        <w:br w:type="page"/>
      </w:r>
    </w:p>
    <w:p w:rsidR="00DC7C09" w:rsidRPr="00C23322" w:rsidRDefault="00DC7C09" w:rsidP="00E326DA">
      <w:pPr>
        <w:pStyle w:val="Heading1"/>
      </w:pPr>
      <w:bookmarkStart w:id="21" w:name="_Toc241116802"/>
      <w:r w:rsidRPr="00C23322">
        <w:lastRenderedPageBreak/>
        <w:t>Chapter 3: Methodology</w:t>
      </w:r>
      <w:bookmarkEnd w:id="21"/>
    </w:p>
    <w:p w:rsidR="00DC7C09" w:rsidRPr="00C23322" w:rsidRDefault="00DC7C09" w:rsidP="00DC7C09">
      <w:pPr>
        <w:pStyle w:val="Heading2"/>
        <w:keepNext/>
        <w:spacing w:before="0" w:after="120"/>
        <w:rPr>
          <w:rFonts w:ascii="Arial" w:hAnsi="Arial" w:cs="Arial"/>
        </w:rPr>
      </w:pPr>
      <w:bookmarkStart w:id="22" w:name="_Toc241116803"/>
      <w:r w:rsidRPr="00C23322">
        <w:rPr>
          <w:rFonts w:ascii="Arial" w:hAnsi="Arial" w:cs="Arial"/>
          <w:sz w:val="28"/>
          <w:szCs w:val="28"/>
        </w:rPr>
        <w:t>3.1 Introduction</w:t>
      </w:r>
      <w:bookmarkEnd w:id="22"/>
    </w:p>
    <w:p w:rsidR="001C1DAC" w:rsidRPr="00C23322" w:rsidRDefault="001C1DAC" w:rsidP="001C1DAC">
      <w:pPr>
        <w:spacing w:after="120"/>
        <w:rPr>
          <w:rFonts w:ascii="Arial" w:hAnsi="Arial"/>
        </w:rPr>
      </w:pPr>
      <w:r w:rsidRPr="00C23322">
        <w:rPr>
          <w:rFonts w:ascii="Arial" w:hAnsi="Arial"/>
        </w:rPr>
        <w:t>This chapter presents the methodology used to test the hypotheses developed in Chapte</w:t>
      </w:r>
      <w:r w:rsidR="002C0901">
        <w:rPr>
          <w:rFonts w:ascii="Arial" w:hAnsi="Arial"/>
        </w:rPr>
        <w:t>r 2. The study is based on Self-Determination Theory</w:t>
      </w:r>
      <w:r w:rsidRPr="00C23322">
        <w:rPr>
          <w:rFonts w:ascii="Arial" w:hAnsi="Arial"/>
        </w:rPr>
        <w:t xml:space="preserve"> (SDT) and the Basic Psychological needs framework (BPN) (Ryan and Deci, 2000) to explore the factors that maintain Tesco Clubcard engagement during the </w:t>
      </w:r>
      <w:r w:rsidR="002C0901">
        <w:rPr>
          <w:rFonts w:ascii="Arial" w:hAnsi="Arial"/>
        </w:rPr>
        <w:t>cost-of-living crisis</w:t>
      </w:r>
      <w:r w:rsidRPr="00C23322">
        <w:rPr>
          <w:rFonts w:ascii="Arial" w:hAnsi="Arial"/>
        </w:rPr>
        <w:t>. Chapter 2 proposed that autonomy (H1), competence (H2) and relatedness (H3) need satisfaction each positively predict sustained Clubcard engagement, and that perceived financial pressure moderates each of these relationships (H4a to H4c).</w:t>
      </w:r>
    </w:p>
    <w:p w:rsidR="00DC7C09" w:rsidRPr="00C23322" w:rsidRDefault="00BA4EF7" w:rsidP="001C1DAC">
      <w:pPr>
        <w:spacing w:after="120"/>
        <w:rPr>
          <w:rFonts w:ascii="Arial" w:hAnsi="Arial"/>
        </w:rPr>
      </w:pPr>
      <w:r w:rsidRPr="00C23322">
        <w:rPr>
          <w:rFonts w:ascii="Arial" w:hAnsi="Arial"/>
        </w:rPr>
        <w:t>A quantitative, cross-</w:t>
      </w:r>
      <w:r w:rsidR="001C1DAC" w:rsidRPr="00C23322">
        <w:rPr>
          <w:rFonts w:ascii="Arial" w:hAnsi="Arial"/>
        </w:rPr>
        <w:t>sectional online survey was administered to active Tesco Clubcard holders resident in Greater London. The design enables the three need constructs, the moderator and the outcome to be measured based on a sample that is large enough for regression analysis. Each substantive item is rated on a seven-point Likert scale, which provides more differentiation of responses than does a five-point alternative (Preston and Colman, 2000). The chapter covers the research philosophy and design (3.2), the justification for the survey method (3.3), sampling (3.4), the instrument (3.5), data analysis (3.6), research quality (3.7) and ethics (3.8), and closes with a summary (3.9)</w:t>
      </w:r>
      <w:r w:rsidR="00DC7C09" w:rsidRPr="00C23322">
        <w:rPr>
          <w:rFonts w:ascii="Arial" w:hAnsi="Arial"/>
        </w:rPr>
        <w:t>.</w:t>
      </w:r>
    </w:p>
    <w:p w:rsidR="00DC7C09" w:rsidRPr="00C23322" w:rsidRDefault="00DC7C09" w:rsidP="00DC7C09">
      <w:pPr>
        <w:pStyle w:val="Heading2"/>
        <w:keepNext/>
        <w:spacing w:before="0" w:after="120"/>
        <w:rPr>
          <w:rFonts w:ascii="Arial" w:hAnsi="Arial" w:cs="Arial"/>
        </w:rPr>
      </w:pPr>
      <w:bookmarkStart w:id="23" w:name="_Toc241116804"/>
      <w:r w:rsidRPr="00C23322">
        <w:rPr>
          <w:rFonts w:ascii="Arial" w:hAnsi="Arial" w:cs="Arial"/>
          <w:sz w:val="28"/>
          <w:szCs w:val="28"/>
        </w:rPr>
        <w:lastRenderedPageBreak/>
        <w:t>3.2 Research Philosophy, Approach, and Design</w:t>
      </w:r>
      <w:bookmarkEnd w:id="23"/>
    </w:p>
    <w:p w:rsidR="00DC7C09" w:rsidRPr="00C23322" w:rsidRDefault="00467D15" w:rsidP="00DC7C09">
      <w:pPr>
        <w:spacing w:after="120"/>
        <w:rPr>
          <w:rFonts w:ascii="Arial" w:hAnsi="Arial"/>
        </w:rPr>
      </w:pPr>
      <w:r w:rsidRPr="00C23322">
        <w:rPr>
          <w:rFonts w:ascii="Arial" w:hAnsi="Arial"/>
          <w:noProof/>
        </w:rPr>
        <w:drawing>
          <wp:anchor distT="0" distB="0" distL="114300" distR="114300" simplePos="0" relativeHeight="251661312" behindDoc="0" locked="0" layoutInCell="1" allowOverlap="1" wp14:anchorId="5F36B9BA" wp14:editId="517FF11B">
            <wp:simplePos x="0" y="0"/>
            <wp:positionH relativeFrom="margin">
              <wp:align>center</wp:align>
            </wp:positionH>
            <wp:positionV relativeFrom="paragraph">
              <wp:posOffset>895985</wp:posOffset>
            </wp:positionV>
            <wp:extent cx="4632960" cy="308864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tGPT Image Sep 12, 2026, 02_54_14 A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32960" cy="3088640"/>
                    </a:xfrm>
                    <a:prstGeom prst="rect">
                      <a:avLst/>
                    </a:prstGeom>
                  </pic:spPr>
                </pic:pic>
              </a:graphicData>
            </a:graphic>
            <wp14:sizeRelH relativeFrom="margin">
              <wp14:pctWidth>0</wp14:pctWidth>
            </wp14:sizeRelH>
            <wp14:sizeRelV relativeFrom="margin">
              <wp14:pctHeight>0</wp14:pctHeight>
            </wp14:sizeRelV>
          </wp:anchor>
        </w:drawing>
      </w:r>
      <w:r w:rsidR="00DC7C09" w:rsidRPr="00C23322">
        <w:rPr>
          <w:rFonts w:ascii="Arial" w:hAnsi="Arial"/>
        </w:rPr>
        <w:t>The methodological choices are structured using the Research Onion framework (Saunders, Lewis and Thornhill, 2019). Figure 3.1 presents the position adopted in this study.</w:t>
      </w:r>
    </w:p>
    <w:p w:rsidR="00DC7C09" w:rsidRPr="00C23322" w:rsidRDefault="00DC7C09" w:rsidP="00DC7C09">
      <w:pPr>
        <w:spacing w:after="120"/>
        <w:rPr>
          <w:rFonts w:ascii="Arial" w:hAnsi="Arial"/>
        </w:rPr>
      </w:pPr>
    </w:p>
    <w:p w:rsidR="00DC7C09" w:rsidRPr="00C23322" w:rsidRDefault="00DC7C09" w:rsidP="00DC7C09">
      <w:pPr>
        <w:pStyle w:val="Caption"/>
        <w:jc w:val="center"/>
        <w:rPr>
          <w:rFonts w:ascii="Arial" w:hAnsi="Arial" w:cs="Arial"/>
          <w:b/>
          <w:i w:val="0"/>
          <w:color w:val="000000" w:themeColor="text1"/>
          <w:sz w:val="24"/>
          <w:szCs w:val="24"/>
        </w:rPr>
      </w:pPr>
      <w:bookmarkStart w:id="24" w:name="_Toc241116887"/>
      <w:r w:rsidRPr="00C23322">
        <w:rPr>
          <w:rFonts w:ascii="Arial" w:hAnsi="Arial" w:cs="Arial"/>
          <w:b/>
          <w:i w:val="0"/>
          <w:color w:val="000000" w:themeColor="text1"/>
          <w:sz w:val="24"/>
          <w:szCs w:val="24"/>
        </w:rPr>
        <w:t>Figure</w:t>
      </w:r>
      <w:r w:rsidR="00F51EFF" w:rsidRPr="00C23322">
        <w:rPr>
          <w:rFonts w:ascii="Arial" w:hAnsi="Arial" w:cs="Arial"/>
          <w:b/>
          <w:i w:val="0"/>
          <w:color w:val="000000" w:themeColor="text1"/>
          <w:sz w:val="24"/>
          <w:szCs w:val="24"/>
        </w:rPr>
        <w:t xml:space="preserve"> 3.</w:t>
      </w:r>
      <w:r w:rsidR="00467D15">
        <w:rPr>
          <w:rFonts w:ascii="Arial" w:hAnsi="Arial" w:cs="Arial"/>
          <w:b/>
          <w:i w:val="0"/>
          <w:color w:val="000000" w:themeColor="text1"/>
          <w:sz w:val="24"/>
          <w:szCs w:val="24"/>
        </w:rPr>
        <w:t>1</w:t>
      </w:r>
      <w:r w:rsidRPr="00C23322">
        <w:rPr>
          <w:rFonts w:ascii="Arial" w:hAnsi="Arial" w:cs="Arial"/>
          <w:b/>
          <w:i w:val="0"/>
          <w:color w:val="000000" w:themeColor="text1"/>
          <w:sz w:val="24"/>
          <w:szCs w:val="24"/>
        </w:rPr>
        <w:t>: Research Onion and Methodological Position</w:t>
      </w:r>
      <w:r w:rsidRPr="00C23322">
        <w:rPr>
          <w:rFonts w:ascii="Arial" w:hAnsi="Arial" w:cs="Arial"/>
          <w:b/>
          <w:bCs/>
          <w:sz w:val="22"/>
          <w:szCs w:val="22"/>
        </w:rPr>
        <w:t xml:space="preserve"> </w:t>
      </w:r>
      <w:r w:rsidRPr="00C23322">
        <w:rPr>
          <w:rFonts w:ascii="Arial" w:hAnsi="Arial" w:cs="Arial"/>
          <w:b/>
          <w:bCs/>
          <w:i w:val="0"/>
          <w:color w:val="000000" w:themeColor="text1"/>
          <w:sz w:val="22"/>
          <w:szCs w:val="22"/>
        </w:rPr>
        <w:t>(adapted from Saunders, Lewis and Thornhill, 2019)</w:t>
      </w:r>
      <w:bookmarkEnd w:id="24"/>
    </w:p>
    <w:p w:rsidR="00DC7C09" w:rsidRPr="00C23322" w:rsidRDefault="00DC7C09" w:rsidP="00DC7C09">
      <w:pPr>
        <w:pStyle w:val="Heading3"/>
        <w:keepNext/>
        <w:rPr>
          <w:rFonts w:ascii="Arial" w:hAnsi="Arial" w:cs="Arial"/>
        </w:rPr>
      </w:pPr>
      <w:bookmarkStart w:id="25" w:name="_Toc241116805"/>
      <w:r w:rsidRPr="00C23322">
        <w:rPr>
          <w:rFonts w:ascii="Arial" w:eastAsia="Times New Roman" w:hAnsi="Arial" w:cs="Arial"/>
        </w:rPr>
        <w:t>3.2.1 Research Philosophy: Positivism</w:t>
      </w:r>
      <w:bookmarkEnd w:id="25"/>
    </w:p>
    <w:p w:rsidR="00DC7C09" w:rsidRPr="00C23322" w:rsidRDefault="009338F6" w:rsidP="00DC7C09">
      <w:pPr>
        <w:spacing w:after="120"/>
        <w:rPr>
          <w:rFonts w:ascii="Arial" w:hAnsi="Arial"/>
        </w:rPr>
      </w:pPr>
      <w:r w:rsidRPr="00C23322">
        <w:rPr>
          <w:rFonts w:ascii="Arial" w:hAnsi="Arial"/>
        </w:rPr>
        <w:t>A positivist philosophy is taken because the study tests predetermined hypotheses, employing measurable constructs and inferential statistics. Positivism is based on the i</w:t>
      </w:r>
      <w:r w:rsidR="002C0901">
        <w:rPr>
          <w:rFonts w:ascii="Arial" w:hAnsi="Arial"/>
        </w:rPr>
        <w:t>dea that phenomena can be analys</w:t>
      </w:r>
      <w:r w:rsidRPr="00C23322">
        <w:rPr>
          <w:rFonts w:ascii="Arial" w:hAnsi="Arial"/>
        </w:rPr>
        <w:t>ed by systematic observation and empirical evidence (Saunders, Lewis and Thornhill, 2019; Bryman, 2016). Autonomy, competence, relatedness, perceived financial pressure and sustained Clubcard engagement are therefore considered constructs which can be measured consistently across respondents via standardised questionnaire items</w:t>
      </w:r>
      <w:r w:rsidR="00DC7C09" w:rsidRPr="00C23322">
        <w:rPr>
          <w:rFonts w:ascii="Arial" w:hAnsi="Arial"/>
        </w:rPr>
        <w:t>.</w:t>
      </w:r>
    </w:p>
    <w:p w:rsidR="00DC7C09" w:rsidRPr="00C23322" w:rsidRDefault="00DC7C09" w:rsidP="00DC7C09">
      <w:pPr>
        <w:pStyle w:val="Heading3"/>
        <w:keepNext/>
        <w:rPr>
          <w:rFonts w:ascii="Arial" w:hAnsi="Arial" w:cs="Arial"/>
        </w:rPr>
      </w:pPr>
      <w:bookmarkStart w:id="26" w:name="_Toc241116806"/>
      <w:r w:rsidRPr="00C23322">
        <w:rPr>
          <w:rFonts w:ascii="Arial" w:eastAsia="Times New Roman" w:hAnsi="Arial" w:cs="Arial"/>
        </w:rPr>
        <w:t>3.2.2 Research Approach: Deductive</w:t>
      </w:r>
      <w:bookmarkEnd w:id="26"/>
    </w:p>
    <w:p w:rsidR="00DC7C09" w:rsidRPr="00C23322" w:rsidRDefault="009338F6" w:rsidP="00DC7C09">
      <w:pPr>
        <w:spacing w:after="120"/>
        <w:rPr>
          <w:rFonts w:ascii="Arial" w:hAnsi="Arial"/>
        </w:rPr>
      </w:pPr>
      <w:r w:rsidRPr="00C23322">
        <w:rPr>
          <w:rFonts w:ascii="Arial" w:hAnsi="Arial"/>
        </w:rPr>
        <w:t xml:space="preserve">A deductive approach was used as hypotheses were developed based on known SDT principles prior to data collection. SDT is well-developed theory which can provide clear </w:t>
      </w:r>
      <w:r w:rsidRPr="00C23322">
        <w:rPr>
          <w:rFonts w:ascii="Arial" w:hAnsi="Arial"/>
        </w:rPr>
        <w:lastRenderedPageBreak/>
        <w:t>predictions of directionality (Ryan and Deci, 2000), and the purpose is to test and extend this theory in a new consumer context, not to develop it inductively from qualitative evidence</w:t>
      </w:r>
      <w:r w:rsidR="00DC7C09" w:rsidRPr="00C23322">
        <w:rPr>
          <w:rFonts w:ascii="Arial" w:hAnsi="Arial"/>
        </w:rPr>
        <w:t>.</w:t>
      </w:r>
    </w:p>
    <w:p w:rsidR="00DC7C09" w:rsidRPr="00C23322" w:rsidRDefault="00DC7C09" w:rsidP="00DC7C09">
      <w:pPr>
        <w:pStyle w:val="Heading3"/>
        <w:keepNext/>
        <w:rPr>
          <w:rFonts w:ascii="Arial" w:hAnsi="Arial" w:cs="Arial"/>
        </w:rPr>
      </w:pPr>
      <w:bookmarkStart w:id="27" w:name="_Toc241116807"/>
      <w:r w:rsidRPr="00C23322">
        <w:rPr>
          <w:rFonts w:ascii="Arial" w:eastAsia="Times New Roman" w:hAnsi="Arial" w:cs="Arial"/>
        </w:rPr>
        <w:t>3.2.3 Research Strategy: Survey</w:t>
      </w:r>
      <w:bookmarkEnd w:id="27"/>
    </w:p>
    <w:p w:rsidR="00DC7C09" w:rsidRPr="00C23322" w:rsidRDefault="00C61EB1" w:rsidP="00DC7C09">
      <w:pPr>
        <w:spacing w:after="120"/>
        <w:rPr>
          <w:rFonts w:ascii="Arial" w:hAnsi="Arial"/>
        </w:rPr>
      </w:pPr>
      <w:r w:rsidRPr="00C23322">
        <w:rPr>
          <w:rFonts w:ascii="Arial" w:hAnsi="Arial"/>
        </w:rPr>
        <w:t>A survey strategy was chosen to meet the study's goal of standardised measurement of three need constructs, one moderator and one outcome across a number of respondents. An online survey allows for the collection of similar answers in the time and resources available for a dissertation (Fink, 2017). Qualitative interviews and mixed methods were deemed not suitable for the purposes of this study as it involved testing statistically pre-set hypotheses</w:t>
      </w:r>
      <w:r w:rsidR="00DC7C09" w:rsidRPr="00C23322">
        <w:rPr>
          <w:rFonts w:ascii="Arial" w:hAnsi="Arial"/>
        </w:rPr>
        <w:t>.</w:t>
      </w:r>
    </w:p>
    <w:p w:rsidR="00DC7C09" w:rsidRPr="00C23322" w:rsidRDefault="00DC7C09" w:rsidP="00DC7C09">
      <w:pPr>
        <w:pStyle w:val="Heading3"/>
        <w:keepNext/>
        <w:rPr>
          <w:rFonts w:ascii="Arial" w:hAnsi="Arial" w:cs="Arial"/>
        </w:rPr>
      </w:pPr>
      <w:bookmarkStart w:id="28" w:name="_Toc241116808"/>
      <w:r w:rsidRPr="00C23322">
        <w:rPr>
          <w:rFonts w:ascii="Arial" w:eastAsia="Times New Roman" w:hAnsi="Arial" w:cs="Arial"/>
        </w:rPr>
        <w:t>3.2.4 Methodological Choice and Time Horizon</w:t>
      </w:r>
      <w:bookmarkEnd w:id="28"/>
    </w:p>
    <w:p w:rsidR="00DC7C09" w:rsidRPr="00C23322" w:rsidRDefault="00C61EB1" w:rsidP="00DC7C09">
      <w:pPr>
        <w:spacing w:after="120"/>
        <w:rPr>
          <w:rFonts w:ascii="Arial" w:hAnsi="Arial"/>
        </w:rPr>
      </w:pPr>
      <w:r w:rsidRPr="00C23322">
        <w:rPr>
          <w:rFonts w:ascii="Arial" w:hAnsi="Arial"/>
        </w:rPr>
        <w:t xml:space="preserve">The study uses a mono method quantitative design with a </w:t>
      </w:r>
      <w:r w:rsidR="002C0901">
        <w:rPr>
          <w:rFonts w:ascii="Arial" w:hAnsi="Arial"/>
        </w:rPr>
        <w:t>cross-sectional</w:t>
      </w:r>
      <w:r w:rsidRPr="00C23322">
        <w:rPr>
          <w:rFonts w:ascii="Arial" w:hAnsi="Arial"/>
        </w:rPr>
        <w:t xml:space="preserve"> time horizon. Data were collected at one point in time to examine the current relationships among SDT need satisfaction, perceived financial pressure and Clubcard engagement. As noted in Chapter 5, this design can only find a statistical association but not a causal direction. The Research Onion layers are therefore consistent: positivism, deduction, survey strategy, mono method design and </w:t>
      </w:r>
      <w:r w:rsidR="002C0901">
        <w:rPr>
          <w:rFonts w:ascii="Arial" w:hAnsi="Arial"/>
        </w:rPr>
        <w:t>cross-sectional</w:t>
      </w:r>
      <w:r w:rsidRPr="00C23322">
        <w:rPr>
          <w:rFonts w:ascii="Arial" w:hAnsi="Arial"/>
        </w:rPr>
        <w:t xml:space="preserve"> horizon (Saunders, Lewis and Thornhill, 2019)</w:t>
      </w:r>
      <w:r w:rsidR="00DC7C09" w:rsidRPr="00C23322">
        <w:rPr>
          <w:rFonts w:ascii="Arial" w:hAnsi="Arial"/>
        </w:rPr>
        <w:t>.</w:t>
      </w:r>
    </w:p>
    <w:p w:rsidR="00DC7C09" w:rsidRPr="00C23322" w:rsidRDefault="00DC7C09" w:rsidP="00DC7C09">
      <w:pPr>
        <w:pStyle w:val="Heading2"/>
        <w:keepNext/>
        <w:spacing w:before="0" w:after="120"/>
        <w:rPr>
          <w:rFonts w:ascii="Arial" w:hAnsi="Arial" w:cs="Arial"/>
        </w:rPr>
      </w:pPr>
      <w:bookmarkStart w:id="29" w:name="_Toc241116809"/>
      <w:r w:rsidRPr="00C23322">
        <w:rPr>
          <w:rFonts w:ascii="Arial" w:hAnsi="Arial" w:cs="Arial"/>
          <w:sz w:val="28"/>
          <w:szCs w:val="28"/>
        </w:rPr>
        <w:t>3.3 Justification for Quantitative Survey Methodology</w:t>
      </w:r>
      <w:bookmarkEnd w:id="29"/>
    </w:p>
    <w:p w:rsidR="009A15FF" w:rsidRPr="00C23322" w:rsidRDefault="009A15FF" w:rsidP="009A15FF">
      <w:pPr>
        <w:spacing w:after="120"/>
        <w:rPr>
          <w:rFonts w:ascii="Arial" w:hAnsi="Arial"/>
        </w:rPr>
      </w:pPr>
      <w:r w:rsidRPr="00C23322">
        <w:rPr>
          <w:rFonts w:ascii="Arial" w:hAnsi="Arial"/>
        </w:rPr>
        <w:t xml:space="preserve">A quantitative survey </w:t>
      </w:r>
      <w:r w:rsidR="00BA4EF7" w:rsidRPr="00C23322">
        <w:rPr>
          <w:rFonts w:ascii="Arial" w:hAnsi="Arial"/>
        </w:rPr>
        <w:t xml:space="preserve">was considered appropriate </w:t>
      </w:r>
      <w:r w:rsidRPr="00C23322">
        <w:rPr>
          <w:rFonts w:ascii="Arial" w:hAnsi="Arial"/>
        </w:rPr>
        <w:t>method as the research questions involve direct relationships and moderation effects that would be examined using statistics. H1, H2 and H3 necessitate regression coefficients and tests of significance for each need dimension, and H4a, H4b and H4c necessitate interaction effects between each need dimension and perceived financial pressure. Neither can be tested without numerical data from an adequately sized sample.</w:t>
      </w:r>
    </w:p>
    <w:p w:rsidR="009A15FF" w:rsidRPr="00C23322" w:rsidRDefault="009A15FF" w:rsidP="009A15FF">
      <w:pPr>
        <w:spacing w:after="120"/>
        <w:rPr>
          <w:rFonts w:ascii="Arial" w:hAnsi="Arial"/>
        </w:rPr>
      </w:pPr>
      <w:r w:rsidRPr="00C23322">
        <w:rPr>
          <w:rFonts w:ascii="Arial" w:hAnsi="Arial"/>
        </w:rPr>
        <w:t xml:space="preserve">The constructs refer to psychological states that are typically measured using self-report scales, which is also the standard practice in SDT and consumer research (Peng and Hung, 2020; Xi and Hamari, 2020; Ryan and Deci, 2017). This also makes the measurement approach comparable with the precedent studies reviewed in Chapter 2. A </w:t>
      </w:r>
      <w:r w:rsidR="002C0901">
        <w:rPr>
          <w:rFonts w:ascii="Arial" w:hAnsi="Arial"/>
        </w:rPr>
        <w:lastRenderedPageBreak/>
        <w:t>seven-point Likert scale</w:t>
      </w:r>
      <w:r w:rsidRPr="00C23322">
        <w:rPr>
          <w:rFonts w:ascii="Arial" w:hAnsi="Arial"/>
        </w:rPr>
        <w:t xml:space="preserve"> was used for all substantive constructs because it provides greater response variance while remaining easy for non-specialist respondents to complete (Preston and Colman, 2000; Dawes, 2008).</w:t>
      </w:r>
    </w:p>
    <w:p w:rsidR="00DC7C09" w:rsidRPr="00C23322" w:rsidRDefault="009A15FF" w:rsidP="009A15FF">
      <w:pPr>
        <w:spacing w:after="120"/>
        <w:rPr>
          <w:rFonts w:ascii="Arial" w:hAnsi="Arial"/>
        </w:rPr>
      </w:pPr>
      <w:r w:rsidRPr="00C23322">
        <w:rPr>
          <w:rFonts w:ascii="Arial" w:hAnsi="Arial"/>
        </w:rPr>
        <w:t xml:space="preserve">Primary data were necessary because no existing secondary dataset combines SDT need satisfaction, perceived financial pressure and Tesco Clubcard engagement. Qualitative interviews </w:t>
      </w:r>
      <w:r w:rsidR="00224021" w:rsidRPr="00C23322">
        <w:rPr>
          <w:rFonts w:ascii="Arial" w:hAnsi="Arial"/>
        </w:rPr>
        <w:t xml:space="preserve">could provide in-depth insights into individual experiences </w:t>
      </w:r>
      <w:r w:rsidRPr="00C23322">
        <w:rPr>
          <w:rFonts w:ascii="Arial" w:hAnsi="Arial"/>
        </w:rPr>
        <w:t>but would not allow for a comparison of the relative predictive power of the three need dimensions and could not statistically test the moderation</w:t>
      </w:r>
      <w:r w:rsidR="00DC7C09" w:rsidRPr="00C23322">
        <w:rPr>
          <w:rFonts w:ascii="Arial" w:hAnsi="Arial"/>
        </w:rPr>
        <w:t>.</w:t>
      </w:r>
    </w:p>
    <w:p w:rsidR="00DC7C09" w:rsidRPr="00C23322" w:rsidRDefault="00DC7C09" w:rsidP="00DC7C09">
      <w:pPr>
        <w:pStyle w:val="Heading2"/>
        <w:keepNext/>
        <w:spacing w:before="0" w:after="120"/>
        <w:rPr>
          <w:rFonts w:ascii="Arial" w:hAnsi="Arial" w:cs="Arial"/>
        </w:rPr>
      </w:pPr>
      <w:bookmarkStart w:id="30" w:name="_Toc241116810"/>
      <w:r w:rsidRPr="00C23322">
        <w:rPr>
          <w:rFonts w:ascii="Arial" w:hAnsi="Arial" w:cs="Arial"/>
          <w:sz w:val="28"/>
          <w:szCs w:val="28"/>
        </w:rPr>
        <w:t>3.4 Sampling Strategy</w:t>
      </w:r>
      <w:bookmarkEnd w:id="30"/>
    </w:p>
    <w:p w:rsidR="00DC7C09" w:rsidRPr="00C23322" w:rsidRDefault="00DC7C09" w:rsidP="00DC7C09">
      <w:pPr>
        <w:pStyle w:val="Heading3"/>
        <w:keepNext/>
        <w:rPr>
          <w:rFonts w:ascii="Arial" w:hAnsi="Arial" w:cs="Arial"/>
        </w:rPr>
      </w:pPr>
      <w:bookmarkStart w:id="31" w:name="_Toc241116811"/>
      <w:r w:rsidRPr="00C23322">
        <w:rPr>
          <w:rFonts w:ascii="Arial" w:eastAsia="Times New Roman" w:hAnsi="Arial" w:cs="Arial"/>
        </w:rPr>
        <w:t>3.4.1 Target Population and Eligibility</w:t>
      </w:r>
      <w:bookmarkEnd w:id="31"/>
    </w:p>
    <w:p w:rsidR="00DC7C09" w:rsidRPr="00C23322" w:rsidRDefault="009A15FF" w:rsidP="00DC7C09">
      <w:pPr>
        <w:spacing w:after="120"/>
        <w:rPr>
          <w:rFonts w:ascii="Arial" w:hAnsi="Arial"/>
        </w:rPr>
      </w:pPr>
      <w:r w:rsidRPr="00C23322">
        <w:rPr>
          <w:rFonts w:ascii="Arial" w:hAnsi="Arial"/>
        </w:rPr>
        <w:t xml:space="preserve">The target population includes all adults aged 18 and older who (a) </w:t>
      </w:r>
      <w:r w:rsidR="00BA4EF7" w:rsidRPr="00C23322">
        <w:rPr>
          <w:rFonts w:ascii="Arial" w:hAnsi="Arial"/>
        </w:rPr>
        <w:t xml:space="preserve">held </w:t>
      </w:r>
      <w:r w:rsidRPr="00C23322">
        <w:rPr>
          <w:rFonts w:ascii="Arial" w:hAnsi="Arial"/>
        </w:rPr>
        <w:t xml:space="preserve">an active Tesco Clubcard and (b) </w:t>
      </w:r>
      <w:r w:rsidR="00BA4EF7" w:rsidRPr="00C23322">
        <w:rPr>
          <w:rFonts w:ascii="Arial" w:hAnsi="Arial"/>
        </w:rPr>
        <w:t xml:space="preserve">resided </w:t>
      </w:r>
      <w:r w:rsidRPr="00C23322">
        <w:rPr>
          <w:rFonts w:ascii="Arial" w:hAnsi="Arial"/>
        </w:rPr>
        <w:t>in Greater London. Greater London was chosen as it has high living costs and significant pressures on household spending (Trust for London, 2026; ONS, 2026). Two screening questions appeared at the start of the questionnaire, and respondents answering No to either were routed to the end of the survey and excluded. The results are therefore examined in the context of all those with active Clubcard accounts in Greater London, and not all UK consumers</w:t>
      </w:r>
      <w:r w:rsidR="00DC7C09" w:rsidRPr="00C23322">
        <w:rPr>
          <w:rFonts w:ascii="Arial" w:hAnsi="Arial"/>
        </w:rPr>
        <w:t>.</w:t>
      </w:r>
    </w:p>
    <w:p w:rsidR="00DC7C09" w:rsidRPr="00C23322" w:rsidRDefault="00DC7C09" w:rsidP="00DC7C09">
      <w:pPr>
        <w:pStyle w:val="Heading3"/>
        <w:keepNext/>
        <w:rPr>
          <w:rFonts w:ascii="Arial" w:hAnsi="Arial" w:cs="Arial"/>
        </w:rPr>
      </w:pPr>
      <w:bookmarkStart w:id="32" w:name="_Toc241116812"/>
      <w:r w:rsidRPr="00C23322">
        <w:rPr>
          <w:rFonts w:ascii="Arial" w:eastAsia="Times New Roman" w:hAnsi="Arial" w:cs="Arial"/>
        </w:rPr>
        <w:t>3.4.2 Sampling Method and Sample Size</w:t>
      </w:r>
      <w:bookmarkEnd w:id="32"/>
    </w:p>
    <w:p w:rsidR="009A15FF" w:rsidRPr="00C23322" w:rsidRDefault="002C0901" w:rsidP="009A15FF">
      <w:pPr>
        <w:spacing w:after="120"/>
        <w:rPr>
          <w:rFonts w:ascii="Arial" w:hAnsi="Arial"/>
        </w:rPr>
      </w:pPr>
      <w:r>
        <w:rPr>
          <w:rFonts w:ascii="Arial" w:hAnsi="Arial"/>
        </w:rPr>
        <w:t>Non-probability</w:t>
      </w:r>
      <w:r w:rsidR="009A15FF" w:rsidRPr="00C23322">
        <w:rPr>
          <w:rFonts w:ascii="Arial" w:hAnsi="Arial"/>
        </w:rPr>
        <w:t xml:space="preserve"> purposive convenience sampling was employed, with a snowball element. The purposive element ensured that all participants met the eligibility criteria. The survey was sent via the researcher's LinkedIn and Facebook accounts, as well as Greater London consumer groups and personal networks, and qualifying respondents were invited to pass it on to other qualifying respondents. This approach is consistent with the closest precedent studies (Peng and Hung, 2020; Xi and Hamari, 2020). It was feasible for accessing the target population with a consequence of </w:t>
      </w:r>
      <w:r w:rsidR="00BA4EF7" w:rsidRPr="00C23322">
        <w:rPr>
          <w:rFonts w:ascii="Arial" w:hAnsi="Arial"/>
        </w:rPr>
        <w:t>restricted statistical generalis</w:t>
      </w:r>
      <w:r w:rsidR="009A15FF" w:rsidRPr="00C23322">
        <w:rPr>
          <w:rFonts w:ascii="Arial" w:hAnsi="Arial"/>
        </w:rPr>
        <w:t>ability.</w:t>
      </w:r>
    </w:p>
    <w:p w:rsidR="00DC7C09" w:rsidRPr="00C23322" w:rsidRDefault="009A15FF" w:rsidP="009A15FF">
      <w:pPr>
        <w:spacing w:after="120"/>
        <w:rPr>
          <w:rFonts w:ascii="Arial" w:hAnsi="Arial"/>
        </w:rPr>
      </w:pPr>
      <w:r w:rsidRPr="00C23322">
        <w:rPr>
          <w:rFonts w:ascii="Arial" w:hAnsi="Arial"/>
        </w:rPr>
        <w:t xml:space="preserve">A total of 99 valid responses were obtained. According to Cohen (1992) and Green (1991), about 77 cases are enough to find a medium effect with three predictors at α = .05 and power = .80. The sample obtained is thus adequate for the direct effect regression </w:t>
      </w:r>
      <w:r w:rsidRPr="00C23322">
        <w:rPr>
          <w:rFonts w:ascii="Arial" w:hAnsi="Arial"/>
        </w:rPr>
        <w:lastRenderedPageBreak/>
        <w:t>(H1-H3). The moderation analyses (H4a to H4c) were treated as exploratory because the study was not powered to detect small interaction effects. The aim is analytical generalisation, extending SDT into a new setting, rather than statistical generalisation to all Clubcard holders (Yin, 2018)</w:t>
      </w:r>
      <w:r w:rsidR="00DC7C09" w:rsidRPr="00C23322">
        <w:rPr>
          <w:rFonts w:ascii="Arial" w:hAnsi="Arial"/>
        </w:rPr>
        <w:t>.</w:t>
      </w:r>
    </w:p>
    <w:p w:rsidR="00DC7C09" w:rsidRPr="00C23322" w:rsidRDefault="00DC7C09" w:rsidP="00DC7C09">
      <w:pPr>
        <w:pStyle w:val="Heading2"/>
        <w:keepNext/>
        <w:spacing w:before="0" w:after="120"/>
        <w:rPr>
          <w:rFonts w:ascii="Arial" w:hAnsi="Arial" w:cs="Arial"/>
        </w:rPr>
      </w:pPr>
      <w:bookmarkStart w:id="33" w:name="_Toc241116813"/>
      <w:r w:rsidRPr="00C23322">
        <w:rPr>
          <w:rFonts w:ascii="Arial" w:hAnsi="Arial" w:cs="Arial"/>
          <w:sz w:val="28"/>
          <w:szCs w:val="28"/>
        </w:rPr>
        <w:t>3.5 Survey Instrument and Measurement</w:t>
      </w:r>
      <w:bookmarkEnd w:id="33"/>
    </w:p>
    <w:p w:rsidR="00DC7C09" w:rsidRPr="00C23322" w:rsidRDefault="00DC7C09" w:rsidP="00DC7C09">
      <w:pPr>
        <w:pStyle w:val="Heading3"/>
        <w:keepNext/>
        <w:rPr>
          <w:rFonts w:ascii="Arial" w:hAnsi="Arial" w:cs="Arial"/>
        </w:rPr>
      </w:pPr>
      <w:bookmarkStart w:id="34" w:name="_Toc241116814"/>
      <w:r w:rsidRPr="00C23322">
        <w:rPr>
          <w:rFonts w:ascii="Arial" w:eastAsia="Times New Roman" w:hAnsi="Arial" w:cs="Arial"/>
        </w:rPr>
        <w:t>3.5.1 Questionnaire Structure and Scale</w:t>
      </w:r>
      <w:bookmarkEnd w:id="34"/>
    </w:p>
    <w:p w:rsidR="00DC7C09" w:rsidRPr="00C23322" w:rsidRDefault="009A15FF" w:rsidP="00DC7C09">
      <w:pPr>
        <w:spacing w:after="120"/>
        <w:rPr>
          <w:rFonts w:ascii="Arial" w:hAnsi="Arial"/>
        </w:rPr>
      </w:pPr>
      <w:r w:rsidRPr="00C23322">
        <w:rPr>
          <w:rFonts w:ascii="Arial" w:hAnsi="Arial"/>
        </w:rPr>
        <w:t xml:space="preserve">The questionnaire comprised five sections: eligibility screening, demographic information, SDT need satisfaction, perceived financial pressure and sustained Tesco Clubcard engagement. All substantive items used a </w:t>
      </w:r>
      <w:r w:rsidR="002C0901">
        <w:rPr>
          <w:rFonts w:ascii="Arial" w:hAnsi="Arial"/>
        </w:rPr>
        <w:t>seven-point Likert scale</w:t>
      </w:r>
      <w:r w:rsidRPr="00C23322">
        <w:rPr>
          <w:rFonts w:ascii="Arial" w:hAnsi="Arial"/>
        </w:rPr>
        <w:t xml:space="preserve"> from 1 = Strongly Disagree to 7 = Strongly Agree, and estimated completion time was 10 to 14 minutes (Preston and Colman, 2000; Dawes, 2008). Perceived financial pressure was the moderator. The dependent variable was sustained engagement, operationalised in terms of cognitive, emotional, behavioural and intentional dimensions (Brodie et al., 2011; Hollebeek, 2011). The full structure, items, scale and so</w:t>
      </w:r>
      <w:r w:rsidR="00D3685C">
        <w:rPr>
          <w:rFonts w:ascii="Arial" w:hAnsi="Arial"/>
        </w:rPr>
        <w:t>urces are presented in Table 3.1</w:t>
      </w:r>
      <w:r w:rsidR="00DC7C09" w:rsidRPr="00C23322">
        <w:rPr>
          <w:rFonts w:ascii="Arial" w:hAnsi="Arial"/>
        </w:rPr>
        <w:t>.</w:t>
      </w:r>
    </w:p>
    <w:p w:rsidR="00DC7C09" w:rsidRPr="00C23322" w:rsidRDefault="00DC7C09" w:rsidP="00DC7C09">
      <w:pPr>
        <w:pStyle w:val="Heading3"/>
        <w:keepNext/>
        <w:rPr>
          <w:rFonts w:ascii="Arial" w:hAnsi="Arial" w:cs="Arial"/>
        </w:rPr>
      </w:pPr>
      <w:bookmarkStart w:id="35" w:name="_Toc241116815"/>
      <w:r w:rsidRPr="00C23322">
        <w:rPr>
          <w:rFonts w:ascii="Arial" w:eastAsia="Times New Roman" w:hAnsi="Arial" w:cs="Arial"/>
        </w:rPr>
        <w:t>3.5.2 Item Sources and Adaptation</w:t>
      </w:r>
      <w:bookmarkEnd w:id="35"/>
    </w:p>
    <w:p w:rsidR="00DC7C09" w:rsidRPr="00C23322" w:rsidRDefault="009A15FF" w:rsidP="00DC7C09">
      <w:pPr>
        <w:spacing w:after="120"/>
        <w:rPr>
          <w:rFonts w:ascii="Arial" w:hAnsi="Arial"/>
        </w:rPr>
      </w:pPr>
      <w:r w:rsidRPr="00C23322">
        <w:rPr>
          <w:rFonts w:ascii="Arial" w:hAnsi="Arial"/>
        </w:rPr>
        <w:t>Items were adapted from established literature and contextualised to Tesco Clubcard. The need satisfaction items are based on Ryan and Deci (2000) and Peng and Hung (2020). Financial pressure items were adapted from Mullainathan and Shafir (2013), Davvetas and Sharma (2023) and ONS (2026). Engagement items were adapted from Brodie et al. (2011), Hollebeek (2011), Dick and Basu (1994), Peng and Hung (2020) and Oliver (1999). For analysis, the eight engagement items were aggregated into a single theoretically derived composite. The Intentional dimension reflects the respondents intention to maintain usage of Clubcard in the next six months</w:t>
      </w:r>
      <w:r w:rsidR="00DC7C09" w:rsidRPr="00C23322">
        <w:rPr>
          <w:rFonts w:ascii="Arial" w:hAnsi="Arial"/>
        </w:rPr>
        <w:t>.</w:t>
      </w:r>
    </w:p>
    <w:tbl>
      <w:tblPr>
        <w:tblW w:w="902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99"/>
        <w:gridCol w:w="697"/>
        <w:gridCol w:w="3747"/>
        <w:gridCol w:w="1464"/>
        <w:gridCol w:w="1519"/>
      </w:tblGrid>
      <w:tr w:rsidR="00DC7C09" w:rsidRPr="00C23322" w:rsidTr="00203EA9">
        <w:trPr>
          <w:tblHeader/>
        </w:trPr>
        <w:tc>
          <w:tcPr>
            <w:tcW w:w="15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b/>
                <w:bCs/>
                <w:sz w:val="22"/>
                <w:szCs w:val="22"/>
              </w:rPr>
              <w:lastRenderedPageBreak/>
              <w:t>Construct and Part</w:t>
            </w:r>
          </w:p>
        </w:tc>
        <w:tc>
          <w:tcPr>
            <w:tcW w:w="7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b/>
                <w:bCs/>
                <w:sz w:val="22"/>
                <w:szCs w:val="22"/>
              </w:rPr>
              <w:t>Hyp.</w:t>
            </w:r>
          </w:p>
        </w:tc>
        <w:tc>
          <w:tcPr>
            <w:tcW w:w="39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b/>
                <w:bCs/>
                <w:sz w:val="22"/>
                <w:szCs w:val="22"/>
              </w:rPr>
              <w:t>Survey Items</w:t>
            </w:r>
          </w:p>
        </w:tc>
        <w:tc>
          <w:tcPr>
            <w:tcW w:w="14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b/>
                <w:bCs/>
                <w:sz w:val="22"/>
                <w:szCs w:val="22"/>
              </w:rPr>
              <w:t>Scale</w:t>
            </w:r>
          </w:p>
        </w:tc>
        <w:tc>
          <w:tcPr>
            <w:tcW w:w="1526"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b/>
                <w:bCs/>
                <w:sz w:val="22"/>
                <w:szCs w:val="22"/>
              </w:rPr>
              <w:t>Source(s)</w:t>
            </w:r>
          </w:p>
        </w:tc>
      </w:tr>
      <w:tr w:rsidR="00DC7C09" w:rsidRPr="00C23322" w:rsidTr="00203EA9">
        <w:trPr>
          <w:cantSplit/>
        </w:trPr>
        <w:tc>
          <w:tcPr>
            <w:tcW w:w="15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Screening (Part 1)</w:t>
            </w:r>
          </w:p>
        </w:tc>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N/A</w:t>
            </w:r>
          </w:p>
        </w:tc>
        <w:tc>
          <w:tcPr>
            <w:tcW w:w="39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Q1: Do you currently hold an active Tesco Clubcard? (Yes/No).</w:t>
            </w:r>
          </w:p>
          <w:p w:rsidR="00DC7C09" w:rsidRPr="00C23322" w:rsidRDefault="00DC7C09" w:rsidP="00203EA9">
            <w:pPr>
              <w:rPr>
                <w:rFonts w:ascii="Arial" w:hAnsi="Arial"/>
                <w:sz w:val="22"/>
                <w:szCs w:val="22"/>
              </w:rPr>
            </w:pPr>
            <w:r w:rsidRPr="00C23322">
              <w:rPr>
                <w:rFonts w:ascii="Arial" w:hAnsi="Arial"/>
                <w:sz w:val="22"/>
                <w:szCs w:val="22"/>
              </w:rPr>
              <w:t>Q2: Do you currently reside in Greater London? (Yes/No).</w:t>
            </w:r>
          </w:p>
          <w:p w:rsidR="00DC7C09" w:rsidRPr="00C23322" w:rsidRDefault="00DC7C09" w:rsidP="00203EA9">
            <w:pPr>
              <w:rPr>
                <w:rFonts w:ascii="Arial" w:hAnsi="Arial"/>
                <w:sz w:val="22"/>
                <w:szCs w:val="22"/>
              </w:rPr>
            </w:pPr>
            <w:r w:rsidRPr="00C23322">
              <w:rPr>
                <w:rFonts w:ascii="Arial" w:hAnsi="Arial"/>
                <w:sz w:val="22"/>
                <w:szCs w:val="22"/>
              </w:rPr>
              <w:t>[No to either routed to end of survey]</w:t>
            </w:r>
          </w:p>
        </w:tc>
        <w:tc>
          <w:tcPr>
            <w:tcW w:w="14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Dichotomous</w:t>
            </w:r>
          </w:p>
        </w:tc>
        <w:tc>
          <w:tcPr>
            <w:tcW w:w="15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Researcher designed</w:t>
            </w:r>
          </w:p>
        </w:tc>
      </w:tr>
      <w:tr w:rsidR="00DC7C09" w:rsidRPr="00C23322" w:rsidTr="00203EA9">
        <w:trPr>
          <w:cantSplit/>
        </w:trPr>
        <w:tc>
          <w:tcPr>
            <w:tcW w:w="15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Demographics (Part 2)</w:t>
            </w:r>
          </w:p>
        </w:tc>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N/A</w:t>
            </w:r>
          </w:p>
        </w:tc>
        <w:tc>
          <w:tcPr>
            <w:tcW w:w="39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Age band; Gender; Approximate monthly household income band; Length of Clubcard membership</w:t>
            </w:r>
          </w:p>
        </w:tc>
        <w:tc>
          <w:tcPr>
            <w:tcW w:w="14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Categorical (banded)</w:t>
            </w:r>
          </w:p>
        </w:tc>
        <w:tc>
          <w:tcPr>
            <w:tcW w:w="15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ONS (2026) income categories</w:t>
            </w:r>
          </w:p>
        </w:tc>
      </w:tr>
      <w:tr w:rsidR="00DC7C09" w:rsidRPr="00C23322" w:rsidTr="00203EA9">
        <w:trPr>
          <w:cantSplit/>
        </w:trPr>
        <w:tc>
          <w:tcPr>
            <w:tcW w:w="15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Autonomy Need Satisfaction (Part 3)</w:t>
            </w:r>
          </w:p>
        </w:tc>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H1</w:t>
            </w:r>
          </w:p>
        </w:tc>
        <w:tc>
          <w:tcPr>
            <w:tcW w:w="39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Q1: I feel I have meaningful choice in how I use my Tesco Clubcard.</w:t>
            </w:r>
          </w:p>
          <w:p w:rsidR="00DC7C09" w:rsidRPr="00C23322" w:rsidRDefault="00DC7C09" w:rsidP="00203EA9">
            <w:pPr>
              <w:rPr>
                <w:rFonts w:ascii="Arial" w:hAnsi="Arial"/>
                <w:sz w:val="22"/>
                <w:szCs w:val="22"/>
              </w:rPr>
            </w:pPr>
            <w:r w:rsidRPr="00C23322">
              <w:rPr>
                <w:rFonts w:ascii="Arial" w:hAnsi="Arial"/>
                <w:sz w:val="22"/>
                <w:szCs w:val="22"/>
              </w:rPr>
              <w:t>Q2: Participating in Clubcard feels like my own decision, not something I am pressured into.</w:t>
            </w:r>
          </w:p>
          <w:p w:rsidR="00DC7C09" w:rsidRPr="00C23322" w:rsidRDefault="00DC7C09" w:rsidP="00203EA9">
            <w:pPr>
              <w:rPr>
                <w:rFonts w:ascii="Arial" w:hAnsi="Arial"/>
                <w:sz w:val="22"/>
                <w:szCs w:val="22"/>
              </w:rPr>
            </w:pPr>
            <w:r w:rsidRPr="00C23322">
              <w:rPr>
                <w:rFonts w:ascii="Arial" w:hAnsi="Arial"/>
                <w:sz w:val="22"/>
                <w:szCs w:val="22"/>
              </w:rPr>
              <w:t>Q3: Using Clubcard feels like an expression of my own values and preferences.</w:t>
            </w:r>
          </w:p>
          <w:p w:rsidR="00DC7C09" w:rsidRPr="00C23322" w:rsidRDefault="00DC7C09" w:rsidP="00203EA9">
            <w:pPr>
              <w:rPr>
                <w:rFonts w:ascii="Arial" w:hAnsi="Arial"/>
                <w:sz w:val="22"/>
                <w:szCs w:val="22"/>
              </w:rPr>
            </w:pPr>
            <w:r w:rsidRPr="00C23322">
              <w:rPr>
                <w:rFonts w:ascii="Arial" w:hAnsi="Arial"/>
                <w:sz w:val="22"/>
                <w:szCs w:val="22"/>
              </w:rPr>
              <w:t>Q4: I feel free to engage with Clubcard in the way that suits me best.</w:t>
            </w:r>
          </w:p>
        </w:tc>
        <w:tc>
          <w:tcPr>
            <w:tcW w:w="14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7 point Likert (1 = Strongly Disagree, 4 = Neutral, 7 = Strongly Agree)</w:t>
            </w:r>
          </w:p>
        </w:tc>
        <w:tc>
          <w:tcPr>
            <w:tcW w:w="15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Ryan and Deci (2000); Peng and Hung (2020)</w:t>
            </w:r>
          </w:p>
        </w:tc>
      </w:tr>
      <w:tr w:rsidR="00DC7C09" w:rsidRPr="00C23322" w:rsidTr="00203EA9">
        <w:trPr>
          <w:cantSplit/>
        </w:trPr>
        <w:tc>
          <w:tcPr>
            <w:tcW w:w="15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lastRenderedPageBreak/>
              <w:t>Competence Need Satisfaction (Part 3)</w:t>
            </w:r>
          </w:p>
        </w:tc>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H2</w:t>
            </w:r>
          </w:p>
        </w:tc>
        <w:tc>
          <w:tcPr>
            <w:tcW w:w="39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Q1: I feel effective at finding and using Clubcard Prices to save money on my grocery shopping.</w:t>
            </w:r>
          </w:p>
          <w:p w:rsidR="00DC7C09" w:rsidRPr="00C23322" w:rsidRDefault="00DC7C09" w:rsidP="00203EA9">
            <w:pPr>
              <w:rPr>
                <w:rFonts w:ascii="Arial" w:hAnsi="Arial"/>
                <w:sz w:val="22"/>
                <w:szCs w:val="22"/>
              </w:rPr>
            </w:pPr>
            <w:r w:rsidRPr="00C23322">
              <w:rPr>
                <w:rFonts w:ascii="Arial" w:hAnsi="Arial"/>
                <w:sz w:val="22"/>
                <w:szCs w:val="22"/>
              </w:rPr>
              <w:t>Q2: Using my Clubcard makes me feel like a skilled and capable shopper.</w:t>
            </w:r>
          </w:p>
          <w:p w:rsidR="00DC7C09" w:rsidRPr="00C23322" w:rsidRDefault="00DC7C09" w:rsidP="00203EA9">
            <w:pPr>
              <w:rPr>
                <w:rFonts w:ascii="Arial" w:hAnsi="Arial"/>
                <w:sz w:val="22"/>
                <w:szCs w:val="22"/>
              </w:rPr>
            </w:pPr>
            <w:r w:rsidRPr="00C23322">
              <w:rPr>
                <w:rFonts w:ascii="Arial" w:hAnsi="Arial"/>
                <w:sz w:val="22"/>
                <w:szCs w:val="22"/>
              </w:rPr>
              <w:t>Q3: I feel confident in my ability to get genuine value from my Clubcard membership.</w:t>
            </w:r>
          </w:p>
          <w:p w:rsidR="00DC7C09" w:rsidRPr="00C23322" w:rsidRDefault="00DC7C09" w:rsidP="00203EA9">
            <w:pPr>
              <w:rPr>
                <w:rFonts w:ascii="Arial" w:hAnsi="Arial"/>
                <w:sz w:val="22"/>
                <w:szCs w:val="22"/>
              </w:rPr>
            </w:pPr>
            <w:r w:rsidRPr="00C23322">
              <w:rPr>
                <w:rFonts w:ascii="Arial" w:hAnsi="Arial"/>
                <w:sz w:val="22"/>
                <w:szCs w:val="22"/>
              </w:rPr>
              <w:t>Q4: I feel I am good at making the most of the savings available through Clubcard.</w:t>
            </w:r>
          </w:p>
        </w:tc>
        <w:tc>
          <w:tcPr>
            <w:tcW w:w="14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7 point Likert</w:t>
            </w:r>
          </w:p>
        </w:tc>
        <w:tc>
          <w:tcPr>
            <w:tcW w:w="15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Ryan and Deci (2000); Peng and Hung (2020); Legault and Inzlicht (2013)</w:t>
            </w:r>
          </w:p>
        </w:tc>
      </w:tr>
      <w:tr w:rsidR="00DC7C09" w:rsidRPr="00C23322" w:rsidTr="00203EA9">
        <w:trPr>
          <w:cantSplit/>
        </w:trPr>
        <w:tc>
          <w:tcPr>
            <w:tcW w:w="15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Relatedness Need Satisfaction (Part 3)</w:t>
            </w:r>
          </w:p>
        </w:tc>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H3</w:t>
            </w:r>
          </w:p>
        </w:tc>
        <w:tc>
          <w:tcPr>
            <w:tcW w:w="39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Q1: Tesco makes me feel like a valued individual member through Clubcard.</w:t>
            </w:r>
          </w:p>
          <w:p w:rsidR="00DC7C09" w:rsidRPr="00C23322" w:rsidRDefault="00DC7C09" w:rsidP="00203EA9">
            <w:pPr>
              <w:rPr>
                <w:rFonts w:ascii="Arial" w:hAnsi="Arial"/>
                <w:sz w:val="22"/>
                <w:szCs w:val="22"/>
              </w:rPr>
            </w:pPr>
            <w:r w:rsidRPr="00C23322">
              <w:rPr>
                <w:rFonts w:ascii="Arial" w:hAnsi="Arial"/>
                <w:sz w:val="22"/>
                <w:szCs w:val="22"/>
              </w:rPr>
              <w:t>Q2: I feel that Tesco understands my personal shopping needs through Clubcard.</w:t>
            </w:r>
          </w:p>
          <w:p w:rsidR="00DC7C09" w:rsidRPr="00C23322" w:rsidRDefault="00DC7C09" w:rsidP="00203EA9">
            <w:pPr>
              <w:rPr>
                <w:rFonts w:ascii="Arial" w:hAnsi="Arial"/>
                <w:sz w:val="22"/>
                <w:szCs w:val="22"/>
              </w:rPr>
            </w:pPr>
            <w:r w:rsidRPr="00C23322">
              <w:rPr>
                <w:rFonts w:ascii="Arial" w:hAnsi="Arial"/>
                <w:sz w:val="22"/>
                <w:szCs w:val="22"/>
              </w:rPr>
              <w:t>Q3: I feel a genuine sense of connection with Tesco as a Clubcard member.</w:t>
            </w:r>
          </w:p>
          <w:p w:rsidR="00DC7C09" w:rsidRPr="00C23322" w:rsidRDefault="00DC7C09" w:rsidP="00203EA9">
            <w:pPr>
              <w:rPr>
                <w:rFonts w:ascii="Arial" w:hAnsi="Arial"/>
                <w:sz w:val="22"/>
                <w:szCs w:val="22"/>
              </w:rPr>
            </w:pPr>
            <w:r w:rsidRPr="00C23322">
              <w:rPr>
                <w:rFonts w:ascii="Arial" w:hAnsi="Arial"/>
                <w:sz w:val="22"/>
                <w:szCs w:val="22"/>
              </w:rPr>
              <w:t>Q4: Clubcard makes me feel that Tesco cares about me as a customer.</w:t>
            </w:r>
          </w:p>
        </w:tc>
        <w:tc>
          <w:tcPr>
            <w:tcW w:w="14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7 point Likert</w:t>
            </w:r>
          </w:p>
        </w:tc>
        <w:tc>
          <w:tcPr>
            <w:tcW w:w="15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Ryan and Deci (2000); Sheldon et al. (2011); Peng and Hung (2020)</w:t>
            </w:r>
          </w:p>
        </w:tc>
      </w:tr>
      <w:tr w:rsidR="00DC7C09" w:rsidRPr="00C23322" w:rsidTr="00203EA9">
        <w:trPr>
          <w:cantSplit/>
        </w:trPr>
        <w:tc>
          <w:tcPr>
            <w:tcW w:w="15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lastRenderedPageBreak/>
              <w:t>Perceived Financial Pressure (Part 4) [Moderator]</w:t>
            </w:r>
          </w:p>
        </w:tc>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H4</w:t>
            </w:r>
          </w:p>
        </w:tc>
        <w:tc>
          <w:tcPr>
            <w:tcW w:w="39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Q1: The cost of grocery shopping places significant financial strain on my household budget.</w:t>
            </w:r>
          </w:p>
          <w:p w:rsidR="00DC7C09" w:rsidRPr="00C23322" w:rsidRDefault="00DC7C09" w:rsidP="00203EA9">
            <w:pPr>
              <w:rPr>
                <w:rFonts w:ascii="Arial" w:hAnsi="Arial"/>
                <w:sz w:val="22"/>
                <w:szCs w:val="22"/>
              </w:rPr>
            </w:pPr>
            <w:r w:rsidRPr="00C23322">
              <w:rPr>
                <w:rFonts w:ascii="Arial" w:hAnsi="Arial"/>
                <w:sz w:val="22"/>
                <w:szCs w:val="22"/>
              </w:rPr>
              <w:t>Q2: I regularly have to make difficult choices about what I can afford when grocery shopping.</w:t>
            </w:r>
          </w:p>
          <w:p w:rsidR="00DC7C09" w:rsidRPr="00C23322" w:rsidRDefault="00DC7C09" w:rsidP="00203EA9">
            <w:pPr>
              <w:rPr>
                <w:rFonts w:ascii="Arial" w:hAnsi="Arial"/>
                <w:sz w:val="22"/>
                <w:szCs w:val="22"/>
              </w:rPr>
            </w:pPr>
            <w:r w:rsidRPr="00C23322">
              <w:rPr>
                <w:rFonts w:ascii="Arial" w:hAnsi="Arial"/>
                <w:sz w:val="22"/>
                <w:szCs w:val="22"/>
              </w:rPr>
              <w:t>Q3: I feel under significant financial pressure when I do my weekly grocery shopping.</w:t>
            </w:r>
          </w:p>
          <w:p w:rsidR="00DC7C09" w:rsidRPr="00C23322" w:rsidRDefault="00DC7C09" w:rsidP="00203EA9">
            <w:pPr>
              <w:rPr>
                <w:rFonts w:ascii="Arial" w:hAnsi="Arial"/>
                <w:sz w:val="22"/>
                <w:szCs w:val="22"/>
              </w:rPr>
            </w:pPr>
            <w:r w:rsidRPr="00C23322">
              <w:rPr>
                <w:rFonts w:ascii="Arial" w:hAnsi="Arial"/>
                <w:sz w:val="22"/>
                <w:szCs w:val="22"/>
              </w:rPr>
              <w:t>Q4: My grocery budget is currently very tight due to rising prices.</w:t>
            </w:r>
          </w:p>
        </w:tc>
        <w:tc>
          <w:tcPr>
            <w:tcW w:w="14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7 point Likert</w:t>
            </w:r>
          </w:p>
        </w:tc>
        <w:tc>
          <w:tcPr>
            <w:tcW w:w="15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Mullainathan and Shafir (2013); Davvetas and Sharma (2023); ONS (2026)</w:t>
            </w:r>
          </w:p>
        </w:tc>
      </w:tr>
      <w:tr w:rsidR="00DC7C09" w:rsidRPr="00C23322" w:rsidTr="00203EA9">
        <w:trPr>
          <w:cantSplit/>
        </w:trPr>
        <w:tc>
          <w:tcPr>
            <w:tcW w:w="15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Sustained Clubcard Engagement: Cognitive (Part 5)</w:t>
            </w:r>
          </w:p>
        </w:tc>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DV</w:t>
            </w:r>
          </w:p>
        </w:tc>
        <w:tc>
          <w:tcPr>
            <w:tcW w:w="39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Q1: I pay close attention to Clubcard offers and personalised communications from Tesco.</w:t>
            </w:r>
          </w:p>
          <w:p w:rsidR="00DC7C09" w:rsidRPr="00C23322" w:rsidRDefault="00DC7C09" w:rsidP="00203EA9">
            <w:pPr>
              <w:rPr>
                <w:rFonts w:ascii="Arial" w:hAnsi="Arial"/>
                <w:sz w:val="22"/>
                <w:szCs w:val="22"/>
              </w:rPr>
            </w:pPr>
            <w:r w:rsidRPr="00C23322">
              <w:rPr>
                <w:rFonts w:ascii="Arial" w:hAnsi="Arial"/>
                <w:sz w:val="22"/>
                <w:szCs w:val="22"/>
              </w:rPr>
              <w:t>Q2: I regularly think about how I can make the most of my Clubcard membership.</w:t>
            </w:r>
          </w:p>
        </w:tc>
        <w:tc>
          <w:tcPr>
            <w:tcW w:w="14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7 point Likert</w:t>
            </w:r>
          </w:p>
        </w:tc>
        <w:tc>
          <w:tcPr>
            <w:tcW w:w="15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Brodie et al. (2011); Hollebeek (2011)</w:t>
            </w:r>
          </w:p>
        </w:tc>
      </w:tr>
      <w:tr w:rsidR="00DC7C09" w:rsidRPr="00C23322" w:rsidTr="00203EA9">
        <w:trPr>
          <w:cantSplit/>
        </w:trPr>
        <w:tc>
          <w:tcPr>
            <w:tcW w:w="15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Sustained Clubcard Engagement: Emotional (Part 5)</w:t>
            </w:r>
          </w:p>
        </w:tc>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DV</w:t>
            </w:r>
          </w:p>
        </w:tc>
        <w:tc>
          <w:tcPr>
            <w:tcW w:w="39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Q1: I feel positively about being a Tesco Clubcard member.</w:t>
            </w:r>
          </w:p>
          <w:p w:rsidR="00DC7C09" w:rsidRPr="00C23322" w:rsidRDefault="00DC7C09" w:rsidP="00203EA9">
            <w:pPr>
              <w:rPr>
                <w:rFonts w:ascii="Arial" w:hAnsi="Arial"/>
                <w:sz w:val="22"/>
                <w:szCs w:val="22"/>
              </w:rPr>
            </w:pPr>
            <w:r w:rsidRPr="00C23322">
              <w:rPr>
                <w:rFonts w:ascii="Arial" w:hAnsi="Arial"/>
                <w:sz w:val="22"/>
                <w:szCs w:val="22"/>
              </w:rPr>
              <w:t>Q2: Being a Clubcard member is something I genuinely value.</w:t>
            </w:r>
          </w:p>
        </w:tc>
        <w:tc>
          <w:tcPr>
            <w:tcW w:w="14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7 point Likert</w:t>
            </w:r>
          </w:p>
        </w:tc>
        <w:tc>
          <w:tcPr>
            <w:tcW w:w="15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Hollebeek (2011); Dick and Basu (1994)</w:t>
            </w:r>
          </w:p>
        </w:tc>
      </w:tr>
      <w:tr w:rsidR="00DC7C09" w:rsidRPr="00C23322" w:rsidTr="00203EA9">
        <w:trPr>
          <w:cantSplit/>
        </w:trPr>
        <w:tc>
          <w:tcPr>
            <w:tcW w:w="15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Sustained Clubcard Engagement: Behavioural (Part 5)</w:t>
            </w:r>
          </w:p>
        </w:tc>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DV</w:t>
            </w:r>
          </w:p>
        </w:tc>
        <w:tc>
          <w:tcPr>
            <w:tcW w:w="39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Q1: I actively use my Clubcard every time I shop at Tesco.</w:t>
            </w:r>
          </w:p>
          <w:p w:rsidR="00DC7C09" w:rsidRPr="00C23322" w:rsidRDefault="00DC7C09" w:rsidP="00203EA9">
            <w:pPr>
              <w:rPr>
                <w:rFonts w:ascii="Arial" w:hAnsi="Arial"/>
                <w:sz w:val="22"/>
                <w:szCs w:val="22"/>
              </w:rPr>
            </w:pPr>
            <w:r w:rsidRPr="00C23322">
              <w:rPr>
                <w:rFonts w:ascii="Arial" w:hAnsi="Arial"/>
                <w:sz w:val="22"/>
                <w:szCs w:val="22"/>
              </w:rPr>
              <w:t>Q2: I actively seek out Clubcard Prices when choosing what to buy.</w:t>
            </w:r>
          </w:p>
        </w:tc>
        <w:tc>
          <w:tcPr>
            <w:tcW w:w="14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7 point Likert</w:t>
            </w:r>
          </w:p>
        </w:tc>
        <w:tc>
          <w:tcPr>
            <w:tcW w:w="15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Dick and Basu (1994); Brodie et al. (2011)</w:t>
            </w:r>
          </w:p>
        </w:tc>
      </w:tr>
      <w:tr w:rsidR="00DC7C09" w:rsidRPr="00C23322" w:rsidTr="00203EA9">
        <w:trPr>
          <w:cantSplit/>
        </w:trPr>
        <w:tc>
          <w:tcPr>
            <w:tcW w:w="15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lastRenderedPageBreak/>
              <w:t>Sustained Clubcard Engagement: Intentional (Part 5)</w:t>
            </w:r>
          </w:p>
        </w:tc>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DV</w:t>
            </w:r>
          </w:p>
        </w:tc>
        <w:tc>
          <w:tcPr>
            <w:tcW w:w="39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Q1: I intend to continue using my Tesco Clubcard over the next six months.</w:t>
            </w:r>
          </w:p>
          <w:p w:rsidR="00DC7C09" w:rsidRPr="00C23322" w:rsidRDefault="00DC7C09" w:rsidP="00203EA9">
            <w:pPr>
              <w:rPr>
                <w:rFonts w:ascii="Arial" w:hAnsi="Arial"/>
                <w:sz w:val="22"/>
                <w:szCs w:val="22"/>
              </w:rPr>
            </w:pPr>
            <w:r w:rsidRPr="00C23322">
              <w:rPr>
                <w:rFonts w:ascii="Arial" w:hAnsi="Arial"/>
                <w:sz w:val="22"/>
                <w:szCs w:val="22"/>
              </w:rPr>
              <w:t>Q2: I plan to remain an active Clubcard member for the foreseeable future.</w:t>
            </w:r>
          </w:p>
        </w:tc>
        <w:tc>
          <w:tcPr>
            <w:tcW w:w="14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7 point Likert</w:t>
            </w:r>
          </w:p>
        </w:tc>
        <w:tc>
          <w:tcPr>
            <w:tcW w:w="15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rPr>
                <w:rFonts w:ascii="Arial" w:hAnsi="Arial"/>
                <w:sz w:val="22"/>
                <w:szCs w:val="22"/>
              </w:rPr>
            </w:pPr>
            <w:r w:rsidRPr="00C23322">
              <w:rPr>
                <w:rFonts w:ascii="Arial" w:hAnsi="Arial"/>
                <w:sz w:val="22"/>
                <w:szCs w:val="22"/>
              </w:rPr>
              <w:t>Peng and Hung (2020); Oliver (1999)</w:t>
            </w:r>
          </w:p>
        </w:tc>
      </w:tr>
    </w:tbl>
    <w:p w:rsidR="00DC7C09" w:rsidRPr="00C23322" w:rsidRDefault="00D3685C" w:rsidP="00DC7C09">
      <w:pPr>
        <w:spacing w:after="120"/>
        <w:jc w:val="center"/>
        <w:rPr>
          <w:rFonts w:ascii="Arial" w:hAnsi="Arial"/>
        </w:rPr>
      </w:pPr>
      <w:r>
        <w:rPr>
          <w:rFonts w:ascii="Arial" w:hAnsi="Arial"/>
          <w:b/>
          <w:bCs/>
          <w:sz w:val="22"/>
          <w:szCs w:val="22"/>
        </w:rPr>
        <w:t>Table 3.1</w:t>
      </w:r>
      <w:r w:rsidR="00DC7C09" w:rsidRPr="00C23322">
        <w:rPr>
          <w:rFonts w:ascii="Arial" w:hAnsi="Arial"/>
          <w:b/>
          <w:bCs/>
          <w:sz w:val="22"/>
          <w:szCs w:val="22"/>
        </w:rPr>
        <w:t>: Survey Instrument: Constructs, Items, 7 Point Likert Scale, and Sources</w:t>
      </w:r>
    </w:p>
    <w:p w:rsidR="00DC7C09" w:rsidRPr="00C23322" w:rsidRDefault="00DC7C09" w:rsidP="00DC7C09">
      <w:pPr>
        <w:pStyle w:val="Heading3"/>
        <w:keepNext/>
        <w:rPr>
          <w:rFonts w:ascii="Arial" w:hAnsi="Arial" w:cs="Arial"/>
        </w:rPr>
      </w:pPr>
      <w:bookmarkStart w:id="36" w:name="_Toc241116816"/>
      <w:r w:rsidRPr="00C23322">
        <w:rPr>
          <w:rFonts w:ascii="Arial" w:eastAsia="Times New Roman" w:hAnsi="Arial" w:cs="Arial"/>
        </w:rPr>
        <w:t>3.5.3 Pilot Testing</w:t>
      </w:r>
      <w:bookmarkEnd w:id="36"/>
    </w:p>
    <w:p w:rsidR="00DC7C09" w:rsidRPr="00C23322" w:rsidRDefault="00DC7C09" w:rsidP="00DC7C09">
      <w:pPr>
        <w:spacing w:after="120"/>
        <w:rPr>
          <w:rFonts w:ascii="Arial" w:hAnsi="Arial"/>
        </w:rPr>
      </w:pPr>
      <w:r w:rsidRPr="00C23322">
        <w:rPr>
          <w:rFonts w:ascii="Arial" w:hAnsi="Arial"/>
        </w:rPr>
        <w:t>Before the main survey, the questionnaire was piloted with ten eligible participants. The pilot assessed item clarity, understanding of the scale anchors, questionnaire routing in Microsoft Forms and completion time. Feedback was used to refine wording and confirm functionality. No substantive changes were made to the constructs or measurement structure.</w:t>
      </w:r>
    </w:p>
    <w:p w:rsidR="00DC7C09" w:rsidRPr="00C23322" w:rsidRDefault="00DC7C09" w:rsidP="00DC7C09">
      <w:pPr>
        <w:pStyle w:val="Heading2"/>
        <w:keepNext/>
        <w:spacing w:before="0" w:after="120"/>
        <w:rPr>
          <w:rFonts w:ascii="Arial" w:hAnsi="Arial" w:cs="Arial"/>
        </w:rPr>
      </w:pPr>
      <w:bookmarkStart w:id="37" w:name="_Toc241116817"/>
      <w:r w:rsidRPr="00C23322">
        <w:rPr>
          <w:rFonts w:ascii="Arial" w:hAnsi="Arial" w:cs="Arial"/>
          <w:sz w:val="28"/>
          <w:szCs w:val="28"/>
        </w:rPr>
        <w:t>3.6 Data Analysis</w:t>
      </w:r>
      <w:bookmarkEnd w:id="37"/>
    </w:p>
    <w:p w:rsidR="00DC7C09" w:rsidRPr="00C23322" w:rsidRDefault="008351AA" w:rsidP="00DC7C09">
      <w:pPr>
        <w:spacing w:after="120"/>
        <w:rPr>
          <w:rFonts w:ascii="Arial" w:hAnsi="Arial"/>
        </w:rPr>
      </w:pPr>
      <w:r w:rsidRPr="00C23322">
        <w:rPr>
          <w:rFonts w:ascii="Arial" w:hAnsi="Arial"/>
        </w:rPr>
        <w:t xml:space="preserve">All data were analysed using IBM SPSS Statistics. After exporting from Microsoft Forms, ineligible responses were deleted and records with a high percentage of missing data were </w:t>
      </w:r>
      <w:r w:rsidR="00224021" w:rsidRPr="00C23322">
        <w:rPr>
          <w:rFonts w:ascii="Arial" w:hAnsi="Arial"/>
        </w:rPr>
        <w:t>excluded from the analysis</w:t>
      </w:r>
      <w:r w:rsidRPr="00C23322">
        <w:rPr>
          <w:rFonts w:ascii="Arial" w:hAnsi="Arial"/>
        </w:rPr>
        <w:t>. Descriptive statistics were calculated for all variables, and Cronbach’s alpha was used to assess the internal consistency of each multi item construct, with 0.70 as the minimum recommended threshold (Hair et al., 2019). Pearson correlations were used to examine bivariate relationships among the study variables, and Variance Inflation Factors (VIFs) were used to check for multicollinearity</w:t>
      </w:r>
      <w:r w:rsidR="00DC7C09" w:rsidRPr="00C23322">
        <w:rPr>
          <w:rFonts w:ascii="Arial" w:hAnsi="Arial"/>
        </w:rPr>
        <w:t>.</w:t>
      </w:r>
    </w:p>
    <w:p w:rsidR="00DC7C09" w:rsidRPr="00C23322" w:rsidRDefault="00DC7C09" w:rsidP="00DC7C09">
      <w:pPr>
        <w:pStyle w:val="Heading3"/>
        <w:keepNext/>
        <w:rPr>
          <w:rFonts w:ascii="Arial" w:hAnsi="Arial" w:cs="Arial"/>
        </w:rPr>
      </w:pPr>
      <w:bookmarkStart w:id="38" w:name="_Toc241116818"/>
      <w:r w:rsidRPr="00C23322">
        <w:rPr>
          <w:rFonts w:ascii="Arial" w:eastAsia="Times New Roman" w:hAnsi="Arial" w:cs="Arial"/>
        </w:rPr>
        <w:t>3.6.1 Testing H1 to H3</w:t>
      </w:r>
      <w:bookmarkEnd w:id="38"/>
    </w:p>
    <w:p w:rsidR="00DC7C09" w:rsidRPr="00C23322" w:rsidRDefault="008351AA" w:rsidP="00DC7C09">
      <w:pPr>
        <w:spacing w:after="120"/>
        <w:rPr>
          <w:rFonts w:ascii="Arial" w:hAnsi="Arial"/>
        </w:rPr>
      </w:pPr>
      <w:r w:rsidRPr="00C23322">
        <w:rPr>
          <w:rFonts w:ascii="Arial" w:hAnsi="Arial"/>
        </w:rPr>
        <w:t xml:space="preserve">Multiple linear regression was used to test H1, H2 and H3. Sustained Clubcard engagement was the dependent variable, and autonomy, competence and relatedness were entered simultaneously as independent variables. This estimates the relationship between each need dimension and engagement while accounting for the other two. Standardised beta coefficients (β), t values and p values were examined for the individual </w:t>
      </w:r>
      <w:r w:rsidRPr="00C23322">
        <w:rPr>
          <w:rFonts w:ascii="Arial" w:hAnsi="Arial"/>
        </w:rPr>
        <w:lastRenderedPageBreak/>
        <w:t>predictors, while R² and the overall F statistic evaluated the explanatory performance of the model. Significance was assessed at p &lt; .05</w:t>
      </w:r>
      <w:r w:rsidR="00DC7C09" w:rsidRPr="00C23322">
        <w:rPr>
          <w:rFonts w:ascii="Arial" w:hAnsi="Arial"/>
        </w:rPr>
        <w:t>.</w:t>
      </w:r>
    </w:p>
    <w:p w:rsidR="00DC7C09" w:rsidRPr="00C23322" w:rsidRDefault="00DC7C09" w:rsidP="00DC7C09">
      <w:pPr>
        <w:pStyle w:val="Heading3"/>
        <w:keepNext/>
        <w:rPr>
          <w:rFonts w:ascii="Arial" w:hAnsi="Arial" w:cs="Arial"/>
        </w:rPr>
      </w:pPr>
      <w:bookmarkStart w:id="39" w:name="_Toc241116819"/>
      <w:r w:rsidRPr="00C23322">
        <w:rPr>
          <w:rFonts w:ascii="Arial" w:eastAsia="Times New Roman" w:hAnsi="Arial" w:cs="Arial"/>
        </w:rPr>
        <w:t>3.6.2 Testing H4a to H4c</w:t>
      </w:r>
      <w:bookmarkEnd w:id="39"/>
    </w:p>
    <w:p w:rsidR="008351AA" w:rsidRPr="00C23322" w:rsidRDefault="008351AA" w:rsidP="008351AA">
      <w:pPr>
        <w:spacing w:after="120"/>
        <w:rPr>
          <w:rFonts w:ascii="Arial" w:hAnsi="Arial"/>
        </w:rPr>
      </w:pPr>
      <w:r w:rsidRPr="00C23322">
        <w:rPr>
          <w:rFonts w:ascii="Arial" w:hAnsi="Arial"/>
        </w:rPr>
        <w:t>Three separate Hayes PROCESS Model 1 analyses were conducted to test the moderating role of perceived financial pressure. Model 1 is a simple moderation model in which the interaction between a predictor (X) and a moderator (W) shows whether the relationship between X and the outcome (Y) changes according to the level of W (Hayes, 2022). In H4a, autonomy was X. For H4b, competence was X. For H4c, relatedness is X. For each analysis, the value of perceived financial pressure was W and sustained clubcard engagement Y.</w:t>
      </w:r>
    </w:p>
    <w:p w:rsidR="008351AA" w:rsidRPr="00C23322" w:rsidRDefault="008351AA" w:rsidP="008351AA">
      <w:pPr>
        <w:spacing w:after="120"/>
        <w:rPr>
          <w:rFonts w:ascii="Arial" w:hAnsi="Arial"/>
        </w:rPr>
      </w:pPr>
      <w:r w:rsidRPr="00C23322">
        <w:rPr>
          <w:rFonts w:ascii="Arial" w:hAnsi="Arial"/>
        </w:rPr>
        <w:t>Each moderation hypothesis was therefore tested individually rather than through a single combined hierarchical model, which corresponds directly to the analyses reported in Chapter 4. Continuous variables forming the interaction were mean centred to ease interpretation and reduce non-essential multicollinearity (Aiken and West, 1991). The significance of each interaction coefficient determined whether evidence of moderation existed. H4 predicted that financial pressure will enhance the positive relationship of each need dimension on engagement; a positive and significant interaction coefficient will therefore support H4, but a non-significant coefficient will not. These analyses were considered exploratory because the sample size was not sufficient to detect small interaction effects.</w:t>
      </w:r>
    </w:p>
    <w:p w:rsidR="00DC7C09" w:rsidRPr="00C23322" w:rsidRDefault="008351AA" w:rsidP="008351AA">
      <w:pPr>
        <w:spacing w:after="120"/>
        <w:rPr>
          <w:rFonts w:ascii="Arial" w:hAnsi="Arial"/>
        </w:rPr>
      </w:pPr>
      <w:r w:rsidRPr="00C23322">
        <w:rPr>
          <w:rFonts w:ascii="Arial" w:hAnsi="Arial"/>
        </w:rPr>
        <w:t>The standardised coefficients from the direct effect regression were also compared descriptively to observe the relative magnitude of the three predictors. This comparison was not regarded as an individual hypothesis or evidence that any two coefficients wer</w:t>
      </w:r>
      <w:r w:rsidR="00D3685C">
        <w:rPr>
          <w:rFonts w:ascii="Arial" w:hAnsi="Arial"/>
        </w:rPr>
        <w:t>e statistically equal. Table 3.2</w:t>
      </w:r>
      <w:r w:rsidRPr="00C23322">
        <w:rPr>
          <w:rFonts w:ascii="Arial" w:hAnsi="Arial"/>
        </w:rPr>
        <w:t xml:space="preserve"> summarises the analytical structure</w:t>
      </w:r>
      <w:r w:rsidR="00DC7C09" w:rsidRPr="00C23322">
        <w:rPr>
          <w:rFonts w:ascii="Arial" w:hAnsi="Arial"/>
        </w:rPr>
        <w:t>.</w:t>
      </w:r>
    </w:p>
    <w:tbl>
      <w:tblPr>
        <w:tblW w:w="902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66"/>
        <w:gridCol w:w="1669"/>
        <w:gridCol w:w="1894"/>
        <w:gridCol w:w="2198"/>
        <w:gridCol w:w="1899"/>
      </w:tblGrid>
      <w:tr w:rsidR="00DC7C09" w:rsidRPr="00C23322" w:rsidTr="00203EA9">
        <w:trPr>
          <w:tblHeader/>
        </w:trPr>
        <w:tc>
          <w:tcPr>
            <w:tcW w:w="10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b/>
                <w:bCs/>
                <w:sz w:val="22"/>
                <w:szCs w:val="22"/>
              </w:rPr>
              <w:t>Hypothesis</w:t>
            </w:r>
          </w:p>
        </w:tc>
        <w:tc>
          <w:tcPr>
            <w:tcW w:w="17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b/>
                <w:bCs/>
                <w:sz w:val="22"/>
                <w:szCs w:val="22"/>
              </w:rPr>
              <w:t>Independent Variable (X)</w:t>
            </w:r>
          </w:p>
        </w:tc>
        <w:tc>
          <w:tcPr>
            <w:tcW w:w="20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b/>
                <w:bCs/>
                <w:sz w:val="22"/>
                <w:szCs w:val="22"/>
              </w:rPr>
              <w:t>Moderator (W)</w:t>
            </w:r>
          </w:p>
        </w:tc>
        <w:tc>
          <w:tcPr>
            <w:tcW w:w="2326"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b/>
                <w:bCs/>
                <w:sz w:val="22"/>
                <w:szCs w:val="22"/>
              </w:rPr>
              <w:t>Dependent Variable (Y)</w:t>
            </w:r>
          </w:p>
        </w:tc>
        <w:tc>
          <w:tcPr>
            <w:tcW w:w="20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b/>
                <w:bCs/>
                <w:sz w:val="22"/>
                <w:szCs w:val="22"/>
              </w:rPr>
              <w:t>Statistical Technique</w:t>
            </w:r>
          </w:p>
        </w:tc>
      </w:tr>
      <w:tr w:rsidR="00DC7C09" w:rsidRPr="00C23322" w:rsidTr="00203EA9">
        <w:trPr>
          <w:cantSplit/>
        </w:trPr>
        <w:tc>
          <w:tcPr>
            <w:tcW w:w="1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H1</w:t>
            </w:r>
          </w:p>
        </w:tc>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Autonomy</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N/A</w:t>
            </w:r>
          </w:p>
        </w:tc>
        <w:tc>
          <w:tcPr>
            <w:tcW w:w="23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Sustained Clubcard Engagement</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Multiple Linear Regression</w:t>
            </w:r>
          </w:p>
        </w:tc>
      </w:tr>
      <w:tr w:rsidR="00DC7C09" w:rsidRPr="00C23322" w:rsidTr="00203EA9">
        <w:trPr>
          <w:cantSplit/>
        </w:trPr>
        <w:tc>
          <w:tcPr>
            <w:tcW w:w="1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lastRenderedPageBreak/>
              <w:t>H2</w:t>
            </w:r>
          </w:p>
        </w:tc>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Competence</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N/A</w:t>
            </w:r>
          </w:p>
        </w:tc>
        <w:tc>
          <w:tcPr>
            <w:tcW w:w="23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Sustained Clubcard Engagement</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Multiple Linear Regression</w:t>
            </w:r>
          </w:p>
        </w:tc>
      </w:tr>
      <w:tr w:rsidR="00DC7C09" w:rsidRPr="00C23322" w:rsidTr="00203EA9">
        <w:trPr>
          <w:cantSplit/>
        </w:trPr>
        <w:tc>
          <w:tcPr>
            <w:tcW w:w="1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H3</w:t>
            </w:r>
          </w:p>
        </w:tc>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Relatedness</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N/A</w:t>
            </w:r>
          </w:p>
        </w:tc>
        <w:tc>
          <w:tcPr>
            <w:tcW w:w="23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Sustained Clubcard Engagement</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Multiple Linear Regression</w:t>
            </w:r>
          </w:p>
        </w:tc>
      </w:tr>
      <w:tr w:rsidR="00DC7C09" w:rsidRPr="00C23322" w:rsidTr="00203EA9">
        <w:trPr>
          <w:cantSplit/>
        </w:trPr>
        <w:tc>
          <w:tcPr>
            <w:tcW w:w="1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H4a</w:t>
            </w:r>
          </w:p>
        </w:tc>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Autonomy</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Perceived Financial Pressure</w:t>
            </w:r>
          </w:p>
        </w:tc>
        <w:tc>
          <w:tcPr>
            <w:tcW w:w="23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Sustained Clubcard Engagement</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Hayes PROCESS Model 1</w:t>
            </w:r>
          </w:p>
        </w:tc>
      </w:tr>
      <w:tr w:rsidR="00DC7C09" w:rsidRPr="00C23322" w:rsidTr="00203EA9">
        <w:trPr>
          <w:cantSplit/>
        </w:trPr>
        <w:tc>
          <w:tcPr>
            <w:tcW w:w="1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H4b</w:t>
            </w:r>
          </w:p>
        </w:tc>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Competence</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Perceived Financial Pressure</w:t>
            </w:r>
          </w:p>
        </w:tc>
        <w:tc>
          <w:tcPr>
            <w:tcW w:w="23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Sustained Clubcard Engagement</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Hayes PROCESS Model 1</w:t>
            </w:r>
          </w:p>
        </w:tc>
      </w:tr>
      <w:tr w:rsidR="00DC7C09" w:rsidRPr="00C23322" w:rsidTr="00203EA9">
        <w:trPr>
          <w:cantSplit/>
        </w:trPr>
        <w:tc>
          <w:tcPr>
            <w:tcW w:w="1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H4c</w:t>
            </w:r>
          </w:p>
        </w:tc>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Relatedness</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Perceived Financial Pressure</w:t>
            </w:r>
          </w:p>
        </w:tc>
        <w:tc>
          <w:tcPr>
            <w:tcW w:w="23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Sustained Clubcard Engagement</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40"/>
              <w:rPr>
                <w:rFonts w:ascii="Arial" w:hAnsi="Arial"/>
                <w:sz w:val="22"/>
                <w:szCs w:val="22"/>
              </w:rPr>
            </w:pPr>
            <w:r w:rsidRPr="00C23322">
              <w:rPr>
                <w:rFonts w:ascii="Arial" w:hAnsi="Arial"/>
                <w:sz w:val="22"/>
                <w:szCs w:val="22"/>
              </w:rPr>
              <w:t>Hayes PROCESS Model 1</w:t>
            </w:r>
          </w:p>
        </w:tc>
      </w:tr>
    </w:tbl>
    <w:p w:rsidR="00DC7C09" w:rsidRPr="00C23322" w:rsidRDefault="00D3685C" w:rsidP="00DC7C09">
      <w:pPr>
        <w:spacing w:before="120" w:after="240"/>
        <w:jc w:val="center"/>
        <w:rPr>
          <w:rFonts w:ascii="Arial" w:hAnsi="Arial"/>
        </w:rPr>
      </w:pPr>
      <w:r>
        <w:rPr>
          <w:rFonts w:ascii="Arial" w:hAnsi="Arial"/>
          <w:b/>
          <w:bCs/>
          <w:sz w:val="22"/>
          <w:szCs w:val="22"/>
        </w:rPr>
        <w:t>Table 3.2</w:t>
      </w:r>
      <w:r w:rsidR="00DC7C09" w:rsidRPr="00C23322">
        <w:rPr>
          <w:rFonts w:ascii="Arial" w:hAnsi="Arial"/>
          <w:b/>
          <w:bCs/>
          <w:sz w:val="22"/>
          <w:szCs w:val="22"/>
        </w:rPr>
        <w:t>: Statistical Analysis and Hypothesis Testing</w:t>
      </w:r>
    </w:p>
    <w:p w:rsidR="00DC7C09" w:rsidRPr="00C23322" w:rsidRDefault="00DC7C09" w:rsidP="00DC7C09">
      <w:pPr>
        <w:pStyle w:val="Heading2"/>
        <w:keepNext/>
        <w:spacing w:before="0" w:after="120"/>
        <w:rPr>
          <w:rFonts w:ascii="Arial" w:hAnsi="Arial" w:cs="Arial"/>
        </w:rPr>
      </w:pPr>
      <w:bookmarkStart w:id="40" w:name="_Toc241116820"/>
      <w:r w:rsidRPr="00C23322">
        <w:rPr>
          <w:rFonts w:ascii="Arial" w:hAnsi="Arial" w:cs="Arial"/>
          <w:sz w:val="28"/>
          <w:szCs w:val="28"/>
        </w:rPr>
        <w:t>3.7 Research Quality and Rigour</w:t>
      </w:r>
      <w:bookmarkEnd w:id="40"/>
    </w:p>
    <w:p w:rsidR="00DC7C09" w:rsidRPr="00C23322" w:rsidRDefault="008351AA" w:rsidP="00DC7C09">
      <w:pPr>
        <w:spacing w:after="120"/>
        <w:rPr>
          <w:rFonts w:ascii="Arial" w:hAnsi="Arial"/>
        </w:rPr>
      </w:pPr>
      <w:r w:rsidRPr="00C23322">
        <w:rPr>
          <w:rFonts w:ascii="Arial" w:hAnsi="Arial"/>
        </w:rPr>
        <w:t xml:space="preserve">Research quality is addressed through construct validity, internal validity, external validity and reliability (Yin, 2018; Saunders, Lewis and Thornhill, 2019). As the study employs </w:t>
      </w:r>
      <w:r w:rsidR="002C0901">
        <w:rPr>
          <w:rFonts w:ascii="Arial" w:hAnsi="Arial"/>
        </w:rPr>
        <w:t>non-probability</w:t>
      </w:r>
      <w:r w:rsidRPr="00C23322">
        <w:rPr>
          <w:rFonts w:ascii="Arial" w:hAnsi="Arial"/>
        </w:rPr>
        <w:t xml:space="preserve"> sampling and only includes active Clubcard holders in Greater London, the results must not be interpreted as being statistically representative of all Clubcard holders. The study thus focuses on the interpretation of context and analysis. A factor analysis was not performed to test for four distinct engagement dimensions, rather the eight engagement items were analysed as a theoretical</w:t>
      </w:r>
      <w:r w:rsidR="00D3685C">
        <w:rPr>
          <w:rFonts w:ascii="Arial" w:hAnsi="Arial"/>
        </w:rPr>
        <w:t>ly informed composite. Table 3.3</w:t>
      </w:r>
      <w:r w:rsidRPr="00C23322">
        <w:rPr>
          <w:rFonts w:ascii="Arial" w:hAnsi="Arial"/>
        </w:rPr>
        <w:t xml:space="preserve"> provides a summary of the responses to each criterion</w:t>
      </w:r>
      <w:r w:rsidR="00DC7C09" w:rsidRPr="00C23322">
        <w:rPr>
          <w:rFonts w:ascii="Arial" w:hAnsi="Arial"/>
        </w:rPr>
        <w: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31"/>
        <w:gridCol w:w="5211"/>
        <w:gridCol w:w="1984"/>
      </w:tblGrid>
      <w:tr w:rsidR="00DC7C09" w:rsidRPr="00C23322" w:rsidTr="00203EA9">
        <w:trPr>
          <w:tblHeader/>
        </w:trPr>
        <w:tc>
          <w:tcPr>
            <w:tcW w:w="17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rsidR="00DC7C09" w:rsidRPr="00C23322" w:rsidRDefault="00DC7C09" w:rsidP="00203EA9">
            <w:pPr>
              <w:spacing w:after="120" w:line="276" w:lineRule="auto"/>
              <w:rPr>
                <w:rFonts w:ascii="Arial" w:hAnsi="Arial"/>
                <w:sz w:val="22"/>
                <w:szCs w:val="22"/>
              </w:rPr>
            </w:pPr>
            <w:r w:rsidRPr="00C23322">
              <w:rPr>
                <w:rFonts w:ascii="Arial" w:hAnsi="Arial"/>
                <w:b/>
                <w:bCs/>
                <w:sz w:val="22"/>
                <w:szCs w:val="22"/>
              </w:rPr>
              <w:lastRenderedPageBreak/>
              <w:t>Criterion</w:t>
            </w:r>
          </w:p>
        </w:tc>
        <w:tc>
          <w:tcPr>
            <w:tcW w:w="5326"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rsidR="00DC7C09" w:rsidRPr="00C23322" w:rsidRDefault="00DC7C09" w:rsidP="00203EA9">
            <w:pPr>
              <w:spacing w:after="120" w:line="276" w:lineRule="auto"/>
              <w:rPr>
                <w:rFonts w:ascii="Arial" w:hAnsi="Arial"/>
                <w:sz w:val="22"/>
                <w:szCs w:val="22"/>
              </w:rPr>
            </w:pPr>
            <w:r w:rsidRPr="00C23322">
              <w:rPr>
                <w:rFonts w:ascii="Arial" w:hAnsi="Arial"/>
                <w:b/>
                <w:bCs/>
                <w:sz w:val="22"/>
                <w:szCs w:val="22"/>
              </w:rPr>
              <w:t>How Addressed in This Study</w:t>
            </w:r>
          </w:p>
        </w:tc>
        <w:tc>
          <w:tcPr>
            <w:tcW w:w="20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rsidR="00DC7C09" w:rsidRPr="00C23322" w:rsidRDefault="00DC7C09" w:rsidP="00203EA9">
            <w:pPr>
              <w:spacing w:after="120" w:line="276" w:lineRule="auto"/>
              <w:rPr>
                <w:rFonts w:ascii="Arial" w:hAnsi="Arial"/>
                <w:sz w:val="22"/>
                <w:szCs w:val="22"/>
              </w:rPr>
            </w:pPr>
            <w:r w:rsidRPr="00C23322">
              <w:rPr>
                <w:rFonts w:ascii="Arial" w:hAnsi="Arial"/>
                <w:b/>
                <w:bCs/>
                <w:sz w:val="22"/>
                <w:szCs w:val="22"/>
              </w:rPr>
              <w:t>Reference(s)</w:t>
            </w:r>
          </w:p>
        </w:tc>
      </w:tr>
      <w:tr w:rsidR="00DC7C09" w:rsidRPr="00C23322" w:rsidTr="00203EA9">
        <w:trPr>
          <w:cantSplit/>
        </w:trPr>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120" w:line="276" w:lineRule="auto"/>
              <w:rPr>
                <w:rFonts w:ascii="Arial" w:hAnsi="Arial"/>
                <w:sz w:val="22"/>
                <w:szCs w:val="22"/>
              </w:rPr>
            </w:pPr>
            <w:r w:rsidRPr="00C23322">
              <w:rPr>
                <w:rFonts w:ascii="Arial" w:hAnsi="Arial"/>
                <w:sz w:val="22"/>
                <w:szCs w:val="22"/>
              </w:rPr>
              <w:t>Construct Validity</w:t>
            </w:r>
          </w:p>
        </w:tc>
        <w:tc>
          <w:tcPr>
            <w:tcW w:w="53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120" w:line="276" w:lineRule="auto"/>
              <w:rPr>
                <w:rFonts w:ascii="Arial" w:hAnsi="Arial"/>
                <w:sz w:val="22"/>
                <w:szCs w:val="22"/>
              </w:rPr>
            </w:pPr>
            <w:r w:rsidRPr="00C23322">
              <w:rPr>
                <w:rFonts w:ascii="Arial" w:hAnsi="Arial"/>
                <w:sz w:val="22"/>
                <w:szCs w:val="22"/>
              </w:rPr>
              <w:t>Items adapted from established SDT and engagement scales (Ryan and Deci, 2000; Peng and Hung, 2020; Brodie et al., 2011; Hollebeek, 2011). All constructs defined in Chapter 2 and mappe</w:t>
            </w:r>
            <w:r w:rsidR="00D3685C">
              <w:rPr>
                <w:rFonts w:ascii="Arial" w:hAnsi="Arial"/>
                <w:sz w:val="22"/>
                <w:szCs w:val="22"/>
              </w:rPr>
              <w:t>d directly to items in Table 3.1</w:t>
            </w:r>
            <w:r w:rsidRPr="00C23322">
              <w:rPr>
                <w:rFonts w:ascii="Arial" w:hAnsi="Arial"/>
                <w:sz w:val="22"/>
                <w:szCs w:val="22"/>
              </w:rPr>
              <w:t>. Pilot testing with five to ten eligible participants. The seven point scale improves discriminatory power over five point alternatives (Preston and Colman, 2000).</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120" w:line="276" w:lineRule="auto"/>
              <w:rPr>
                <w:rFonts w:ascii="Arial" w:hAnsi="Arial"/>
                <w:sz w:val="22"/>
                <w:szCs w:val="22"/>
              </w:rPr>
            </w:pPr>
            <w:r w:rsidRPr="00C23322">
              <w:rPr>
                <w:rFonts w:ascii="Arial" w:hAnsi="Arial"/>
                <w:sz w:val="22"/>
                <w:szCs w:val="22"/>
              </w:rPr>
              <w:t>Yin (2018); Saunders et al. (2019)</w:t>
            </w:r>
          </w:p>
        </w:tc>
      </w:tr>
      <w:tr w:rsidR="00DC7C09" w:rsidRPr="00C23322" w:rsidTr="00203EA9">
        <w:trPr>
          <w:cantSplit/>
        </w:trPr>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120" w:line="276" w:lineRule="auto"/>
              <w:rPr>
                <w:rFonts w:ascii="Arial" w:hAnsi="Arial"/>
                <w:sz w:val="22"/>
                <w:szCs w:val="22"/>
              </w:rPr>
            </w:pPr>
            <w:r w:rsidRPr="00C23322">
              <w:rPr>
                <w:rFonts w:ascii="Arial" w:hAnsi="Arial"/>
                <w:sz w:val="22"/>
                <w:szCs w:val="22"/>
              </w:rPr>
              <w:t>Internal Validity (Analytical Rigour)</w:t>
            </w:r>
          </w:p>
        </w:tc>
        <w:tc>
          <w:tcPr>
            <w:tcW w:w="53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120" w:line="276" w:lineRule="auto"/>
              <w:rPr>
                <w:rFonts w:ascii="Arial" w:hAnsi="Arial"/>
                <w:sz w:val="22"/>
                <w:szCs w:val="22"/>
              </w:rPr>
            </w:pPr>
            <w:r w:rsidRPr="00C23322">
              <w:rPr>
                <w:rFonts w:ascii="Arial" w:hAnsi="Arial"/>
                <w:sz w:val="22"/>
                <w:szCs w:val="22"/>
              </w:rPr>
              <w:t>Cronbach’s alpha reliability testing, descriptive statistics and Pearson correlations before hypothesis testing. VIF statistics to assess multicollinearity. Hypotheses tested through multiple regression (H1 to H3) and PROCESS Model 1 moderation analysis (H4a to H4c), with full reporting of β, SE, p and R² in Chapter 4. Moderation analysis explicitly framed as exploratory.</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120" w:line="276" w:lineRule="auto"/>
              <w:rPr>
                <w:rFonts w:ascii="Arial" w:hAnsi="Arial"/>
                <w:sz w:val="22"/>
                <w:szCs w:val="22"/>
              </w:rPr>
            </w:pPr>
            <w:r w:rsidRPr="00C23322">
              <w:rPr>
                <w:rFonts w:ascii="Arial" w:hAnsi="Arial"/>
                <w:sz w:val="22"/>
                <w:szCs w:val="22"/>
              </w:rPr>
              <w:t>Hair et al. (2019); Hayes (2022); Field (2018)</w:t>
            </w:r>
          </w:p>
        </w:tc>
      </w:tr>
      <w:tr w:rsidR="00DC7C09" w:rsidRPr="00C23322" w:rsidTr="00203EA9">
        <w:trPr>
          <w:cantSplit/>
        </w:trPr>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120" w:line="276" w:lineRule="auto"/>
              <w:rPr>
                <w:rFonts w:ascii="Arial" w:hAnsi="Arial"/>
                <w:sz w:val="22"/>
                <w:szCs w:val="22"/>
              </w:rPr>
            </w:pPr>
            <w:r w:rsidRPr="00C23322">
              <w:rPr>
                <w:rFonts w:ascii="Arial" w:hAnsi="Arial"/>
                <w:sz w:val="22"/>
                <w:szCs w:val="22"/>
              </w:rPr>
              <w:t>External Validity (Generalisability)</w:t>
            </w:r>
          </w:p>
        </w:tc>
        <w:tc>
          <w:tcPr>
            <w:tcW w:w="53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120" w:line="276" w:lineRule="auto"/>
              <w:rPr>
                <w:rFonts w:ascii="Arial" w:hAnsi="Arial"/>
                <w:sz w:val="22"/>
                <w:szCs w:val="22"/>
              </w:rPr>
            </w:pPr>
            <w:r w:rsidRPr="00C23322">
              <w:rPr>
                <w:rFonts w:ascii="Arial" w:hAnsi="Arial"/>
                <w:sz w:val="22"/>
                <w:szCs w:val="22"/>
              </w:rPr>
              <w:t xml:space="preserve">Analytical generalisation to SDT rather than statistical generalisation to a population. Findings bounded by the eligibility criteria: active Clubcard holders, Greater London, </w:t>
            </w:r>
            <w:r w:rsidR="002C0901">
              <w:rPr>
                <w:rFonts w:ascii="Arial" w:hAnsi="Arial"/>
                <w:sz w:val="22"/>
                <w:szCs w:val="22"/>
              </w:rPr>
              <w:t>cost-of-living crisis</w:t>
            </w:r>
            <w:r w:rsidRPr="00C23322">
              <w:rPr>
                <w:rFonts w:ascii="Arial" w:hAnsi="Arial"/>
                <w:sz w:val="22"/>
                <w:szCs w:val="22"/>
              </w:rPr>
              <w:t xml:space="preserve"> (2026).</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120" w:line="276" w:lineRule="auto"/>
              <w:rPr>
                <w:rFonts w:ascii="Arial" w:hAnsi="Arial"/>
                <w:sz w:val="22"/>
                <w:szCs w:val="22"/>
              </w:rPr>
            </w:pPr>
            <w:r w:rsidRPr="00C23322">
              <w:rPr>
                <w:rFonts w:ascii="Arial" w:hAnsi="Arial"/>
                <w:sz w:val="22"/>
                <w:szCs w:val="22"/>
              </w:rPr>
              <w:t>Saunders et al. (2019); Yin (2018)</w:t>
            </w:r>
          </w:p>
        </w:tc>
      </w:tr>
      <w:tr w:rsidR="00DC7C09" w:rsidRPr="00C23322" w:rsidTr="00203EA9">
        <w:trPr>
          <w:cantSplit/>
        </w:trPr>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120" w:line="276" w:lineRule="auto"/>
              <w:rPr>
                <w:rFonts w:ascii="Arial" w:hAnsi="Arial"/>
                <w:sz w:val="22"/>
                <w:szCs w:val="22"/>
              </w:rPr>
            </w:pPr>
            <w:r w:rsidRPr="00C23322">
              <w:rPr>
                <w:rFonts w:ascii="Arial" w:hAnsi="Arial"/>
                <w:sz w:val="22"/>
                <w:szCs w:val="22"/>
              </w:rPr>
              <w:t>Reliability (Replicability)</w:t>
            </w:r>
          </w:p>
        </w:tc>
        <w:tc>
          <w:tcPr>
            <w:tcW w:w="532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120" w:line="276" w:lineRule="auto"/>
              <w:rPr>
                <w:rFonts w:ascii="Arial" w:hAnsi="Arial"/>
                <w:sz w:val="22"/>
                <w:szCs w:val="22"/>
              </w:rPr>
            </w:pPr>
            <w:r w:rsidRPr="00C23322">
              <w:rPr>
                <w:rFonts w:ascii="Arial" w:hAnsi="Arial"/>
                <w:sz w:val="22"/>
                <w:szCs w:val="22"/>
              </w:rPr>
              <w:t>Documentatio</w:t>
            </w:r>
            <w:r w:rsidR="00D3685C">
              <w:rPr>
                <w:rFonts w:ascii="Arial" w:hAnsi="Arial"/>
                <w:sz w:val="22"/>
                <w:szCs w:val="22"/>
              </w:rPr>
              <w:t>n of all survey items (Table 3.1</w:t>
            </w:r>
            <w:r w:rsidRPr="00C23322">
              <w:rPr>
                <w:rFonts w:ascii="Arial" w:hAnsi="Arial"/>
                <w:sz w:val="22"/>
                <w:szCs w:val="22"/>
              </w:rPr>
              <w:t>), eligibility criteria, screening questions, the analysis structure (Table 3.3) and IBM SPSS procedures, allowing replication in an equivalent context.</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DC7C09" w:rsidRPr="00C23322" w:rsidRDefault="00DC7C09" w:rsidP="00203EA9">
            <w:pPr>
              <w:spacing w:after="120" w:line="276" w:lineRule="auto"/>
              <w:rPr>
                <w:rFonts w:ascii="Arial" w:hAnsi="Arial"/>
                <w:sz w:val="22"/>
                <w:szCs w:val="22"/>
              </w:rPr>
            </w:pPr>
            <w:r w:rsidRPr="00C23322">
              <w:rPr>
                <w:rFonts w:ascii="Arial" w:hAnsi="Arial"/>
                <w:sz w:val="22"/>
                <w:szCs w:val="22"/>
              </w:rPr>
              <w:t>Saunders et al. (2019); Aiken and West (1991)</w:t>
            </w:r>
          </w:p>
        </w:tc>
      </w:tr>
    </w:tbl>
    <w:p w:rsidR="00DC7C09" w:rsidRPr="00C23322" w:rsidRDefault="00D3685C" w:rsidP="00DC7C09">
      <w:pPr>
        <w:spacing w:before="120" w:after="240"/>
        <w:jc w:val="center"/>
        <w:rPr>
          <w:rFonts w:ascii="Arial" w:hAnsi="Arial"/>
        </w:rPr>
      </w:pPr>
      <w:r>
        <w:rPr>
          <w:rFonts w:ascii="Arial" w:hAnsi="Arial"/>
          <w:b/>
          <w:bCs/>
          <w:sz w:val="22"/>
          <w:szCs w:val="22"/>
        </w:rPr>
        <w:t>Table 3.3</w:t>
      </w:r>
      <w:r w:rsidR="00DC7C09" w:rsidRPr="00C23322">
        <w:rPr>
          <w:rFonts w:ascii="Arial" w:hAnsi="Arial"/>
          <w:b/>
          <w:bCs/>
          <w:sz w:val="22"/>
          <w:szCs w:val="22"/>
        </w:rPr>
        <w:t>: Research Quality Criteria and How They Are Addressed</w:t>
      </w:r>
    </w:p>
    <w:p w:rsidR="00DC7C09" w:rsidRPr="00C23322" w:rsidRDefault="00DC7C09" w:rsidP="00DC7C09">
      <w:pPr>
        <w:pStyle w:val="Heading2"/>
        <w:keepNext/>
        <w:spacing w:before="0" w:after="120"/>
        <w:rPr>
          <w:rFonts w:ascii="Arial" w:hAnsi="Arial" w:cs="Arial"/>
        </w:rPr>
      </w:pPr>
      <w:bookmarkStart w:id="41" w:name="_Toc241116821"/>
      <w:r w:rsidRPr="00C23322">
        <w:rPr>
          <w:rFonts w:ascii="Arial" w:hAnsi="Arial" w:cs="Arial"/>
          <w:sz w:val="28"/>
          <w:szCs w:val="28"/>
        </w:rPr>
        <w:t>3.8 Ethical Considerations</w:t>
      </w:r>
      <w:bookmarkEnd w:id="41"/>
    </w:p>
    <w:p w:rsidR="00DC7C09" w:rsidRPr="00C23322" w:rsidRDefault="008351AA" w:rsidP="00DC7C09">
      <w:pPr>
        <w:spacing w:after="120"/>
        <w:rPr>
          <w:rFonts w:ascii="Arial" w:hAnsi="Arial"/>
        </w:rPr>
      </w:pPr>
      <w:r w:rsidRPr="00C23322">
        <w:rPr>
          <w:rFonts w:ascii="Arial" w:hAnsi="Arial"/>
        </w:rPr>
        <w:t xml:space="preserve">The study adhered to the ethical considerations of the University of Wales Trinity Saint David and the appropriate principles of data protection. All participation was voluntary and informed consent was obtained prior to the respondent's commencement of the questionnaire. Participants were informed of the purpose of the study, their right to withdraw at any time without penalty and the intended use of their data. No personally identifiable information was collected and responses were treated anonymously. Data were stored securely in a password protected system accessible only to the researcher </w:t>
      </w:r>
      <w:r w:rsidRPr="00C23322">
        <w:rPr>
          <w:rFonts w:ascii="Arial" w:hAnsi="Arial"/>
        </w:rPr>
        <w:lastRenderedPageBreak/>
        <w:t>and supervisor. There was no deception, no vulnerable participants and little risk was involved in the study. All data were used solely for academic purposes</w:t>
      </w:r>
      <w:r w:rsidR="00DC7C09" w:rsidRPr="00C23322">
        <w:rPr>
          <w:rFonts w:ascii="Arial" w:hAnsi="Arial"/>
        </w:rPr>
        <w:t>.</w:t>
      </w:r>
    </w:p>
    <w:p w:rsidR="00DC7C09" w:rsidRPr="00C23322" w:rsidRDefault="00DC7C09" w:rsidP="00DC7C09">
      <w:pPr>
        <w:pStyle w:val="Heading2"/>
        <w:keepNext/>
        <w:spacing w:before="0" w:after="120"/>
        <w:rPr>
          <w:rFonts w:ascii="Arial" w:hAnsi="Arial" w:cs="Arial"/>
        </w:rPr>
      </w:pPr>
      <w:bookmarkStart w:id="42" w:name="_Toc241116822"/>
      <w:r w:rsidRPr="00C23322">
        <w:rPr>
          <w:rFonts w:ascii="Arial" w:hAnsi="Arial" w:cs="Arial"/>
          <w:sz w:val="28"/>
          <w:szCs w:val="28"/>
        </w:rPr>
        <w:t>3.9 Chapter Summary</w:t>
      </w:r>
      <w:bookmarkEnd w:id="42"/>
    </w:p>
    <w:p w:rsidR="008351AA" w:rsidRPr="00C23322" w:rsidRDefault="008351AA" w:rsidP="008351AA">
      <w:pPr>
        <w:spacing w:after="120"/>
        <w:rPr>
          <w:rFonts w:ascii="Arial" w:hAnsi="Arial"/>
        </w:rPr>
      </w:pPr>
      <w:r w:rsidRPr="00C23322">
        <w:rPr>
          <w:rFonts w:ascii="Arial" w:hAnsi="Arial"/>
        </w:rPr>
        <w:t xml:space="preserve">This chapter outlined the methodology for examining sustained engagement with Tesco Clubcard among people who use it in Greater London. The study adopts a positivist philosophy, a deductive approach, a quantitative survey strategy and a </w:t>
      </w:r>
      <w:r w:rsidR="002C0901">
        <w:rPr>
          <w:rFonts w:ascii="Arial" w:hAnsi="Arial"/>
        </w:rPr>
        <w:t>cross-sectional</w:t>
      </w:r>
      <w:r w:rsidR="00180CC5">
        <w:rPr>
          <w:rFonts w:ascii="Arial" w:hAnsi="Arial"/>
        </w:rPr>
        <w:t xml:space="preserve"> design. Data were</w:t>
      </w:r>
      <w:r w:rsidRPr="00C23322">
        <w:rPr>
          <w:rFonts w:ascii="Arial" w:hAnsi="Arial"/>
        </w:rPr>
        <w:t xml:space="preserve"> obtained by a structured questionnaire that included established measures of autonomy, competence, relatedness, perceived financial pressure and sustained engagement.</w:t>
      </w:r>
    </w:p>
    <w:p w:rsidR="00535CCE" w:rsidRPr="00C23322" w:rsidRDefault="008351AA" w:rsidP="008351AA">
      <w:pPr>
        <w:spacing w:after="120"/>
        <w:rPr>
          <w:rFonts w:ascii="Arial" w:hAnsi="Arial"/>
        </w:rPr>
      </w:pPr>
      <w:r w:rsidRPr="00C23322">
        <w:rPr>
          <w:rFonts w:ascii="Arial" w:hAnsi="Arial"/>
        </w:rPr>
        <w:t>The sampling procedure, instrument, pilot testing, research quality measures and ethical considerations were also explained. Multiple linear regression was used to test H1 to H3, while three separate Hayes PROCESS Model 1 analyses were used to test H4a to H4c. This is a structure that is consistent with the results presented in Chapter 4, which follows</w:t>
      </w:r>
      <w:r w:rsidR="00DC7C09" w:rsidRPr="00C23322">
        <w:rPr>
          <w:rFonts w:ascii="Arial" w:hAnsi="Arial"/>
        </w:rPr>
        <w:t>.</w:t>
      </w:r>
    </w:p>
    <w:p w:rsidR="009A15FF" w:rsidRPr="00C23322" w:rsidRDefault="009A15FF">
      <w:pPr>
        <w:spacing w:after="160" w:line="259" w:lineRule="auto"/>
        <w:jc w:val="left"/>
        <w:rPr>
          <w:rFonts w:ascii="Arial" w:eastAsia="Times New Roman" w:hAnsi="Arial"/>
          <w:b/>
          <w:bCs/>
          <w:color w:val="000000"/>
          <w:sz w:val="28"/>
          <w:szCs w:val="28"/>
        </w:rPr>
      </w:pPr>
      <w:r w:rsidRPr="00C23322">
        <w:rPr>
          <w:rFonts w:ascii="Arial" w:hAnsi="Arial"/>
        </w:rPr>
        <w:br w:type="page"/>
      </w:r>
    </w:p>
    <w:p w:rsidR="00F45D0D" w:rsidRPr="00C23322" w:rsidRDefault="00F45D0D" w:rsidP="00E326DA">
      <w:pPr>
        <w:pStyle w:val="Heading1"/>
      </w:pPr>
      <w:bookmarkStart w:id="43" w:name="_Toc241116823"/>
      <w:r w:rsidRPr="00C23322">
        <w:lastRenderedPageBreak/>
        <w:t>CHAPTER 4: DATA ANALYSIS AND RESULTS</w:t>
      </w:r>
      <w:bookmarkEnd w:id="43"/>
    </w:p>
    <w:p w:rsidR="00F45D0D" w:rsidRPr="00C23322" w:rsidRDefault="00F45D0D" w:rsidP="00E326DA">
      <w:pPr>
        <w:pStyle w:val="Heading1"/>
      </w:pPr>
      <w:bookmarkStart w:id="44" w:name="_Toc241116824"/>
      <w:r w:rsidRPr="00C23322">
        <w:t>4.1 Introduction</w:t>
      </w:r>
      <w:bookmarkEnd w:id="44"/>
    </w:p>
    <w:p w:rsidR="00F45D0D" w:rsidRPr="00C23322" w:rsidRDefault="00647434" w:rsidP="00F45D0D">
      <w:pPr>
        <w:spacing w:after="120"/>
        <w:rPr>
          <w:rFonts w:ascii="Arial" w:hAnsi="Arial"/>
        </w:rPr>
      </w:pPr>
      <w:r w:rsidRPr="00C23322">
        <w:rPr>
          <w:rFonts w:ascii="Arial" w:eastAsia="Times New Roman" w:hAnsi="Arial"/>
        </w:rPr>
        <w:t>This chapter presents the quantitative findings obtained from the questionnaire-based survey of Tesco Clubcard holders resident in Greater London. After data screening, 99 valid responses were retained and all s</w:t>
      </w:r>
      <w:r w:rsidR="00180CC5">
        <w:rPr>
          <w:rFonts w:ascii="Arial" w:eastAsia="Times New Roman" w:hAnsi="Arial"/>
        </w:rPr>
        <w:t>tatistical analysis was conducted</w:t>
      </w:r>
      <w:r w:rsidRPr="00C23322">
        <w:rPr>
          <w:rFonts w:ascii="Arial" w:eastAsia="Times New Roman" w:hAnsi="Arial"/>
        </w:rPr>
        <w:t xml:space="preserve"> using IBM SPSS Statistics Version 26. The chapter provides the analysis of the respondents' demographics, descriptive analysis of the study variables, the reliability and validity results of the measurement scales, Pearson correlation analysis, multiple linear regression results pertaining to the direct effects of autonomy, competence and relatedness on sustained Clubcard engagement, and the moderation analysis results that test the effects of perceived financial pressure. The chapter proceeds in the order in which these analyses were conducted, concluding with a consolidated summary of the hypothesis-testing outcomes and a chapter summary that sets up the discussion in Chapter 5</w:t>
      </w:r>
      <w:r w:rsidR="00F45D0D" w:rsidRPr="00C23322">
        <w:rPr>
          <w:rFonts w:ascii="Arial" w:eastAsia="Times New Roman" w:hAnsi="Arial"/>
        </w:rPr>
        <w:t>.</w:t>
      </w:r>
    </w:p>
    <w:p w:rsidR="00F45D0D" w:rsidRPr="00C23322" w:rsidRDefault="00F45D0D" w:rsidP="00E326DA">
      <w:pPr>
        <w:pStyle w:val="Heading1"/>
      </w:pPr>
      <w:bookmarkStart w:id="45" w:name="_Toc241116825"/>
      <w:r w:rsidRPr="00C23322">
        <w:t>4.2 Data Collection and Respondent Profile</w:t>
      </w:r>
      <w:bookmarkEnd w:id="45"/>
    </w:p>
    <w:p w:rsidR="00F45D0D" w:rsidRPr="00C23322" w:rsidRDefault="00F45D0D" w:rsidP="00F45D0D">
      <w:pPr>
        <w:pStyle w:val="Heading2"/>
        <w:spacing w:before="0" w:after="120"/>
        <w:rPr>
          <w:rFonts w:ascii="Arial" w:hAnsi="Arial" w:cs="Arial"/>
        </w:rPr>
      </w:pPr>
      <w:bookmarkStart w:id="46" w:name="_Toc241116826"/>
      <w:r w:rsidRPr="00C23322">
        <w:rPr>
          <w:rFonts w:ascii="Arial" w:hAnsi="Arial" w:cs="Arial"/>
          <w:color w:val="000000"/>
          <w:szCs w:val="26"/>
        </w:rPr>
        <w:t>4.2.1 Data Collection and Valid Responses</w:t>
      </w:r>
      <w:bookmarkEnd w:id="46"/>
    </w:p>
    <w:p w:rsidR="00F45D0D" w:rsidRPr="00C23322" w:rsidRDefault="00647434" w:rsidP="00F45D0D">
      <w:pPr>
        <w:spacing w:after="120"/>
        <w:rPr>
          <w:rFonts w:ascii="Arial" w:hAnsi="Arial"/>
        </w:rPr>
      </w:pPr>
      <w:r w:rsidRPr="00C23322">
        <w:rPr>
          <w:rFonts w:ascii="Arial" w:eastAsia="Times New Roman" w:hAnsi="Arial"/>
        </w:rPr>
        <w:t>The data were gathered using a structured, self-administered, online questionnaire designed and sent to active Clubcard customers living in Greater London. After data collection</w:t>
      </w:r>
      <w:r w:rsidR="00224021" w:rsidRPr="00C23322">
        <w:rPr>
          <w:rFonts w:ascii="Arial" w:eastAsia="Times New Roman" w:hAnsi="Arial"/>
        </w:rPr>
        <w:t>,</w:t>
      </w:r>
      <w:r w:rsidRPr="00C23322">
        <w:rPr>
          <w:rFonts w:ascii="Arial" w:eastAsia="Times New Roman" w:hAnsi="Arial"/>
        </w:rPr>
        <w:t xml:space="preserve"> all the response were initially screened for completene</w:t>
      </w:r>
      <w:r w:rsidR="002C0901">
        <w:rPr>
          <w:rFonts w:ascii="Arial" w:eastAsia="Times New Roman" w:hAnsi="Arial"/>
        </w:rPr>
        <w:t>ss and consistency before analys</w:t>
      </w:r>
      <w:r w:rsidRPr="00C23322">
        <w:rPr>
          <w:rFonts w:ascii="Arial" w:eastAsia="Times New Roman" w:hAnsi="Arial"/>
        </w:rPr>
        <w:t xml:space="preserve">ed. For the main analysis, a total of 99 valid responses were </w:t>
      </w:r>
      <w:r w:rsidR="00224021" w:rsidRPr="00C23322">
        <w:rPr>
          <w:rFonts w:ascii="Arial" w:hAnsi="Arial"/>
        </w:rPr>
        <w:t>retained for analysis</w:t>
      </w:r>
      <w:r w:rsidRPr="00C23322">
        <w:rPr>
          <w:rFonts w:ascii="Arial" w:eastAsia="Times New Roman" w:hAnsi="Arial"/>
        </w:rPr>
        <w:t>. One case did not include an engagement item and was excluded from the Engagement reliability calculation only (N = 98 for this procedure only); this does not have an impact on the sample of 99 cases used elsewhere in this chapter</w:t>
      </w:r>
      <w:r w:rsidR="00F45D0D" w:rsidRPr="00C23322">
        <w:rPr>
          <w:rFonts w:ascii="Arial" w:eastAsia="Times New Roman" w:hAnsi="Arial"/>
        </w:rPr>
        <w:t>.</w:t>
      </w:r>
    </w:p>
    <w:p w:rsidR="00F45D0D" w:rsidRPr="00C23322" w:rsidRDefault="00F45D0D" w:rsidP="00F45D0D">
      <w:pPr>
        <w:spacing w:before="120" w:after="80"/>
        <w:jc w:val="center"/>
        <w:rPr>
          <w:rFonts w:ascii="Arial" w:hAnsi="Arial"/>
        </w:rPr>
      </w:pPr>
      <w:r w:rsidRPr="00C23322">
        <w:rPr>
          <w:rFonts w:ascii="Arial" w:eastAsia="Times New Roman" w:hAnsi="Arial"/>
          <w:b/>
          <w:bCs/>
        </w:rPr>
        <w:t>Table 4.1: Valid Questionnaire Responses</w:t>
      </w:r>
    </w:p>
    <w:tbl>
      <w:tblPr>
        <w:tblW w:w="95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0"/>
        <w:gridCol w:w="2500"/>
        <w:gridCol w:w="2500"/>
      </w:tblGrid>
      <w:tr w:rsidR="00F45D0D" w:rsidRPr="00C23322" w:rsidTr="004723C3">
        <w:trPr>
          <w:tblHeader/>
        </w:trPr>
        <w:tc>
          <w:tcPr>
            <w:tcW w:w="4500"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Category</w:t>
            </w:r>
          </w:p>
        </w:tc>
        <w:tc>
          <w:tcPr>
            <w:tcW w:w="2500"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Frequency</w:t>
            </w:r>
          </w:p>
        </w:tc>
        <w:tc>
          <w:tcPr>
            <w:tcW w:w="2500"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Percentage</w:t>
            </w:r>
          </w:p>
        </w:tc>
      </w:tr>
      <w:tr w:rsidR="00F45D0D" w:rsidRPr="00C23322" w:rsidTr="004723C3">
        <w:tc>
          <w:tcPr>
            <w:tcW w:w="450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Valid responses</w:t>
            </w:r>
          </w:p>
        </w:tc>
        <w:tc>
          <w:tcPr>
            <w:tcW w:w="250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99</w:t>
            </w:r>
          </w:p>
        </w:tc>
        <w:tc>
          <w:tcPr>
            <w:tcW w:w="250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100%</w:t>
            </w:r>
          </w:p>
        </w:tc>
      </w:tr>
      <w:tr w:rsidR="00F45D0D" w:rsidRPr="00C23322" w:rsidTr="004723C3">
        <w:tc>
          <w:tcPr>
            <w:tcW w:w="450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Excluded</w:t>
            </w:r>
          </w:p>
        </w:tc>
        <w:tc>
          <w:tcPr>
            <w:tcW w:w="250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0</w:t>
            </w:r>
          </w:p>
        </w:tc>
        <w:tc>
          <w:tcPr>
            <w:tcW w:w="250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0%</w:t>
            </w:r>
          </w:p>
        </w:tc>
      </w:tr>
      <w:tr w:rsidR="00F45D0D" w:rsidRPr="00C23322" w:rsidTr="004723C3">
        <w:tc>
          <w:tcPr>
            <w:tcW w:w="450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lastRenderedPageBreak/>
              <w:t>Total</w:t>
            </w:r>
          </w:p>
        </w:tc>
        <w:tc>
          <w:tcPr>
            <w:tcW w:w="250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99</w:t>
            </w:r>
          </w:p>
        </w:tc>
        <w:tc>
          <w:tcPr>
            <w:tcW w:w="250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100%</w:t>
            </w:r>
          </w:p>
        </w:tc>
      </w:tr>
    </w:tbl>
    <w:p w:rsidR="00F45D0D" w:rsidRPr="00C23322" w:rsidRDefault="00F45D0D" w:rsidP="00F45D0D">
      <w:pPr>
        <w:spacing w:after="240"/>
        <w:rPr>
          <w:rFonts w:ascii="Arial" w:hAnsi="Arial"/>
        </w:rPr>
      </w:pPr>
    </w:p>
    <w:p w:rsidR="00F45D0D" w:rsidRPr="00C23322" w:rsidRDefault="00F45D0D" w:rsidP="00F45D0D">
      <w:pPr>
        <w:pStyle w:val="Heading2"/>
        <w:spacing w:before="300" w:after="200"/>
        <w:rPr>
          <w:rFonts w:ascii="Arial" w:hAnsi="Arial" w:cs="Arial"/>
        </w:rPr>
      </w:pPr>
      <w:bookmarkStart w:id="47" w:name="_Toc241116827"/>
      <w:r w:rsidRPr="00C23322">
        <w:rPr>
          <w:rFonts w:ascii="Arial" w:hAnsi="Arial" w:cs="Arial"/>
          <w:color w:val="000000"/>
          <w:szCs w:val="26"/>
        </w:rPr>
        <w:t>4.2.2 Demographic Information</w:t>
      </w:r>
      <w:bookmarkEnd w:id="47"/>
    </w:p>
    <w:p w:rsidR="00F45D0D" w:rsidRPr="00C23322" w:rsidRDefault="00F45D0D" w:rsidP="00457493">
      <w:pPr>
        <w:pStyle w:val="Heading3"/>
        <w:rPr>
          <w:rFonts w:ascii="Arial" w:hAnsi="Arial" w:cs="Arial"/>
        </w:rPr>
      </w:pPr>
      <w:bookmarkStart w:id="48" w:name="_Toc241116828"/>
      <w:r w:rsidRPr="00C23322">
        <w:rPr>
          <w:rFonts w:ascii="Arial" w:hAnsi="Arial" w:cs="Arial"/>
        </w:rPr>
        <w:t>4.2.2.1 Age</w:t>
      </w:r>
      <w:bookmarkEnd w:id="48"/>
    </w:p>
    <w:p w:rsidR="00F45D0D" w:rsidRPr="00C23322" w:rsidRDefault="00F45D0D" w:rsidP="00F45D0D">
      <w:pPr>
        <w:spacing w:before="120" w:after="80"/>
        <w:jc w:val="center"/>
        <w:rPr>
          <w:rFonts w:ascii="Arial" w:hAnsi="Arial"/>
        </w:rPr>
      </w:pPr>
      <w:r w:rsidRPr="00C23322">
        <w:rPr>
          <w:rFonts w:ascii="Arial" w:eastAsia="Times New Roman" w:hAnsi="Arial"/>
          <w:b/>
          <w:bCs/>
        </w:rPr>
        <w:t>Table 4.2: Age Distribution of Respondents</w:t>
      </w:r>
    </w:p>
    <w:tbl>
      <w:tblPr>
        <w:tblW w:w="9355"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31"/>
        <w:gridCol w:w="2462"/>
        <w:gridCol w:w="2462"/>
      </w:tblGrid>
      <w:tr w:rsidR="00F45D0D" w:rsidRPr="00C23322" w:rsidTr="004723C3">
        <w:trPr>
          <w:trHeight w:val="248"/>
          <w:tblHeader/>
        </w:trPr>
        <w:tc>
          <w:tcPr>
            <w:tcW w:w="4431"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Age Group</w:t>
            </w:r>
          </w:p>
        </w:tc>
        <w:tc>
          <w:tcPr>
            <w:tcW w:w="2462"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Frequency</w:t>
            </w:r>
          </w:p>
        </w:tc>
        <w:tc>
          <w:tcPr>
            <w:tcW w:w="2462"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Percentage</w:t>
            </w:r>
          </w:p>
        </w:tc>
      </w:tr>
      <w:tr w:rsidR="00F45D0D" w:rsidRPr="00C23322" w:rsidTr="004723C3">
        <w:trPr>
          <w:trHeight w:val="248"/>
        </w:trPr>
        <w:tc>
          <w:tcPr>
            <w:tcW w:w="4431"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18–24</w:t>
            </w:r>
          </w:p>
        </w:tc>
        <w:tc>
          <w:tcPr>
            <w:tcW w:w="2462"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14</w:t>
            </w:r>
          </w:p>
        </w:tc>
        <w:tc>
          <w:tcPr>
            <w:tcW w:w="2462"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14.1%</w:t>
            </w:r>
          </w:p>
        </w:tc>
      </w:tr>
      <w:tr w:rsidR="00F45D0D" w:rsidRPr="00C23322" w:rsidTr="004723C3">
        <w:trPr>
          <w:trHeight w:val="248"/>
        </w:trPr>
        <w:tc>
          <w:tcPr>
            <w:tcW w:w="4431"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25–34</w:t>
            </w:r>
          </w:p>
        </w:tc>
        <w:tc>
          <w:tcPr>
            <w:tcW w:w="2462"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71</w:t>
            </w:r>
          </w:p>
        </w:tc>
        <w:tc>
          <w:tcPr>
            <w:tcW w:w="2462"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71.7%</w:t>
            </w:r>
          </w:p>
        </w:tc>
      </w:tr>
      <w:tr w:rsidR="00F45D0D" w:rsidRPr="00C23322" w:rsidTr="004723C3">
        <w:trPr>
          <w:trHeight w:val="248"/>
        </w:trPr>
        <w:tc>
          <w:tcPr>
            <w:tcW w:w="4431"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35–44</w:t>
            </w:r>
          </w:p>
        </w:tc>
        <w:tc>
          <w:tcPr>
            <w:tcW w:w="2462"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5</w:t>
            </w:r>
          </w:p>
        </w:tc>
        <w:tc>
          <w:tcPr>
            <w:tcW w:w="2462"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5.1%</w:t>
            </w:r>
          </w:p>
        </w:tc>
      </w:tr>
      <w:tr w:rsidR="00F45D0D" w:rsidRPr="00C23322" w:rsidTr="004723C3">
        <w:trPr>
          <w:trHeight w:val="248"/>
        </w:trPr>
        <w:tc>
          <w:tcPr>
            <w:tcW w:w="4431"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45–54</w:t>
            </w:r>
          </w:p>
        </w:tc>
        <w:tc>
          <w:tcPr>
            <w:tcW w:w="2462"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6</w:t>
            </w:r>
          </w:p>
        </w:tc>
        <w:tc>
          <w:tcPr>
            <w:tcW w:w="2462"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6.1%</w:t>
            </w:r>
          </w:p>
        </w:tc>
      </w:tr>
      <w:tr w:rsidR="00F45D0D" w:rsidRPr="00C23322" w:rsidTr="004723C3">
        <w:trPr>
          <w:trHeight w:val="236"/>
        </w:trPr>
        <w:tc>
          <w:tcPr>
            <w:tcW w:w="4431"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55–64</w:t>
            </w:r>
          </w:p>
        </w:tc>
        <w:tc>
          <w:tcPr>
            <w:tcW w:w="2462"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124EDF" w:rsidP="004723C3">
            <w:pPr>
              <w:jc w:val="center"/>
              <w:rPr>
                <w:rFonts w:ascii="Arial" w:hAnsi="Arial"/>
              </w:rPr>
            </w:pPr>
            <w:r>
              <w:rPr>
                <w:rFonts w:ascii="Arial" w:eastAsia="Times New Roman" w:hAnsi="Arial"/>
                <w:sz w:val="22"/>
                <w:szCs w:val="22"/>
              </w:rPr>
              <w:t>3</w:t>
            </w:r>
          </w:p>
        </w:tc>
        <w:tc>
          <w:tcPr>
            <w:tcW w:w="2462"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124EDF" w:rsidP="004723C3">
            <w:pPr>
              <w:jc w:val="center"/>
              <w:rPr>
                <w:rFonts w:ascii="Arial" w:hAnsi="Arial"/>
              </w:rPr>
            </w:pPr>
            <w:r>
              <w:rPr>
                <w:rFonts w:ascii="Arial" w:eastAsia="Times New Roman" w:hAnsi="Arial"/>
                <w:sz w:val="22"/>
                <w:szCs w:val="22"/>
              </w:rPr>
              <w:t>3</w:t>
            </w:r>
            <w:r w:rsidR="00F45D0D" w:rsidRPr="00C23322">
              <w:rPr>
                <w:rFonts w:ascii="Arial" w:eastAsia="Times New Roman" w:hAnsi="Arial"/>
                <w:sz w:val="22"/>
                <w:szCs w:val="22"/>
              </w:rPr>
              <w:t>.0%</w:t>
            </w:r>
          </w:p>
        </w:tc>
      </w:tr>
    </w:tbl>
    <w:p w:rsidR="00F45D0D" w:rsidRPr="00C23322" w:rsidRDefault="00647434" w:rsidP="00F45D0D">
      <w:pPr>
        <w:spacing w:after="120"/>
        <w:rPr>
          <w:rFonts w:ascii="Arial" w:hAnsi="Arial"/>
        </w:rPr>
      </w:pPr>
      <w:r w:rsidRPr="00C23322">
        <w:rPr>
          <w:rFonts w:ascii="Arial" w:eastAsia="Times New Roman" w:hAnsi="Arial"/>
        </w:rPr>
        <w:t>The sample is heavily concentrated among younger adults, with respondents aged 25 to 34 accounting for almost three-quarters of the total (71.7%) and those under 35 together representing 85.8% of the sample. There are few participants in the older age groups, as those aged 45 and over account for only 9.1% of the total. This concentration reflects the demographic profile typically reached through an online questionnaire and should be borne in mind when considering the generalisability of the findings</w:t>
      </w:r>
      <w:r w:rsidR="00F45D0D" w:rsidRPr="00C23322">
        <w:rPr>
          <w:rFonts w:ascii="Arial" w:eastAsia="Times New Roman" w:hAnsi="Arial"/>
        </w:rPr>
        <w:t>.</w:t>
      </w:r>
    </w:p>
    <w:p w:rsidR="00F45D0D" w:rsidRPr="00C23322" w:rsidRDefault="00F45D0D" w:rsidP="00457493">
      <w:pPr>
        <w:pStyle w:val="Heading3"/>
        <w:rPr>
          <w:rFonts w:ascii="Arial" w:hAnsi="Arial" w:cs="Arial"/>
        </w:rPr>
      </w:pPr>
      <w:bookmarkStart w:id="49" w:name="_Toc241116829"/>
      <w:r w:rsidRPr="00C23322">
        <w:rPr>
          <w:rFonts w:ascii="Arial" w:hAnsi="Arial" w:cs="Arial"/>
        </w:rPr>
        <w:t>4.2.2.2 Gender</w:t>
      </w:r>
      <w:bookmarkEnd w:id="49"/>
    </w:p>
    <w:p w:rsidR="00F45D0D" w:rsidRPr="00C23322" w:rsidRDefault="00F45D0D" w:rsidP="00F45D0D">
      <w:pPr>
        <w:spacing w:before="120" w:after="80"/>
        <w:jc w:val="center"/>
        <w:rPr>
          <w:rFonts w:ascii="Arial" w:hAnsi="Arial"/>
        </w:rPr>
      </w:pPr>
      <w:r w:rsidRPr="00C23322">
        <w:rPr>
          <w:rFonts w:ascii="Arial" w:eastAsia="Times New Roman" w:hAnsi="Arial"/>
          <w:b/>
          <w:bCs/>
        </w:rPr>
        <w:t>Table 4.3: Gender Distribution of Respondents</w:t>
      </w:r>
    </w:p>
    <w:tbl>
      <w:tblPr>
        <w:tblW w:w="931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14"/>
        <w:gridCol w:w="2452"/>
        <w:gridCol w:w="2452"/>
      </w:tblGrid>
      <w:tr w:rsidR="00F45D0D" w:rsidRPr="00C23322" w:rsidTr="004723C3">
        <w:trPr>
          <w:trHeight w:val="254"/>
          <w:tblHeader/>
        </w:trPr>
        <w:tc>
          <w:tcPr>
            <w:tcW w:w="4414"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Gender</w:t>
            </w:r>
          </w:p>
        </w:tc>
        <w:tc>
          <w:tcPr>
            <w:tcW w:w="2452"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Frequency</w:t>
            </w:r>
          </w:p>
        </w:tc>
        <w:tc>
          <w:tcPr>
            <w:tcW w:w="2452"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Percentage</w:t>
            </w:r>
          </w:p>
        </w:tc>
      </w:tr>
      <w:tr w:rsidR="00F45D0D" w:rsidRPr="00C23322" w:rsidTr="004723C3">
        <w:trPr>
          <w:trHeight w:val="266"/>
        </w:trPr>
        <w:tc>
          <w:tcPr>
            <w:tcW w:w="4414"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Man</w:t>
            </w:r>
          </w:p>
        </w:tc>
        <w:tc>
          <w:tcPr>
            <w:tcW w:w="2452"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76</w:t>
            </w:r>
          </w:p>
        </w:tc>
        <w:tc>
          <w:tcPr>
            <w:tcW w:w="2452"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76.8%</w:t>
            </w:r>
          </w:p>
        </w:tc>
      </w:tr>
      <w:tr w:rsidR="00F45D0D" w:rsidRPr="00C23322" w:rsidTr="004723C3">
        <w:trPr>
          <w:trHeight w:val="254"/>
        </w:trPr>
        <w:tc>
          <w:tcPr>
            <w:tcW w:w="4414"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Woman</w:t>
            </w:r>
          </w:p>
        </w:tc>
        <w:tc>
          <w:tcPr>
            <w:tcW w:w="2452"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18</w:t>
            </w:r>
          </w:p>
        </w:tc>
        <w:tc>
          <w:tcPr>
            <w:tcW w:w="2452"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18.2%</w:t>
            </w:r>
          </w:p>
        </w:tc>
      </w:tr>
      <w:tr w:rsidR="00F45D0D" w:rsidRPr="00C23322" w:rsidTr="004723C3">
        <w:trPr>
          <w:trHeight w:val="254"/>
        </w:trPr>
        <w:tc>
          <w:tcPr>
            <w:tcW w:w="4414"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Prefer not to say</w:t>
            </w:r>
          </w:p>
        </w:tc>
        <w:tc>
          <w:tcPr>
            <w:tcW w:w="2452"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5</w:t>
            </w:r>
          </w:p>
        </w:tc>
        <w:tc>
          <w:tcPr>
            <w:tcW w:w="2452"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5.1%</w:t>
            </w:r>
          </w:p>
        </w:tc>
      </w:tr>
    </w:tbl>
    <w:p w:rsidR="00F45D0D" w:rsidRPr="00C23322" w:rsidRDefault="00F45D0D" w:rsidP="00F45D0D">
      <w:pPr>
        <w:spacing w:after="120"/>
        <w:rPr>
          <w:rFonts w:ascii="Arial" w:hAnsi="Arial"/>
        </w:rPr>
      </w:pPr>
      <w:r w:rsidRPr="00C23322">
        <w:rPr>
          <w:rFonts w:ascii="Arial" w:eastAsia="Times New Roman" w:hAnsi="Arial"/>
        </w:rPr>
        <w:t xml:space="preserve">The gender distribution is skewed heavily towards men, who account for 76.8% of respondents, compared with 18.2% identifying as women and 5.1% preferring not to </w:t>
      </w:r>
      <w:r w:rsidRPr="00C23322">
        <w:rPr>
          <w:rFonts w:ascii="Arial" w:eastAsia="Times New Roman" w:hAnsi="Arial"/>
        </w:rPr>
        <w:lastRenderedPageBreak/>
        <w:t>disclose their gender. This imbalance is a further characteristic of the achieved sample that should be considered when interpreting the results.</w:t>
      </w:r>
    </w:p>
    <w:p w:rsidR="00F45D0D" w:rsidRPr="00C23322" w:rsidRDefault="00F45D0D" w:rsidP="00457493">
      <w:pPr>
        <w:pStyle w:val="Heading3"/>
        <w:rPr>
          <w:rFonts w:ascii="Arial" w:hAnsi="Arial" w:cs="Arial"/>
        </w:rPr>
      </w:pPr>
      <w:bookmarkStart w:id="50" w:name="_Toc241116830"/>
      <w:r w:rsidRPr="00C23322">
        <w:rPr>
          <w:rFonts w:ascii="Arial" w:hAnsi="Arial" w:cs="Arial"/>
        </w:rPr>
        <w:t>4.2.2.3 Monthly Household Income</w:t>
      </w:r>
      <w:bookmarkEnd w:id="50"/>
    </w:p>
    <w:p w:rsidR="00F45D0D" w:rsidRPr="00C23322" w:rsidRDefault="00F45D0D" w:rsidP="00F45D0D">
      <w:pPr>
        <w:spacing w:after="120"/>
        <w:jc w:val="center"/>
        <w:rPr>
          <w:rFonts w:ascii="Arial" w:hAnsi="Arial"/>
        </w:rPr>
      </w:pPr>
      <w:r w:rsidRPr="00C23322">
        <w:rPr>
          <w:rFonts w:ascii="Arial" w:eastAsia="Times New Roman" w:hAnsi="Arial"/>
          <w:b/>
          <w:bCs/>
        </w:rPr>
        <w:t>Table 4.4: Monthly Household Income Distribution</w:t>
      </w:r>
    </w:p>
    <w:tbl>
      <w:tblPr>
        <w:tblW w:w="933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20"/>
        <w:gridCol w:w="2455"/>
        <w:gridCol w:w="2455"/>
      </w:tblGrid>
      <w:tr w:rsidR="00F45D0D" w:rsidRPr="00C23322" w:rsidTr="004723C3">
        <w:trPr>
          <w:trHeight w:val="255"/>
          <w:tblHeader/>
        </w:trPr>
        <w:tc>
          <w:tcPr>
            <w:tcW w:w="4420"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Monthly Income</w:t>
            </w:r>
          </w:p>
        </w:tc>
        <w:tc>
          <w:tcPr>
            <w:tcW w:w="2455"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Frequency</w:t>
            </w:r>
          </w:p>
        </w:tc>
        <w:tc>
          <w:tcPr>
            <w:tcW w:w="2455"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Percentage</w:t>
            </w:r>
          </w:p>
        </w:tc>
      </w:tr>
      <w:tr w:rsidR="00F45D0D" w:rsidRPr="00C23322" w:rsidTr="004723C3">
        <w:trPr>
          <w:trHeight w:val="255"/>
        </w:trPr>
        <w:tc>
          <w:tcPr>
            <w:tcW w:w="442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Below £2,000</w:t>
            </w:r>
          </w:p>
        </w:tc>
        <w:tc>
          <w:tcPr>
            <w:tcW w:w="245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56</w:t>
            </w:r>
          </w:p>
        </w:tc>
        <w:tc>
          <w:tcPr>
            <w:tcW w:w="245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56.6%</w:t>
            </w:r>
          </w:p>
        </w:tc>
      </w:tr>
      <w:tr w:rsidR="00F45D0D" w:rsidRPr="00C23322" w:rsidTr="004723C3">
        <w:trPr>
          <w:trHeight w:val="255"/>
        </w:trPr>
        <w:tc>
          <w:tcPr>
            <w:tcW w:w="442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£2,000–£3,499</w:t>
            </w:r>
          </w:p>
        </w:tc>
        <w:tc>
          <w:tcPr>
            <w:tcW w:w="245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35</w:t>
            </w:r>
          </w:p>
        </w:tc>
        <w:tc>
          <w:tcPr>
            <w:tcW w:w="245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35.4%</w:t>
            </w:r>
          </w:p>
        </w:tc>
      </w:tr>
      <w:tr w:rsidR="00F45D0D" w:rsidRPr="00C23322" w:rsidTr="004723C3">
        <w:trPr>
          <w:trHeight w:val="255"/>
        </w:trPr>
        <w:tc>
          <w:tcPr>
            <w:tcW w:w="442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£3,500–£4,999</w:t>
            </w:r>
          </w:p>
        </w:tc>
        <w:tc>
          <w:tcPr>
            <w:tcW w:w="245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6</w:t>
            </w:r>
          </w:p>
        </w:tc>
        <w:tc>
          <w:tcPr>
            <w:tcW w:w="245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6.1%</w:t>
            </w:r>
          </w:p>
        </w:tc>
      </w:tr>
      <w:tr w:rsidR="00F45D0D" w:rsidRPr="00C23322" w:rsidTr="004723C3">
        <w:trPr>
          <w:trHeight w:val="255"/>
        </w:trPr>
        <w:tc>
          <w:tcPr>
            <w:tcW w:w="442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£5,000–£6,999</w:t>
            </w:r>
          </w:p>
        </w:tc>
        <w:tc>
          <w:tcPr>
            <w:tcW w:w="245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1</w:t>
            </w:r>
          </w:p>
        </w:tc>
        <w:tc>
          <w:tcPr>
            <w:tcW w:w="245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1.0%</w:t>
            </w:r>
          </w:p>
        </w:tc>
      </w:tr>
      <w:tr w:rsidR="00F45D0D" w:rsidRPr="00C23322" w:rsidTr="004723C3">
        <w:trPr>
          <w:trHeight w:val="243"/>
        </w:trPr>
        <w:tc>
          <w:tcPr>
            <w:tcW w:w="442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£7,000–£9,999</w:t>
            </w:r>
          </w:p>
        </w:tc>
        <w:tc>
          <w:tcPr>
            <w:tcW w:w="245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1</w:t>
            </w:r>
          </w:p>
        </w:tc>
        <w:tc>
          <w:tcPr>
            <w:tcW w:w="245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1.0%</w:t>
            </w:r>
          </w:p>
        </w:tc>
      </w:tr>
    </w:tbl>
    <w:p w:rsidR="00F45D0D" w:rsidRPr="00C23322" w:rsidRDefault="00F45D0D" w:rsidP="00F45D0D">
      <w:pPr>
        <w:spacing w:after="120"/>
        <w:rPr>
          <w:rFonts w:ascii="Arial" w:hAnsi="Arial"/>
        </w:rPr>
      </w:pPr>
      <w:r w:rsidRPr="00C23322">
        <w:rPr>
          <w:rFonts w:ascii="Arial" w:eastAsia="Times New Roman" w:hAnsi="Arial"/>
        </w:rPr>
        <w:t>Household income is concentrated at the lower end of the scale: 56.6% of respondents reported monthly income below £2,000, and a further 35.4% reported income between £2,000 and £3,499, meaning that 92.0% of the sample earned below £3,500 per month. This concentration is relevant to the study's focus on financial pressure and is discussed further in Section 4.3.1.</w:t>
      </w:r>
    </w:p>
    <w:p w:rsidR="00F45D0D" w:rsidRPr="00C23322" w:rsidRDefault="00F45D0D" w:rsidP="00457493">
      <w:pPr>
        <w:pStyle w:val="Heading3"/>
        <w:rPr>
          <w:rFonts w:ascii="Arial" w:hAnsi="Arial" w:cs="Arial"/>
        </w:rPr>
      </w:pPr>
      <w:bookmarkStart w:id="51" w:name="_Toc241116831"/>
      <w:r w:rsidRPr="00C23322">
        <w:rPr>
          <w:rFonts w:ascii="Arial" w:hAnsi="Arial" w:cs="Arial"/>
        </w:rPr>
        <w:t>4.2.2.4 Clubcard Membership Duration</w:t>
      </w:r>
      <w:bookmarkEnd w:id="51"/>
    </w:p>
    <w:p w:rsidR="00F45D0D" w:rsidRPr="00C23322" w:rsidRDefault="00F45D0D" w:rsidP="00F45D0D">
      <w:pPr>
        <w:spacing w:before="120" w:after="80"/>
        <w:jc w:val="center"/>
        <w:rPr>
          <w:rFonts w:ascii="Arial" w:hAnsi="Arial"/>
        </w:rPr>
      </w:pPr>
      <w:r w:rsidRPr="00C23322">
        <w:rPr>
          <w:rFonts w:ascii="Arial" w:eastAsia="Times New Roman" w:hAnsi="Arial"/>
          <w:b/>
          <w:bCs/>
        </w:rPr>
        <w:t>Table 4.5: Clubcard Membership Duration</w:t>
      </w:r>
    </w:p>
    <w:tbl>
      <w:tblPr>
        <w:tblW w:w="937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443"/>
        <w:gridCol w:w="2468"/>
        <w:gridCol w:w="2468"/>
      </w:tblGrid>
      <w:tr w:rsidR="00F45D0D" w:rsidRPr="00C23322" w:rsidTr="004723C3">
        <w:trPr>
          <w:trHeight w:val="258"/>
          <w:tblHeader/>
        </w:trPr>
        <w:tc>
          <w:tcPr>
            <w:tcW w:w="4443"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Membership Duration</w:t>
            </w:r>
          </w:p>
        </w:tc>
        <w:tc>
          <w:tcPr>
            <w:tcW w:w="2468"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Frequency</w:t>
            </w:r>
          </w:p>
        </w:tc>
        <w:tc>
          <w:tcPr>
            <w:tcW w:w="2468"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Percentage</w:t>
            </w:r>
          </w:p>
        </w:tc>
      </w:tr>
      <w:tr w:rsidR="00F45D0D" w:rsidRPr="00C23322" w:rsidTr="004723C3">
        <w:trPr>
          <w:trHeight w:val="258"/>
        </w:trPr>
        <w:tc>
          <w:tcPr>
            <w:tcW w:w="4443"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Less than 1 year</w:t>
            </w:r>
          </w:p>
        </w:tc>
        <w:tc>
          <w:tcPr>
            <w:tcW w:w="2468"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49</w:t>
            </w:r>
          </w:p>
        </w:tc>
        <w:tc>
          <w:tcPr>
            <w:tcW w:w="2468"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49.5%</w:t>
            </w:r>
          </w:p>
        </w:tc>
      </w:tr>
      <w:tr w:rsidR="00F45D0D" w:rsidRPr="00C23322" w:rsidTr="004723C3">
        <w:trPr>
          <w:trHeight w:val="258"/>
        </w:trPr>
        <w:tc>
          <w:tcPr>
            <w:tcW w:w="4443"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1–3 years</w:t>
            </w:r>
          </w:p>
        </w:tc>
        <w:tc>
          <w:tcPr>
            <w:tcW w:w="2468"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32</w:t>
            </w:r>
          </w:p>
        </w:tc>
        <w:tc>
          <w:tcPr>
            <w:tcW w:w="2468"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32.3%</w:t>
            </w:r>
          </w:p>
        </w:tc>
      </w:tr>
      <w:tr w:rsidR="00F45D0D" w:rsidRPr="00C23322" w:rsidTr="004723C3">
        <w:trPr>
          <w:trHeight w:val="258"/>
        </w:trPr>
        <w:tc>
          <w:tcPr>
            <w:tcW w:w="4443"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4–6 years</w:t>
            </w:r>
          </w:p>
        </w:tc>
        <w:tc>
          <w:tcPr>
            <w:tcW w:w="2468"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10</w:t>
            </w:r>
          </w:p>
        </w:tc>
        <w:tc>
          <w:tcPr>
            <w:tcW w:w="2468"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10.1%</w:t>
            </w:r>
          </w:p>
        </w:tc>
      </w:tr>
      <w:tr w:rsidR="00F45D0D" w:rsidRPr="00C23322" w:rsidTr="004723C3">
        <w:trPr>
          <w:trHeight w:val="258"/>
        </w:trPr>
        <w:tc>
          <w:tcPr>
            <w:tcW w:w="4443"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7–10 years</w:t>
            </w:r>
          </w:p>
        </w:tc>
        <w:tc>
          <w:tcPr>
            <w:tcW w:w="2468"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4</w:t>
            </w:r>
          </w:p>
        </w:tc>
        <w:tc>
          <w:tcPr>
            <w:tcW w:w="2468"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4.0%</w:t>
            </w:r>
          </w:p>
        </w:tc>
      </w:tr>
      <w:tr w:rsidR="00F45D0D" w:rsidRPr="00C23322" w:rsidTr="004723C3">
        <w:trPr>
          <w:trHeight w:val="246"/>
        </w:trPr>
        <w:tc>
          <w:tcPr>
            <w:tcW w:w="4443"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More than 10 years</w:t>
            </w:r>
          </w:p>
        </w:tc>
        <w:tc>
          <w:tcPr>
            <w:tcW w:w="2468"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4</w:t>
            </w:r>
          </w:p>
        </w:tc>
        <w:tc>
          <w:tcPr>
            <w:tcW w:w="2468"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4.0%</w:t>
            </w:r>
          </w:p>
        </w:tc>
      </w:tr>
    </w:tbl>
    <w:p w:rsidR="00F45D0D" w:rsidRPr="00C23322" w:rsidRDefault="00F45D0D" w:rsidP="00F45D0D">
      <w:pPr>
        <w:spacing w:after="120"/>
        <w:rPr>
          <w:rFonts w:ascii="Arial" w:hAnsi="Arial"/>
        </w:rPr>
      </w:pPr>
      <w:r w:rsidRPr="00C23322">
        <w:rPr>
          <w:rFonts w:ascii="Arial" w:eastAsia="Times New Roman" w:hAnsi="Arial"/>
        </w:rPr>
        <w:t xml:space="preserve">Clubcard tenure is similarly weighted towards newer members: 49.5% of respondents had held a card for less than one year, and a further 32.3% for one to three years, while only 8.1% had been members for more than six years. Taken together, the demographic profile reflects a sample of predominantly younger, male, lower-income and recently </w:t>
      </w:r>
      <w:r w:rsidRPr="00C23322">
        <w:rPr>
          <w:rFonts w:ascii="Arial" w:eastAsia="Times New Roman" w:hAnsi="Arial"/>
        </w:rPr>
        <w:lastRenderedPageBreak/>
        <w:t>enrolled Clubcard holders, a pattern that is returned to when the generalisability of the findings is considered in Chapter 5.</w:t>
      </w:r>
    </w:p>
    <w:p w:rsidR="00F45D0D" w:rsidRPr="00C23322" w:rsidRDefault="00F45D0D" w:rsidP="00E326DA">
      <w:pPr>
        <w:pStyle w:val="Heading1"/>
      </w:pPr>
      <w:bookmarkStart w:id="52" w:name="_Toc241116832"/>
      <w:r w:rsidRPr="00C23322">
        <w:t>4.3 Descriptive Statistics</w:t>
      </w:r>
      <w:bookmarkEnd w:id="52"/>
    </w:p>
    <w:p w:rsidR="00F45D0D" w:rsidRPr="00C23322" w:rsidRDefault="00F45D0D" w:rsidP="00F45D0D">
      <w:pPr>
        <w:pStyle w:val="Heading2"/>
        <w:spacing w:before="0" w:after="120"/>
        <w:rPr>
          <w:rFonts w:ascii="Arial" w:hAnsi="Arial" w:cs="Arial"/>
        </w:rPr>
      </w:pPr>
      <w:bookmarkStart w:id="53" w:name="_Toc241116833"/>
      <w:r w:rsidRPr="00C23322">
        <w:rPr>
          <w:rFonts w:ascii="Arial" w:hAnsi="Arial" w:cs="Arial"/>
          <w:color w:val="000000"/>
          <w:szCs w:val="26"/>
        </w:rPr>
        <w:t>4.3.1 Descriptive Statistics of Main Variables</w:t>
      </w:r>
      <w:bookmarkEnd w:id="53"/>
    </w:p>
    <w:p w:rsidR="00F45D0D" w:rsidRPr="00C23322" w:rsidRDefault="00F45D0D" w:rsidP="00F45D0D">
      <w:pPr>
        <w:spacing w:after="120"/>
        <w:jc w:val="center"/>
        <w:rPr>
          <w:rFonts w:ascii="Arial" w:hAnsi="Arial"/>
        </w:rPr>
      </w:pPr>
      <w:r w:rsidRPr="00C23322">
        <w:rPr>
          <w:rFonts w:ascii="Arial" w:eastAsia="Times New Roman" w:hAnsi="Arial"/>
          <w:b/>
          <w:bCs/>
        </w:rPr>
        <w:t>Table 4.6: Descriptive Statistics of Main Variables (N = 99)</w:t>
      </w:r>
    </w:p>
    <w:tbl>
      <w:tblPr>
        <w:tblW w:w="94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20"/>
        <w:gridCol w:w="940"/>
        <w:gridCol w:w="1410"/>
        <w:gridCol w:w="1410"/>
        <w:gridCol w:w="1410"/>
        <w:gridCol w:w="1410"/>
      </w:tblGrid>
      <w:tr w:rsidR="00F45D0D" w:rsidRPr="00C23322" w:rsidTr="004723C3">
        <w:trPr>
          <w:trHeight w:val="226"/>
          <w:tblHeader/>
        </w:trPr>
        <w:tc>
          <w:tcPr>
            <w:tcW w:w="2820"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b/>
                <w:bCs/>
                <w:sz w:val="22"/>
                <w:szCs w:val="22"/>
              </w:rPr>
              <w:t>Variable</w:t>
            </w:r>
          </w:p>
        </w:tc>
        <w:tc>
          <w:tcPr>
            <w:tcW w:w="940"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b/>
                <w:bCs/>
                <w:sz w:val="22"/>
                <w:szCs w:val="22"/>
              </w:rPr>
              <w:t>N</w:t>
            </w:r>
          </w:p>
        </w:tc>
        <w:tc>
          <w:tcPr>
            <w:tcW w:w="1410"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b/>
                <w:bCs/>
                <w:sz w:val="22"/>
                <w:szCs w:val="22"/>
              </w:rPr>
              <w:t>Minimum</w:t>
            </w:r>
          </w:p>
        </w:tc>
        <w:tc>
          <w:tcPr>
            <w:tcW w:w="1410"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b/>
                <w:bCs/>
                <w:sz w:val="22"/>
                <w:szCs w:val="22"/>
              </w:rPr>
              <w:t>Maximum</w:t>
            </w:r>
          </w:p>
        </w:tc>
        <w:tc>
          <w:tcPr>
            <w:tcW w:w="1410"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b/>
                <w:bCs/>
                <w:sz w:val="22"/>
                <w:szCs w:val="22"/>
              </w:rPr>
              <w:t>Mean</w:t>
            </w:r>
          </w:p>
        </w:tc>
        <w:tc>
          <w:tcPr>
            <w:tcW w:w="1410"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b/>
                <w:bCs/>
                <w:sz w:val="22"/>
                <w:szCs w:val="22"/>
              </w:rPr>
              <w:t>SD</w:t>
            </w:r>
          </w:p>
        </w:tc>
      </w:tr>
      <w:tr w:rsidR="00F45D0D" w:rsidRPr="00C23322" w:rsidTr="004723C3">
        <w:trPr>
          <w:trHeight w:val="226"/>
        </w:trPr>
        <w:tc>
          <w:tcPr>
            <w:tcW w:w="282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rPr>
                <w:rFonts w:ascii="Arial" w:hAnsi="Arial"/>
              </w:rPr>
            </w:pPr>
            <w:r w:rsidRPr="00C23322">
              <w:rPr>
                <w:rFonts w:ascii="Arial" w:eastAsia="Times New Roman" w:hAnsi="Arial"/>
                <w:sz w:val="22"/>
                <w:szCs w:val="22"/>
              </w:rPr>
              <w:t>Autonomy</w:t>
            </w:r>
          </w:p>
        </w:tc>
        <w:tc>
          <w:tcPr>
            <w:tcW w:w="94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99</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1.00</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7.00</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5.2172</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1.32511</w:t>
            </w:r>
          </w:p>
        </w:tc>
      </w:tr>
      <w:tr w:rsidR="00F45D0D" w:rsidRPr="00C23322" w:rsidTr="004723C3">
        <w:trPr>
          <w:trHeight w:val="226"/>
        </w:trPr>
        <w:tc>
          <w:tcPr>
            <w:tcW w:w="282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rPr>
                <w:rFonts w:ascii="Arial" w:hAnsi="Arial"/>
              </w:rPr>
            </w:pPr>
            <w:r w:rsidRPr="00C23322">
              <w:rPr>
                <w:rFonts w:ascii="Arial" w:eastAsia="Times New Roman" w:hAnsi="Arial"/>
                <w:sz w:val="22"/>
                <w:szCs w:val="22"/>
              </w:rPr>
              <w:t>Competence</w:t>
            </w:r>
          </w:p>
        </w:tc>
        <w:tc>
          <w:tcPr>
            <w:tcW w:w="94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99</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1.00</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7.00</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5.1237</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1.48263</w:t>
            </w:r>
          </w:p>
        </w:tc>
      </w:tr>
      <w:tr w:rsidR="00F45D0D" w:rsidRPr="00C23322" w:rsidTr="004723C3">
        <w:trPr>
          <w:trHeight w:val="226"/>
        </w:trPr>
        <w:tc>
          <w:tcPr>
            <w:tcW w:w="282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rPr>
                <w:rFonts w:ascii="Arial" w:hAnsi="Arial"/>
              </w:rPr>
            </w:pPr>
            <w:r w:rsidRPr="00C23322">
              <w:rPr>
                <w:rFonts w:ascii="Arial" w:eastAsia="Times New Roman" w:hAnsi="Arial"/>
                <w:sz w:val="22"/>
                <w:szCs w:val="22"/>
              </w:rPr>
              <w:t>Relatedness</w:t>
            </w:r>
          </w:p>
        </w:tc>
        <w:tc>
          <w:tcPr>
            <w:tcW w:w="94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99</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1.00</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7.00</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5.2424</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1.22862</w:t>
            </w:r>
          </w:p>
        </w:tc>
      </w:tr>
      <w:tr w:rsidR="00F45D0D" w:rsidRPr="00C23322" w:rsidTr="004723C3">
        <w:trPr>
          <w:trHeight w:val="226"/>
        </w:trPr>
        <w:tc>
          <w:tcPr>
            <w:tcW w:w="282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rPr>
                <w:rFonts w:ascii="Arial" w:hAnsi="Arial"/>
              </w:rPr>
            </w:pPr>
            <w:r w:rsidRPr="00C23322">
              <w:rPr>
                <w:rFonts w:ascii="Arial" w:eastAsia="Times New Roman" w:hAnsi="Arial"/>
                <w:sz w:val="22"/>
                <w:szCs w:val="22"/>
              </w:rPr>
              <w:t>Financial Pressure</w:t>
            </w:r>
          </w:p>
        </w:tc>
        <w:tc>
          <w:tcPr>
            <w:tcW w:w="94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99</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1.75</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7.00</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5.2298</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1.18702</w:t>
            </w:r>
          </w:p>
        </w:tc>
      </w:tr>
      <w:tr w:rsidR="00F45D0D" w:rsidRPr="00C23322" w:rsidTr="004723C3">
        <w:trPr>
          <w:trHeight w:val="216"/>
        </w:trPr>
        <w:tc>
          <w:tcPr>
            <w:tcW w:w="282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rPr>
                <w:rFonts w:ascii="Arial" w:hAnsi="Arial"/>
              </w:rPr>
            </w:pPr>
            <w:r w:rsidRPr="00C23322">
              <w:rPr>
                <w:rFonts w:ascii="Arial" w:eastAsia="Times New Roman" w:hAnsi="Arial"/>
                <w:sz w:val="22"/>
                <w:szCs w:val="22"/>
              </w:rPr>
              <w:t>Engagement</w:t>
            </w:r>
          </w:p>
        </w:tc>
        <w:tc>
          <w:tcPr>
            <w:tcW w:w="94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99</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1.38</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7.00</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5.3110</w:t>
            </w:r>
          </w:p>
        </w:tc>
        <w:tc>
          <w:tcPr>
            <w:tcW w:w="1410"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1.10426</w:t>
            </w:r>
          </w:p>
        </w:tc>
      </w:tr>
    </w:tbl>
    <w:p w:rsidR="00647434" w:rsidRPr="00C23322" w:rsidRDefault="00647434" w:rsidP="00647434">
      <w:pPr>
        <w:spacing w:after="120"/>
        <w:rPr>
          <w:rFonts w:ascii="Arial" w:eastAsia="Times New Roman" w:hAnsi="Arial"/>
        </w:rPr>
      </w:pPr>
      <w:r w:rsidRPr="00C23322">
        <w:rPr>
          <w:rFonts w:ascii="Arial" w:eastAsia="Times New Roman" w:hAnsi="Arial"/>
        </w:rPr>
        <w:t xml:space="preserve">The highest mean was found for engagement (M = 5.3110), meaning that, on average, respondents reported moderately high sustained engagement with the Clubcard </w:t>
      </w:r>
      <w:r w:rsidR="002C0901">
        <w:rPr>
          <w:rFonts w:ascii="Arial" w:eastAsia="Times New Roman" w:hAnsi="Arial"/>
        </w:rPr>
        <w:t>programme</w:t>
      </w:r>
      <w:r w:rsidRPr="00C23322">
        <w:rPr>
          <w:rFonts w:ascii="Arial" w:eastAsia="Times New Roman" w:hAnsi="Arial"/>
        </w:rPr>
        <w:t>. The mean for Relatedness was the second highest (M = 5.2424), just above Financial Pressure (M = 5.2298) and Autonomy (M = 5.2172), and the lowest mean of the five was for Competence (M = 5.1237). However, all five means are within a fairly tight range, suggesting that none of the constructs was consistently rated as higher or lower than the others in this sample.</w:t>
      </w:r>
    </w:p>
    <w:p w:rsidR="00F45D0D" w:rsidRPr="00C23322" w:rsidRDefault="00647434" w:rsidP="00647434">
      <w:pPr>
        <w:spacing w:after="120"/>
        <w:rPr>
          <w:rFonts w:ascii="Arial" w:hAnsi="Arial"/>
        </w:rPr>
      </w:pPr>
      <w:r w:rsidRPr="00C23322">
        <w:rPr>
          <w:rFonts w:ascii="Arial" w:eastAsia="Times New Roman" w:hAnsi="Arial"/>
        </w:rPr>
        <w:t xml:space="preserve">Standard deviations indicate greater differentiation among variables. Competence had the highest standard deviation of the five (SD = 1.48263) which means that there was the largest spread in the ratings of respondents' confidence and effectiveness in using the Clubcard </w:t>
      </w:r>
      <w:r w:rsidR="002C0901">
        <w:rPr>
          <w:rFonts w:ascii="Arial" w:eastAsia="Times New Roman" w:hAnsi="Arial"/>
        </w:rPr>
        <w:t>programme</w:t>
      </w:r>
      <w:r w:rsidRPr="00C23322">
        <w:rPr>
          <w:rFonts w:ascii="Arial" w:eastAsia="Times New Roman" w:hAnsi="Arial"/>
        </w:rPr>
        <w:t xml:space="preserve">. Financial Pressure had by contrast the lowest standard deviation (SD = 1.18702) and the highest minimum value of any variable (1.75), indicating that the responses to the Financial Pressure items were relatively more homogeneous and there was no respondent who reported very low levels of financial pressure. All five variables, however, spanned fairly wide portions of the seven-point scale, ranging from near the low </w:t>
      </w:r>
      <w:r w:rsidRPr="00C23322">
        <w:rPr>
          <w:rFonts w:ascii="Arial" w:eastAsia="Times New Roman" w:hAnsi="Arial"/>
        </w:rPr>
        <w:lastRenderedPageBreak/>
        <w:t>pole to as high as 7.00, reflecting the fact that respondents exploited the entire spectrum of available responses</w:t>
      </w:r>
      <w:r w:rsidR="00F45D0D" w:rsidRPr="00C23322">
        <w:rPr>
          <w:rFonts w:ascii="Arial" w:eastAsia="Times New Roman" w:hAnsi="Arial"/>
        </w:rPr>
        <w:t>.</w:t>
      </w:r>
    </w:p>
    <w:p w:rsidR="00F45D0D" w:rsidRPr="00C23322" w:rsidRDefault="00F45D0D" w:rsidP="00E326DA">
      <w:pPr>
        <w:pStyle w:val="Heading1"/>
      </w:pPr>
      <w:bookmarkStart w:id="54" w:name="_Toc241116834"/>
      <w:r w:rsidRPr="00C23322">
        <w:t>4.4 Measurement Quality</w:t>
      </w:r>
      <w:bookmarkEnd w:id="54"/>
    </w:p>
    <w:p w:rsidR="00F45D0D" w:rsidRPr="00C23322" w:rsidRDefault="00F45D0D" w:rsidP="00F45D0D">
      <w:pPr>
        <w:pStyle w:val="Heading2"/>
        <w:spacing w:before="0" w:after="120"/>
        <w:rPr>
          <w:rFonts w:ascii="Arial" w:hAnsi="Arial" w:cs="Arial"/>
        </w:rPr>
      </w:pPr>
      <w:bookmarkStart w:id="55" w:name="_Toc241116835"/>
      <w:r w:rsidRPr="00C23322">
        <w:rPr>
          <w:rFonts w:ascii="Arial" w:hAnsi="Arial" w:cs="Arial"/>
          <w:color w:val="000000"/>
          <w:szCs w:val="26"/>
        </w:rPr>
        <w:t>4.4.1 Quality Measurement of Main Variables</w:t>
      </w:r>
      <w:bookmarkEnd w:id="55"/>
    </w:p>
    <w:p w:rsidR="00F45D0D" w:rsidRPr="00C23322" w:rsidRDefault="00F45D0D" w:rsidP="00F45D0D">
      <w:pPr>
        <w:spacing w:after="120"/>
        <w:rPr>
          <w:rFonts w:ascii="Arial" w:hAnsi="Arial"/>
        </w:rPr>
      </w:pPr>
      <w:r w:rsidRPr="00C23322">
        <w:rPr>
          <w:rFonts w:ascii="Arial" w:eastAsia="Times New Roman" w:hAnsi="Arial"/>
        </w:rPr>
        <w:t>The study measured autonomy, competence, relatedness and perceived financial pressure using multi-item Likert-scale measures, each comprising four items rated on a seven-point scale (1 = Strongly Disagree; 7 = Strongly Agree). Sustained Clubcard engagement was measured through an eight-item composite scale representing its cognitive, emotional, behavioural and intentional dimensions. Before the hypotheses were tested, the quality of these five measurement scales was assessed through a reliability test (Section 4.4.2), an examination of item-level performance (Section 4.4.3), and a review of the validity evidence available from the data (Sections 4.4.4 and 4.4.5).</w:t>
      </w:r>
    </w:p>
    <w:p w:rsidR="00F45D0D" w:rsidRPr="00C23322" w:rsidRDefault="00F45D0D" w:rsidP="00F45D0D">
      <w:pPr>
        <w:pStyle w:val="Heading2"/>
        <w:spacing w:before="0" w:after="120"/>
        <w:rPr>
          <w:rFonts w:ascii="Arial" w:hAnsi="Arial" w:cs="Arial"/>
        </w:rPr>
      </w:pPr>
      <w:bookmarkStart w:id="56" w:name="_Toc241116836"/>
      <w:r w:rsidRPr="00C23322">
        <w:rPr>
          <w:rFonts w:ascii="Arial" w:hAnsi="Arial" w:cs="Arial"/>
          <w:color w:val="000000"/>
          <w:szCs w:val="26"/>
        </w:rPr>
        <w:t>4.4.2 Reliability Test</w:t>
      </w:r>
      <w:bookmarkEnd w:id="56"/>
    </w:p>
    <w:p w:rsidR="00F45D0D" w:rsidRPr="00C23322" w:rsidRDefault="00F45D0D" w:rsidP="00F45D0D">
      <w:pPr>
        <w:spacing w:after="120"/>
        <w:jc w:val="center"/>
        <w:rPr>
          <w:rFonts w:ascii="Arial" w:hAnsi="Arial"/>
        </w:rPr>
      </w:pPr>
      <w:r w:rsidRPr="00C23322">
        <w:rPr>
          <w:rFonts w:ascii="Arial" w:eastAsia="Times New Roman" w:hAnsi="Arial"/>
          <w:b/>
          <w:bCs/>
        </w:rPr>
        <w:t>Table 4.7: Reliability Results</w:t>
      </w:r>
    </w:p>
    <w:tbl>
      <w:tblPr>
        <w:tblW w:w="9283"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97"/>
        <w:gridCol w:w="2443"/>
        <w:gridCol w:w="2443"/>
      </w:tblGrid>
      <w:tr w:rsidR="00F45D0D" w:rsidRPr="00C23322" w:rsidTr="004723C3">
        <w:trPr>
          <w:trHeight w:val="253"/>
          <w:tblHeader/>
        </w:trPr>
        <w:tc>
          <w:tcPr>
            <w:tcW w:w="4397"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b/>
                <w:bCs/>
                <w:sz w:val="22"/>
                <w:szCs w:val="22"/>
              </w:rPr>
              <w:t>Construct</w:t>
            </w:r>
          </w:p>
        </w:tc>
        <w:tc>
          <w:tcPr>
            <w:tcW w:w="2443"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b/>
                <w:bCs/>
                <w:sz w:val="22"/>
                <w:szCs w:val="22"/>
              </w:rPr>
              <w:t>Number of Items</w:t>
            </w:r>
          </w:p>
        </w:tc>
        <w:tc>
          <w:tcPr>
            <w:tcW w:w="2443"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b/>
                <w:bCs/>
                <w:sz w:val="22"/>
                <w:szCs w:val="22"/>
              </w:rPr>
              <w:t>Cronbach's Alpha</w:t>
            </w:r>
          </w:p>
        </w:tc>
      </w:tr>
      <w:tr w:rsidR="00F45D0D" w:rsidRPr="00C23322" w:rsidTr="004723C3">
        <w:trPr>
          <w:trHeight w:val="253"/>
        </w:trPr>
        <w:tc>
          <w:tcPr>
            <w:tcW w:w="439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rPr>
                <w:rFonts w:ascii="Arial" w:hAnsi="Arial"/>
              </w:rPr>
            </w:pPr>
            <w:r w:rsidRPr="00C23322">
              <w:rPr>
                <w:rFonts w:ascii="Arial" w:eastAsia="Times New Roman" w:hAnsi="Arial"/>
                <w:sz w:val="22"/>
                <w:szCs w:val="22"/>
              </w:rPr>
              <w:t>Autonomy</w:t>
            </w:r>
          </w:p>
        </w:tc>
        <w:tc>
          <w:tcPr>
            <w:tcW w:w="2443"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4</w:t>
            </w:r>
          </w:p>
        </w:tc>
        <w:tc>
          <w:tcPr>
            <w:tcW w:w="2443"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.779</w:t>
            </w:r>
          </w:p>
        </w:tc>
      </w:tr>
      <w:tr w:rsidR="00F45D0D" w:rsidRPr="00C23322" w:rsidTr="004723C3">
        <w:trPr>
          <w:trHeight w:val="253"/>
        </w:trPr>
        <w:tc>
          <w:tcPr>
            <w:tcW w:w="439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rPr>
                <w:rFonts w:ascii="Arial" w:hAnsi="Arial"/>
              </w:rPr>
            </w:pPr>
            <w:r w:rsidRPr="00C23322">
              <w:rPr>
                <w:rFonts w:ascii="Arial" w:eastAsia="Times New Roman" w:hAnsi="Arial"/>
                <w:sz w:val="22"/>
                <w:szCs w:val="22"/>
              </w:rPr>
              <w:t>Competence</w:t>
            </w:r>
          </w:p>
        </w:tc>
        <w:tc>
          <w:tcPr>
            <w:tcW w:w="2443"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4</w:t>
            </w:r>
          </w:p>
        </w:tc>
        <w:tc>
          <w:tcPr>
            <w:tcW w:w="2443"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.849</w:t>
            </w:r>
          </w:p>
        </w:tc>
      </w:tr>
      <w:tr w:rsidR="00F45D0D" w:rsidRPr="00C23322" w:rsidTr="004723C3">
        <w:trPr>
          <w:trHeight w:val="253"/>
        </w:trPr>
        <w:tc>
          <w:tcPr>
            <w:tcW w:w="439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rPr>
                <w:rFonts w:ascii="Arial" w:hAnsi="Arial"/>
              </w:rPr>
            </w:pPr>
            <w:r w:rsidRPr="00C23322">
              <w:rPr>
                <w:rFonts w:ascii="Arial" w:eastAsia="Times New Roman" w:hAnsi="Arial"/>
                <w:sz w:val="22"/>
                <w:szCs w:val="22"/>
              </w:rPr>
              <w:t>Relatedness</w:t>
            </w:r>
          </w:p>
        </w:tc>
        <w:tc>
          <w:tcPr>
            <w:tcW w:w="2443"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4</w:t>
            </w:r>
          </w:p>
        </w:tc>
        <w:tc>
          <w:tcPr>
            <w:tcW w:w="2443"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.784</w:t>
            </w:r>
          </w:p>
        </w:tc>
      </w:tr>
      <w:tr w:rsidR="00F45D0D" w:rsidRPr="00C23322" w:rsidTr="004723C3">
        <w:trPr>
          <w:trHeight w:val="253"/>
        </w:trPr>
        <w:tc>
          <w:tcPr>
            <w:tcW w:w="439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rPr>
                <w:rFonts w:ascii="Arial" w:hAnsi="Arial"/>
              </w:rPr>
            </w:pPr>
            <w:r w:rsidRPr="00C23322">
              <w:rPr>
                <w:rFonts w:ascii="Arial" w:eastAsia="Times New Roman" w:hAnsi="Arial"/>
                <w:sz w:val="22"/>
                <w:szCs w:val="22"/>
              </w:rPr>
              <w:t>Financial Pressure</w:t>
            </w:r>
          </w:p>
        </w:tc>
        <w:tc>
          <w:tcPr>
            <w:tcW w:w="2443"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4</w:t>
            </w:r>
          </w:p>
        </w:tc>
        <w:tc>
          <w:tcPr>
            <w:tcW w:w="2443"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.715</w:t>
            </w:r>
          </w:p>
        </w:tc>
      </w:tr>
      <w:tr w:rsidR="00F45D0D" w:rsidRPr="00C23322" w:rsidTr="004723C3">
        <w:trPr>
          <w:trHeight w:val="241"/>
        </w:trPr>
        <w:tc>
          <w:tcPr>
            <w:tcW w:w="439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rPr>
                <w:rFonts w:ascii="Arial" w:hAnsi="Arial"/>
              </w:rPr>
            </w:pPr>
            <w:r w:rsidRPr="00C23322">
              <w:rPr>
                <w:rFonts w:ascii="Arial" w:eastAsia="Times New Roman" w:hAnsi="Arial"/>
                <w:sz w:val="22"/>
                <w:szCs w:val="22"/>
              </w:rPr>
              <w:t>Sustained Engagement</w:t>
            </w:r>
          </w:p>
        </w:tc>
        <w:tc>
          <w:tcPr>
            <w:tcW w:w="2443"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8</w:t>
            </w:r>
          </w:p>
        </w:tc>
        <w:tc>
          <w:tcPr>
            <w:tcW w:w="2443"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spacing w:after="120"/>
              <w:jc w:val="center"/>
              <w:rPr>
                <w:rFonts w:ascii="Arial" w:hAnsi="Arial"/>
              </w:rPr>
            </w:pPr>
            <w:r w:rsidRPr="00C23322">
              <w:rPr>
                <w:rFonts w:ascii="Arial" w:eastAsia="Times New Roman" w:hAnsi="Arial"/>
                <w:sz w:val="22"/>
                <w:szCs w:val="22"/>
              </w:rPr>
              <w:t>.848</w:t>
            </w:r>
          </w:p>
        </w:tc>
      </w:tr>
    </w:tbl>
    <w:p w:rsidR="00F45D0D" w:rsidRPr="00C23322" w:rsidRDefault="00647434" w:rsidP="00F45D0D">
      <w:pPr>
        <w:spacing w:after="120"/>
        <w:rPr>
          <w:rFonts w:ascii="Arial" w:hAnsi="Arial"/>
        </w:rPr>
      </w:pPr>
      <w:r w:rsidRPr="00C23322">
        <w:rPr>
          <w:rFonts w:ascii="Arial" w:eastAsia="Times New Roman" w:hAnsi="Arial"/>
        </w:rPr>
        <w:t xml:space="preserve">Cronbach's alpha coefficient for the five constructs were between .715 and .849, which is above the .7 usually considered acceptable for internal consistency (Nunnally, 1978). Competence recorded the highest alpha of the five (α = .849), indicating that respondents interpreted its four items in a highly consistent manner. Financial Pressure had the lowest alpha of .715; while this is the lowest of the five constructs, it is still above the acceptable level and is not of concern. The composite scale (8 items in four sub-scales) provided a </w:t>
      </w:r>
      <w:r w:rsidRPr="00C23322">
        <w:rPr>
          <w:rFonts w:ascii="Arial" w:eastAsia="Times New Roman" w:hAnsi="Arial"/>
        </w:rPr>
        <w:lastRenderedPageBreak/>
        <w:t>strong value for the Engagement scale (α = .848), which was used as a single dependent variable for the subsequent analysis</w:t>
      </w:r>
      <w:r w:rsidR="00F45D0D" w:rsidRPr="00C23322">
        <w:rPr>
          <w:rFonts w:ascii="Arial" w:eastAsia="Times New Roman" w:hAnsi="Arial"/>
        </w:rPr>
        <w:t>.</w:t>
      </w:r>
    </w:p>
    <w:p w:rsidR="00F45D0D" w:rsidRPr="00C23322" w:rsidRDefault="00F45D0D" w:rsidP="00F45D0D">
      <w:pPr>
        <w:pStyle w:val="Heading2"/>
        <w:spacing w:before="0" w:after="120"/>
        <w:rPr>
          <w:rFonts w:ascii="Arial" w:hAnsi="Arial" w:cs="Arial"/>
        </w:rPr>
      </w:pPr>
      <w:bookmarkStart w:id="57" w:name="_Toc241116837"/>
      <w:r w:rsidRPr="00C23322">
        <w:rPr>
          <w:rFonts w:ascii="Arial" w:hAnsi="Arial" w:cs="Arial"/>
          <w:color w:val="000000"/>
          <w:szCs w:val="26"/>
        </w:rPr>
        <w:t>4.4.3 Item-Level Reliability</w:t>
      </w:r>
      <w:bookmarkEnd w:id="57"/>
    </w:p>
    <w:p w:rsidR="00F45D0D" w:rsidRPr="00C23322" w:rsidRDefault="00647434" w:rsidP="00F45D0D">
      <w:pPr>
        <w:spacing w:after="120"/>
        <w:rPr>
          <w:rFonts w:ascii="Arial" w:hAnsi="Arial"/>
        </w:rPr>
      </w:pPr>
      <w:r w:rsidRPr="00C23322">
        <w:rPr>
          <w:rFonts w:ascii="Arial" w:eastAsia="Times New Roman" w:hAnsi="Arial"/>
        </w:rPr>
        <w:t>Corrected item-total correlations were explored for each construct. The autonomy items ranged from .525 to .622, the competence items ranged from .566 to .767, the relatedness items ranged from .516 to .672 and the financial pressure items ranged from .327 to .602. The Item-Total correlations were generally acceptable with the lowest item being one of the Financial Pressure items at .327 which is below the .50 standard for applying to items scores. Because of this individual item, the overall reliability coefficient for Financial Pressure was still acceptable and the scale was thus retained in its entirety for the subsequent analysis instead of deleting the item in question</w:t>
      </w:r>
      <w:r w:rsidR="00F45D0D" w:rsidRPr="00C23322">
        <w:rPr>
          <w:rFonts w:ascii="Arial" w:eastAsia="Times New Roman" w:hAnsi="Arial"/>
        </w:rPr>
        <w:t>.</w:t>
      </w:r>
    </w:p>
    <w:p w:rsidR="00F45D0D" w:rsidRPr="00C23322" w:rsidRDefault="00F45D0D" w:rsidP="00F45D0D">
      <w:pPr>
        <w:pStyle w:val="Heading2"/>
        <w:spacing w:before="0" w:after="120"/>
        <w:rPr>
          <w:rFonts w:ascii="Arial" w:hAnsi="Arial" w:cs="Arial"/>
        </w:rPr>
      </w:pPr>
      <w:bookmarkStart w:id="58" w:name="_Toc241116838"/>
      <w:r w:rsidRPr="00C23322">
        <w:rPr>
          <w:rFonts w:ascii="Arial" w:hAnsi="Arial" w:cs="Arial"/>
          <w:color w:val="000000"/>
          <w:szCs w:val="26"/>
        </w:rPr>
        <w:t xml:space="preserve">4.4.4 </w:t>
      </w:r>
      <w:r w:rsidR="00224021" w:rsidRPr="00C23322">
        <w:rPr>
          <w:rFonts w:ascii="Arial" w:hAnsi="Arial" w:cs="Arial"/>
        </w:rPr>
        <w:t>Assessment of Measurement Quality</w:t>
      </w:r>
      <w:bookmarkEnd w:id="58"/>
    </w:p>
    <w:p w:rsidR="00F45D0D" w:rsidRPr="00C23322" w:rsidRDefault="00647434" w:rsidP="00F45D0D">
      <w:pPr>
        <w:spacing w:after="120"/>
        <w:rPr>
          <w:rFonts w:ascii="Arial" w:hAnsi="Arial"/>
        </w:rPr>
      </w:pPr>
      <w:r w:rsidRPr="00C23322">
        <w:rPr>
          <w:rFonts w:ascii="Arial" w:eastAsia="Times New Roman" w:hAnsi="Arial"/>
        </w:rPr>
        <w:t xml:space="preserve">Formal Confirmatory Factor Analysis were not carried out and no such claim is made in this study. Validity evidence obtained from the data is instead based on the following three: consistency of item performance within each intended construct (Section 4.4.3); pattern of correlations between constructs (Section 4.4.5); and the theoretical distinction between the four predictor constructs that was presumed in Chapter 2. All five scales had internally consistent item behavior, with the overwhelming majority of items having acceptable correlations with the construct total for each scale, and very few items exhibiting cross-loading confusion. The correlations between constructs, reported in full in Section 4.5, were positive and significant throughout but did not approach the levels that would indicate the constructs were measuring the same underlying concept. The pattern of results taken together suggest that the four predictor constructs are related but measurably different dimensions that support the theoretical positioning of each as a distinct need in </w:t>
      </w:r>
      <w:r w:rsidR="002C0901">
        <w:rPr>
          <w:rFonts w:ascii="Arial" w:eastAsia="Times New Roman" w:hAnsi="Arial"/>
        </w:rPr>
        <w:t>Self-Determination Theory</w:t>
      </w:r>
      <w:r w:rsidRPr="00C23322">
        <w:rPr>
          <w:rFonts w:ascii="Arial" w:eastAsia="Times New Roman" w:hAnsi="Arial"/>
        </w:rPr>
        <w:t xml:space="preserve"> as described in Chapter 2</w:t>
      </w:r>
      <w:r w:rsidR="00F45D0D" w:rsidRPr="00C23322">
        <w:rPr>
          <w:rFonts w:ascii="Arial" w:eastAsia="Times New Roman" w:hAnsi="Arial"/>
        </w:rPr>
        <w:t>.</w:t>
      </w:r>
    </w:p>
    <w:p w:rsidR="00F45D0D" w:rsidRPr="00C23322" w:rsidRDefault="00F45D0D" w:rsidP="00F45D0D">
      <w:pPr>
        <w:pStyle w:val="Heading2"/>
        <w:spacing w:before="0" w:after="120"/>
        <w:rPr>
          <w:rFonts w:ascii="Arial" w:hAnsi="Arial" w:cs="Arial"/>
        </w:rPr>
      </w:pPr>
      <w:bookmarkStart w:id="59" w:name="_Toc241116839"/>
      <w:r w:rsidRPr="00C23322">
        <w:rPr>
          <w:rFonts w:ascii="Arial" w:hAnsi="Arial" w:cs="Arial"/>
          <w:color w:val="000000"/>
          <w:szCs w:val="26"/>
        </w:rPr>
        <w:t>4.4.5 Discriminant Validity and Correlation of Constructs</w:t>
      </w:r>
      <w:bookmarkEnd w:id="59"/>
    </w:p>
    <w:p w:rsidR="00F45D0D" w:rsidRPr="00C23322" w:rsidRDefault="00647434" w:rsidP="00F45D0D">
      <w:pPr>
        <w:spacing w:after="120"/>
        <w:rPr>
          <w:rFonts w:ascii="Arial" w:hAnsi="Arial"/>
        </w:rPr>
      </w:pPr>
      <w:r w:rsidRPr="00C23322">
        <w:rPr>
          <w:rFonts w:ascii="Arial" w:eastAsia="Times New Roman" w:hAnsi="Arial"/>
        </w:rPr>
        <w:t xml:space="preserve">Table 4.8 in Section 4.5.1 reports the full correlation matrix; the inter-predictor correlations relevant to discriminant validity are summarised here. Autonomy was correlated with Competence at .634, and with Relatedness at .573, and with Financial Pressure at .462. </w:t>
      </w:r>
      <w:r w:rsidRPr="00C23322">
        <w:rPr>
          <w:rFonts w:ascii="Arial" w:eastAsia="Times New Roman" w:hAnsi="Arial"/>
        </w:rPr>
        <w:lastRenderedPageBreak/>
        <w:t xml:space="preserve">There was a correlation between Competence and Relatedness of .622 and .414 with Financial Pressure. There was a correlation of .439 between Relatedness and Financial Pressure. The inter-construct correlations provide supporting evidence that the constructs are empirically distinguishable, as none of the correlations indicates an extremely high degree of overlap; the highest of the six values (.634, between Autonomy and Competence) remains well short of the .80 benchmark that is typically treated as indicative of problematic overlap between constructs. VIFs for each predictor in the </w:t>
      </w:r>
      <w:r w:rsidR="002C0901">
        <w:rPr>
          <w:rFonts w:ascii="Arial" w:eastAsia="Times New Roman" w:hAnsi="Arial"/>
        </w:rPr>
        <w:t>Self-Determination Theory</w:t>
      </w:r>
      <w:r w:rsidRPr="00C23322">
        <w:rPr>
          <w:rFonts w:ascii="Arial" w:eastAsia="Times New Roman" w:hAnsi="Arial"/>
        </w:rPr>
        <w:t xml:space="preserve"> were between 1.803 and 2.008, well below threshold values and further support the notion that multicollinearity is not a threat to the interpretation of the regression coefficients reported in Section 4.6</w:t>
      </w:r>
      <w:r w:rsidR="00F45D0D" w:rsidRPr="00C23322">
        <w:rPr>
          <w:rFonts w:ascii="Arial" w:eastAsia="Times New Roman" w:hAnsi="Arial"/>
        </w:rPr>
        <w:t>.</w:t>
      </w:r>
    </w:p>
    <w:p w:rsidR="00F45D0D" w:rsidRPr="00C23322" w:rsidRDefault="00F45D0D" w:rsidP="00E326DA">
      <w:pPr>
        <w:pStyle w:val="Heading1"/>
      </w:pPr>
      <w:bookmarkStart w:id="60" w:name="_Toc241116840"/>
      <w:r w:rsidRPr="00C23322">
        <w:t>4.5 Pearson Correlation Analysis</w:t>
      </w:r>
      <w:bookmarkEnd w:id="60"/>
    </w:p>
    <w:p w:rsidR="00F45D0D" w:rsidRPr="00C23322" w:rsidRDefault="00F45D0D" w:rsidP="00F45D0D">
      <w:pPr>
        <w:pStyle w:val="Heading2"/>
        <w:spacing w:before="0" w:after="120"/>
        <w:rPr>
          <w:rFonts w:ascii="Arial" w:hAnsi="Arial" w:cs="Arial"/>
        </w:rPr>
      </w:pPr>
      <w:bookmarkStart w:id="61" w:name="_Toc241116841"/>
      <w:r w:rsidRPr="00C23322">
        <w:rPr>
          <w:rFonts w:ascii="Arial" w:hAnsi="Arial" w:cs="Arial"/>
          <w:color w:val="000000"/>
          <w:szCs w:val="26"/>
        </w:rPr>
        <w:t>4.5.1 Pearson Correlation Coefficient</w:t>
      </w:r>
      <w:bookmarkEnd w:id="61"/>
    </w:p>
    <w:p w:rsidR="00F45D0D" w:rsidRPr="00C23322" w:rsidRDefault="00F45D0D" w:rsidP="00F45D0D">
      <w:pPr>
        <w:spacing w:after="120"/>
        <w:jc w:val="center"/>
        <w:rPr>
          <w:rFonts w:ascii="Arial" w:hAnsi="Arial"/>
        </w:rPr>
      </w:pPr>
      <w:r w:rsidRPr="00C23322">
        <w:rPr>
          <w:rFonts w:ascii="Arial" w:eastAsia="Times New Roman" w:hAnsi="Arial"/>
          <w:b/>
          <w:bCs/>
        </w:rPr>
        <w:t>Table 4.8: Pearson Correlation Matrix</w:t>
      </w:r>
    </w:p>
    <w:tbl>
      <w:tblPr>
        <w:tblW w:w="93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57"/>
        <w:gridCol w:w="1664"/>
        <w:gridCol w:w="1665"/>
        <w:gridCol w:w="1665"/>
        <w:gridCol w:w="1665"/>
        <w:gridCol w:w="1665"/>
      </w:tblGrid>
      <w:tr w:rsidR="00F45D0D" w:rsidRPr="00C23322" w:rsidTr="005C2456">
        <w:trPr>
          <w:trHeight w:val="588"/>
          <w:tblHeader/>
        </w:trPr>
        <w:tc>
          <w:tcPr>
            <w:tcW w:w="1051"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Variable</w:t>
            </w:r>
          </w:p>
        </w:tc>
        <w:tc>
          <w:tcPr>
            <w:tcW w:w="1666"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AUT</w:t>
            </w:r>
          </w:p>
        </w:tc>
        <w:tc>
          <w:tcPr>
            <w:tcW w:w="1666"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COM</w:t>
            </w:r>
          </w:p>
        </w:tc>
        <w:tc>
          <w:tcPr>
            <w:tcW w:w="1666"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REL</w:t>
            </w:r>
          </w:p>
        </w:tc>
        <w:tc>
          <w:tcPr>
            <w:tcW w:w="1666"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FP</w:t>
            </w:r>
          </w:p>
        </w:tc>
        <w:tc>
          <w:tcPr>
            <w:tcW w:w="1666"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ENG</w:t>
            </w:r>
          </w:p>
        </w:tc>
      </w:tr>
      <w:tr w:rsidR="00F45D0D" w:rsidRPr="00C23322" w:rsidTr="005C2456">
        <w:trPr>
          <w:trHeight w:val="553"/>
        </w:trPr>
        <w:tc>
          <w:tcPr>
            <w:tcW w:w="1051"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AUT</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1</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.634***</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.573***</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.462***</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.676***</w:t>
            </w:r>
          </w:p>
        </w:tc>
      </w:tr>
      <w:tr w:rsidR="00F45D0D" w:rsidRPr="00C23322" w:rsidTr="005C2456">
        <w:trPr>
          <w:trHeight w:val="588"/>
        </w:trPr>
        <w:tc>
          <w:tcPr>
            <w:tcW w:w="1051"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COM</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.634***</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1</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.622***</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.414***</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.690***</w:t>
            </w:r>
          </w:p>
        </w:tc>
      </w:tr>
      <w:tr w:rsidR="00F45D0D" w:rsidRPr="00C23322" w:rsidTr="005C2456">
        <w:trPr>
          <w:trHeight w:val="588"/>
        </w:trPr>
        <w:tc>
          <w:tcPr>
            <w:tcW w:w="1051"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REL</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.573***</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.622***</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1</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.439***</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.604***</w:t>
            </w:r>
          </w:p>
        </w:tc>
      </w:tr>
      <w:tr w:rsidR="00F45D0D" w:rsidRPr="00C23322" w:rsidTr="005C2456">
        <w:trPr>
          <w:trHeight w:val="553"/>
        </w:trPr>
        <w:tc>
          <w:tcPr>
            <w:tcW w:w="1051"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FP</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.462***</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.414***</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.439***</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1</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.481***</w:t>
            </w:r>
          </w:p>
        </w:tc>
      </w:tr>
      <w:tr w:rsidR="00F45D0D" w:rsidRPr="00C23322" w:rsidTr="005C2456">
        <w:trPr>
          <w:trHeight w:val="553"/>
        </w:trPr>
        <w:tc>
          <w:tcPr>
            <w:tcW w:w="1051"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ENG</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.676***</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.690***</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.604***</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.481***</w:t>
            </w:r>
          </w:p>
        </w:tc>
        <w:tc>
          <w:tcPr>
            <w:tcW w:w="1666"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1</w:t>
            </w:r>
          </w:p>
        </w:tc>
      </w:tr>
    </w:tbl>
    <w:p w:rsidR="00F45D0D" w:rsidRPr="00C23322" w:rsidRDefault="00F45D0D" w:rsidP="00F45D0D">
      <w:pPr>
        <w:spacing w:after="120"/>
        <w:rPr>
          <w:rFonts w:ascii="Arial" w:hAnsi="Arial"/>
        </w:rPr>
      </w:pPr>
      <w:r w:rsidRPr="00C23322">
        <w:rPr>
          <w:rFonts w:ascii="Arial" w:eastAsia="Times New Roman" w:hAnsi="Arial"/>
          <w:i/>
          <w:iCs/>
          <w:sz w:val="20"/>
          <w:szCs w:val="20"/>
        </w:rPr>
        <w:t>Note: ***p &lt; .001 (two-tailed). N = 99. AUT = Autonomy; COM = Competence; REL = Relatedness; FP = Financial Pressure; ENG = Engagement.</w:t>
      </w:r>
    </w:p>
    <w:p w:rsidR="00F45D0D" w:rsidRPr="00C23322" w:rsidRDefault="00F45D0D" w:rsidP="00F45D0D">
      <w:pPr>
        <w:pStyle w:val="Heading2"/>
        <w:spacing w:before="0" w:after="120"/>
        <w:rPr>
          <w:rFonts w:ascii="Arial" w:hAnsi="Arial" w:cs="Arial"/>
        </w:rPr>
      </w:pPr>
      <w:bookmarkStart w:id="62" w:name="_Toc241116842"/>
      <w:r w:rsidRPr="00C23322">
        <w:rPr>
          <w:rFonts w:ascii="Arial" w:hAnsi="Arial" w:cs="Arial"/>
          <w:color w:val="000000"/>
          <w:szCs w:val="26"/>
        </w:rPr>
        <w:t>4.5.2 Correlation and Construct Distinctiveness</w:t>
      </w:r>
      <w:bookmarkEnd w:id="62"/>
    </w:p>
    <w:p w:rsidR="00F45D0D" w:rsidRPr="00C23322" w:rsidRDefault="00647434" w:rsidP="00F45D0D">
      <w:pPr>
        <w:spacing w:after="120"/>
        <w:rPr>
          <w:rFonts w:ascii="Arial" w:hAnsi="Arial"/>
        </w:rPr>
      </w:pPr>
      <w:r w:rsidRPr="00C23322">
        <w:rPr>
          <w:rFonts w:ascii="Arial" w:eastAsia="Times New Roman" w:hAnsi="Arial"/>
        </w:rPr>
        <w:t xml:space="preserve">Every bivariate correlation in Table 4.8 was positive and significant at p &lt; .001. The correlations among the independent constructs were positive but did not indicate excessive overlap, ranging from .414 (Competence–Financial Pressure) to .634 </w:t>
      </w:r>
      <w:r w:rsidRPr="00C23322">
        <w:rPr>
          <w:rFonts w:ascii="Arial" w:eastAsia="Times New Roman" w:hAnsi="Arial"/>
        </w:rPr>
        <w:lastRenderedPageBreak/>
        <w:t xml:space="preserve">(Autonomy–Competence). Competence had the strongest bivariate association with Engagement (r = .690, p &lt; .001), followed closely by Autonomy (r = .676, p &lt; .001) and, at a somewhat lower level, Relatedness (r = .604, p &lt; .001). Financial Pressure also showed a positive correlation with Engagement (r = .481, p &lt; .001) which is considered a moderate to large correlation using conventional rules. This direct relationship was not proposed as it was hypothesized that financial pressure was a moderator and not an independent predictor in Chapter 2. It is reported here as an exploratory finding that may warrant further investigation. These correlation results yield the anticipated pattern of positive relationships between each dimension of a </w:t>
      </w:r>
      <w:r w:rsidR="002C0901">
        <w:rPr>
          <w:rFonts w:ascii="Arial" w:eastAsia="Times New Roman" w:hAnsi="Arial"/>
        </w:rPr>
        <w:t>Self-Determination Theory</w:t>
      </w:r>
      <w:r w:rsidRPr="00C23322">
        <w:rPr>
          <w:rFonts w:ascii="Arial" w:eastAsia="Times New Roman" w:hAnsi="Arial"/>
        </w:rPr>
        <w:t xml:space="preserve"> need and sustained engagement, and become the foundation for the multiple regression analysis presented in Section 4.6</w:t>
      </w:r>
      <w:r w:rsidR="00F45D0D" w:rsidRPr="00C23322">
        <w:rPr>
          <w:rFonts w:ascii="Arial" w:eastAsia="Times New Roman" w:hAnsi="Arial"/>
        </w:rPr>
        <w:t>.</w:t>
      </w:r>
    </w:p>
    <w:p w:rsidR="00F45D0D" w:rsidRPr="00C23322" w:rsidRDefault="00F45D0D" w:rsidP="00E326DA">
      <w:pPr>
        <w:pStyle w:val="Heading1"/>
      </w:pPr>
      <w:bookmarkStart w:id="63" w:name="_Toc241116843"/>
      <w:r w:rsidRPr="00C23322">
        <w:t>4.6 Regression Analysis and Hypothesis Testing</w:t>
      </w:r>
      <w:bookmarkEnd w:id="63"/>
    </w:p>
    <w:p w:rsidR="00F45D0D" w:rsidRPr="00C23322" w:rsidRDefault="00F45D0D" w:rsidP="00F45D0D">
      <w:pPr>
        <w:pStyle w:val="Heading2"/>
        <w:spacing w:before="0" w:after="120"/>
        <w:rPr>
          <w:rFonts w:ascii="Arial" w:hAnsi="Arial" w:cs="Arial"/>
        </w:rPr>
      </w:pPr>
      <w:bookmarkStart w:id="64" w:name="_Toc241116844"/>
      <w:r w:rsidRPr="00C23322">
        <w:rPr>
          <w:rFonts w:ascii="Arial" w:hAnsi="Arial" w:cs="Arial"/>
          <w:color w:val="000000"/>
          <w:szCs w:val="26"/>
        </w:rPr>
        <w:t>4.6.1 Multiple Regression Analysis</w:t>
      </w:r>
      <w:bookmarkEnd w:id="64"/>
    </w:p>
    <w:p w:rsidR="00F45D0D" w:rsidRPr="00C23322" w:rsidRDefault="00F45D0D" w:rsidP="00F45D0D">
      <w:pPr>
        <w:spacing w:after="120"/>
        <w:rPr>
          <w:rFonts w:ascii="Arial" w:hAnsi="Arial"/>
        </w:rPr>
      </w:pPr>
      <w:r w:rsidRPr="00C23322">
        <w:rPr>
          <w:rFonts w:ascii="Arial" w:eastAsia="Times New Roman" w:hAnsi="Arial"/>
        </w:rPr>
        <w:t>Multiple linear regression was conducted with Autonomy, Competence and Relatedness entered simultaneously as predictors of composite Engagement. The overall model was statistically significant, R = .769, R² = .591, adjusted R² = .578, F(3, 95) = 45.714, p &lt; .001, indicating that the three predictors together explained 59.1% of the variance in sustained Clubcard engagement.</w:t>
      </w:r>
      <w:r w:rsidR="00E61D9D" w:rsidRPr="00C23322">
        <w:rPr>
          <w:rFonts w:ascii="Arial" w:eastAsia="Times New Roman" w:hAnsi="Arial"/>
        </w:rPr>
        <w:t xml:space="preserve"> </w:t>
      </w:r>
      <w:r w:rsidR="00E61D9D" w:rsidRPr="00C23322">
        <w:rPr>
          <w:rFonts w:ascii="Arial" w:hAnsi="Arial"/>
          <w:color w:val="0F1115"/>
          <w:shd w:val="clear" w:color="auto" w:fill="FFFFFF"/>
        </w:rPr>
        <w:t>VIF for the three predictors ranged from 1.803 to 2.008, well below the conventional threshold of 10, indicating that multicollinearity did not threaten the interpretation of the coefficients.</w:t>
      </w:r>
    </w:p>
    <w:p w:rsidR="00F45D0D" w:rsidRPr="00C23322" w:rsidRDefault="00F45D0D" w:rsidP="00F45D0D">
      <w:pPr>
        <w:spacing w:after="120"/>
        <w:jc w:val="center"/>
        <w:rPr>
          <w:rFonts w:ascii="Arial" w:hAnsi="Arial"/>
        </w:rPr>
      </w:pPr>
      <w:r w:rsidRPr="00C23322">
        <w:rPr>
          <w:rFonts w:ascii="Arial" w:eastAsia="Times New Roman" w:hAnsi="Arial"/>
          <w:b/>
          <w:bCs/>
        </w:rPr>
        <w:t>Table 4.9: Multiple Regression Results</w:t>
      </w:r>
    </w:p>
    <w:tbl>
      <w:tblPr>
        <w:tblW w:w="934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35"/>
        <w:gridCol w:w="1557"/>
        <w:gridCol w:w="1557"/>
        <w:gridCol w:w="1557"/>
        <w:gridCol w:w="2335"/>
      </w:tblGrid>
      <w:tr w:rsidR="00F45D0D" w:rsidRPr="00C23322" w:rsidTr="004723C3">
        <w:trPr>
          <w:trHeight w:val="211"/>
          <w:tblHeader/>
        </w:trPr>
        <w:tc>
          <w:tcPr>
            <w:tcW w:w="2335"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Predictor</w:t>
            </w:r>
          </w:p>
        </w:tc>
        <w:tc>
          <w:tcPr>
            <w:tcW w:w="1557"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β</w:t>
            </w:r>
          </w:p>
        </w:tc>
        <w:tc>
          <w:tcPr>
            <w:tcW w:w="1557"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t</w:t>
            </w:r>
          </w:p>
        </w:tc>
        <w:tc>
          <w:tcPr>
            <w:tcW w:w="1557"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p</w:t>
            </w:r>
          </w:p>
        </w:tc>
        <w:tc>
          <w:tcPr>
            <w:tcW w:w="2335"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Decision</w:t>
            </w:r>
          </w:p>
        </w:tc>
      </w:tr>
      <w:tr w:rsidR="00F45D0D" w:rsidRPr="00C23322" w:rsidTr="004723C3">
        <w:trPr>
          <w:trHeight w:val="199"/>
        </w:trPr>
        <w:tc>
          <w:tcPr>
            <w:tcW w:w="233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Autonomy</w:t>
            </w:r>
          </w:p>
        </w:tc>
        <w:tc>
          <w:tcPr>
            <w:tcW w:w="155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.344</w:t>
            </w:r>
          </w:p>
        </w:tc>
        <w:tc>
          <w:tcPr>
            <w:tcW w:w="155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3.869</w:t>
            </w:r>
          </w:p>
        </w:tc>
        <w:tc>
          <w:tcPr>
            <w:tcW w:w="155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&lt; .001</w:t>
            </w:r>
          </w:p>
        </w:tc>
        <w:tc>
          <w:tcPr>
            <w:tcW w:w="233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Supported</w:t>
            </w:r>
          </w:p>
        </w:tc>
      </w:tr>
      <w:tr w:rsidR="00F45D0D" w:rsidRPr="00C23322" w:rsidTr="004723C3">
        <w:trPr>
          <w:trHeight w:val="211"/>
        </w:trPr>
        <w:tc>
          <w:tcPr>
            <w:tcW w:w="233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Competence</w:t>
            </w:r>
          </w:p>
        </w:tc>
        <w:tc>
          <w:tcPr>
            <w:tcW w:w="155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.357</w:t>
            </w:r>
          </w:p>
        </w:tc>
        <w:tc>
          <w:tcPr>
            <w:tcW w:w="155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3.840</w:t>
            </w:r>
          </w:p>
        </w:tc>
        <w:tc>
          <w:tcPr>
            <w:tcW w:w="155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&lt; .001</w:t>
            </w:r>
          </w:p>
        </w:tc>
        <w:tc>
          <w:tcPr>
            <w:tcW w:w="233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Supported</w:t>
            </w:r>
          </w:p>
        </w:tc>
      </w:tr>
      <w:tr w:rsidR="00F45D0D" w:rsidRPr="00C23322" w:rsidTr="004723C3">
        <w:trPr>
          <w:trHeight w:val="199"/>
        </w:trPr>
        <w:tc>
          <w:tcPr>
            <w:tcW w:w="233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Relatedness</w:t>
            </w:r>
          </w:p>
        </w:tc>
        <w:tc>
          <w:tcPr>
            <w:tcW w:w="155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.185</w:t>
            </w:r>
          </w:p>
        </w:tc>
        <w:tc>
          <w:tcPr>
            <w:tcW w:w="155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2.110</w:t>
            </w:r>
          </w:p>
        </w:tc>
        <w:tc>
          <w:tcPr>
            <w:tcW w:w="155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.037</w:t>
            </w:r>
          </w:p>
        </w:tc>
        <w:tc>
          <w:tcPr>
            <w:tcW w:w="233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Supported</w:t>
            </w:r>
          </w:p>
        </w:tc>
      </w:tr>
    </w:tbl>
    <w:p w:rsidR="00F45D0D" w:rsidRPr="00C23322" w:rsidRDefault="00F45D0D" w:rsidP="00F45D0D">
      <w:pPr>
        <w:spacing w:after="120"/>
        <w:rPr>
          <w:rFonts w:ascii="Arial" w:hAnsi="Arial"/>
        </w:rPr>
      </w:pPr>
      <w:r w:rsidRPr="00C23322">
        <w:rPr>
          <w:rFonts w:ascii="Arial" w:eastAsia="Times New Roman" w:hAnsi="Arial"/>
          <w:i/>
          <w:iCs/>
          <w:sz w:val="20"/>
          <w:szCs w:val="20"/>
        </w:rPr>
        <w:t>Note: Dependent variable: Engagement (composite mean). R = .769; R² = .591; Adjusted R² = .578; F(3, 95) = 45.714, p &lt; .001.</w:t>
      </w:r>
    </w:p>
    <w:p w:rsidR="00F45D0D" w:rsidRPr="00C23322" w:rsidRDefault="00F45D0D" w:rsidP="00F45D0D">
      <w:pPr>
        <w:pStyle w:val="Heading2"/>
        <w:spacing w:before="0" w:after="120"/>
        <w:rPr>
          <w:rFonts w:ascii="Arial" w:hAnsi="Arial" w:cs="Arial"/>
        </w:rPr>
      </w:pPr>
      <w:bookmarkStart w:id="65" w:name="_Toc241116845"/>
      <w:r w:rsidRPr="00C23322">
        <w:rPr>
          <w:rFonts w:ascii="Arial" w:hAnsi="Arial" w:cs="Arial"/>
          <w:color w:val="000000"/>
          <w:szCs w:val="26"/>
        </w:rPr>
        <w:t>4.6.2 Hypothesis H1: Autonomy → Sustained Clubcard Engagement</w:t>
      </w:r>
      <w:bookmarkEnd w:id="65"/>
    </w:p>
    <w:p w:rsidR="00F45D0D" w:rsidRPr="00C23322" w:rsidRDefault="00F45D0D" w:rsidP="00F45D0D">
      <w:pPr>
        <w:spacing w:after="120"/>
        <w:rPr>
          <w:rFonts w:ascii="Arial" w:hAnsi="Arial"/>
        </w:rPr>
      </w:pPr>
      <w:r w:rsidRPr="00C23322">
        <w:rPr>
          <w:rFonts w:ascii="Arial" w:eastAsia="Times New Roman" w:hAnsi="Arial"/>
        </w:rPr>
        <w:lastRenderedPageBreak/>
        <w:t xml:space="preserve">H1 proposed that autonomy need satisfaction positively predicts sustained Clubcard engagement. The regression results show a positive and statistically significant relationship between Autonomy and Engagement (β = .344, t = 3.869, p &lt; .001). This coefficient indicates that, holding Competence and Relatedness constant, higher autonomy need satisfaction is associated with higher sustained engagement with the Clubcard </w:t>
      </w:r>
      <w:r w:rsidR="002C0901">
        <w:rPr>
          <w:rFonts w:ascii="Arial" w:eastAsia="Times New Roman" w:hAnsi="Arial"/>
        </w:rPr>
        <w:t>programme</w:t>
      </w:r>
      <w:r w:rsidRPr="00C23322">
        <w:rPr>
          <w:rFonts w:ascii="Arial" w:eastAsia="Times New Roman" w:hAnsi="Arial"/>
        </w:rPr>
        <w:t>. As the relationship is positive and the p-value falls below the .05 threshold, H1 is supported.</w:t>
      </w:r>
    </w:p>
    <w:p w:rsidR="00F45D0D" w:rsidRPr="00C23322" w:rsidRDefault="00F45D0D" w:rsidP="00F45D0D">
      <w:pPr>
        <w:pStyle w:val="Heading2"/>
        <w:spacing w:before="0" w:after="120"/>
        <w:rPr>
          <w:rFonts w:ascii="Arial" w:hAnsi="Arial" w:cs="Arial"/>
        </w:rPr>
      </w:pPr>
      <w:bookmarkStart w:id="66" w:name="_Toc241116846"/>
      <w:r w:rsidRPr="00C23322">
        <w:rPr>
          <w:rFonts w:ascii="Arial" w:hAnsi="Arial" w:cs="Arial"/>
          <w:color w:val="000000"/>
          <w:szCs w:val="26"/>
        </w:rPr>
        <w:t>4.6.3 Hypothesis H2: Competence → Sustained Clubcard Engagement</w:t>
      </w:r>
      <w:bookmarkEnd w:id="66"/>
    </w:p>
    <w:p w:rsidR="00F45D0D" w:rsidRPr="00C23322" w:rsidRDefault="00F45D0D" w:rsidP="00F45D0D">
      <w:pPr>
        <w:spacing w:after="120"/>
        <w:rPr>
          <w:rFonts w:ascii="Arial" w:hAnsi="Arial"/>
        </w:rPr>
      </w:pPr>
      <w:r w:rsidRPr="00C23322">
        <w:rPr>
          <w:rFonts w:ascii="Arial" w:eastAsia="Times New Roman" w:hAnsi="Arial"/>
        </w:rPr>
        <w:t>H2 proposed that competence need satisfaction positively predicts sustained Clubcard engagement. The regression results show a positive and statistically significant relationship between Competence and Engagement (β = .357, t = 3.840, p &lt; .001). This is the numerically largest standardised coefficient among the three predictors, indicating that, holding Autonomy and Relatedness constant, higher competence need satisfaction is associated with higher sustained engagement. As the relationship is positive and significant, H2 is supported.</w:t>
      </w:r>
    </w:p>
    <w:p w:rsidR="00F45D0D" w:rsidRPr="00C23322" w:rsidRDefault="00F45D0D" w:rsidP="00F45D0D">
      <w:pPr>
        <w:pStyle w:val="Heading2"/>
        <w:spacing w:before="0" w:after="120"/>
        <w:rPr>
          <w:rFonts w:ascii="Arial" w:hAnsi="Arial" w:cs="Arial"/>
        </w:rPr>
      </w:pPr>
      <w:bookmarkStart w:id="67" w:name="_Toc241116847"/>
      <w:r w:rsidRPr="00C23322">
        <w:rPr>
          <w:rFonts w:ascii="Arial" w:hAnsi="Arial" w:cs="Arial"/>
          <w:color w:val="000000"/>
          <w:szCs w:val="26"/>
        </w:rPr>
        <w:t>4.6.4 Hypothesis H3: Relatedness → Sustained Clubcard Engagement</w:t>
      </w:r>
      <w:bookmarkEnd w:id="67"/>
    </w:p>
    <w:p w:rsidR="00F45D0D" w:rsidRPr="00C23322" w:rsidRDefault="00F45D0D" w:rsidP="00F45D0D">
      <w:pPr>
        <w:spacing w:after="120"/>
        <w:rPr>
          <w:rFonts w:ascii="Arial" w:hAnsi="Arial"/>
        </w:rPr>
      </w:pPr>
      <w:r w:rsidRPr="00C23322">
        <w:rPr>
          <w:rFonts w:ascii="Arial" w:eastAsia="Times New Roman" w:hAnsi="Arial"/>
        </w:rPr>
        <w:t>H3 proposed that relatedness need satisfaction positively predicts sustained Clubcard engagement. The regression results show a positive and statistically significant relationship between Relatedness and Engagement (β = .185, t = 2.110, p = .037). Although this is the smallest of the three standardised coefficients and its p-value sits closer to the .05 threshold than the other two paths, the relationship remains positive and statistically significant. H3 is therefore supported.</w:t>
      </w:r>
    </w:p>
    <w:p w:rsidR="00F45D0D" w:rsidRPr="00C23322" w:rsidRDefault="00F45D0D" w:rsidP="00F45D0D">
      <w:pPr>
        <w:pStyle w:val="Heading2"/>
        <w:spacing w:before="0" w:after="120"/>
        <w:rPr>
          <w:rFonts w:ascii="Arial" w:hAnsi="Arial" w:cs="Arial"/>
        </w:rPr>
      </w:pPr>
      <w:bookmarkStart w:id="68" w:name="_Toc241116848"/>
      <w:r w:rsidRPr="00C23322">
        <w:rPr>
          <w:rFonts w:ascii="Arial" w:hAnsi="Arial" w:cs="Arial"/>
          <w:color w:val="000000"/>
          <w:szCs w:val="26"/>
        </w:rPr>
        <w:t>4.6.5 Overall Regression Model</w:t>
      </w:r>
      <w:bookmarkEnd w:id="68"/>
    </w:p>
    <w:p w:rsidR="00F45D0D" w:rsidRPr="00C23322" w:rsidRDefault="00F45D0D" w:rsidP="00F45D0D">
      <w:pPr>
        <w:spacing w:after="120"/>
        <w:rPr>
          <w:rFonts w:ascii="Arial" w:hAnsi="Arial"/>
        </w:rPr>
      </w:pPr>
      <w:r w:rsidRPr="00C23322">
        <w:rPr>
          <w:rFonts w:ascii="Arial" w:eastAsia="Times New Roman" w:hAnsi="Arial"/>
        </w:rPr>
        <w:t xml:space="preserve">The three </w:t>
      </w:r>
      <w:r w:rsidR="002C0901">
        <w:rPr>
          <w:rFonts w:ascii="Arial" w:eastAsia="Times New Roman" w:hAnsi="Arial"/>
        </w:rPr>
        <w:t>Self-Determination Theory</w:t>
      </w:r>
      <w:r w:rsidRPr="00C23322">
        <w:rPr>
          <w:rFonts w:ascii="Arial" w:eastAsia="Times New Roman" w:hAnsi="Arial"/>
        </w:rPr>
        <w:t xml:space="preserve"> need variables jointly explained 59.1% of the variance in sustained Clubcard engagement. Competence produced the largest standardised coefficient, closely followed by Autonomy, while Relatedness showed a smaller but statistically significant contribution. All three hypothesised direct paths were therefore supported, providing consistent evidence that autonomy, competence and </w:t>
      </w:r>
      <w:r w:rsidRPr="00C23322">
        <w:rPr>
          <w:rFonts w:ascii="Arial" w:eastAsia="Times New Roman" w:hAnsi="Arial"/>
        </w:rPr>
        <w:lastRenderedPageBreak/>
        <w:t>relatedness need satisfaction each contribute independently to sustained Clubcard engagement in this sample.</w:t>
      </w:r>
    </w:p>
    <w:p w:rsidR="00F45D0D" w:rsidRPr="00C23322" w:rsidRDefault="00F45D0D" w:rsidP="00E326DA">
      <w:pPr>
        <w:pStyle w:val="Heading1"/>
      </w:pPr>
      <w:bookmarkStart w:id="69" w:name="_Toc241116849"/>
      <w:r w:rsidRPr="00C23322">
        <w:t>4.7 Moderation Analysis</w:t>
      </w:r>
      <w:bookmarkEnd w:id="69"/>
    </w:p>
    <w:p w:rsidR="00F45D0D" w:rsidRPr="00C23322" w:rsidRDefault="00F45D0D" w:rsidP="00F45D0D">
      <w:pPr>
        <w:spacing w:after="120"/>
        <w:rPr>
          <w:rFonts w:ascii="Arial" w:hAnsi="Arial"/>
        </w:rPr>
      </w:pPr>
      <w:r w:rsidRPr="00C23322">
        <w:rPr>
          <w:rFonts w:ascii="Arial" w:eastAsia="Times New Roman" w:hAnsi="Arial"/>
        </w:rPr>
        <w:t xml:space="preserve">To test H4, three separate moderation analyses were conducted using Model 1 of the PROCESS macro (Hayes, 2022) for SPSS, with Financial Pressure tested as a moderator of the relationship between each </w:t>
      </w:r>
      <w:r w:rsidR="002C0901">
        <w:rPr>
          <w:rFonts w:ascii="Arial" w:eastAsia="Times New Roman" w:hAnsi="Arial"/>
        </w:rPr>
        <w:t>Self-Determination Theory</w:t>
      </w:r>
      <w:r w:rsidRPr="00C23322">
        <w:rPr>
          <w:rFonts w:ascii="Arial" w:eastAsia="Times New Roman" w:hAnsi="Arial"/>
        </w:rPr>
        <w:t xml:space="preserve"> need dimension and Engagement in turn. All predictors were mean-centred before computing the interaction terms.</w:t>
      </w:r>
    </w:p>
    <w:p w:rsidR="00F45D0D" w:rsidRPr="00C23322" w:rsidRDefault="00F45D0D" w:rsidP="00F45D0D">
      <w:pPr>
        <w:pStyle w:val="Heading2"/>
        <w:spacing w:before="0" w:after="120"/>
        <w:rPr>
          <w:rFonts w:ascii="Arial" w:hAnsi="Arial" w:cs="Arial"/>
        </w:rPr>
      </w:pPr>
      <w:bookmarkStart w:id="70" w:name="_Toc241116850"/>
      <w:r w:rsidRPr="00C23322">
        <w:rPr>
          <w:rFonts w:ascii="Arial" w:hAnsi="Arial" w:cs="Arial"/>
          <w:color w:val="000000"/>
          <w:szCs w:val="26"/>
        </w:rPr>
        <w:t>4.7.1 H4a: Financial Pressure as Moderator of Autonomy → Engagement</w:t>
      </w:r>
      <w:bookmarkEnd w:id="70"/>
    </w:p>
    <w:p w:rsidR="00F45D0D" w:rsidRPr="00C23322" w:rsidRDefault="00F45D0D" w:rsidP="00F45D0D">
      <w:pPr>
        <w:spacing w:after="120"/>
        <w:rPr>
          <w:rFonts w:ascii="Arial" w:hAnsi="Arial"/>
        </w:rPr>
      </w:pPr>
      <w:r w:rsidRPr="00C23322">
        <w:rPr>
          <w:rFonts w:ascii="Arial" w:eastAsia="Times New Roman" w:hAnsi="Arial"/>
        </w:rPr>
        <w:t>The interaction between Autonomy and Financial Pressure was not statistically significant (b = -0.0093, p = .8293), and the interaction term added negligible explanatory power to the model (ΔR² = .0002). H4a was not supported.</w:t>
      </w:r>
    </w:p>
    <w:p w:rsidR="00F45D0D" w:rsidRPr="00C23322" w:rsidRDefault="00F45D0D" w:rsidP="00F45D0D">
      <w:pPr>
        <w:pStyle w:val="Heading2"/>
        <w:spacing w:before="0" w:after="120"/>
        <w:rPr>
          <w:rFonts w:ascii="Arial" w:hAnsi="Arial" w:cs="Arial"/>
        </w:rPr>
      </w:pPr>
      <w:bookmarkStart w:id="71" w:name="_Toc241116851"/>
      <w:r w:rsidRPr="00C23322">
        <w:rPr>
          <w:rFonts w:ascii="Arial" w:hAnsi="Arial" w:cs="Arial"/>
          <w:color w:val="000000"/>
          <w:szCs w:val="26"/>
        </w:rPr>
        <w:t>4.7.2 H4b: Financial Pressure as Moderator of Competence → Engagement</w:t>
      </w:r>
      <w:bookmarkEnd w:id="71"/>
    </w:p>
    <w:p w:rsidR="00F45D0D" w:rsidRPr="00C23322" w:rsidRDefault="00F45D0D" w:rsidP="00F45D0D">
      <w:pPr>
        <w:spacing w:after="120"/>
        <w:rPr>
          <w:rFonts w:ascii="Arial" w:hAnsi="Arial"/>
        </w:rPr>
      </w:pPr>
      <w:r w:rsidRPr="00C23322">
        <w:rPr>
          <w:rFonts w:ascii="Arial" w:eastAsia="Times New Roman" w:hAnsi="Arial"/>
        </w:rPr>
        <w:t>The interaction between Competence and Financial Pressure was not statistically significant (b = .0035, p = .9314), with an essentially zero incremental contribution to explained variance (ΔR² = .0000). H4b was not supported.</w:t>
      </w:r>
    </w:p>
    <w:p w:rsidR="00F45D0D" w:rsidRPr="00C23322" w:rsidRDefault="00F45D0D" w:rsidP="00F45D0D">
      <w:pPr>
        <w:pStyle w:val="Heading2"/>
        <w:spacing w:before="0" w:after="120"/>
        <w:rPr>
          <w:rFonts w:ascii="Arial" w:hAnsi="Arial" w:cs="Arial"/>
        </w:rPr>
      </w:pPr>
      <w:bookmarkStart w:id="72" w:name="_Toc241116852"/>
      <w:r w:rsidRPr="00C23322">
        <w:rPr>
          <w:rFonts w:ascii="Arial" w:hAnsi="Arial" w:cs="Arial"/>
          <w:color w:val="000000"/>
          <w:szCs w:val="26"/>
        </w:rPr>
        <w:t>4.7.3 H4c: Financial Pressure as Moderator of Relatedness → Engagement</w:t>
      </w:r>
      <w:bookmarkEnd w:id="72"/>
    </w:p>
    <w:p w:rsidR="00F45D0D" w:rsidRPr="00C23322" w:rsidRDefault="00F45D0D" w:rsidP="00F45D0D">
      <w:pPr>
        <w:spacing w:after="120"/>
        <w:rPr>
          <w:rFonts w:ascii="Arial" w:hAnsi="Arial"/>
        </w:rPr>
      </w:pPr>
      <w:r w:rsidRPr="00C23322">
        <w:rPr>
          <w:rFonts w:ascii="Arial" w:eastAsia="Times New Roman" w:hAnsi="Arial"/>
        </w:rPr>
        <w:t>The interaction between Relatedness and Financial Pressure was not statistically significant (b = .0152, p = .7727), and again added negligible explanatory power (ΔR² = .0005). H4c was not supported.</w:t>
      </w:r>
    </w:p>
    <w:p w:rsidR="00F45D0D" w:rsidRPr="00C23322" w:rsidRDefault="00F45D0D" w:rsidP="00F45D0D">
      <w:pPr>
        <w:pStyle w:val="Heading2"/>
        <w:spacing w:before="0" w:after="120"/>
        <w:rPr>
          <w:rFonts w:ascii="Arial" w:hAnsi="Arial" w:cs="Arial"/>
        </w:rPr>
      </w:pPr>
      <w:bookmarkStart w:id="73" w:name="_Toc241116853"/>
      <w:r w:rsidRPr="00C23322">
        <w:rPr>
          <w:rFonts w:ascii="Arial" w:hAnsi="Arial" w:cs="Arial"/>
          <w:color w:val="000000"/>
          <w:szCs w:val="26"/>
        </w:rPr>
        <w:t>4.7.4 Overall Moderation Findings</w:t>
      </w:r>
      <w:bookmarkEnd w:id="73"/>
    </w:p>
    <w:p w:rsidR="00F45D0D" w:rsidRPr="00C23322" w:rsidRDefault="00F45D0D" w:rsidP="00F45D0D">
      <w:pPr>
        <w:spacing w:after="120"/>
        <w:rPr>
          <w:rFonts w:ascii="Arial" w:hAnsi="Arial"/>
        </w:rPr>
      </w:pPr>
      <w:r w:rsidRPr="00C23322">
        <w:rPr>
          <w:rFonts w:ascii="Arial" w:eastAsia="Times New Roman" w:hAnsi="Arial"/>
        </w:rPr>
        <w:t xml:space="preserve">Overall, the moderation analyses did not provide evidence that perceived financial pressure significantly altered the relationships between autonomy, competence or relatedness and sustained Clubcard engagement. All three interaction terms were statistically non-significant. </w:t>
      </w:r>
      <w:r w:rsidR="0001485B" w:rsidRPr="00C23322">
        <w:rPr>
          <w:rFonts w:ascii="Arial" w:hAnsi="Arial"/>
          <w:color w:val="0F1115"/>
          <w:shd w:val="clear" w:color="auto" w:fill="FFFFFF"/>
        </w:rPr>
        <w:t>These moderation hypotheses were exploratory, and the study was designed to detect the medium-to-large direct effects in H1-H3 rather than small interaction effects</w:t>
      </w:r>
      <w:r w:rsidR="008C2CC8" w:rsidRPr="00C23322">
        <w:rPr>
          <w:rFonts w:ascii="Arial" w:hAnsi="Arial"/>
          <w:color w:val="0F1115"/>
          <w:shd w:val="clear" w:color="auto" w:fill="FFFFFF"/>
        </w:rPr>
        <w:t>. The null findings should therefore be read as inconclusive rather than definitive.</w:t>
      </w:r>
    </w:p>
    <w:p w:rsidR="00F45D0D" w:rsidRPr="00C23322" w:rsidRDefault="00F45D0D" w:rsidP="00E326DA">
      <w:pPr>
        <w:pStyle w:val="Heading1"/>
      </w:pPr>
      <w:bookmarkStart w:id="74" w:name="_Toc241116854"/>
      <w:r w:rsidRPr="00C23322">
        <w:lastRenderedPageBreak/>
        <w:t>4.8 Final Conceptual Model and Hypothesis Testing</w:t>
      </w:r>
      <w:bookmarkEnd w:id="74"/>
    </w:p>
    <w:p w:rsidR="00F45D0D" w:rsidRPr="00C23322" w:rsidRDefault="00F45D0D" w:rsidP="00F45D0D">
      <w:pPr>
        <w:pStyle w:val="Heading2"/>
        <w:spacing w:before="0" w:after="120"/>
        <w:rPr>
          <w:rFonts w:ascii="Arial" w:hAnsi="Arial" w:cs="Arial"/>
        </w:rPr>
      </w:pPr>
      <w:bookmarkStart w:id="75" w:name="_Toc241116855"/>
      <w:r w:rsidRPr="00C23322">
        <w:rPr>
          <w:rFonts w:ascii="Arial" w:hAnsi="Arial" w:cs="Arial"/>
          <w:color w:val="000000"/>
          <w:szCs w:val="26"/>
        </w:rPr>
        <w:t>4.8.1 Final Conceptual Model with Hypothesis Results</w:t>
      </w:r>
      <w:bookmarkEnd w:id="75"/>
    </w:p>
    <w:p w:rsidR="00F45D0D" w:rsidRPr="00C23322" w:rsidRDefault="00F45D0D" w:rsidP="00F45D0D">
      <w:pPr>
        <w:spacing w:after="120"/>
        <w:rPr>
          <w:rFonts w:ascii="Arial" w:hAnsi="Arial"/>
        </w:rPr>
      </w:pPr>
      <w:r w:rsidRPr="00C23322">
        <w:rPr>
          <w:rFonts w:ascii="Arial" w:eastAsia="Times New Roman" w:hAnsi="Arial"/>
        </w:rPr>
        <w:t>Figure 4.1 presents the final conceptual model with the outcome of each hypothesis test recorded on the relevant path. Autonomy, Competence and Relatedness are each modelled as direct predictors of sustained Clubcard engagement, with the standardised coefficient, significance level and support decision shown on each arrow. Financial Pressure is modelled as the proposed moderator of all three relationships, with the significance level and support decision for each interaction shown alongside its corresponding path.</w:t>
      </w:r>
    </w:p>
    <w:p w:rsidR="00467D15" w:rsidRDefault="00F45D0D" w:rsidP="00467D15">
      <w:pPr>
        <w:spacing w:before="120" w:after="120"/>
        <w:jc w:val="center"/>
        <w:rPr>
          <w:b/>
        </w:rPr>
      </w:pPr>
      <w:r w:rsidRPr="00C23322">
        <w:rPr>
          <w:rFonts w:ascii="Arial" w:hAnsi="Arial"/>
          <w:noProof/>
        </w:rPr>
        <w:drawing>
          <wp:inline distT="0" distB="0" distL="0" distR="0" wp14:anchorId="67A79F95" wp14:editId="24A212EA">
            <wp:extent cx="4953000" cy="3714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953000" cy="3714750"/>
                    </a:xfrm>
                    <a:prstGeom prst="rect">
                      <a:avLst/>
                    </a:prstGeom>
                  </pic:spPr>
                </pic:pic>
              </a:graphicData>
            </a:graphic>
          </wp:inline>
        </w:drawing>
      </w:r>
    </w:p>
    <w:p w:rsidR="00F45D0D" w:rsidRPr="00467D15" w:rsidRDefault="00467D15" w:rsidP="00467D15">
      <w:pPr>
        <w:spacing w:before="120" w:after="120"/>
        <w:jc w:val="center"/>
        <w:rPr>
          <w:rFonts w:ascii="Arial" w:hAnsi="Arial"/>
        </w:rPr>
      </w:pPr>
      <w:r w:rsidRPr="00467D15">
        <w:rPr>
          <w:b/>
        </w:rPr>
        <w:t>Figure 4.1:</w:t>
      </w:r>
      <w:r>
        <w:rPr>
          <w:b/>
        </w:rPr>
        <w:t xml:space="preserve"> </w:t>
      </w:r>
      <w:r w:rsidRPr="00467D15">
        <w:rPr>
          <w:b/>
        </w:rPr>
        <w:t>Final Conceptual Model with Hypothesis Testing Results</w:t>
      </w:r>
    </w:p>
    <w:p w:rsidR="00F45D0D" w:rsidRPr="00C23322" w:rsidRDefault="00F45D0D" w:rsidP="00F45D0D">
      <w:pPr>
        <w:pStyle w:val="Heading2"/>
        <w:spacing w:before="0" w:after="0"/>
        <w:rPr>
          <w:rFonts w:ascii="Arial" w:hAnsi="Arial" w:cs="Arial"/>
        </w:rPr>
      </w:pPr>
      <w:bookmarkStart w:id="76" w:name="_Toc241116856"/>
      <w:r w:rsidRPr="00C23322">
        <w:rPr>
          <w:rFonts w:ascii="Arial" w:hAnsi="Arial" w:cs="Arial"/>
          <w:color w:val="000000"/>
          <w:szCs w:val="26"/>
        </w:rPr>
        <w:t>4.8.2 Summary of Hypothesis Testing</w:t>
      </w:r>
      <w:bookmarkEnd w:id="76"/>
    </w:p>
    <w:p w:rsidR="00F45D0D" w:rsidRPr="00C23322" w:rsidRDefault="00F45D0D" w:rsidP="00F45D0D">
      <w:pPr>
        <w:jc w:val="center"/>
        <w:rPr>
          <w:rFonts w:ascii="Arial" w:hAnsi="Arial"/>
        </w:rPr>
      </w:pPr>
      <w:r w:rsidRPr="00C23322">
        <w:rPr>
          <w:rFonts w:ascii="Arial" w:eastAsia="Times New Roman" w:hAnsi="Arial"/>
          <w:b/>
          <w:bCs/>
        </w:rPr>
        <w:t>Table 4.10: Summary of Hypothesis Testing</w:t>
      </w:r>
    </w:p>
    <w:tbl>
      <w:tblPr>
        <w:tblW w:w="923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86"/>
        <w:gridCol w:w="3694"/>
        <w:gridCol w:w="2309"/>
        <w:gridCol w:w="1847"/>
      </w:tblGrid>
      <w:tr w:rsidR="00F45D0D" w:rsidRPr="00C23322" w:rsidTr="005C2456">
        <w:trPr>
          <w:trHeight w:val="253"/>
          <w:tblHeader/>
        </w:trPr>
        <w:tc>
          <w:tcPr>
            <w:tcW w:w="1385"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Hypothesis</w:t>
            </w:r>
          </w:p>
        </w:tc>
        <w:tc>
          <w:tcPr>
            <w:tcW w:w="3695"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Relationship</w:t>
            </w:r>
          </w:p>
        </w:tc>
        <w:tc>
          <w:tcPr>
            <w:tcW w:w="2309"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Result</w:t>
            </w:r>
          </w:p>
        </w:tc>
        <w:tc>
          <w:tcPr>
            <w:tcW w:w="1847" w:type="dxa"/>
            <w:tcBorders>
              <w:top w:val="single" w:sz="4" w:space="0" w:color="000000"/>
              <w:bottom w:val="single" w:sz="4" w:space="0" w:color="000000"/>
            </w:tcBorders>
            <w:shd w:val="clear" w:color="auto" w:fill="D9E2F3"/>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b/>
                <w:bCs/>
                <w:sz w:val="22"/>
                <w:szCs w:val="22"/>
              </w:rPr>
              <w:t>Decision</w:t>
            </w:r>
          </w:p>
        </w:tc>
      </w:tr>
      <w:tr w:rsidR="00F45D0D" w:rsidRPr="00C23322" w:rsidTr="005C2456">
        <w:trPr>
          <w:trHeight w:val="237"/>
        </w:trPr>
        <w:tc>
          <w:tcPr>
            <w:tcW w:w="138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H1</w:t>
            </w:r>
          </w:p>
        </w:tc>
        <w:tc>
          <w:tcPr>
            <w:tcW w:w="369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Autonomy → Engagement</w:t>
            </w:r>
          </w:p>
        </w:tc>
        <w:tc>
          <w:tcPr>
            <w:tcW w:w="2309"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β = .344, p &lt; .001</w:t>
            </w:r>
          </w:p>
        </w:tc>
        <w:tc>
          <w:tcPr>
            <w:tcW w:w="184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Supported</w:t>
            </w:r>
          </w:p>
        </w:tc>
      </w:tr>
      <w:tr w:rsidR="00F45D0D" w:rsidRPr="00C23322" w:rsidTr="005C2456">
        <w:trPr>
          <w:trHeight w:val="253"/>
        </w:trPr>
        <w:tc>
          <w:tcPr>
            <w:tcW w:w="138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lastRenderedPageBreak/>
              <w:t>H2</w:t>
            </w:r>
          </w:p>
        </w:tc>
        <w:tc>
          <w:tcPr>
            <w:tcW w:w="369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Competence → Engagement</w:t>
            </w:r>
          </w:p>
        </w:tc>
        <w:tc>
          <w:tcPr>
            <w:tcW w:w="2309"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β = .357, p &lt; .001</w:t>
            </w:r>
          </w:p>
        </w:tc>
        <w:tc>
          <w:tcPr>
            <w:tcW w:w="184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Supported</w:t>
            </w:r>
          </w:p>
        </w:tc>
      </w:tr>
      <w:tr w:rsidR="00F45D0D" w:rsidRPr="00C23322" w:rsidTr="005C2456">
        <w:trPr>
          <w:trHeight w:val="237"/>
        </w:trPr>
        <w:tc>
          <w:tcPr>
            <w:tcW w:w="138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H3</w:t>
            </w:r>
          </w:p>
        </w:tc>
        <w:tc>
          <w:tcPr>
            <w:tcW w:w="369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Relatedness → Engagement</w:t>
            </w:r>
          </w:p>
        </w:tc>
        <w:tc>
          <w:tcPr>
            <w:tcW w:w="2309"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β = .185, p = .037</w:t>
            </w:r>
          </w:p>
        </w:tc>
        <w:tc>
          <w:tcPr>
            <w:tcW w:w="184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Supported</w:t>
            </w:r>
          </w:p>
        </w:tc>
      </w:tr>
      <w:tr w:rsidR="00F45D0D" w:rsidRPr="00C23322" w:rsidTr="005C2456">
        <w:trPr>
          <w:trHeight w:val="507"/>
        </w:trPr>
        <w:tc>
          <w:tcPr>
            <w:tcW w:w="138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H4a</w:t>
            </w:r>
          </w:p>
        </w:tc>
        <w:tc>
          <w:tcPr>
            <w:tcW w:w="369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Autonomy × Financial Pressure → Engagement</w:t>
            </w:r>
          </w:p>
        </w:tc>
        <w:tc>
          <w:tcPr>
            <w:tcW w:w="2309"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p = .829</w:t>
            </w:r>
          </w:p>
        </w:tc>
        <w:tc>
          <w:tcPr>
            <w:tcW w:w="184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E61D9D" w:rsidP="004723C3">
            <w:pPr>
              <w:jc w:val="center"/>
              <w:rPr>
                <w:rFonts w:ascii="Arial" w:hAnsi="Arial"/>
                <w:sz w:val="22"/>
                <w:szCs w:val="22"/>
              </w:rPr>
            </w:pPr>
            <w:r w:rsidRPr="00C23322">
              <w:rPr>
                <w:rFonts w:ascii="Arial" w:hAnsi="Arial"/>
                <w:color w:val="0F1115"/>
                <w:sz w:val="22"/>
                <w:szCs w:val="22"/>
                <w:shd w:val="clear" w:color="auto" w:fill="FFFFFF"/>
              </w:rPr>
              <w:t>Not supported (exploratory; inconclusive)</w:t>
            </w:r>
          </w:p>
        </w:tc>
      </w:tr>
      <w:tr w:rsidR="00F45D0D" w:rsidRPr="00C23322" w:rsidTr="005C2456">
        <w:trPr>
          <w:trHeight w:val="492"/>
        </w:trPr>
        <w:tc>
          <w:tcPr>
            <w:tcW w:w="138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H4b</w:t>
            </w:r>
          </w:p>
        </w:tc>
        <w:tc>
          <w:tcPr>
            <w:tcW w:w="369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Competence × Financial Pressure → Engagement</w:t>
            </w:r>
          </w:p>
        </w:tc>
        <w:tc>
          <w:tcPr>
            <w:tcW w:w="2309"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p = .931</w:t>
            </w:r>
          </w:p>
        </w:tc>
        <w:tc>
          <w:tcPr>
            <w:tcW w:w="184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E61D9D" w:rsidP="004723C3">
            <w:pPr>
              <w:jc w:val="center"/>
              <w:rPr>
                <w:rFonts w:ascii="Arial" w:hAnsi="Arial"/>
                <w:sz w:val="22"/>
                <w:szCs w:val="22"/>
              </w:rPr>
            </w:pPr>
            <w:r w:rsidRPr="00C23322">
              <w:rPr>
                <w:rFonts w:ascii="Arial" w:hAnsi="Arial"/>
                <w:color w:val="0F1115"/>
                <w:sz w:val="22"/>
                <w:szCs w:val="22"/>
                <w:shd w:val="clear" w:color="auto" w:fill="FFFFFF"/>
              </w:rPr>
              <w:t>Not supported (exploratory; inconclusive)</w:t>
            </w:r>
          </w:p>
        </w:tc>
      </w:tr>
      <w:tr w:rsidR="00F45D0D" w:rsidRPr="00C23322" w:rsidTr="005C2456">
        <w:trPr>
          <w:trHeight w:val="945"/>
        </w:trPr>
        <w:tc>
          <w:tcPr>
            <w:tcW w:w="138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rPr>
                <w:rFonts w:ascii="Arial" w:hAnsi="Arial"/>
              </w:rPr>
            </w:pPr>
            <w:r w:rsidRPr="00C23322">
              <w:rPr>
                <w:rFonts w:ascii="Arial" w:eastAsia="Times New Roman" w:hAnsi="Arial"/>
                <w:sz w:val="22"/>
                <w:szCs w:val="22"/>
              </w:rPr>
              <w:t>H4c</w:t>
            </w:r>
          </w:p>
        </w:tc>
        <w:tc>
          <w:tcPr>
            <w:tcW w:w="3695"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Relatedness × Financial Pressure → Engagement</w:t>
            </w:r>
          </w:p>
        </w:tc>
        <w:tc>
          <w:tcPr>
            <w:tcW w:w="2309"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F45D0D" w:rsidP="004723C3">
            <w:pPr>
              <w:jc w:val="center"/>
              <w:rPr>
                <w:rFonts w:ascii="Arial" w:hAnsi="Arial"/>
              </w:rPr>
            </w:pPr>
            <w:r w:rsidRPr="00C23322">
              <w:rPr>
                <w:rFonts w:ascii="Arial" w:eastAsia="Times New Roman" w:hAnsi="Arial"/>
                <w:sz w:val="22"/>
                <w:szCs w:val="22"/>
              </w:rPr>
              <w:t>p = .773</w:t>
            </w:r>
          </w:p>
        </w:tc>
        <w:tc>
          <w:tcPr>
            <w:tcW w:w="1847" w:type="dxa"/>
            <w:tcBorders>
              <w:top w:val="single" w:sz="4" w:space="0" w:color="000000"/>
              <w:bottom w:val="single" w:sz="4" w:space="0" w:color="000000"/>
            </w:tcBorders>
            <w:tcMar>
              <w:top w:w="60" w:type="dxa"/>
              <w:left w:w="100" w:type="dxa"/>
              <w:bottom w:w="60" w:type="dxa"/>
              <w:right w:w="100" w:type="dxa"/>
            </w:tcMar>
            <w:vAlign w:val="center"/>
          </w:tcPr>
          <w:p w:rsidR="00F45D0D" w:rsidRPr="00C23322" w:rsidRDefault="00E61D9D" w:rsidP="004723C3">
            <w:pPr>
              <w:jc w:val="center"/>
              <w:rPr>
                <w:rFonts w:ascii="Arial" w:hAnsi="Arial"/>
                <w:sz w:val="22"/>
                <w:szCs w:val="22"/>
              </w:rPr>
            </w:pPr>
            <w:r w:rsidRPr="00C23322">
              <w:rPr>
                <w:rFonts w:ascii="Arial" w:hAnsi="Arial"/>
                <w:color w:val="0F1115"/>
                <w:sz w:val="22"/>
                <w:szCs w:val="22"/>
                <w:shd w:val="clear" w:color="auto" w:fill="FFFFFF"/>
              </w:rPr>
              <w:t>Not supported (exploratory; inconclusive)</w:t>
            </w:r>
          </w:p>
        </w:tc>
      </w:tr>
    </w:tbl>
    <w:p w:rsidR="00F45D0D" w:rsidRPr="00C23322" w:rsidRDefault="00F45D0D" w:rsidP="00F45D0D">
      <w:pPr>
        <w:rPr>
          <w:rFonts w:ascii="Arial" w:hAnsi="Arial"/>
        </w:rPr>
      </w:pPr>
    </w:p>
    <w:p w:rsidR="00F45D0D" w:rsidRPr="00C23322" w:rsidRDefault="00F45D0D" w:rsidP="00E326DA">
      <w:pPr>
        <w:pStyle w:val="Heading1"/>
      </w:pPr>
      <w:bookmarkStart w:id="77" w:name="_Toc241116857"/>
      <w:r w:rsidRPr="00C23322">
        <w:t>4.9 Chapter Summary</w:t>
      </w:r>
      <w:bookmarkEnd w:id="77"/>
    </w:p>
    <w:p w:rsidR="00F45D0D" w:rsidRPr="00C23322" w:rsidRDefault="0064505D" w:rsidP="00F45D0D">
      <w:pPr>
        <w:spacing w:after="120"/>
        <w:rPr>
          <w:rFonts w:ascii="Arial" w:hAnsi="Arial"/>
        </w:rPr>
      </w:pPr>
      <w:r w:rsidRPr="00C23322">
        <w:rPr>
          <w:rFonts w:ascii="Arial" w:eastAsia="Times New Roman" w:hAnsi="Arial"/>
        </w:rPr>
        <w:t>This chapter presented the quantitative findings obtained from the questionnaire data. The analysis was based on 99 valid respondents and examined respondent characteristics, descriptive statistics, measurement reliability and validity, correlations, regression relationships and moderation effects. The results indicated that autonomy, competence and relatedness were significant positive predictors of sustained Clubcard engagement. However, perceived financial pressure did not significantly moderate any of the three relationships; this analysis was exploratory and the null result is inconclusive. The next chapter discusses these findings in relation to the theoretical framework and previous empirical research</w:t>
      </w:r>
      <w:r w:rsidR="00F45D0D" w:rsidRPr="00C23322">
        <w:rPr>
          <w:rFonts w:ascii="Arial" w:eastAsia="Times New Roman" w:hAnsi="Arial"/>
        </w:rPr>
        <w:t>.</w:t>
      </w:r>
    </w:p>
    <w:p w:rsidR="00F45D0D" w:rsidRPr="00C23322" w:rsidRDefault="00F45D0D" w:rsidP="00F45D0D">
      <w:pPr>
        <w:rPr>
          <w:rFonts w:ascii="Arial" w:hAnsi="Arial"/>
        </w:rPr>
      </w:pPr>
    </w:p>
    <w:p w:rsidR="00186F1F" w:rsidRPr="00C23322" w:rsidRDefault="00186F1F" w:rsidP="00F45D0D">
      <w:pPr>
        <w:spacing w:after="160" w:line="259" w:lineRule="auto"/>
        <w:jc w:val="left"/>
        <w:rPr>
          <w:rFonts w:ascii="Arial" w:eastAsia="Times New Roman" w:hAnsi="Arial"/>
        </w:rPr>
      </w:pPr>
    </w:p>
    <w:p w:rsidR="00F45D0D" w:rsidRPr="00C23322" w:rsidRDefault="00F45D0D">
      <w:pPr>
        <w:spacing w:after="160" w:line="259" w:lineRule="auto"/>
        <w:jc w:val="left"/>
        <w:rPr>
          <w:rFonts w:ascii="Arial" w:eastAsia="Times New Roman" w:hAnsi="Arial"/>
          <w:b/>
          <w:bCs/>
          <w:color w:val="000000" w:themeColor="text1"/>
          <w:sz w:val="28"/>
        </w:rPr>
      </w:pPr>
      <w:r w:rsidRPr="00C23322">
        <w:rPr>
          <w:rFonts w:ascii="Arial" w:hAnsi="Arial"/>
        </w:rPr>
        <w:br w:type="page"/>
      </w:r>
    </w:p>
    <w:p w:rsidR="00186F1F" w:rsidRPr="00C23322" w:rsidRDefault="00186F1F" w:rsidP="00E326DA">
      <w:pPr>
        <w:pStyle w:val="Heading1"/>
      </w:pPr>
      <w:bookmarkStart w:id="78" w:name="_Toc241116858"/>
      <w:r w:rsidRPr="00C23322">
        <w:lastRenderedPageBreak/>
        <w:t>Chapter 5: Discussion and Analysis</w:t>
      </w:r>
      <w:bookmarkEnd w:id="78"/>
    </w:p>
    <w:p w:rsidR="00186F1F" w:rsidRPr="00C23322" w:rsidRDefault="00186F1F" w:rsidP="00186F1F">
      <w:pPr>
        <w:pStyle w:val="Heading2"/>
        <w:spacing w:before="0" w:after="120"/>
        <w:rPr>
          <w:rFonts w:ascii="Arial" w:hAnsi="Arial" w:cs="Arial"/>
        </w:rPr>
      </w:pPr>
      <w:bookmarkStart w:id="79" w:name="_Toc241116859"/>
      <w:r w:rsidRPr="00C23322">
        <w:rPr>
          <w:rFonts w:ascii="Arial" w:hAnsi="Arial" w:cs="Arial"/>
        </w:rPr>
        <w:t>5.1 Purpose and Positioning</w:t>
      </w:r>
      <w:bookmarkEnd w:id="79"/>
    </w:p>
    <w:p w:rsidR="009218F7" w:rsidRPr="00C23322" w:rsidRDefault="009218F7" w:rsidP="009218F7">
      <w:pPr>
        <w:spacing w:after="120"/>
        <w:rPr>
          <w:rFonts w:ascii="Arial" w:hAnsi="Arial"/>
        </w:rPr>
      </w:pPr>
      <w:r w:rsidRPr="00C23322">
        <w:rPr>
          <w:rFonts w:ascii="Arial" w:hAnsi="Arial"/>
        </w:rPr>
        <w:t xml:space="preserve">Chapter 4 reported the empirical results of the multiple linear regression and moderation analyses used to test H1 to H4. It established that autonomy, competence and relatedness each positively and significantly predicted continued Tesco Clubcard usage of the 99 Greater London respondents (R² = .591) and that perceived financial pressure failed to moderate the relationship between the three constructs and continued Tesco Clubcard usage and </w:t>
      </w:r>
      <w:r w:rsidR="00436E7B" w:rsidRPr="00C23322">
        <w:rPr>
          <w:rFonts w:ascii="Arial" w:hAnsi="Arial"/>
        </w:rPr>
        <w:t>H4a–H4c were not supported; however, given the exploratory nature and limited statistical power of the moderation analyses, these null findings should be interpreted as inconclusive rather than definitive evidence against moderation</w:t>
      </w:r>
      <w:r w:rsidRPr="00C23322">
        <w:rPr>
          <w:rFonts w:ascii="Arial" w:hAnsi="Arial"/>
        </w:rPr>
        <w:t xml:space="preserve">. That chapter's task was empirical: to establish what the data showed. The focus of this chapter is interpretive: to determine what those findings mean in the context of the </w:t>
      </w:r>
      <w:r w:rsidR="002C0901">
        <w:rPr>
          <w:rFonts w:ascii="Arial" w:hAnsi="Arial"/>
        </w:rPr>
        <w:t>Self-Determination Theory</w:t>
      </w:r>
      <w:r w:rsidRPr="00C23322">
        <w:rPr>
          <w:rFonts w:ascii="Arial" w:hAnsi="Arial"/>
        </w:rPr>
        <w:t xml:space="preserve"> (SDT) literature and the other competing theoretical accounts mentioned in Chapter 2.</w:t>
      </w:r>
    </w:p>
    <w:p w:rsidR="009218F7" w:rsidRPr="00C23322" w:rsidRDefault="009218F7" w:rsidP="009218F7">
      <w:pPr>
        <w:spacing w:after="120"/>
        <w:rPr>
          <w:rFonts w:ascii="Arial" w:hAnsi="Arial"/>
        </w:rPr>
      </w:pPr>
      <w:r w:rsidRPr="00C23322">
        <w:rPr>
          <w:rFonts w:ascii="Arial" w:hAnsi="Arial"/>
        </w:rPr>
        <w:t>The intention of this chapter is therefore not to report the coefficients again (which are also reported in Section 4.6), but to explore what they mean in terms of how BPNT works in a mainstream non-discretionary grocery retail setting, and how perceived financial pressure works with loyalty engagement as a whole. The discussion does not focus on any specific case or sub-sample; the design of this study is a single cross-sectional survey and the analytic task is to interpret patterns across the whole data set and not across discrete cases.</w:t>
      </w:r>
    </w:p>
    <w:p w:rsidR="00186F1F" w:rsidRPr="00C23322" w:rsidRDefault="009218F7" w:rsidP="009218F7">
      <w:pPr>
        <w:spacing w:after="120"/>
        <w:rPr>
          <w:rFonts w:ascii="Arial" w:hAnsi="Arial"/>
        </w:rPr>
      </w:pPr>
      <w:r w:rsidRPr="00C23322">
        <w:rPr>
          <w:rFonts w:ascii="Arial" w:hAnsi="Arial"/>
        </w:rPr>
        <w:t>In simple terms: Chapter 4 asked what was found. This chapter raises the question of what they mean and how they are compared with the predictions outlined in Chapter 2, especially the expected hierarchy of autonomy over competence over relatedness, and the two competing theories of the impact of financial pressures on SDT-engagement</w:t>
      </w:r>
      <w:r w:rsidR="00186F1F" w:rsidRPr="00C23322">
        <w:rPr>
          <w:rFonts w:ascii="Arial" w:hAnsi="Arial"/>
        </w:rPr>
        <w:t>.</w:t>
      </w:r>
    </w:p>
    <w:p w:rsidR="00186F1F" w:rsidRPr="00C23322" w:rsidRDefault="00186F1F" w:rsidP="00186F1F">
      <w:pPr>
        <w:pStyle w:val="Heading2"/>
        <w:spacing w:before="0" w:after="120"/>
        <w:rPr>
          <w:rFonts w:ascii="Arial" w:hAnsi="Arial" w:cs="Arial"/>
        </w:rPr>
      </w:pPr>
      <w:bookmarkStart w:id="80" w:name="_Toc241116860"/>
      <w:r w:rsidRPr="00C23322">
        <w:rPr>
          <w:rFonts w:ascii="Arial" w:hAnsi="Arial" w:cs="Arial"/>
        </w:rPr>
        <w:t>5.2 Analytical Framework and Logic</w:t>
      </w:r>
      <w:bookmarkEnd w:id="80"/>
    </w:p>
    <w:p w:rsidR="009218F7" w:rsidRPr="00C23322" w:rsidRDefault="009218F7" w:rsidP="009218F7">
      <w:pPr>
        <w:spacing w:after="120"/>
        <w:rPr>
          <w:rFonts w:ascii="Arial" w:hAnsi="Arial"/>
        </w:rPr>
      </w:pPr>
      <w:r w:rsidRPr="00C23322">
        <w:rPr>
          <w:rFonts w:ascii="Arial" w:hAnsi="Arial"/>
        </w:rPr>
        <w:t xml:space="preserve">Chapter 2 established a conceptual framework based on </w:t>
      </w:r>
      <w:r w:rsidR="002C0901">
        <w:rPr>
          <w:rFonts w:ascii="Arial" w:hAnsi="Arial"/>
        </w:rPr>
        <w:t>Self-Determination Theory</w:t>
      </w:r>
      <w:r w:rsidRPr="00C23322">
        <w:rPr>
          <w:rFonts w:ascii="Arial" w:hAnsi="Arial"/>
        </w:rPr>
        <w:t xml:space="preserve"> (SDT) and its Basic Psychological Needs (BPN) sub-structure. Three direct relationships were proposed: autonomy need satisfaction predicting engagement (H1), competence </w:t>
      </w:r>
      <w:r w:rsidRPr="00C23322">
        <w:rPr>
          <w:rFonts w:ascii="Arial" w:hAnsi="Arial"/>
        </w:rPr>
        <w:lastRenderedPageBreak/>
        <w:t>need satisfaction predicting engagement (H2), and relatedness need satisfaction predicting engagement (H3). Financial pressure was found to be a moderator that operated simultaneously on all three relationships (H4) and was expected to strengthen, not weaken, each relationship, which aligns with Vansteenkiste et al. (2010) and Davvetas and Sharma (2023), but not with the competing account of attenuation by Mullainathan and Shafir (2013) and Hobfoll (1989).</w:t>
      </w:r>
    </w:p>
    <w:p w:rsidR="00186F1F" w:rsidRPr="00C23322" w:rsidRDefault="009218F7" w:rsidP="009218F7">
      <w:pPr>
        <w:spacing w:after="120"/>
        <w:rPr>
          <w:rFonts w:ascii="Arial" w:hAnsi="Arial"/>
        </w:rPr>
      </w:pPr>
      <w:r w:rsidRPr="00C23322">
        <w:rPr>
          <w:rFonts w:ascii="Arial" w:hAnsi="Arial"/>
        </w:rPr>
        <w:t xml:space="preserve">Because three direct-effect hypotheses (H1–H3) and three moderation hypotheses (H4a–H4c) rather than an open set of themes drawn from a broader literature review, this chapter is organised by construct, which keeps the discussion tightly aligned with Chapter 2. Section 5.3 is organized into three rather than four subsections for reasons of actual shape of the results of Chapter 4 (autonomy and competence are discussed together because they were </w:t>
      </w:r>
      <w:r w:rsidR="00224021" w:rsidRPr="00C23322">
        <w:rPr>
          <w:rFonts w:ascii="Arial" w:hAnsi="Arial"/>
        </w:rPr>
        <w:t>closely ranked predictors</w:t>
      </w:r>
      <w:r w:rsidRPr="00C23322">
        <w:rPr>
          <w:rFonts w:ascii="Arial" w:hAnsi="Arial"/>
        </w:rPr>
        <w:t>; the discussion of the other factor, relatedness, is separated because it behaved differently from the other two; and a separate subsection is devoted to the financial pressure moderation because the null result poses a specific interpretive question). Within each subsection, the general structure is the following: what the literature stated, what Chapter 4 concluded, where there is consistency or not, and what this implies for the future</w:t>
      </w:r>
      <w:r w:rsidR="00186F1F" w:rsidRPr="00C23322">
        <w:rPr>
          <w:rFonts w:ascii="Arial" w:hAnsi="Arial"/>
        </w:rPr>
        <w:t>.</w:t>
      </w:r>
    </w:p>
    <w:p w:rsidR="00186F1F" w:rsidRPr="00C23322" w:rsidRDefault="00186F1F" w:rsidP="00186F1F">
      <w:pPr>
        <w:pStyle w:val="Heading2"/>
        <w:spacing w:before="0" w:after="120"/>
        <w:rPr>
          <w:rFonts w:ascii="Arial" w:hAnsi="Arial" w:cs="Arial"/>
        </w:rPr>
      </w:pPr>
      <w:bookmarkStart w:id="81" w:name="_Toc241116861"/>
      <w:r w:rsidRPr="00C23322">
        <w:rPr>
          <w:rFonts w:ascii="Arial" w:hAnsi="Arial" w:cs="Arial"/>
        </w:rPr>
        <w:t>5.3 Discussion by Hypothesis</w:t>
      </w:r>
      <w:bookmarkEnd w:id="81"/>
    </w:p>
    <w:p w:rsidR="00186F1F" w:rsidRPr="00C23322" w:rsidRDefault="00186F1F" w:rsidP="00457493">
      <w:pPr>
        <w:pStyle w:val="Heading3"/>
        <w:rPr>
          <w:rFonts w:ascii="Arial" w:hAnsi="Arial" w:cs="Arial"/>
        </w:rPr>
      </w:pPr>
      <w:bookmarkStart w:id="82" w:name="_Toc241116862"/>
      <w:r w:rsidRPr="00C23322">
        <w:rPr>
          <w:rFonts w:ascii="Arial" w:hAnsi="Arial" w:cs="Arial"/>
        </w:rPr>
        <w:t>5.3.1 Autonomy and Competence as Co-Dominant Predictors (H1, H2)</w:t>
      </w:r>
      <w:bookmarkEnd w:id="82"/>
    </w:p>
    <w:p w:rsidR="006A626A" w:rsidRPr="00C23322" w:rsidRDefault="006A626A" w:rsidP="006A626A">
      <w:pPr>
        <w:spacing w:after="120"/>
        <w:rPr>
          <w:rFonts w:ascii="Arial" w:hAnsi="Arial"/>
        </w:rPr>
      </w:pPr>
      <w:r w:rsidRPr="00C23322">
        <w:rPr>
          <w:rFonts w:ascii="Arial" w:hAnsi="Arial"/>
        </w:rPr>
        <w:t>Chapter 2 rooted expectations for autonomy and competence in Peng and Hung (2020) and Xi and Hamari (2020), which both identified autonomy as the most powerful of the three SDT autonomy antecedents of loyalty and gamified-system engagement, and competence was consistently second. From a theoretical point of view it is expected that autonomy will prevail: In SDT, autonomous motivation is considered the most self-supportive and least reliant on external reinforcement than is competence-based satisfaction.</w:t>
      </w:r>
    </w:p>
    <w:p w:rsidR="00186F1F" w:rsidRPr="00C23322" w:rsidRDefault="006A626A" w:rsidP="006A626A">
      <w:pPr>
        <w:spacing w:after="120"/>
        <w:rPr>
          <w:rFonts w:ascii="Arial" w:hAnsi="Arial"/>
        </w:rPr>
      </w:pPr>
      <w:r w:rsidRPr="00C23322">
        <w:rPr>
          <w:rFonts w:ascii="Arial" w:hAnsi="Arial"/>
        </w:rPr>
        <w:t xml:space="preserve">The regression results in Section 4.6.1 are partly consistent with this expectation, but also have an important caveat. Both paths were significant and substantively large: autonomy (β = .344, t = 3.869, p &lt; .001) and competence (β = .357, t = 3.840, p &lt; .001), together with relatedness, explaining 59.1% of variance in Clubcard engagement (R² = .591, </w:t>
      </w:r>
      <w:r w:rsidRPr="00C23322">
        <w:rPr>
          <w:rFonts w:ascii="Arial" w:hAnsi="Arial"/>
        </w:rPr>
        <w:lastRenderedPageBreak/>
        <w:t xml:space="preserve">adjusted R² = .578, F(3, 95) = 45.714, p &lt; .001). Rather than the expected hierarchy, however, competence was numerically (if narrowly) ahead of autonomy, and the two coefficients and t-values are close enough that they are better read as </w:t>
      </w:r>
      <w:r w:rsidR="00224021" w:rsidRPr="00C23322">
        <w:rPr>
          <w:rFonts w:ascii="Arial" w:hAnsi="Arial"/>
        </w:rPr>
        <w:t xml:space="preserve">closely ranked predictor </w:t>
      </w:r>
      <w:r w:rsidRPr="00C23322">
        <w:rPr>
          <w:rFonts w:ascii="Arial" w:hAnsi="Arial"/>
        </w:rPr>
        <w:t>rather than ordered</w:t>
      </w:r>
      <w:r w:rsidR="00186F1F" w:rsidRPr="00C23322">
        <w:rPr>
          <w:rFonts w:ascii="Arial" w:hAnsi="Arial"/>
        </w:rPr>
        <w:t>.</w:t>
      </w:r>
    </w:p>
    <w:p w:rsidR="00C70446" w:rsidRPr="00C23322" w:rsidRDefault="00C70446" w:rsidP="00C70446">
      <w:pPr>
        <w:spacing w:after="120"/>
        <w:rPr>
          <w:rFonts w:ascii="Arial" w:hAnsi="Arial"/>
        </w:rPr>
      </w:pPr>
      <w:r w:rsidRPr="00C23322">
        <w:rPr>
          <w:rFonts w:ascii="Arial" w:hAnsi="Arial"/>
        </w:rPr>
        <w:t>This divergence from the literature is informative rather than merely a null result. At the bivariate level (Table 4.8), competence and autonomy were similarly, and closely, correlated with engagement (r = .690 and r = .676 respectively), consistent with prior loyalty research showing the two needs travelling together. The multivariate model is important because it means that if shared variance with competence and relatedness is removed, then autonomy's unique contribution becomes as close to competence's as it is to the other factors. Thus, in this sample, autonomy is not a secondary motivation that comes after competence; it has a residual motivational value when competence is statistically controlled for, supporting the basic tenet of SDT that the three needs are not redundant.</w:t>
      </w:r>
    </w:p>
    <w:p w:rsidR="00C70446" w:rsidRPr="00C23322" w:rsidRDefault="00C70446" w:rsidP="00C70446">
      <w:pPr>
        <w:spacing w:after="120"/>
        <w:rPr>
          <w:rFonts w:ascii="Arial" w:hAnsi="Arial"/>
        </w:rPr>
      </w:pPr>
      <w:r w:rsidRPr="00C23322">
        <w:rPr>
          <w:rFonts w:ascii="Arial" w:hAnsi="Arial"/>
        </w:rPr>
        <w:t>A possible explanation for this finding, which contrasts with the results of previous studies on digital environments and gamified contexts in which autonomy stands out as a factor more clearly associated with competence, is the nature of the task itself. Legault and Inzlicht (2013) suggest that when something is difficult for someone, it does not need to be trivial or automatic, but rather it is precisely when it is difficult that competence becomes salient. Collectively, the successful use of Clubcard, that is, comparing personalised offers, booking purchases around discount, or applying discounts correctly, is not a passive or easy task, especially in the cost-of-living context in which this study was conducted, where getting the discount right is a real money game. This can make competence seem even more psychologically significant than autonomy, and certainly more significant than it would be in a more discretionary or effortless type of loyalty, like a mobile game.</w:t>
      </w:r>
    </w:p>
    <w:p w:rsidR="00186F1F" w:rsidRPr="00C23322" w:rsidRDefault="00C70446" w:rsidP="00C70446">
      <w:pPr>
        <w:spacing w:after="120"/>
        <w:rPr>
          <w:rFonts w:ascii="Arial" w:hAnsi="Arial"/>
        </w:rPr>
      </w:pPr>
      <w:r w:rsidRPr="00C23322">
        <w:rPr>
          <w:rFonts w:ascii="Arial" w:hAnsi="Arial"/>
        </w:rPr>
        <w:t xml:space="preserve">Collectively, the results imply that in a high-stakes, nonlaboratory setting of daily retail activities, the concept of autonomy and competence needs may overlap rather than represent a pure hierarchy. Retailers who will take the time to design for continued engagement in such environments shouldn't assume that choice architecture (autonomy) </w:t>
      </w:r>
      <w:r w:rsidRPr="00C23322">
        <w:rPr>
          <w:rFonts w:ascii="Arial" w:hAnsi="Arial"/>
        </w:rPr>
        <w:lastRenderedPageBreak/>
        <w:t>is necessarily more important than ease of use and proven savings success (competence); the current evidence suggests the two carry comparable psychological weight</w:t>
      </w:r>
      <w:r w:rsidR="00186F1F" w:rsidRPr="00C23322">
        <w:rPr>
          <w:rFonts w:ascii="Arial" w:hAnsi="Arial"/>
        </w:rPr>
        <w:t>.</w:t>
      </w:r>
    </w:p>
    <w:p w:rsidR="00186F1F" w:rsidRPr="00C23322" w:rsidRDefault="00186F1F" w:rsidP="00457493">
      <w:pPr>
        <w:pStyle w:val="Heading3"/>
        <w:rPr>
          <w:rFonts w:ascii="Arial" w:hAnsi="Arial" w:cs="Arial"/>
        </w:rPr>
      </w:pPr>
      <w:bookmarkStart w:id="83" w:name="_Toc241116863"/>
      <w:r w:rsidRPr="00C23322">
        <w:rPr>
          <w:rFonts w:ascii="Arial" w:hAnsi="Arial" w:cs="Arial"/>
        </w:rPr>
        <w:t>5.3.2 Relatedness as the Weakest Predictor (H3)</w:t>
      </w:r>
      <w:bookmarkEnd w:id="83"/>
    </w:p>
    <w:p w:rsidR="00C70446" w:rsidRPr="00C23322" w:rsidRDefault="00C70446" w:rsidP="00C70446">
      <w:pPr>
        <w:spacing w:after="120"/>
        <w:rPr>
          <w:rFonts w:ascii="Arial" w:hAnsi="Arial"/>
        </w:rPr>
      </w:pPr>
      <w:r w:rsidRPr="00C23322">
        <w:rPr>
          <w:rFonts w:ascii="Arial" w:hAnsi="Arial"/>
        </w:rPr>
        <w:t>The effect of relatedness was significant (β = .185, t = 2.110, p = .037) and supported H3, but it was substantially lower than the effects of autonomy and competence, and the effect size (f² = .034) was only just above Cohen's (1988) criterion for small effect. This is almost exactly the same pattern as Peng and Hung (2020) reported in their relatedness coefficient (β = .18) which is a similar result to the current one.</w:t>
      </w:r>
    </w:p>
    <w:p w:rsidR="00186F1F" w:rsidRPr="00C23322" w:rsidRDefault="00C70446" w:rsidP="00C70446">
      <w:pPr>
        <w:spacing w:after="120"/>
        <w:rPr>
          <w:rFonts w:ascii="Arial" w:hAnsi="Arial"/>
        </w:rPr>
      </w:pPr>
      <w:r w:rsidRPr="00C23322">
        <w:rPr>
          <w:rFonts w:ascii="Arial" w:hAnsi="Arial"/>
        </w:rPr>
        <w:t xml:space="preserve">The question that Chapter 2 leaves open, and to which this result speaks directly, is the competing notion raised by Sheldon et al. (2011), that the relative importance of the three basic needs can change in different circumstances, and that ordinarily secondary needs become more salient when other sources of psychological stability are reduced. In this context, that argument suggested that perhaps relatedness is more important than ever to a </w:t>
      </w:r>
      <w:r w:rsidR="00836341" w:rsidRPr="00C23322">
        <w:rPr>
          <w:rFonts w:ascii="Arial" w:hAnsi="Arial"/>
        </w:rPr>
        <w:t>financially constrained</w:t>
      </w:r>
      <w:r w:rsidRPr="00C23322">
        <w:rPr>
          <w:rFonts w:ascii="Arial" w:hAnsi="Arial"/>
        </w:rPr>
        <w:t xml:space="preserve"> Clubcard holder looking for some sense of recognition in an economic downturn from a retailer. The data do not support that expectation: </w:t>
      </w:r>
      <w:r w:rsidR="00224021" w:rsidRPr="00C23322">
        <w:rPr>
          <w:rFonts w:ascii="Arial" w:hAnsi="Arial"/>
        </w:rPr>
        <w:t>the weakest of the three predictors in this sample was still relatedness, including among respondents reporting relatively high financial pressure</w:t>
      </w:r>
      <w:r w:rsidR="00186F1F" w:rsidRPr="00C23322">
        <w:rPr>
          <w:rFonts w:ascii="Arial" w:hAnsi="Arial"/>
        </w:rPr>
        <w:t>.</w:t>
      </w:r>
    </w:p>
    <w:p w:rsidR="00CB7A5B" w:rsidRPr="00C23322" w:rsidRDefault="00CB7A5B" w:rsidP="00CB7A5B">
      <w:pPr>
        <w:spacing w:after="120"/>
        <w:rPr>
          <w:rFonts w:ascii="Arial" w:hAnsi="Arial"/>
        </w:rPr>
      </w:pPr>
      <w:r w:rsidRPr="00C23322">
        <w:rPr>
          <w:rFonts w:ascii="Arial" w:hAnsi="Arial"/>
        </w:rPr>
        <w:t xml:space="preserve">This can be explained in two ways, both of which fit with the general trend of the results. First, relatedness as SDT defines it requires a feeling of connectedness with others or of being truly recognized, and a highly automated, app-based </w:t>
      </w:r>
      <w:r w:rsidR="002C0901">
        <w:rPr>
          <w:rFonts w:ascii="Arial" w:hAnsi="Arial"/>
        </w:rPr>
        <w:t>loyalty programme</w:t>
      </w:r>
      <w:r w:rsidRPr="00C23322">
        <w:rPr>
          <w:rFonts w:ascii="Arial" w:hAnsi="Arial"/>
        </w:rPr>
        <w:t xml:space="preserve"> can be poorly suited to provide it on a large scale for how well it provides autonomy or competence. Second, the sample had short Clubcard tenure with 49.5% having had a card for less than a year and only 8.1% for more than 6 years (Table 4.5), so most respondents would not have had the sort of interaction history which could create a sense of being known by the scheme. Sheldon et al.'s (2011) argument may hold in principle, but a shopper cannot feel individually recognised by a system with which they have limited history, regardless of how much financial pressure they are under.</w:t>
      </w:r>
    </w:p>
    <w:p w:rsidR="00186F1F" w:rsidRPr="00C23322" w:rsidRDefault="00CB7A5B" w:rsidP="00CB7A5B">
      <w:pPr>
        <w:spacing w:after="120"/>
        <w:rPr>
          <w:rFonts w:ascii="Arial" w:hAnsi="Arial"/>
        </w:rPr>
      </w:pPr>
      <w:r w:rsidRPr="00C23322">
        <w:rPr>
          <w:rFonts w:ascii="Arial" w:hAnsi="Arial"/>
        </w:rPr>
        <w:t xml:space="preserve">This suggests it is more of a boundary condition than a rejection of Sheldon et al. (2011): relatedness can only become more salient under financial pressure if there is enough </w:t>
      </w:r>
      <w:r w:rsidRPr="00C23322">
        <w:rPr>
          <w:rFonts w:ascii="Arial" w:hAnsi="Arial"/>
        </w:rPr>
        <w:lastRenderedPageBreak/>
        <w:t>tenure and a history of personalised interaction to make this recognition affect. The current sample's demographic characteristics (youth, recent enrolment and hence lower tenure) may have been an unfair challenge to that particular claim of SDT theory</w:t>
      </w:r>
      <w:r w:rsidR="00186F1F" w:rsidRPr="00C23322">
        <w:rPr>
          <w:rFonts w:ascii="Arial" w:hAnsi="Arial"/>
        </w:rPr>
        <w:t>.</w:t>
      </w:r>
    </w:p>
    <w:p w:rsidR="00186F1F" w:rsidRPr="00C23322" w:rsidRDefault="00186F1F" w:rsidP="00457493">
      <w:pPr>
        <w:pStyle w:val="Heading3"/>
        <w:rPr>
          <w:rFonts w:ascii="Arial" w:hAnsi="Arial" w:cs="Arial"/>
        </w:rPr>
      </w:pPr>
      <w:bookmarkStart w:id="84" w:name="_Toc241116864"/>
      <w:r w:rsidRPr="00C23322">
        <w:rPr>
          <w:rFonts w:ascii="Arial" w:hAnsi="Arial" w:cs="Arial"/>
        </w:rPr>
        <w:t>5.3.3 The Null Moderation of Financial Pressure (H4)</w:t>
      </w:r>
      <w:bookmarkEnd w:id="84"/>
    </w:p>
    <w:p w:rsidR="00CB7A5B" w:rsidRPr="00C23322" w:rsidRDefault="00CB7A5B" w:rsidP="00CB7A5B">
      <w:pPr>
        <w:spacing w:after="120"/>
        <w:rPr>
          <w:rFonts w:ascii="Arial" w:hAnsi="Arial"/>
          <w:color w:val="0F1115"/>
          <w:shd w:val="clear" w:color="auto" w:fill="FFFFFF"/>
        </w:rPr>
      </w:pPr>
      <w:r w:rsidRPr="00C23322">
        <w:rPr>
          <w:rFonts w:ascii="Arial" w:hAnsi="Arial"/>
          <w:color w:val="0F1115"/>
          <w:shd w:val="clear" w:color="auto" w:fill="FFFFFF"/>
        </w:rPr>
        <w:t>Chapter 2 presented H4 as a test of the amplification account proposed by Vansteenkiste et al. (2010) and Davvetas and Sharma (2023). This account indicates that need satisfaction could be more psychologically relevant if there are more restrictions in one's broader context. From this standpoint, financial pressure was anticipated to reinforce the links between the three basic psychological needs and Clubcard involvement. However, an alternative attenuation account, informed by Mullainathan and Shafir (2013) and Hobfoll’s (1989) Conservation of Resources theory, suggested the opposite. Limited financial resources may focus a person's attention on current financial issues and limit their psychological resources for ongoing involvement. In Chapter 2, the suggestion that both views might be correct was explored as a theoretical possibility, but the formal hypotheses that were tested in this study rested on the amplification account.</w:t>
      </w:r>
    </w:p>
    <w:p w:rsidR="00186F1F" w:rsidRPr="00C23322" w:rsidRDefault="00CB7A5B" w:rsidP="00CB7A5B">
      <w:pPr>
        <w:spacing w:after="120"/>
        <w:rPr>
          <w:rFonts w:ascii="Arial" w:hAnsi="Arial"/>
        </w:rPr>
      </w:pPr>
      <w:r w:rsidRPr="00C23322">
        <w:rPr>
          <w:rFonts w:ascii="Arial" w:hAnsi="Arial"/>
          <w:color w:val="0F1115"/>
          <w:shd w:val="clear" w:color="auto" w:fill="FFFFFF"/>
        </w:rPr>
        <w:t>None of the explanations were supported by the findings. None of the three interaction effects reached statistical significance, and all were very small in magnitude. The interaction between autonomy and financial pressure was non-significant (b = −.009, t = −.216, p = .829), as was the interaction between competence and financial pressure (b = .004, t = .086, p = .931). The relatedness × financial pressure interaction was also not significant (b = .015, t = .674, p = .773). In addition, the incremental variance explained by the interaction terms was effectively zero (ΔR² = .0002, .0000 and .0005, respectively). Hence, H4a, H4b and H4c are rejected and hence H4 is not supported.</w:t>
      </w:r>
      <w:r w:rsidR="00186F1F" w:rsidRPr="00C23322">
        <w:rPr>
          <w:rFonts w:ascii="Arial" w:hAnsi="Arial"/>
        </w:rPr>
        <w:t>.</w:t>
      </w:r>
    </w:p>
    <w:p w:rsidR="00CB7A5B" w:rsidRPr="00C23322" w:rsidRDefault="00CB7A5B" w:rsidP="00CB7A5B">
      <w:pPr>
        <w:spacing w:after="120"/>
        <w:rPr>
          <w:rFonts w:ascii="Arial" w:hAnsi="Arial"/>
          <w:color w:val="0F1115"/>
          <w:shd w:val="clear" w:color="auto" w:fill="FFFFFF"/>
        </w:rPr>
      </w:pPr>
      <w:r w:rsidRPr="00C23322">
        <w:rPr>
          <w:rFonts w:ascii="Arial" w:hAnsi="Arial"/>
          <w:color w:val="0F1115"/>
          <w:shd w:val="clear" w:color="auto" w:fill="FFFFFF"/>
        </w:rPr>
        <w:t xml:space="preserve">This does not imply financial pressure doesn't matter to Clubcard behaviour, but it does suggest that its influence is not as strong as is often believed. It had zero-order correlation with engagement that was positive and moderate-to-large (r = .481, Table 4.8), and was the second strongest bivariate correlation in the data set after the SDT predictors themselves. However, this direct association was not hypothesised and should therefore be treated as exploratory. It could simply be that consumers are more likely to be interested in a savings scheme when they are on a tight budget; however, this is not </w:t>
      </w:r>
      <w:r w:rsidRPr="00C23322">
        <w:rPr>
          <w:rFonts w:ascii="Arial" w:hAnsi="Arial"/>
          <w:color w:val="0F1115"/>
          <w:shd w:val="clear" w:color="auto" w:fill="FFFFFF"/>
        </w:rPr>
        <w:lastRenderedPageBreak/>
        <w:t>necessarily causal, and may be due to the fact that all of the sample have limited income. The moderation results are thus not suggestive of the lack of importance of financial pressure. Instead, it indicates that the degree of the relationship between need satisfaction and engagement was not affected by financial pressure. In this sample, the pattern was generally the same over varying degrees of financial stress. Additionally, shoppers who indicated a higher level of autonomy, competence or relatedness satisfaction exhibited a higher level of engagement with Clubcard, both with the relative financial pressure reported either in the lower or high tertile. This indicates that financial pressure and SDT need satisfaction may be a parallel, additive factor in the engagement process, and not interacting.</w:t>
      </w:r>
    </w:p>
    <w:p w:rsidR="00186F1F" w:rsidRPr="00C23322" w:rsidRDefault="00CB7A5B" w:rsidP="007B21C0">
      <w:pPr>
        <w:spacing w:after="120"/>
        <w:rPr>
          <w:rFonts w:ascii="Arial" w:hAnsi="Arial"/>
        </w:rPr>
      </w:pPr>
      <w:r w:rsidRPr="00C23322">
        <w:rPr>
          <w:rFonts w:ascii="Arial" w:hAnsi="Arial"/>
          <w:color w:val="0F1115"/>
          <w:shd w:val="clear" w:color="auto" w:fill="FFFFFF"/>
        </w:rPr>
        <w:t>The smallest standard deviation of all of the constructs was found in financial pressure at 1.19, with the lowest reported score being 1.75 (Table 4.6), and 92.0% of the respondents reported an income of less than £3,500 per month. This means that relatively few respondents reported genuinely low levels of financial pressure. When a moderator has such a restricted range, it becomes more difficult to detect an interaction. In addition, the moderation analysis was exploratory. So it is best to conclude that this study failed to find evidence that moderation operates, not that moderation is definitely disproven. However, the lack of variation with regard to financial pressure might have provided insufficient test to determine whether the effects of the study would vary as a function of the level of need satisfaction</w:t>
      </w:r>
      <w:r w:rsidR="00186F1F" w:rsidRPr="00C23322">
        <w:rPr>
          <w:rFonts w:ascii="Arial" w:hAnsi="Arial"/>
        </w:rPr>
        <w:t>.</w:t>
      </w:r>
    </w:p>
    <w:p w:rsidR="00186F1F" w:rsidRPr="00C23322" w:rsidRDefault="00186F1F" w:rsidP="007B21C0">
      <w:pPr>
        <w:pStyle w:val="Heading2"/>
        <w:spacing w:before="0" w:after="120"/>
        <w:rPr>
          <w:rFonts w:ascii="Arial" w:hAnsi="Arial" w:cs="Arial"/>
        </w:rPr>
      </w:pPr>
      <w:bookmarkStart w:id="85" w:name="_Toc241116865"/>
      <w:r w:rsidRPr="00C23322">
        <w:rPr>
          <w:rFonts w:ascii="Arial" w:hAnsi="Arial" w:cs="Arial"/>
        </w:rPr>
        <w:t>5.4 Integration with the Conceptual Model</w:t>
      </w:r>
      <w:bookmarkEnd w:id="85"/>
    </w:p>
    <w:p w:rsidR="007B21C0" w:rsidRPr="00C23322" w:rsidRDefault="007B21C0" w:rsidP="007B21C0">
      <w:pPr>
        <w:pStyle w:val="ds-markdown-paragraph"/>
        <w:shd w:val="clear" w:color="auto" w:fill="FFFFFF"/>
        <w:spacing w:before="0" w:beforeAutospacing="0" w:after="120" w:afterAutospacing="0" w:line="360" w:lineRule="auto"/>
        <w:jc w:val="both"/>
        <w:rPr>
          <w:rFonts w:ascii="Arial" w:hAnsi="Arial" w:cs="Arial"/>
          <w:color w:val="0F1115"/>
        </w:rPr>
      </w:pPr>
      <w:r w:rsidRPr="00C23322">
        <w:rPr>
          <w:rFonts w:ascii="Arial" w:hAnsi="Arial" w:cs="Arial"/>
          <w:color w:val="0F1115"/>
        </w:rPr>
        <w:t>Within the conceptual model proposed in Section 2.8 (Figure 2.1), autonomy, competence, and relatedness each provided support for the three direct links between need satisfaction and engagement. All three relationships, in the direction hypothesized, were statistically significant and accounted for 59.1% of the variance in engagement (R² = .591); this is a relatively high value compared to the 0.20-0.40 range generally found in consumer loyalty studies.</w:t>
      </w:r>
    </w:p>
    <w:p w:rsidR="007B21C0" w:rsidRPr="00C23322" w:rsidRDefault="007B21C0" w:rsidP="007B21C0">
      <w:pPr>
        <w:pStyle w:val="ds-markdown-paragraph"/>
        <w:shd w:val="clear" w:color="auto" w:fill="FFFFFF"/>
        <w:spacing w:before="0" w:beforeAutospacing="0" w:after="120" w:afterAutospacing="0" w:line="360" w:lineRule="auto"/>
        <w:jc w:val="both"/>
        <w:rPr>
          <w:rFonts w:ascii="Arial" w:hAnsi="Arial" w:cs="Arial"/>
          <w:color w:val="0F1115"/>
        </w:rPr>
      </w:pPr>
      <w:r w:rsidRPr="00C23322">
        <w:rPr>
          <w:rFonts w:ascii="Arial" w:hAnsi="Arial" w:cs="Arial"/>
          <w:color w:val="0F1115"/>
        </w:rPr>
        <w:t xml:space="preserve">Moderating effect of financial pressure was not supported on all three of these relationships (H4a, H4b, and H4c). Because of the limited range of Financial Pressure </w:t>
      </w:r>
      <w:r w:rsidRPr="00C23322">
        <w:rPr>
          <w:rFonts w:ascii="Arial" w:hAnsi="Arial" w:cs="Arial"/>
          <w:color w:val="0F1115"/>
        </w:rPr>
        <w:lastRenderedPageBreak/>
        <w:t>and the exploratory nature of the moderation analysis, this null finding should be viewed as inconclusive, as discussed in Section 5.3.3.</w:t>
      </w:r>
    </w:p>
    <w:p w:rsidR="007B21C0" w:rsidRPr="00C23322" w:rsidRDefault="007B21C0" w:rsidP="007B21C0">
      <w:pPr>
        <w:pStyle w:val="ds-markdown-paragraph"/>
        <w:shd w:val="clear" w:color="auto" w:fill="FFFFFF"/>
        <w:spacing w:before="0" w:beforeAutospacing="0" w:after="120" w:afterAutospacing="0" w:line="360" w:lineRule="auto"/>
        <w:jc w:val="both"/>
        <w:rPr>
          <w:rFonts w:ascii="Arial" w:hAnsi="Arial" w:cs="Arial"/>
          <w:color w:val="0F1115"/>
        </w:rPr>
      </w:pPr>
      <w:r w:rsidRPr="00C23322">
        <w:rPr>
          <w:rFonts w:ascii="Arial" w:hAnsi="Arial" w:cs="Arial"/>
          <w:color w:val="0F1115"/>
        </w:rPr>
        <w:t>The model can then be fine-tuned in terms of the relative contribution of the three direct predictors. The original ordering, as found in Peng and Hung (2020) and Xi and Hamari (2020), predicted that autonomy would be the best predictor, followed by competence and then relatedness. The results of the present study suggest, however, that there is no statistical difference between the strength or relatedness of the two factors, autonomy and competence, and only the latter is possibly a function of tenure (Section 5.3.2), although this is speculative and untestable in the present design.</w:t>
      </w:r>
    </w:p>
    <w:p w:rsidR="00186F1F" w:rsidRPr="00C23322" w:rsidRDefault="007B21C0" w:rsidP="007B21C0">
      <w:pPr>
        <w:pStyle w:val="ds-markdown-paragraph"/>
        <w:shd w:val="clear" w:color="auto" w:fill="FFFFFF"/>
        <w:spacing w:before="0" w:beforeAutospacing="0" w:after="120" w:afterAutospacing="0" w:line="360" w:lineRule="auto"/>
        <w:jc w:val="both"/>
        <w:rPr>
          <w:rFonts w:ascii="Arial" w:hAnsi="Arial" w:cs="Arial"/>
          <w:color w:val="0F1115"/>
        </w:rPr>
      </w:pPr>
      <w:r w:rsidRPr="00C23322">
        <w:rPr>
          <w:rFonts w:ascii="Arial" w:hAnsi="Arial" w:cs="Arial"/>
          <w:color w:val="0F1115"/>
        </w:rPr>
        <w:t>Thus, the conceptual model can be summarised as follows: the three SDT needs are direct predictors of engagement; two SDT needs are co-dominant (autonomy and competence) and another SDT need (relatedness) is weaker but still significant. Financial pressure did not have a moderating effect as hypothesized. This updated version is aligned with the SDT tradition of all three basic needs being theorised as important, but it does not conform to the moderation and hierarchy structure that was originally envisioned</w:t>
      </w:r>
      <w:r w:rsidR="008C2CC8" w:rsidRPr="00C23322">
        <w:rPr>
          <w:rFonts w:ascii="Arial" w:hAnsi="Arial" w:cs="Arial"/>
          <w:color w:val="0F1115"/>
        </w:rPr>
        <w:t>.</w:t>
      </w:r>
    </w:p>
    <w:p w:rsidR="00186F1F" w:rsidRPr="00C23322" w:rsidRDefault="00186F1F" w:rsidP="008C2CC8">
      <w:pPr>
        <w:pStyle w:val="Heading2"/>
        <w:spacing w:before="0" w:after="120"/>
        <w:rPr>
          <w:rFonts w:ascii="Arial" w:hAnsi="Arial" w:cs="Arial"/>
        </w:rPr>
      </w:pPr>
      <w:bookmarkStart w:id="86" w:name="_Toc241116866"/>
      <w:r w:rsidRPr="00C23322">
        <w:rPr>
          <w:rFonts w:ascii="Arial" w:hAnsi="Arial" w:cs="Arial"/>
        </w:rPr>
        <w:t>5.5 Robustness Considerations</w:t>
      </w:r>
      <w:bookmarkEnd w:id="86"/>
    </w:p>
    <w:p w:rsidR="007B21C0" w:rsidRPr="00C23322" w:rsidRDefault="007B21C0" w:rsidP="007B21C0">
      <w:pPr>
        <w:spacing w:after="120"/>
        <w:rPr>
          <w:rFonts w:ascii="Arial" w:hAnsi="Arial"/>
        </w:rPr>
      </w:pPr>
      <w:r w:rsidRPr="00C23322">
        <w:rPr>
          <w:rFonts w:ascii="Arial" w:hAnsi="Arial"/>
        </w:rPr>
        <w:t>Several considerations qualify how confidently these interpretations should be held. First, the cross-sectional design doesn't capture relationships over time and cannot determine the causal direction; it is possible, for example, that it is already engaged consumers who end up feeling more autonomous or competent in their approach to using Clubcard, and not the other way around as inferred. Second, it is important to note that all constructs were assessed via self-report, and thus there is some risk of common method variance; however, the VIF reported in Section 4.4.5 (range 1.803 to 2.008) and no inter-predictor correlation exceeding the .80 problematic threshold provide some assurance that the SDT constructs are empirically distinguishable and do not result in a single response tendency.</w:t>
      </w:r>
    </w:p>
    <w:p w:rsidR="007B21C0" w:rsidRPr="00C23322" w:rsidRDefault="007B21C0" w:rsidP="007B21C0">
      <w:pPr>
        <w:spacing w:after="120"/>
        <w:rPr>
          <w:rFonts w:ascii="Arial" w:hAnsi="Arial"/>
        </w:rPr>
      </w:pPr>
      <w:r w:rsidRPr="00C23322">
        <w:rPr>
          <w:rFonts w:ascii="Arial" w:hAnsi="Arial"/>
        </w:rPr>
        <w:t xml:space="preserve">Thirdly, the results are only applicable to a limited, specific type of demographic of the sample (see Section 4.2.2) and so cannot be expected to be representative of London Clubcard users as a whole, and are unlikely to be applicable to the relatedness and moderation results, which appear to be linked to the length of time they have had a </w:t>
      </w:r>
      <w:r w:rsidRPr="00C23322">
        <w:rPr>
          <w:rFonts w:ascii="Arial" w:hAnsi="Arial"/>
        </w:rPr>
        <w:lastRenderedPageBreak/>
        <w:t>Clubcard and their income band. One of the problems with the restricted variance in Financial Pressure is that it doesn't allow for a high level of confidence about whether or not there is moderation in the larger population or whether a sample could not find it.</w:t>
      </w:r>
    </w:p>
    <w:p w:rsidR="0005483A" w:rsidRPr="00C23322" w:rsidRDefault="007B21C0" w:rsidP="007B21C0">
      <w:pPr>
        <w:spacing w:after="120"/>
        <w:rPr>
          <w:rFonts w:ascii="Arial" w:hAnsi="Arial"/>
        </w:rPr>
      </w:pPr>
      <w:r w:rsidRPr="00C23322">
        <w:rPr>
          <w:rFonts w:ascii="Arial" w:hAnsi="Arial"/>
        </w:rPr>
        <w:t>Finally, the exploratory direct link between financial pressure and engagement (r = .481) was not predicted and may be sensitive to the limited range of income in the sample, where 92.0% of the respondents earned less than £3,500 a month. This discovery should be taken as an indication and not a conclusion</w:t>
      </w:r>
      <w:r w:rsidR="0005483A" w:rsidRPr="00C23322">
        <w:rPr>
          <w:rFonts w:ascii="Arial" w:hAnsi="Arial"/>
          <w:color w:val="0F1115"/>
          <w:shd w:val="clear" w:color="auto" w:fill="FFFFFF"/>
        </w:rPr>
        <w:t>.</w:t>
      </w:r>
    </w:p>
    <w:p w:rsidR="00186F1F" w:rsidRPr="00C23322" w:rsidRDefault="00CB7A5B" w:rsidP="00186F1F">
      <w:pPr>
        <w:pStyle w:val="Heading2"/>
        <w:spacing w:before="0" w:after="120"/>
        <w:rPr>
          <w:rFonts w:ascii="Arial" w:hAnsi="Arial" w:cs="Arial"/>
        </w:rPr>
      </w:pPr>
      <w:bookmarkStart w:id="87" w:name="_Toc241116867"/>
      <w:r w:rsidRPr="00C23322">
        <w:rPr>
          <w:rFonts w:ascii="Arial" w:hAnsi="Arial" w:cs="Arial"/>
        </w:rPr>
        <w:t>5.6 Practical Synthesis</w:t>
      </w:r>
      <w:r w:rsidR="00186F1F" w:rsidRPr="00C23322">
        <w:rPr>
          <w:rFonts w:ascii="Arial" w:hAnsi="Arial" w:cs="Arial"/>
        </w:rPr>
        <w:t xml:space="preserve"> </w:t>
      </w:r>
      <w:r w:rsidRPr="00C23322">
        <w:rPr>
          <w:rFonts w:ascii="Arial" w:hAnsi="Arial" w:cs="Arial"/>
        </w:rPr>
        <w:t>(</w:t>
      </w:r>
      <w:r w:rsidR="00186F1F" w:rsidRPr="00C23322">
        <w:rPr>
          <w:rFonts w:ascii="Arial" w:hAnsi="Arial" w:cs="Arial"/>
        </w:rPr>
        <w:t>Bridge to Chapter 6</w:t>
      </w:r>
      <w:r w:rsidRPr="00C23322">
        <w:rPr>
          <w:rFonts w:ascii="Arial" w:hAnsi="Arial" w:cs="Arial"/>
        </w:rPr>
        <w:t>)</w:t>
      </w:r>
      <w:bookmarkEnd w:id="87"/>
    </w:p>
    <w:p w:rsidR="007B21C0" w:rsidRPr="00C23322" w:rsidRDefault="007B21C0" w:rsidP="007B21C0">
      <w:pPr>
        <w:spacing w:after="120"/>
        <w:rPr>
          <w:rFonts w:ascii="Arial" w:hAnsi="Arial"/>
        </w:rPr>
      </w:pPr>
      <w:r w:rsidRPr="00C23322">
        <w:rPr>
          <w:rFonts w:ascii="Arial" w:hAnsi="Arial"/>
        </w:rPr>
        <w:t>Three practical insights emerge directly from this discussion. Firstly, retailers should place as much emphasis on demonstrable ease-of-use and savings success (competence) as they do on personalisation and choice (autonomy), as evidence here suggests that perhaps the two elements are of equal importance in driving engagement and not the latter as previously thought in the context of digital. This is important because a scheme that has been optimised to provide choice, but not to make it easy to use the choice successfully, may be missing 50% of what keeps people engaged.</w:t>
      </w:r>
    </w:p>
    <w:p w:rsidR="007B21C0" w:rsidRPr="00C23322" w:rsidRDefault="007B21C0" w:rsidP="007B21C0">
      <w:pPr>
        <w:spacing w:after="120"/>
        <w:rPr>
          <w:rFonts w:ascii="Arial" w:hAnsi="Arial"/>
        </w:rPr>
      </w:pPr>
      <w:r w:rsidRPr="00C23322">
        <w:rPr>
          <w:rFonts w:ascii="Arial" w:hAnsi="Arial"/>
        </w:rPr>
        <w:t>Second, relatedness-building features such as personalised communication that shows understanding of a shopper's actual behaviour, and messaging that shows recognition instead of generic promotion, are likely to need time if they are to have the impact they are intended to have, and the sample in this study had a relatively short average tenure. The lesson for retailers is not that relatedness features don't work, but that perhaps the benefit may only be realized with longer-term members, with implications on what constitutes success and over what period.</w:t>
      </w:r>
    </w:p>
    <w:p w:rsidR="007B21C0" w:rsidRPr="00C23322" w:rsidRDefault="007B21C0" w:rsidP="007B21C0">
      <w:pPr>
        <w:spacing w:after="120"/>
        <w:rPr>
          <w:rFonts w:ascii="Arial" w:hAnsi="Arial"/>
        </w:rPr>
      </w:pPr>
      <w:r w:rsidRPr="00C23322">
        <w:rPr>
          <w:rFonts w:ascii="Arial" w:hAnsi="Arial"/>
        </w:rPr>
        <w:t>Third, don't just assume financial pressure will be a factor that affects the effectiveness of existing loyalty mechanics, it should be designed for in its own right. This means that as SDT-engagement relationships are similarly strong for all customers, there is no need to recalibrate the loyalty mechanics specifically for the financially stretched buyers, but instead, focus on strengthening the SDT-engagement relationships across the customer base.</w:t>
      </w:r>
    </w:p>
    <w:p w:rsidR="00186F1F" w:rsidRPr="00C23322" w:rsidRDefault="007B21C0" w:rsidP="007B21C0">
      <w:pPr>
        <w:spacing w:after="120"/>
        <w:rPr>
          <w:rFonts w:ascii="Arial" w:hAnsi="Arial"/>
        </w:rPr>
      </w:pPr>
      <w:r w:rsidRPr="00C23322">
        <w:rPr>
          <w:rFonts w:ascii="Arial" w:hAnsi="Arial"/>
        </w:rPr>
        <w:t>The managerial implications developed in Section 6.4 are based on these three insights</w:t>
      </w:r>
      <w:r w:rsidR="00186F1F" w:rsidRPr="00C23322">
        <w:rPr>
          <w:rFonts w:ascii="Arial" w:hAnsi="Arial"/>
        </w:rPr>
        <w:t>.</w:t>
      </w:r>
    </w:p>
    <w:p w:rsidR="00186F1F" w:rsidRPr="00C23322" w:rsidRDefault="00186F1F" w:rsidP="00186F1F">
      <w:pPr>
        <w:pStyle w:val="Heading2"/>
        <w:spacing w:before="0" w:after="120"/>
        <w:rPr>
          <w:rFonts w:ascii="Arial" w:hAnsi="Arial" w:cs="Arial"/>
        </w:rPr>
      </w:pPr>
      <w:bookmarkStart w:id="88" w:name="_Toc241116868"/>
      <w:r w:rsidRPr="00C23322">
        <w:rPr>
          <w:rFonts w:ascii="Arial" w:hAnsi="Arial" w:cs="Arial"/>
        </w:rPr>
        <w:lastRenderedPageBreak/>
        <w:t>5.7 Chapter Summary</w:t>
      </w:r>
      <w:bookmarkEnd w:id="88"/>
    </w:p>
    <w:p w:rsidR="007B21C0" w:rsidRPr="00C23322" w:rsidRDefault="007B21C0" w:rsidP="007B21C0">
      <w:pPr>
        <w:spacing w:after="120"/>
        <w:rPr>
          <w:rFonts w:ascii="Arial" w:hAnsi="Arial"/>
        </w:rPr>
      </w:pPr>
      <w:r w:rsidRPr="00C23322">
        <w:rPr>
          <w:rFonts w:ascii="Arial" w:hAnsi="Arial"/>
        </w:rPr>
        <w:t xml:space="preserve">This chapter has interpreted the findings from Chapter 4 in light of the literature of </w:t>
      </w:r>
      <w:r w:rsidR="002C0901">
        <w:rPr>
          <w:rFonts w:ascii="Arial" w:hAnsi="Arial"/>
        </w:rPr>
        <w:t>Self-Determination Theory</w:t>
      </w:r>
      <w:r w:rsidRPr="00C23322">
        <w:rPr>
          <w:rFonts w:ascii="Arial" w:hAnsi="Arial"/>
        </w:rPr>
        <w:t xml:space="preserve"> from Chapter 2. Where they match what was found in the literature, autonomy, competence and relatedness each predict sustained Clubcard engagement, confirming the SDT core prediction and, remarkably, the result for relatedness is practically identical to that of Peng and Hung (2020). Where the findings add to the literature: contrary to the predicted hierarchy of autonomy first, competence and autonomy were </w:t>
      </w:r>
      <w:r w:rsidR="00224021" w:rsidRPr="00C23322">
        <w:rPr>
          <w:rFonts w:ascii="Arial" w:hAnsi="Arial"/>
        </w:rPr>
        <w:t xml:space="preserve">closely ranked predictors </w:t>
      </w:r>
      <w:r w:rsidRPr="00C23322">
        <w:rPr>
          <w:rFonts w:ascii="Arial" w:hAnsi="Arial"/>
        </w:rPr>
        <w:t>of successful use of the Clubcard in this context, plausibly explained by the effortful and financially consequential nature of successful use in this context. Where the results contradicted or qualified previous expectation, it is important to note that the prediction of Sheldon et al. (2011) that relatedness would increase in importance when experiencing financial hardship was not supported, and neither the amplification account (Vansteenkiste et al., 2010; Davvetas and Sharma, 2023) nor the attenuation account (Mullainathan and Shafir, 2013; Hobfoll, 1989) of the moderating role of financial pressure were supported — financial pressure instead acts as an independent, additive predictor of engagement.</w:t>
      </w:r>
    </w:p>
    <w:p w:rsidR="00186F1F" w:rsidRPr="00C23322" w:rsidRDefault="007B21C0" w:rsidP="007B21C0">
      <w:pPr>
        <w:spacing w:after="120"/>
        <w:rPr>
          <w:rFonts w:ascii="Arial" w:hAnsi="Arial"/>
        </w:rPr>
      </w:pPr>
      <w:r w:rsidRPr="00C23322">
        <w:rPr>
          <w:rFonts w:ascii="Arial" w:hAnsi="Arial"/>
        </w:rPr>
        <w:t>The most explicit relationship that has been theorized and refined by this study is the financial pressure dimension in the conceptual model, which was initially theorized to be a moderator of the three SDT relationships and then later expanded to a fourth direct predictor alongside the three SDT relationships. These refinements are extended in Chapter 6, where the overall theoretical contribution, managerial implications, limitations of the study, and directions for future research stemming directly from these are discussed</w:t>
      </w:r>
      <w:r w:rsidR="00186F1F" w:rsidRPr="00C23322">
        <w:rPr>
          <w:rFonts w:ascii="Arial" w:hAnsi="Arial"/>
        </w:rPr>
        <w:t>.</w:t>
      </w:r>
    </w:p>
    <w:p w:rsidR="00186F1F" w:rsidRPr="00C23322" w:rsidRDefault="00186F1F" w:rsidP="00186F1F">
      <w:pPr>
        <w:spacing w:after="120"/>
        <w:rPr>
          <w:rFonts w:ascii="Arial" w:hAnsi="Arial"/>
        </w:rPr>
      </w:pPr>
      <w:r w:rsidRPr="00C23322">
        <w:rPr>
          <w:rFonts w:ascii="Arial" w:hAnsi="Arial"/>
        </w:rPr>
        <w:br w:type="page"/>
      </w:r>
    </w:p>
    <w:p w:rsidR="00186F1F" w:rsidRPr="00C23322" w:rsidRDefault="00186F1F" w:rsidP="00E326DA">
      <w:pPr>
        <w:pStyle w:val="Heading1"/>
      </w:pPr>
      <w:bookmarkStart w:id="89" w:name="_Toc241116869"/>
      <w:r w:rsidRPr="00C23322">
        <w:lastRenderedPageBreak/>
        <w:t>Chapter 6: Conclusion</w:t>
      </w:r>
      <w:bookmarkEnd w:id="89"/>
    </w:p>
    <w:p w:rsidR="00186F1F" w:rsidRPr="00C23322" w:rsidRDefault="00186F1F" w:rsidP="00186F1F">
      <w:pPr>
        <w:pStyle w:val="Heading2"/>
        <w:spacing w:before="0" w:after="120"/>
        <w:rPr>
          <w:rFonts w:ascii="Arial" w:hAnsi="Arial" w:cs="Arial"/>
        </w:rPr>
      </w:pPr>
      <w:bookmarkStart w:id="90" w:name="_Toc241116870"/>
      <w:r w:rsidRPr="00C23322">
        <w:rPr>
          <w:rFonts w:ascii="Arial" w:hAnsi="Arial" w:cs="Arial"/>
        </w:rPr>
        <w:t>6.1 Introduction</w:t>
      </w:r>
      <w:bookmarkEnd w:id="90"/>
    </w:p>
    <w:p w:rsidR="008D204F" w:rsidRPr="00C23322" w:rsidRDefault="008D204F" w:rsidP="008D204F">
      <w:pPr>
        <w:spacing w:after="120"/>
        <w:rPr>
          <w:rFonts w:ascii="Arial" w:hAnsi="Arial"/>
        </w:rPr>
      </w:pPr>
      <w:r w:rsidRPr="00C23322">
        <w:rPr>
          <w:rFonts w:ascii="Arial" w:hAnsi="Arial"/>
        </w:rPr>
        <w:t xml:space="preserve">This chapter concludes the dissertation. It synthesises the main conclusions which were reached in Chapters 4 and 5, examines the theoretical implications of the conclusions for </w:t>
      </w:r>
      <w:r w:rsidR="002C0901">
        <w:rPr>
          <w:rFonts w:ascii="Arial" w:hAnsi="Arial"/>
        </w:rPr>
        <w:t>Self-Determination Theory</w:t>
      </w:r>
      <w:r w:rsidRPr="00C23322">
        <w:rPr>
          <w:rFonts w:ascii="Arial" w:hAnsi="Arial"/>
        </w:rPr>
        <w:t xml:space="preserve"> and Basic Psychological Needs Theory, offers management implications for retailers who are under financial pressure and operating a </w:t>
      </w:r>
      <w:r w:rsidR="002C0901">
        <w:rPr>
          <w:rFonts w:ascii="Arial" w:hAnsi="Arial"/>
        </w:rPr>
        <w:t>loyalty programm</w:t>
      </w:r>
      <w:r w:rsidRPr="00C23322">
        <w:rPr>
          <w:rFonts w:ascii="Arial" w:hAnsi="Arial"/>
        </w:rPr>
        <w:t>e, exposes limitations of the research design and outlines directions for future research which directly address these limitations.</w:t>
      </w:r>
    </w:p>
    <w:p w:rsidR="00186F1F" w:rsidRPr="00C23322" w:rsidRDefault="008D204F" w:rsidP="008D204F">
      <w:pPr>
        <w:spacing w:after="120"/>
        <w:rPr>
          <w:rFonts w:ascii="Arial" w:hAnsi="Arial"/>
        </w:rPr>
      </w:pPr>
      <w:r w:rsidRPr="00C23322">
        <w:rPr>
          <w:rFonts w:ascii="Arial" w:hAnsi="Arial"/>
        </w:rPr>
        <w:t>The purpose of this study was to investigate the degree to which SDT can account for continued participation in Tesco Clubcard among London consumers in the context of the cost-of-living crisis, employing a quantitative, cross-sectional survey design with 99 active Clubcard users living in Greater London, with data analysed via hierarchical multiple regression and moderation analysis. Chapter 5 discussed those results in relation to the literature reviewed in Chapter 2; this chapter draws together what the study has ultimately contributed</w:t>
      </w:r>
      <w:r w:rsidR="00186F1F" w:rsidRPr="00C23322">
        <w:rPr>
          <w:rFonts w:ascii="Arial" w:hAnsi="Arial"/>
        </w:rPr>
        <w:t>.</w:t>
      </w:r>
    </w:p>
    <w:p w:rsidR="00186F1F" w:rsidRPr="00C23322" w:rsidRDefault="00186F1F" w:rsidP="00186F1F">
      <w:pPr>
        <w:pStyle w:val="Heading2"/>
        <w:spacing w:before="0" w:after="120"/>
        <w:rPr>
          <w:rFonts w:ascii="Arial" w:hAnsi="Arial" w:cs="Arial"/>
        </w:rPr>
      </w:pPr>
      <w:bookmarkStart w:id="91" w:name="_Toc241116871"/>
      <w:r w:rsidRPr="00C23322">
        <w:rPr>
          <w:rFonts w:ascii="Arial" w:hAnsi="Arial" w:cs="Arial"/>
        </w:rPr>
        <w:t>6.2 Brief Summary of Key Findings</w:t>
      </w:r>
      <w:bookmarkEnd w:id="91"/>
    </w:p>
    <w:p w:rsidR="00186F1F" w:rsidRPr="00C23322" w:rsidRDefault="007D5463" w:rsidP="00186F1F">
      <w:pPr>
        <w:spacing w:after="120"/>
        <w:rPr>
          <w:rFonts w:ascii="Arial" w:hAnsi="Arial"/>
        </w:rPr>
      </w:pPr>
      <w:r w:rsidRPr="00C23322">
        <w:rPr>
          <w:rFonts w:ascii="Arial" w:hAnsi="Arial"/>
        </w:rPr>
        <w:t xml:space="preserve">The cross-hypothesis discussion in Chapter 5 highlights four findings. First, all three SDT had strong and positive effects on sustained Clubcard engagement, with autonomy, competence and relatedness accounting for 59.1% of variance (R² = .591), a significant result, particularly in the context of the literature on consumer behaviour and loyalty. Second, autonomy and competence were </w:t>
      </w:r>
      <w:r w:rsidR="00224021" w:rsidRPr="00C23322">
        <w:rPr>
          <w:rFonts w:ascii="Arial" w:hAnsi="Arial"/>
        </w:rPr>
        <w:t xml:space="preserve">closely ranked predictors </w:t>
      </w:r>
      <w:r w:rsidRPr="00C23322">
        <w:rPr>
          <w:rFonts w:ascii="Arial" w:hAnsi="Arial"/>
        </w:rPr>
        <w:t xml:space="preserve">instead of the sequence of dominance expected from previous research investigating digital-context loyalty, which involved a more effortful, cost-of-living context for the Clubcard. Third, relatedness was important but was the weakest predictor and it was not stronger under financial pressure than the account of changing need salience suggested by Sheldon et al. (2011), which may be due to the brief average Clubcard tenure in the sample, but not necessarily reflective of an absence of the effect. Fourth, financial pressure did not significantly moderate the relationships between any of the three SDT needs and Clubcard engagement. This moderation analysis was exploratory and the null findings </w:t>
      </w:r>
      <w:r w:rsidRPr="00C23322">
        <w:rPr>
          <w:rFonts w:ascii="Arial" w:hAnsi="Arial"/>
        </w:rPr>
        <w:lastRenderedPageBreak/>
        <w:t>should be interpreted as inconclusive rather than definitive because of the limited range of Financial Pressure and the exploratory nature of the moderation analysis.</w:t>
      </w:r>
    </w:p>
    <w:p w:rsidR="00DF5295" w:rsidRPr="00C23322" w:rsidRDefault="00DF5295" w:rsidP="00DF5295">
      <w:pPr>
        <w:pStyle w:val="Heading2"/>
        <w:spacing w:before="0" w:after="120"/>
        <w:rPr>
          <w:rFonts w:ascii="Arial" w:hAnsi="Arial" w:cs="Arial"/>
          <w:sz w:val="36"/>
          <w:szCs w:val="36"/>
        </w:rPr>
      </w:pPr>
      <w:bookmarkStart w:id="92" w:name="_Toc241116872"/>
      <w:r w:rsidRPr="00C23322">
        <w:rPr>
          <w:rFonts w:ascii="Arial" w:hAnsi="Arial" w:cs="Arial"/>
        </w:rPr>
        <w:t>6.3 Theoretical Contributions</w:t>
      </w:r>
      <w:bookmarkEnd w:id="92"/>
    </w:p>
    <w:p w:rsidR="00DF5295" w:rsidRPr="00C23322" w:rsidRDefault="00DF5295" w:rsidP="007D5463">
      <w:pPr>
        <w:pStyle w:val="NormalWeb"/>
        <w:spacing w:before="0" w:beforeAutospacing="0" w:after="120" w:afterAutospacing="0" w:line="360" w:lineRule="auto"/>
        <w:jc w:val="both"/>
        <w:rPr>
          <w:rFonts w:ascii="Arial" w:hAnsi="Arial" w:cs="Arial"/>
        </w:rPr>
      </w:pPr>
      <w:r w:rsidRPr="00C23322">
        <w:rPr>
          <w:rFonts w:ascii="Arial" w:hAnsi="Arial" w:cs="Arial"/>
        </w:rPr>
        <w:t xml:space="preserve">This study makes three main theoretical contributions to the literature on </w:t>
      </w:r>
      <w:r w:rsidR="002C0901">
        <w:rPr>
          <w:rFonts w:ascii="Arial" w:hAnsi="Arial" w:cs="Arial"/>
        </w:rPr>
        <w:t>Self-Determination Theory</w:t>
      </w:r>
      <w:r w:rsidRPr="00C23322">
        <w:rPr>
          <w:rFonts w:ascii="Arial" w:hAnsi="Arial" w:cs="Arial"/>
        </w:rPr>
        <w:t xml:space="preserve"> (SDT), </w:t>
      </w:r>
      <w:r w:rsidR="002C0901">
        <w:rPr>
          <w:rFonts w:ascii="Arial" w:hAnsi="Arial" w:cs="Arial"/>
        </w:rPr>
        <w:t>loyalty</w:t>
      </w:r>
      <w:r w:rsidR="00180CC5">
        <w:rPr>
          <w:rFonts w:ascii="Arial" w:hAnsi="Arial" w:cs="Arial"/>
        </w:rPr>
        <w:t xml:space="preserve"> programm</w:t>
      </w:r>
      <w:r w:rsidRPr="00C23322">
        <w:rPr>
          <w:rFonts w:ascii="Arial" w:hAnsi="Arial" w:cs="Arial"/>
        </w:rPr>
        <w:t>e engagement, and consumer behaviour under financial pressure.</w:t>
      </w:r>
    </w:p>
    <w:p w:rsidR="00DF5295" w:rsidRPr="00C23322" w:rsidRDefault="00DF5295" w:rsidP="007D5463">
      <w:pPr>
        <w:pStyle w:val="Heading3"/>
        <w:rPr>
          <w:rFonts w:ascii="Arial" w:hAnsi="Arial" w:cs="Arial"/>
        </w:rPr>
      </w:pPr>
      <w:bookmarkStart w:id="93" w:name="_Toc241116873"/>
      <w:r w:rsidRPr="00C23322">
        <w:rPr>
          <w:rFonts w:ascii="Arial" w:hAnsi="Arial" w:cs="Arial"/>
        </w:rPr>
        <w:t xml:space="preserve">6.3.1 Extending SDT to Mainstream Grocery </w:t>
      </w:r>
      <w:r w:rsidR="002C0901">
        <w:rPr>
          <w:rFonts w:ascii="Arial" w:hAnsi="Arial" w:cs="Arial"/>
        </w:rPr>
        <w:t xml:space="preserve">Loyalty </w:t>
      </w:r>
      <w:r w:rsidR="00180CC5">
        <w:rPr>
          <w:rFonts w:ascii="Arial" w:hAnsi="Arial" w:cs="Arial"/>
        </w:rPr>
        <w:t>programme</w:t>
      </w:r>
      <w:r w:rsidRPr="00C23322">
        <w:rPr>
          <w:rFonts w:ascii="Arial" w:hAnsi="Arial" w:cs="Arial"/>
        </w:rPr>
        <w:t>s</w:t>
      </w:r>
      <w:bookmarkEnd w:id="93"/>
    </w:p>
    <w:p w:rsidR="007D5463" w:rsidRPr="00C23322" w:rsidRDefault="007D5463" w:rsidP="007D5463">
      <w:pPr>
        <w:pStyle w:val="NormalWeb"/>
        <w:spacing w:before="0" w:beforeAutospacing="0" w:after="120" w:afterAutospacing="0" w:line="360" w:lineRule="auto"/>
        <w:jc w:val="both"/>
        <w:rPr>
          <w:rFonts w:ascii="Arial" w:hAnsi="Arial" w:cs="Arial"/>
        </w:rPr>
      </w:pPr>
      <w:r w:rsidRPr="00C23322">
        <w:rPr>
          <w:rFonts w:ascii="Arial" w:hAnsi="Arial" w:cs="Arial"/>
        </w:rPr>
        <w:t xml:space="preserve">The first theoretical contribution is the applicability of </w:t>
      </w:r>
      <w:r w:rsidR="00A25AA9" w:rsidRPr="00C23322">
        <w:rPr>
          <w:rFonts w:ascii="Arial" w:hAnsi="Arial" w:cs="Arial"/>
        </w:rPr>
        <w:t>SDT</w:t>
      </w:r>
      <w:r w:rsidRPr="00C23322">
        <w:rPr>
          <w:rFonts w:ascii="Arial" w:hAnsi="Arial" w:cs="Arial"/>
        </w:rPr>
        <w:t xml:space="preserve"> and the Basic Psychological Needs approach to a mainstream grocery-loyalty context, without any gaming. Most of the previous empirical studies of SDT in the context of loyalty and reward-system engagement have been conducted in digital or gamified contexts (e.g. Peng and Hung, 2020; Xi and Hamari, 2020). This study demonstrates that autonomy, competence and relatedness also significantly contribute to sustained engagement with a high-frequency grocery </w:t>
      </w:r>
      <w:r w:rsidR="002C0901">
        <w:rPr>
          <w:rFonts w:ascii="Arial" w:hAnsi="Arial" w:cs="Arial"/>
        </w:rPr>
        <w:t>loyalty programme</w:t>
      </w:r>
      <w:r w:rsidRPr="00C23322">
        <w:rPr>
          <w:rFonts w:ascii="Arial" w:hAnsi="Arial" w:cs="Arial"/>
        </w:rPr>
        <w:t>. Together, the three needs account for 59.1% of the variance in Clubcard engagement (R² = .591), highlighting a significant explanatory power of the needs in this context.</w:t>
      </w:r>
    </w:p>
    <w:p w:rsidR="00DF5295" w:rsidRPr="00C23322" w:rsidRDefault="007D5463" w:rsidP="00E677DF">
      <w:pPr>
        <w:pStyle w:val="NormalWeb"/>
        <w:spacing w:before="0" w:beforeAutospacing="0" w:after="120" w:afterAutospacing="0" w:line="360" w:lineRule="auto"/>
        <w:jc w:val="both"/>
        <w:rPr>
          <w:rFonts w:ascii="Arial" w:hAnsi="Arial" w:cs="Arial"/>
        </w:rPr>
      </w:pPr>
      <w:r w:rsidRPr="00C23322">
        <w:rPr>
          <w:rFonts w:ascii="Arial" w:hAnsi="Arial" w:cs="Arial"/>
        </w:rPr>
        <w:t xml:space="preserve">This finding extends the conceptual scope of SDT beyond discretionary or digitally mediated consumption to a routine, and more or less utilitarian, consumption context. The grocery </w:t>
      </w:r>
      <w:r w:rsidR="002C0901">
        <w:rPr>
          <w:rFonts w:ascii="Arial" w:hAnsi="Arial" w:cs="Arial"/>
        </w:rPr>
        <w:t>loyalty programme</w:t>
      </w:r>
      <w:r w:rsidRPr="00C23322">
        <w:rPr>
          <w:rFonts w:ascii="Arial" w:hAnsi="Arial" w:cs="Arial"/>
        </w:rPr>
        <w:t xml:space="preserve"> is especially relevant because it</w:t>
      </w:r>
      <w:r w:rsidR="00836341" w:rsidRPr="00C23322">
        <w:rPr>
          <w:rFonts w:ascii="Arial" w:hAnsi="Arial" w:cs="Arial"/>
        </w:rPr>
        <w:t xml:space="preserve"> i</w:t>
      </w:r>
      <w:r w:rsidRPr="00C23322">
        <w:rPr>
          <w:rFonts w:ascii="Arial" w:hAnsi="Arial" w:cs="Arial"/>
        </w:rPr>
        <w:t xml:space="preserve">s a </w:t>
      </w:r>
      <w:r w:rsidR="00180CC5">
        <w:rPr>
          <w:rFonts w:ascii="Arial" w:hAnsi="Arial" w:cs="Arial"/>
        </w:rPr>
        <w:t>programme</w:t>
      </w:r>
      <w:r w:rsidRPr="00C23322">
        <w:rPr>
          <w:rFonts w:ascii="Arial" w:hAnsi="Arial" w:cs="Arial"/>
        </w:rPr>
        <w:t xml:space="preserve"> consumers engage with on a regular basis when shopping for groceries, rather than as a </w:t>
      </w:r>
      <w:r w:rsidR="00836341" w:rsidRPr="00C23322">
        <w:rPr>
          <w:rFonts w:ascii="Arial" w:hAnsi="Arial" w:cs="Arial"/>
        </w:rPr>
        <w:t xml:space="preserve">game-like or explicitly gamified </w:t>
      </w:r>
      <w:r w:rsidRPr="00C23322">
        <w:rPr>
          <w:rFonts w:ascii="Arial" w:hAnsi="Arial" w:cs="Arial"/>
        </w:rPr>
        <w:t>experience. The results thus suggest that SDT is applicable to consumer engagement in routine retail environments.</w:t>
      </w:r>
    </w:p>
    <w:p w:rsidR="00DF5295" w:rsidRPr="00C23322" w:rsidRDefault="00DF5295" w:rsidP="00E677DF">
      <w:pPr>
        <w:pStyle w:val="Heading3"/>
        <w:rPr>
          <w:rFonts w:ascii="Arial" w:hAnsi="Arial" w:cs="Arial"/>
        </w:rPr>
      </w:pPr>
      <w:bookmarkStart w:id="94" w:name="_Toc241116874"/>
      <w:r w:rsidRPr="00C23322">
        <w:rPr>
          <w:rFonts w:ascii="Arial" w:hAnsi="Arial" w:cs="Arial"/>
        </w:rPr>
        <w:t>6.3.2 Demonstrating Context-Dependent Differences in the Relative Importance of Psychological Needs</w:t>
      </w:r>
      <w:bookmarkEnd w:id="94"/>
    </w:p>
    <w:p w:rsidR="00E677DF" w:rsidRPr="00C23322" w:rsidRDefault="00E677DF" w:rsidP="00E677DF">
      <w:pPr>
        <w:pStyle w:val="NormalWeb"/>
        <w:spacing w:before="0" w:beforeAutospacing="0" w:after="120" w:afterAutospacing="0" w:line="360" w:lineRule="auto"/>
        <w:jc w:val="both"/>
        <w:rPr>
          <w:rFonts w:ascii="Arial" w:hAnsi="Arial" w:cs="Arial"/>
        </w:rPr>
      </w:pPr>
      <w:r w:rsidRPr="00C23322">
        <w:rPr>
          <w:rFonts w:ascii="Arial" w:hAnsi="Arial" w:cs="Arial"/>
        </w:rPr>
        <w:t xml:space="preserve">The second theoretical contribution relates to the relative importance of the three psychological needs. Past studies indicate higher levels of significance for autonomy in other digital and loyalty situations. This study, however, revealed that only autonomy and competence were co-dominant predictors of continued Clubcard involvement and that relatedness was the poorest predictor. This indicates that SDT's core psychological </w:t>
      </w:r>
      <w:r w:rsidRPr="00C23322">
        <w:rPr>
          <w:rFonts w:ascii="Arial" w:hAnsi="Arial" w:cs="Arial"/>
        </w:rPr>
        <w:lastRenderedPageBreak/>
        <w:t>needs could be more or less important depending on the nature of the consumption situation and not necessarily in a universal order.</w:t>
      </w:r>
    </w:p>
    <w:p w:rsidR="00E677DF" w:rsidRPr="00C23322" w:rsidRDefault="00E677DF" w:rsidP="00E677DF">
      <w:pPr>
        <w:pStyle w:val="NormalWeb"/>
        <w:spacing w:before="0" w:beforeAutospacing="0" w:after="120" w:afterAutospacing="0" w:line="360" w:lineRule="auto"/>
        <w:jc w:val="both"/>
        <w:rPr>
          <w:rFonts w:ascii="Arial" w:hAnsi="Arial" w:cs="Arial"/>
        </w:rPr>
      </w:pPr>
      <w:r w:rsidRPr="00C23322">
        <w:rPr>
          <w:rFonts w:ascii="Arial" w:hAnsi="Arial" w:cs="Arial"/>
        </w:rPr>
        <w:t xml:space="preserve">The Clubcard context involves a more consequential and effort-related task because consumers must identify, understand and successfully use discounts to obtain tangible financial benefits. Competence can then become especially relevant in situations where consumers would like to feel competent </w:t>
      </w:r>
      <w:r w:rsidR="00836341" w:rsidRPr="00C23322">
        <w:rPr>
          <w:rFonts w:ascii="Arial" w:hAnsi="Arial" w:cs="Arial"/>
        </w:rPr>
        <w:t xml:space="preserve">in using the </w:t>
      </w:r>
      <w:r w:rsidR="002C0901">
        <w:rPr>
          <w:rFonts w:ascii="Arial" w:hAnsi="Arial" w:cs="Arial"/>
        </w:rPr>
        <w:t>programme</w:t>
      </w:r>
      <w:r w:rsidR="00836341" w:rsidRPr="00C23322">
        <w:rPr>
          <w:rFonts w:ascii="Arial" w:hAnsi="Arial" w:cs="Arial"/>
        </w:rPr>
        <w:t xml:space="preserve"> effectively </w:t>
      </w:r>
      <w:r w:rsidRPr="00C23322">
        <w:rPr>
          <w:rFonts w:ascii="Arial" w:hAnsi="Arial" w:cs="Arial"/>
        </w:rPr>
        <w:t>and to save successfully. This leads to a more context-sensitive interpretation of SDT in consumer behaviour: although these psychological needs are theoretically relevant, their relative contribution might be a function of the effortfulness, consequentiality and practical value of the target behaviour.</w:t>
      </w:r>
    </w:p>
    <w:p w:rsidR="00DF5295" w:rsidRPr="00C23322" w:rsidRDefault="00E677DF" w:rsidP="00E677DF">
      <w:pPr>
        <w:pStyle w:val="NormalWeb"/>
        <w:spacing w:before="0" w:beforeAutospacing="0" w:after="120" w:afterAutospacing="0" w:line="360" w:lineRule="auto"/>
        <w:jc w:val="both"/>
        <w:rPr>
          <w:rFonts w:ascii="Arial" w:hAnsi="Arial" w:cs="Arial"/>
        </w:rPr>
      </w:pPr>
      <w:r w:rsidRPr="00C23322">
        <w:rPr>
          <w:rFonts w:ascii="Arial" w:hAnsi="Arial" w:cs="Arial"/>
        </w:rPr>
        <w:t xml:space="preserve">Other theoretically qualifying factors are the weaker role of relatedness. However, rather than suggesting that relatedness is not important for </w:t>
      </w:r>
      <w:r w:rsidR="002C0901">
        <w:rPr>
          <w:rFonts w:ascii="Arial" w:hAnsi="Arial" w:cs="Arial"/>
        </w:rPr>
        <w:t>loyalty programme</w:t>
      </w:r>
      <w:r w:rsidR="00180CC5">
        <w:rPr>
          <w:rFonts w:ascii="Arial" w:hAnsi="Arial" w:cs="Arial"/>
        </w:rPr>
        <w:t>s</w:t>
      </w:r>
      <w:r w:rsidRPr="00C23322">
        <w:rPr>
          <w:rFonts w:ascii="Arial" w:hAnsi="Arial" w:cs="Arial"/>
        </w:rPr>
        <w:t xml:space="preserve"> generally, the study suggests that perhaps it depends on the opportunity for meaningful recognition and on the extent of accumulated interactions between consumers and the retailer. Such opportunities may be limited, especially for those who have recently joined a </w:t>
      </w:r>
      <w:r w:rsidR="002C0901">
        <w:rPr>
          <w:rFonts w:ascii="Arial" w:hAnsi="Arial" w:cs="Arial"/>
        </w:rPr>
        <w:t>loyalty programme</w:t>
      </w:r>
      <w:r w:rsidR="00180CC5">
        <w:rPr>
          <w:rFonts w:ascii="Arial" w:hAnsi="Arial" w:cs="Arial"/>
        </w:rPr>
        <w:t>, in a more automated and app-</w:t>
      </w:r>
      <w:r w:rsidRPr="00C23322">
        <w:rPr>
          <w:rFonts w:ascii="Arial" w:hAnsi="Arial" w:cs="Arial"/>
        </w:rPr>
        <w:t>mediated environment</w:t>
      </w:r>
      <w:r w:rsidR="00DF5295" w:rsidRPr="00C23322">
        <w:rPr>
          <w:rFonts w:ascii="Arial" w:hAnsi="Arial" w:cs="Arial"/>
        </w:rPr>
        <w:t>.</w:t>
      </w:r>
    </w:p>
    <w:p w:rsidR="008C2CC8" w:rsidRPr="00C23322" w:rsidRDefault="008C2CC8" w:rsidP="00E677DF">
      <w:pPr>
        <w:pStyle w:val="Heading3"/>
        <w:rPr>
          <w:rFonts w:ascii="Arial" w:hAnsi="Arial" w:cs="Arial"/>
        </w:rPr>
      </w:pPr>
      <w:bookmarkStart w:id="95" w:name="_Toc241116875"/>
      <w:r w:rsidRPr="00C23322">
        <w:rPr>
          <w:rStyle w:val="Strong"/>
          <w:rFonts w:ascii="Arial" w:hAnsi="Arial" w:cs="Arial"/>
          <w:b/>
          <w:bCs/>
        </w:rPr>
        <w:t>6.3.3 The Inconclusive Role of Financial Pressure as a Moderator</w:t>
      </w:r>
      <w:bookmarkEnd w:id="95"/>
    </w:p>
    <w:p w:rsidR="00186F1F" w:rsidRPr="00C23322" w:rsidRDefault="00E677DF" w:rsidP="00E677DF">
      <w:pPr>
        <w:pStyle w:val="ds-markdown-paragraph"/>
        <w:shd w:val="clear" w:color="auto" w:fill="FFFFFF"/>
        <w:spacing w:before="0" w:beforeAutospacing="0" w:after="120" w:afterAutospacing="0" w:line="360" w:lineRule="auto"/>
        <w:jc w:val="both"/>
        <w:rPr>
          <w:rFonts w:ascii="Arial" w:hAnsi="Arial" w:cs="Arial"/>
          <w:color w:val="0F1115"/>
        </w:rPr>
      </w:pPr>
      <w:r w:rsidRPr="00C23322">
        <w:rPr>
          <w:rFonts w:ascii="Arial" w:hAnsi="Arial" w:cs="Arial"/>
          <w:color w:val="0F1115"/>
        </w:rPr>
        <w:t>The study did not provide evidence for the moderation of the relationship between SDT need satisfaction and engagement by financial pressure; however, this may not be conclusive due to the limited range of Financial Pressure and the exploratory nature of the moderation analysis. The methodological contribution here is twofold: it shows that the test of moderation is challenging in samples with limited moderator variance, and future work needs to use income-diverse samples in order to adequately test the moderating role of financial pressure</w:t>
      </w:r>
      <w:r w:rsidR="008C2CC8" w:rsidRPr="00C23322">
        <w:rPr>
          <w:rFonts w:ascii="Arial" w:hAnsi="Arial" w:cs="Arial"/>
          <w:color w:val="0F1115"/>
        </w:rPr>
        <w:t>.</w:t>
      </w:r>
    </w:p>
    <w:p w:rsidR="00DF5295" w:rsidRPr="00C23322" w:rsidRDefault="00DF5295" w:rsidP="00E677DF">
      <w:pPr>
        <w:pStyle w:val="Heading2"/>
        <w:spacing w:before="0" w:after="120"/>
        <w:rPr>
          <w:rFonts w:ascii="Arial" w:hAnsi="Arial" w:cs="Arial"/>
          <w:sz w:val="36"/>
          <w:szCs w:val="36"/>
        </w:rPr>
      </w:pPr>
      <w:bookmarkStart w:id="96" w:name="_Toc241116876"/>
      <w:r w:rsidRPr="00C23322">
        <w:rPr>
          <w:rFonts w:ascii="Arial" w:hAnsi="Arial" w:cs="Arial"/>
        </w:rPr>
        <w:t>6.4 Managerial Implications</w:t>
      </w:r>
      <w:bookmarkEnd w:id="96"/>
    </w:p>
    <w:p w:rsidR="00DF5295" w:rsidRPr="00C23322" w:rsidRDefault="00DF5295" w:rsidP="00836341">
      <w:pPr>
        <w:pStyle w:val="NormalWeb"/>
        <w:spacing w:before="0" w:beforeAutospacing="0" w:after="120" w:afterAutospacing="0" w:line="360" w:lineRule="auto"/>
        <w:jc w:val="both"/>
        <w:rPr>
          <w:rFonts w:ascii="Arial" w:hAnsi="Arial" w:cs="Arial"/>
        </w:rPr>
      </w:pPr>
      <w:r w:rsidRPr="00C23322">
        <w:rPr>
          <w:rFonts w:ascii="Arial" w:hAnsi="Arial" w:cs="Arial"/>
        </w:rPr>
        <w:t xml:space="preserve">Four practical implications follow from the findings. Each implication identifies what Tesco and other grocery </w:t>
      </w:r>
      <w:r w:rsidR="002C0901">
        <w:rPr>
          <w:rFonts w:ascii="Arial" w:hAnsi="Arial" w:cs="Arial"/>
        </w:rPr>
        <w:t xml:space="preserve">loyalty </w:t>
      </w:r>
      <w:r w:rsidR="00180CC5">
        <w:rPr>
          <w:rFonts w:ascii="Arial" w:hAnsi="Arial" w:cs="Arial"/>
        </w:rPr>
        <w:t>programme</w:t>
      </w:r>
      <w:r w:rsidRPr="00C23322">
        <w:rPr>
          <w:rFonts w:ascii="Arial" w:hAnsi="Arial" w:cs="Arial"/>
        </w:rPr>
        <w:t xml:space="preserve"> managers should do, why the action is relevant, how it can be implemented, and how its effectiveness can be assessed.</w:t>
      </w:r>
    </w:p>
    <w:p w:rsidR="00DF5295" w:rsidRPr="00C23322" w:rsidRDefault="00DF5295" w:rsidP="00836341">
      <w:pPr>
        <w:pStyle w:val="Heading3"/>
        <w:rPr>
          <w:rFonts w:ascii="Arial" w:hAnsi="Arial" w:cs="Arial"/>
        </w:rPr>
      </w:pPr>
      <w:bookmarkStart w:id="97" w:name="_Toc241116877"/>
      <w:r w:rsidRPr="00C23322">
        <w:rPr>
          <w:rFonts w:ascii="Arial" w:hAnsi="Arial" w:cs="Arial"/>
        </w:rPr>
        <w:t>6.4.1 Strengthen Both Autonomy and Competence in Clubcard Use</w:t>
      </w:r>
      <w:bookmarkEnd w:id="97"/>
    </w:p>
    <w:p w:rsidR="00E677DF" w:rsidRPr="00C23322" w:rsidRDefault="00E677DF" w:rsidP="00836341">
      <w:pPr>
        <w:pStyle w:val="NormalWeb"/>
        <w:spacing w:before="0" w:beforeAutospacing="0" w:after="120" w:afterAutospacing="0" w:line="360" w:lineRule="auto"/>
        <w:jc w:val="both"/>
        <w:rPr>
          <w:rFonts w:ascii="Arial" w:hAnsi="Arial" w:cs="Arial"/>
        </w:rPr>
      </w:pPr>
      <w:r w:rsidRPr="00C23322">
        <w:rPr>
          <w:rFonts w:ascii="Arial" w:hAnsi="Arial" w:cs="Arial"/>
        </w:rPr>
        <w:lastRenderedPageBreak/>
        <w:t>Firstly, Tesco should focus more on enhancing the customers' perception of choice and the utility value of the Clubcard, not just on the personalised offers. The results indicate that the two factors of autonomy and competence were of almost equal significance in predicting consistency in Clubcard use. Therefore, Tesco should make Clubcard Prices and personalised offers both easy to choose and easy to use.</w:t>
      </w:r>
    </w:p>
    <w:p w:rsidR="00E677DF" w:rsidRPr="00C23322" w:rsidRDefault="00E677DF" w:rsidP="00836341">
      <w:pPr>
        <w:pStyle w:val="NormalWeb"/>
        <w:spacing w:before="0" w:beforeAutospacing="0" w:after="120" w:afterAutospacing="0" w:line="360" w:lineRule="auto"/>
        <w:jc w:val="both"/>
        <w:rPr>
          <w:rFonts w:ascii="Arial" w:hAnsi="Arial" w:cs="Arial"/>
        </w:rPr>
      </w:pPr>
      <w:r w:rsidRPr="00C23322">
        <w:rPr>
          <w:rFonts w:ascii="Arial" w:hAnsi="Arial" w:cs="Arial"/>
        </w:rPr>
        <w:t>The Tesco Clubcard app should display offers tailored to each individual shopper in a simple format, from which they can clearly see how they can benefit from each offer, and also how much they have saved using the Clubcard Prices. The redemption process should require as few steps as possible, while the app and in-store communication should make it clear when a Clubcard discount has been successfully applied. Tesco could also provide a running summary of savings so that customers can easily recognise the financial benefit of using Clubcard.</w:t>
      </w:r>
    </w:p>
    <w:p w:rsidR="00DF5295" w:rsidRPr="00C23322" w:rsidRDefault="00E677DF" w:rsidP="00836341">
      <w:pPr>
        <w:pStyle w:val="NormalWeb"/>
        <w:spacing w:before="0" w:beforeAutospacing="0" w:after="120" w:afterAutospacing="0" w:line="360" w:lineRule="auto"/>
        <w:jc w:val="both"/>
        <w:rPr>
          <w:rFonts w:ascii="Arial" w:hAnsi="Arial" w:cs="Arial"/>
        </w:rPr>
      </w:pPr>
      <w:r w:rsidRPr="00C23322">
        <w:rPr>
          <w:rFonts w:ascii="Arial" w:hAnsi="Arial" w:cs="Arial"/>
        </w:rPr>
        <w:t>The effectiveness of these changes could be assessed through Clubcard offer redemption rates, customer-reported ease of use, successful offer activation, and the frequency of Clubcard Price usage per shopping trip. This would give Tesco an indicator as to whether increased competence is resulting in increased engagement</w:t>
      </w:r>
      <w:r w:rsidR="00DF5295" w:rsidRPr="00C23322">
        <w:rPr>
          <w:rFonts w:ascii="Arial" w:hAnsi="Arial" w:cs="Arial"/>
        </w:rPr>
        <w:t>.</w:t>
      </w:r>
    </w:p>
    <w:p w:rsidR="00DF5295" w:rsidRPr="00C23322" w:rsidRDefault="00DF5295" w:rsidP="00836341">
      <w:pPr>
        <w:pStyle w:val="Heading3"/>
        <w:rPr>
          <w:rFonts w:ascii="Arial" w:hAnsi="Arial" w:cs="Arial"/>
        </w:rPr>
      </w:pPr>
      <w:bookmarkStart w:id="98" w:name="_Toc241116878"/>
      <w:r w:rsidRPr="00C23322">
        <w:rPr>
          <w:rFonts w:ascii="Arial" w:hAnsi="Arial" w:cs="Arial"/>
        </w:rPr>
        <w:t>6.4.2 Develop Relatedness through Tenure-Based Recognition</w:t>
      </w:r>
      <w:bookmarkEnd w:id="98"/>
    </w:p>
    <w:p w:rsidR="00E677DF" w:rsidRPr="00C23322" w:rsidRDefault="00E677DF" w:rsidP="00836341">
      <w:pPr>
        <w:pStyle w:val="NormalWeb"/>
        <w:spacing w:before="0" w:beforeAutospacing="0" w:after="120" w:afterAutospacing="0" w:line="360" w:lineRule="auto"/>
        <w:jc w:val="both"/>
        <w:rPr>
          <w:rFonts w:ascii="Arial" w:hAnsi="Arial" w:cs="Arial"/>
        </w:rPr>
      </w:pPr>
      <w:r w:rsidRPr="00C23322">
        <w:rPr>
          <w:rFonts w:ascii="Arial" w:hAnsi="Arial" w:cs="Arial"/>
        </w:rPr>
        <w:t xml:space="preserve">Second, Tesco should develop opportunities for customers to feel recognised as individual Clubcard members, particularly because relatedness was the weakest predictor in this study. But this discovery does not mean that relatedness-building strategies are not effective. The relatively short Clubcard tenure of many respondents may have limited the opportunity for customers to develop a strong sense of recognition through the </w:t>
      </w:r>
      <w:r w:rsidR="002C0901">
        <w:rPr>
          <w:rFonts w:ascii="Arial" w:hAnsi="Arial" w:cs="Arial"/>
        </w:rPr>
        <w:t>programme</w:t>
      </w:r>
      <w:r w:rsidRPr="00C23322">
        <w:rPr>
          <w:rFonts w:ascii="Arial" w:hAnsi="Arial" w:cs="Arial"/>
        </w:rPr>
        <w:t>.</w:t>
      </w:r>
    </w:p>
    <w:p w:rsidR="00E677DF" w:rsidRPr="00C23322" w:rsidRDefault="00E677DF" w:rsidP="00836341">
      <w:pPr>
        <w:pStyle w:val="NormalWeb"/>
        <w:spacing w:before="0" w:beforeAutospacing="0" w:after="120" w:afterAutospacing="0" w:line="360" w:lineRule="auto"/>
        <w:jc w:val="both"/>
        <w:rPr>
          <w:rFonts w:ascii="Arial" w:hAnsi="Arial" w:cs="Arial"/>
        </w:rPr>
      </w:pPr>
      <w:r w:rsidRPr="00C23322">
        <w:rPr>
          <w:rFonts w:ascii="Arial" w:hAnsi="Arial" w:cs="Arial"/>
        </w:rPr>
        <w:t xml:space="preserve">Tesco could thus create personalised communications that recognize the longevity of membership, rewards for long-term engagement, or messages that celebrate customers' ongoing use of Clubcard, among other examples. Onboarding communications could be shorter-term focussed on building a stronger relationship with the </w:t>
      </w:r>
      <w:r w:rsidR="002C0901">
        <w:rPr>
          <w:rFonts w:ascii="Arial" w:hAnsi="Arial" w:cs="Arial"/>
        </w:rPr>
        <w:t>programme</w:t>
      </w:r>
      <w:r w:rsidRPr="00C23322">
        <w:rPr>
          <w:rFonts w:ascii="Arial" w:hAnsi="Arial" w:cs="Arial"/>
        </w:rPr>
        <w:t xml:space="preserve"> for shorter-term members and longer-term focussed on more personalised recognition for longer-term members.</w:t>
      </w:r>
    </w:p>
    <w:p w:rsidR="00DF5295" w:rsidRPr="00C23322" w:rsidRDefault="00E677DF" w:rsidP="00836341">
      <w:pPr>
        <w:pStyle w:val="NormalWeb"/>
        <w:spacing w:before="0" w:beforeAutospacing="0" w:after="120" w:afterAutospacing="0" w:line="360" w:lineRule="auto"/>
        <w:jc w:val="both"/>
        <w:rPr>
          <w:rFonts w:ascii="Arial" w:hAnsi="Arial" w:cs="Arial"/>
        </w:rPr>
      </w:pPr>
      <w:r w:rsidRPr="00C23322">
        <w:rPr>
          <w:rFonts w:ascii="Arial" w:hAnsi="Arial" w:cs="Arial"/>
        </w:rPr>
        <w:lastRenderedPageBreak/>
        <w:t xml:space="preserve">These </w:t>
      </w:r>
      <w:r w:rsidR="00180CC5">
        <w:rPr>
          <w:rFonts w:ascii="Arial" w:hAnsi="Arial" w:cs="Arial"/>
        </w:rPr>
        <w:t>programme</w:t>
      </w:r>
      <w:r w:rsidRPr="00C23322">
        <w:rPr>
          <w:rFonts w:ascii="Arial" w:hAnsi="Arial" w:cs="Arial"/>
        </w:rPr>
        <w:t xml:space="preserve">s should be evaluated longitudinally and not by a single cross-sectional measurement. Tesco could compare engagement, retention and relatedness-related survey responses across different Clubcard tenure groups. This would help establish whether feelings of recognition increase as customers develop a longer relationship with the </w:t>
      </w:r>
      <w:r w:rsidR="002C0901">
        <w:rPr>
          <w:rFonts w:ascii="Arial" w:hAnsi="Arial" w:cs="Arial"/>
        </w:rPr>
        <w:t>programme</w:t>
      </w:r>
      <w:r w:rsidR="00DF5295" w:rsidRPr="00C23322">
        <w:rPr>
          <w:rFonts w:ascii="Arial" w:hAnsi="Arial" w:cs="Arial"/>
        </w:rPr>
        <w:t>.</w:t>
      </w:r>
    </w:p>
    <w:p w:rsidR="00DF5295" w:rsidRPr="00C23322" w:rsidRDefault="00DF5295" w:rsidP="00E677DF">
      <w:pPr>
        <w:pStyle w:val="Heading3"/>
        <w:rPr>
          <w:rFonts w:ascii="Arial" w:hAnsi="Arial" w:cs="Arial"/>
        </w:rPr>
      </w:pPr>
      <w:bookmarkStart w:id="99" w:name="_Toc241116879"/>
      <w:r w:rsidRPr="00C23322">
        <w:rPr>
          <w:rFonts w:ascii="Arial" w:hAnsi="Arial" w:cs="Arial"/>
        </w:rPr>
        <w:t>6.4.3 Strengthen the Three Psychological Needs across Customer Groups</w:t>
      </w:r>
      <w:bookmarkEnd w:id="99"/>
    </w:p>
    <w:p w:rsidR="00E677DF" w:rsidRPr="00C23322" w:rsidRDefault="00E677DF" w:rsidP="00E677DF">
      <w:pPr>
        <w:pStyle w:val="NormalWeb"/>
        <w:spacing w:before="0" w:beforeAutospacing="0" w:after="120" w:afterAutospacing="0" w:line="360" w:lineRule="auto"/>
        <w:jc w:val="both"/>
        <w:rPr>
          <w:rFonts w:ascii="Arial" w:hAnsi="Arial" w:cs="Arial"/>
        </w:rPr>
      </w:pPr>
      <w:r w:rsidRPr="00C23322">
        <w:rPr>
          <w:rFonts w:ascii="Arial" w:hAnsi="Arial" w:cs="Arial"/>
        </w:rPr>
        <w:t xml:space="preserve">Third, </w:t>
      </w:r>
      <w:r w:rsidR="00836341" w:rsidRPr="00C23322">
        <w:rPr>
          <w:rFonts w:ascii="Arial" w:hAnsi="Arial" w:cs="Arial"/>
        </w:rPr>
        <w:t xml:space="preserve">the findings do not indicate a need for a fundamentally different </w:t>
      </w:r>
      <w:r w:rsidR="002C0901">
        <w:rPr>
          <w:rFonts w:ascii="Arial" w:hAnsi="Arial" w:cs="Arial"/>
        </w:rPr>
        <w:t xml:space="preserve">loyalty </w:t>
      </w:r>
      <w:r w:rsidR="00180CC5">
        <w:rPr>
          <w:rFonts w:ascii="Arial" w:hAnsi="Arial" w:cs="Arial"/>
        </w:rPr>
        <w:t>programme</w:t>
      </w:r>
      <w:r w:rsidR="00836341" w:rsidRPr="00C23322">
        <w:rPr>
          <w:rFonts w:ascii="Arial" w:hAnsi="Arial" w:cs="Arial"/>
        </w:rPr>
        <w:t xml:space="preserve"> for financially pressured customers. Instead, Tesco could strengthen </w:t>
      </w:r>
      <w:r w:rsidRPr="00C23322">
        <w:rPr>
          <w:rFonts w:ascii="Arial" w:hAnsi="Arial" w:cs="Arial"/>
        </w:rPr>
        <w:t>for customers who are feeling the pinch, but rather should bolster the sense of autonomy, competence and relatedness in the Clubcard customer base. The moderation analysis found that financial pressure did not significantly change the relationships between the three psychological needs and sustained engagement.</w:t>
      </w:r>
    </w:p>
    <w:p w:rsidR="00E677DF" w:rsidRPr="00C23322" w:rsidRDefault="00E677DF" w:rsidP="00E677DF">
      <w:pPr>
        <w:pStyle w:val="NormalWeb"/>
        <w:spacing w:before="0" w:beforeAutospacing="0" w:after="120" w:afterAutospacing="0" w:line="360" w:lineRule="auto"/>
        <w:jc w:val="both"/>
        <w:rPr>
          <w:rFonts w:ascii="Arial" w:hAnsi="Arial" w:cs="Arial"/>
        </w:rPr>
      </w:pPr>
      <w:r w:rsidRPr="00C23322">
        <w:rPr>
          <w:rFonts w:ascii="Arial" w:hAnsi="Arial" w:cs="Arial"/>
        </w:rPr>
        <w:t>So Tesco should preserve the fundamental Clubcard experience and enhance the three need-satisfaction pathways for all customer groups. For instance, autonomy may be promoted by providing meaningful choices and customized offers, competence by making information more transparent and redemption more straightforward and relatedness by using personalized communication and recognition.</w:t>
      </w:r>
    </w:p>
    <w:p w:rsidR="00DF5295" w:rsidRPr="00C23322" w:rsidRDefault="00E677DF" w:rsidP="00E677DF">
      <w:pPr>
        <w:pStyle w:val="NormalWeb"/>
        <w:spacing w:before="0" w:beforeAutospacing="0" w:after="120" w:afterAutospacing="0" w:line="360" w:lineRule="auto"/>
        <w:jc w:val="both"/>
        <w:rPr>
          <w:rFonts w:ascii="Arial" w:hAnsi="Arial" w:cs="Arial"/>
        </w:rPr>
      </w:pPr>
      <w:r w:rsidRPr="00C23322">
        <w:rPr>
          <w:rFonts w:ascii="Arial" w:hAnsi="Arial" w:cs="Arial"/>
        </w:rPr>
        <w:t xml:space="preserve">Implementation should include stress testing these improvements with various customer segments and observing if engagement grows </w:t>
      </w:r>
      <w:r w:rsidR="002C0901">
        <w:rPr>
          <w:rFonts w:ascii="Arial" w:hAnsi="Arial" w:cs="Arial"/>
        </w:rPr>
        <w:t>among</w:t>
      </w:r>
      <w:r w:rsidRPr="00C23322">
        <w:rPr>
          <w:rFonts w:ascii="Arial" w:hAnsi="Arial" w:cs="Arial"/>
        </w:rPr>
        <w:t xml:space="preserve"> all the customer segments or just customers who are under financial pressure. Tesco could track variations in engagement, as well as usage, customer satisfaction and continued Clubcard participation among different income/financial stress cohorts after making certain improvements in the </w:t>
      </w:r>
      <w:r w:rsidR="002C0901">
        <w:rPr>
          <w:rFonts w:ascii="Arial" w:hAnsi="Arial" w:cs="Arial"/>
        </w:rPr>
        <w:t>programme</w:t>
      </w:r>
      <w:r w:rsidR="00DF5295" w:rsidRPr="00C23322">
        <w:rPr>
          <w:rFonts w:ascii="Arial" w:hAnsi="Arial" w:cs="Arial"/>
        </w:rPr>
        <w:t>.</w:t>
      </w:r>
    </w:p>
    <w:p w:rsidR="00DF5295" w:rsidRPr="00C23322" w:rsidRDefault="00DF5295" w:rsidP="00E677DF">
      <w:pPr>
        <w:pStyle w:val="Heading3"/>
        <w:rPr>
          <w:rFonts w:ascii="Arial" w:hAnsi="Arial" w:cs="Arial"/>
        </w:rPr>
      </w:pPr>
      <w:bookmarkStart w:id="100" w:name="_Toc241116880"/>
      <w:r w:rsidRPr="00C23322">
        <w:rPr>
          <w:rFonts w:ascii="Arial" w:hAnsi="Arial" w:cs="Arial"/>
        </w:rPr>
        <w:t>6.4.4 Make Financial Savings More Visible to Financially Pressured Customers</w:t>
      </w:r>
      <w:bookmarkEnd w:id="100"/>
    </w:p>
    <w:p w:rsidR="00E677DF" w:rsidRPr="00C23322" w:rsidRDefault="00E677DF" w:rsidP="00E677DF">
      <w:pPr>
        <w:pStyle w:val="ds-markdown-paragraph"/>
        <w:shd w:val="clear" w:color="auto" w:fill="FFFFFF"/>
        <w:spacing w:before="0" w:beforeAutospacing="0" w:after="120" w:afterAutospacing="0" w:line="360" w:lineRule="auto"/>
        <w:jc w:val="both"/>
        <w:rPr>
          <w:rFonts w:ascii="Arial" w:hAnsi="Arial" w:cs="Arial"/>
          <w:color w:val="0F1115"/>
        </w:rPr>
      </w:pPr>
      <w:r w:rsidRPr="00C23322">
        <w:rPr>
          <w:rFonts w:ascii="Arial" w:hAnsi="Arial" w:cs="Arial"/>
          <w:color w:val="0F1115"/>
        </w:rPr>
        <w:t xml:space="preserve">Fourth, Tesco </w:t>
      </w:r>
      <w:r w:rsidR="00836341" w:rsidRPr="00C23322">
        <w:rPr>
          <w:rFonts w:ascii="Arial" w:hAnsi="Arial" w:cs="Arial"/>
        </w:rPr>
        <w:t xml:space="preserve">could consider </w:t>
      </w:r>
      <w:r w:rsidRPr="00C23322">
        <w:rPr>
          <w:rFonts w:ascii="Arial" w:hAnsi="Arial" w:cs="Arial"/>
          <w:color w:val="0F1115"/>
        </w:rPr>
        <w:t xml:space="preserve">increasing the transparency of the monetary value they get for the Clubcard for those customers who are under more financial strain. Although financial pressure did not moderate the SDT–engagement relationships, an exploratory bivariate correlation with sustained engagement was observed (r = .481). This association was not hypothesised and the income range of the sample may limit this association; </w:t>
      </w:r>
      <w:r w:rsidRPr="00C23322">
        <w:rPr>
          <w:rFonts w:ascii="Arial" w:hAnsi="Arial" w:cs="Arial"/>
          <w:color w:val="0F1115"/>
        </w:rPr>
        <w:lastRenderedPageBreak/>
        <w:t xml:space="preserve">therefore, it should be interpreted as suggestive and </w:t>
      </w:r>
      <w:r w:rsidR="002C0901">
        <w:rPr>
          <w:rFonts w:ascii="Arial" w:hAnsi="Arial" w:cs="Arial"/>
          <w:color w:val="0F1115"/>
        </w:rPr>
        <w:t>programme</w:t>
      </w:r>
      <w:r w:rsidRPr="00C23322">
        <w:rPr>
          <w:rFonts w:ascii="Arial" w:hAnsi="Arial" w:cs="Arial"/>
          <w:color w:val="0F1115"/>
        </w:rPr>
        <w:t xml:space="preserve"> changes as a result of this association should be carefully piloted and tested. However, if the association is real, it suggests a promising avenue to explore: consumers under financial strain may be more interested in a savings scheme that they can clearly see.</w:t>
      </w:r>
    </w:p>
    <w:p w:rsidR="00E677DF" w:rsidRPr="00C23322" w:rsidRDefault="00E677DF" w:rsidP="00E677DF">
      <w:pPr>
        <w:pStyle w:val="ds-markdown-paragraph"/>
        <w:shd w:val="clear" w:color="auto" w:fill="FFFFFF"/>
        <w:spacing w:before="0" w:beforeAutospacing="0" w:after="120" w:afterAutospacing="0" w:line="360" w:lineRule="auto"/>
        <w:jc w:val="both"/>
        <w:rPr>
          <w:rFonts w:ascii="Arial" w:hAnsi="Arial" w:cs="Arial"/>
          <w:color w:val="0F1115"/>
        </w:rPr>
      </w:pPr>
      <w:r w:rsidRPr="00C23322">
        <w:rPr>
          <w:rFonts w:ascii="Arial" w:hAnsi="Arial" w:cs="Arial"/>
          <w:color w:val="0F1115"/>
        </w:rPr>
        <w:t>Tesco could therefore make the cumulative financial benefits of Clubcard more prominent. For example, the Clubcard app could display total savings over a month, highlight savings generated during individual shopping trips, and provide simple summaries showing how much customers have saved through Clubcard Prices. In-store communication might also help to increase the visibility of the value of Clubcard discounts at the point of sale.</w:t>
      </w:r>
    </w:p>
    <w:p w:rsidR="00836341" w:rsidRPr="00C23322" w:rsidRDefault="00E677DF" w:rsidP="00E677DF">
      <w:pPr>
        <w:pStyle w:val="ds-markdown-paragraph"/>
        <w:shd w:val="clear" w:color="auto" w:fill="FFFFFF"/>
        <w:spacing w:before="0" w:beforeAutospacing="0" w:after="120" w:afterAutospacing="0" w:line="360" w:lineRule="auto"/>
        <w:jc w:val="both"/>
        <w:rPr>
          <w:rFonts w:ascii="Arial" w:hAnsi="Arial" w:cs="Arial"/>
        </w:rPr>
      </w:pPr>
      <w:r w:rsidRPr="00C23322">
        <w:rPr>
          <w:rFonts w:ascii="Arial" w:hAnsi="Arial" w:cs="Arial"/>
          <w:color w:val="0F1115"/>
        </w:rPr>
        <w:t xml:space="preserve">The impact of these measures could be measured by analysing the increase of Clubcard engagement, Clubcard retention, Clubcard redemptions and reported savings awareness by consumers under differing financial pressures. If it was to happen, it would enable Tesco to see </w:t>
      </w:r>
      <w:r w:rsidR="00836341" w:rsidRPr="00C23322">
        <w:rPr>
          <w:rFonts w:ascii="Arial" w:hAnsi="Arial" w:cs="Arial"/>
        </w:rPr>
        <w:t>whether communicating the financial value of Clubcard more clearly would increase customer engagement</w:t>
      </w:r>
      <w:r w:rsidRPr="00C23322">
        <w:rPr>
          <w:rFonts w:ascii="Arial" w:hAnsi="Arial" w:cs="Arial"/>
          <w:color w:val="0F1115"/>
        </w:rPr>
        <w:t xml:space="preserve"> to keep customers involved with the Clubcard </w:t>
      </w:r>
      <w:r w:rsidR="002C0901">
        <w:rPr>
          <w:rFonts w:ascii="Arial" w:hAnsi="Arial" w:cs="Arial"/>
          <w:color w:val="0F1115"/>
        </w:rPr>
        <w:t>programme</w:t>
      </w:r>
      <w:r w:rsidRPr="00C23322">
        <w:rPr>
          <w:rFonts w:ascii="Arial" w:hAnsi="Arial" w:cs="Arial"/>
          <w:color w:val="0F1115"/>
        </w:rPr>
        <w:t xml:space="preserve"> while not altering the overall structure of the </w:t>
      </w:r>
      <w:r w:rsidR="002C0901">
        <w:rPr>
          <w:rFonts w:ascii="Arial" w:hAnsi="Arial" w:cs="Arial"/>
          <w:color w:val="0F1115"/>
        </w:rPr>
        <w:t>programme</w:t>
      </w:r>
      <w:r w:rsidRPr="00C23322">
        <w:rPr>
          <w:rFonts w:ascii="Arial" w:hAnsi="Arial" w:cs="Arial"/>
          <w:color w:val="0F1115"/>
        </w:rPr>
        <w:t xml:space="preserve"> itself</w:t>
      </w:r>
      <w:r w:rsidR="00186F1F" w:rsidRPr="00C23322">
        <w:rPr>
          <w:rFonts w:ascii="Arial" w:hAnsi="Arial" w:cs="Arial"/>
        </w:rPr>
        <w:t>.</w:t>
      </w:r>
    </w:p>
    <w:p w:rsidR="00186F1F" w:rsidRPr="00C23322" w:rsidRDefault="00186F1F" w:rsidP="00E677DF">
      <w:pPr>
        <w:pStyle w:val="Heading2"/>
        <w:spacing w:before="0" w:after="120"/>
        <w:rPr>
          <w:rFonts w:ascii="Arial" w:hAnsi="Arial" w:cs="Arial"/>
        </w:rPr>
      </w:pPr>
      <w:bookmarkStart w:id="101" w:name="_Toc241116881"/>
      <w:r w:rsidRPr="00C23322">
        <w:rPr>
          <w:rFonts w:ascii="Arial" w:hAnsi="Arial" w:cs="Arial"/>
        </w:rPr>
        <w:t>6.5 Limitations and Directions for Future Research</w:t>
      </w:r>
      <w:bookmarkEnd w:id="101"/>
    </w:p>
    <w:p w:rsidR="00457493" w:rsidRPr="00C23322" w:rsidRDefault="00457493" w:rsidP="00E677DF">
      <w:pPr>
        <w:pStyle w:val="Heading3"/>
        <w:rPr>
          <w:rStyle w:val="Strong"/>
          <w:rFonts w:ascii="Arial" w:hAnsi="Arial" w:cs="Arial"/>
          <w:b/>
          <w:bCs/>
        </w:rPr>
      </w:pPr>
      <w:bookmarkStart w:id="102" w:name="_Toc241116882"/>
      <w:r w:rsidRPr="00C23322">
        <w:rPr>
          <w:rStyle w:val="Strong"/>
          <w:rFonts w:ascii="Arial" w:hAnsi="Arial" w:cs="Arial"/>
          <w:b/>
          <w:bCs/>
        </w:rPr>
        <w:t>6.5.1 Limitations</w:t>
      </w:r>
      <w:bookmarkEnd w:id="102"/>
    </w:p>
    <w:p w:rsidR="00186F1F" w:rsidRPr="00C23322" w:rsidRDefault="00E677DF" w:rsidP="009426B3">
      <w:pPr>
        <w:spacing w:after="120"/>
        <w:rPr>
          <w:rFonts w:ascii="Arial" w:hAnsi="Arial"/>
        </w:rPr>
      </w:pPr>
      <w:r w:rsidRPr="00C23322">
        <w:rPr>
          <w:rFonts w:ascii="Arial" w:hAnsi="Arial"/>
        </w:rPr>
        <w:t xml:space="preserve">The current results have four limitations. The cross-sectional design provides the association at one given point in time and does not allow to determine the direction of this relationship between need satisfaction and engagement. All constructs were measured through self-report, carrying some risk of common method bias, although low variance inflation factors and moderate inter-construct correlations provide reassurance that this risk did not compromise the distinctiveness of the SDT constructs. The non-probability convenience sample, overrepresented with younger, male, lower-income, and recently-enrolled respondents, precludes analysis to statistical generalisation, particularly in the results pertaining to the relatedness and moderation. However, due to the limited variance of Financial Pressure and the exploratory nature of the moderating analysis, the null result for H4 should be interpreted as inconclusive for this population as opposed to a rejection of moderation in general. Future research needs would include a sampling strategy that </w:t>
      </w:r>
      <w:r w:rsidRPr="00C23322">
        <w:rPr>
          <w:rFonts w:ascii="Arial" w:hAnsi="Arial"/>
        </w:rPr>
        <w:lastRenderedPageBreak/>
        <w:t>intentionally included a broader income spectrum, thus providing a more equitable empirical test of the financial-pressure moderation than the current income-skewed sample</w:t>
      </w:r>
      <w:r w:rsidR="00186F1F" w:rsidRPr="00C23322">
        <w:rPr>
          <w:rFonts w:ascii="Arial" w:hAnsi="Arial"/>
        </w:rPr>
        <w:t>.</w:t>
      </w:r>
    </w:p>
    <w:p w:rsidR="00457493" w:rsidRPr="00C23322" w:rsidRDefault="00457493" w:rsidP="00457493">
      <w:pPr>
        <w:pStyle w:val="Heading3"/>
        <w:rPr>
          <w:rStyle w:val="Strong"/>
          <w:rFonts w:ascii="Arial" w:hAnsi="Arial" w:cs="Arial"/>
          <w:b/>
        </w:rPr>
      </w:pPr>
      <w:bookmarkStart w:id="103" w:name="_Toc241116883"/>
      <w:r w:rsidRPr="00C23322">
        <w:rPr>
          <w:rStyle w:val="Strong"/>
          <w:rFonts w:ascii="Arial" w:hAnsi="Arial" w:cs="Arial"/>
          <w:b/>
        </w:rPr>
        <w:t>6.5.2 Directions for Future Research</w:t>
      </w:r>
      <w:bookmarkEnd w:id="103"/>
    </w:p>
    <w:p w:rsidR="00186F1F" w:rsidRPr="00C23322" w:rsidRDefault="00E677DF" w:rsidP="00186F1F">
      <w:pPr>
        <w:spacing w:after="120"/>
        <w:rPr>
          <w:rFonts w:ascii="Arial" w:hAnsi="Arial"/>
        </w:rPr>
      </w:pPr>
      <w:r w:rsidRPr="00C23322">
        <w:rPr>
          <w:rFonts w:ascii="Arial" w:hAnsi="Arial"/>
        </w:rPr>
        <w:t xml:space="preserve">Each limitation suggests a corresponding direction. A longitudinal design (which follows the same respondents over a longer period of time) would help directly test the causal direction between need satisfaction and engagement, and would permit the examination of the proposed tenure-contingent relatedness effect in Section 5.3.2. The financial-pressure moderation would be more fairly tested by a sampling plan that specifically attempted to capture a greater distribution of incomes than is provided in the current sample. To understand more directly why competence and autonomy converge in this context, and why relatedness underperforms, a mixed-methods study, using the quantitative measures in the present study but also qualitative interviews, could be useful. Finally, repeating the study in other UK retailers and </w:t>
      </w:r>
      <w:r w:rsidR="002C0901">
        <w:rPr>
          <w:rFonts w:ascii="Arial" w:hAnsi="Arial"/>
        </w:rPr>
        <w:t xml:space="preserve">loyalty </w:t>
      </w:r>
      <w:r w:rsidR="00180CC5">
        <w:rPr>
          <w:rFonts w:ascii="Arial" w:hAnsi="Arial"/>
        </w:rPr>
        <w:t>programme</w:t>
      </w:r>
      <w:r w:rsidRPr="00C23322">
        <w:rPr>
          <w:rFonts w:ascii="Arial" w:hAnsi="Arial"/>
        </w:rPr>
        <w:t xml:space="preserve"> formats would enable the co-dominant autonomy-competence pattern and the additive role of financial pressure identified here to be generalised or specific to Tesco Clubcard</w:t>
      </w:r>
      <w:r w:rsidR="00186F1F" w:rsidRPr="00C23322">
        <w:rPr>
          <w:rFonts w:ascii="Arial" w:hAnsi="Arial"/>
        </w:rPr>
        <w:t>.</w:t>
      </w:r>
    </w:p>
    <w:p w:rsidR="00186F1F" w:rsidRPr="00C23322" w:rsidRDefault="00186F1F" w:rsidP="00186F1F">
      <w:pPr>
        <w:pStyle w:val="Heading2"/>
        <w:spacing w:before="0" w:after="120"/>
        <w:rPr>
          <w:rFonts w:ascii="Arial" w:hAnsi="Arial" w:cs="Arial"/>
        </w:rPr>
      </w:pPr>
      <w:bookmarkStart w:id="104" w:name="_Toc241116884"/>
      <w:r w:rsidRPr="00C23322">
        <w:rPr>
          <w:rFonts w:ascii="Arial" w:hAnsi="Arial" w:cs="Arial"/>
        </w:rPr>
        <w:t>6.6 Closing Statement</w:t>
      </w:r>
      <w:bookmarkEnd w:id="104"/>
    </w:p>
    <w:p w:rsidR="00186F1F" w:rsidRPr="00C23322" w:rsidRDefault="00EB16A9" w:rsidP="00186F1F">
      <w:pPr>
        <w:spacing w:after="120"/>
        <w:rPr>
          <w:rFonts w:ascii="Arial" w:hAnsi="Arial"/>
        </w:rPr>
      </w:pPr>
      <w:r w:rsidRPr="00C23322">
        <w:rPr>
          <w:rFonts w:ascii="Arial" w:hAnsi="Arial"/>
        </w:rPr>
        <w:t xml:space="preserve">This research demonstrates the power of the </w:t>
      </w:r>
      <w:r w:rsidR="002C0901">
        <w:rPr>
          <w:rFonts w:ascii="Arial" w:hAnsi="Arial"/>
        </w:rPr>
        <w:t>Self-Determination Theory</w:t>
      </w:r>
      <w:r w:rsidRPr="00C23322">
        <w:rPr>
          <w:rFonts w:ascii="Arial" w:hAnsi="Arial"/>
        </w:rPr>
        <w:t xml:space="preserve"> in a context in which it has rarely been validated: a very frequent and routine and largely unavoidable retail setting. It shows that competence is as important as autonomy for maintaining engagement, and that the explanatory power of SDT is valid even in times of financial difficulties, which is of practical interest to the design of loyalty schemes for consumers facing economic difficulties</w:t>
      </w:r>
      <w:r w:rsidR="00186F1F" w:rsidRPr="00C23322">
        <w:rPr>
          <w:rFonts w:ascii="Arial" w:hAnsi="Arial"/>
        </w:rPr>
        <w:t>.</w:t>
      </w:r>
    </w:p>
    <w:p w:rsidR="00186F1F" w:rsidRPr="00C23322" w:rsidRDefault="00186F1F" w:rsidP="00186F1F">
      <w:pPr>
        <w:spacing w:after="120"/>
        <w:rPr>
          <w:rFonts w:ascii="Arial" w:hAnsi="Arial"/>
        </w:rPr>
      </w:pPr>
    </w:p>
    <w:p w:rsidR="00535CCE" w:rsidRPr="00C23322" w:rsidRDefault="00535CCE" w:rsidP="00DF5295">
      <w:pPr>
        <w:spacing w:after="160" w:line="259" w:lineRule="auto"/>
        <w:jc w:val="left"/>
        <w:rPr>
          <w:rFonts w:ascii="Arial" w:eastAsia="Times New Roman" w:hAnsi="Arial"/>
        </w:rPr>
      </w:pPr>
      <w:r w:rsidRPr="00C23322">
        <w:rPr>
          <w:rFonts w:ascii="Arial" w:hAnsi="Arial"/>
        </w:rPr>
        <w:br w:type="page"/>
      </w:r>
    </w:p>
    <w:p w:rsidR="00535CCE" w:rsidRPr="00C23322" w:rsidRDefault="00535CCE" w:rsidP="008B5566">
      <w:pPr>
        <w:pStyle w:val="Heading1"/>
      </w:pPr>
      <w:bookmarkStart w:id="105" w:name="_Toc241116885"/>
      <w:r w:rsidRPr="00C23322">
        <w:lastRenderedPageBreak/>
        <w:t>References</w:t>
      </w:r>
      <w:bookmarkEnd w:id="105"/>
    </w:p>
    <w:p w:rsidR="009426B3" w:rsidRPr="00C23322" w:rsidRDefault="009426B3" w:rsidP="009426B3">
      <w:pPr>
        <w:spacing w:after="120"/>
        <w:rPr>
          <w:rFonts w:ascii="Arial" w:hAnsi="Arial"/>
        </w:rPr>
      </w:pPr>
      <w:r w:rsidRPr="00C23322">
        <w:rPr>
          <w:rFonts w:ascii="Arial" w:eastAsia="Times New Roman" w:hAnsi="Arial"/>
        </w:rPr>
        <w:t>Aiken, L.S. and West, S.G. (1991) Multiple Regression: Testing and Interpreting Interactions. Newbury Park, CA: SAGE Publications.</w:t>
      </w:r>
    </w:p>
    <w:p w:rsidR="009426B3" w:rsidRPr="00C23322" w:rsidRDefault="009426B3" w:rsidP="009426B3">
      <w:pPr>
        <w:spacing w:after="120"/>
        <w:rPr>
          <w:rFonts w:ascii="Arial" w:eastAsia="Times New Roman" w:hAnsi="Arial"/>
          <w:b/>
          <w:bCs/>
        </w:rPr>
      </w:pPr>
      <w:r w:rsidRPr="00C23322">
        <w:rPr>
          <w:rFonts w:ascii="Arial" w:eastAsia="Times New Roman" w:hAnsi="Arial"/>
        </w:rPr>
        <w:t>Berry, L.L. (1983) ‘Relationship Marketing’, in Berry, L.L., Shostack, G.L. and Upah, G.D. (eds) Emerging Perspectives on Services Marketing. Chicago: American Marketing Association, pp. 25–28.</w:t>
      </w:r>
    </w:p>
    <w:p w:rsidR="009426B3" w:rsidRPr="00C23322" w:rsidRDefault="009426B3" w:rsidP="009426B3">
      <w:pPr>
        <w:spacing w:after="120"/>
        <w:rPr>
          <w:rFonts w:ascii="Arial" w:hAnsi="Arial"/>
        </w:rPr>
      </w:pPr>
      <w:r w:rsidRPr="00C23322">
        <w:rPr>
          <w:rFonts w:ascii="Arial" w:eastAsia="Times New Roman" w:hAnsi="Arial"/>
        </w:rPr>
        <w:t>Brodie, R.J., Hollebeek, L.D., Juric, B. and Ilic, A. (2011) ‘Customer Engagement: Conceptual Domain, Fundamental Propositions, and Implications’, Journal of Service Research, 14(3), pp. 252–271.</w:t>
      </w:r>
    </w:p>
    <w:p w:rsidR="009426B3" w:rsidRPr="00C23322" w:rsidRDefault="009426B3" w:rsidP="009426B3">
      <w:pPr>
        <w:pStyle w:val="pdq2pgselectionanchorcontainer"/>
        <w:spacing w:before="0" w:beforeAutospacing="0" w:after="120" w:afterAutospacing="0" w:line="360" w:lineRule="auto"/>
        <w:jc w:val="both"/>
        <w:rPr>
          <w:rFonts w:ascii="Arial" w:hAnsi="Arial" w:cs="Arial"/>
        </w:rPr>
      </w:pPr>
      <w:r w:rsidRPr="00C23322">
        <w:rPr>
          <w:rFonts w:ascii="Arial" w:hAnsi="Arial" w:cs="Arial"/>
        </w:rPr>
        <w:t xml:space="preserve">Bryman, A. (2016) </w:t>
      </w:r>
      <w:r w:rsidRPr="00C23322">
        <w:rPr>
          <w:rStyle w:val="Emphasis"/>
          <w:rFonts w:ascii="Arial" w:hAnsi="Arial" w:cs="Arial"/>
        </w:rPr>
        <w:t>Social Research Methods</w:t>
      </w:r>
      <w:r w:rsidRPr="00C23322">
        <w:rPr>
          <w:rFonts w:ascii="Arial" w:hAnsi="Arial" w:cs="Arial"/>
        </w:rPr>
        <w:t>. 5th edn. Oxford: Oxford University Press.</w:t>
      </w:r>
    </w:p>
    <w:p w:rsidR="009426B3" w:rsidRPr="00C23322" w:rsidRDefault="009426B3" w:rsidP="009426B3">
      <w:pPr>
        <w:spacing w:after="120"/>
        <w:rPr>
          <w:rFonts w:ascii="Arial" w:eastAsia="Times New Roman" w:hAnsi="Arial"/>
        </w:rPr>
      </w:pPr>
      <w:r w:rsidRPr="00C23322">
        <w:rPr>
          <w:rFonts w:ascii="Arial" w:eastAsia="Times New Roman" w:hAnsi="Arial"/>
        </w:rPr>
        <w:t xml:space="preserve">Cohen, J. (1988) Statistical Power Analysis for the </w:t>
      </w:r>
      <w:r w:rsidR="002C0901">
        <w:rPr>
          <w:rFonts w:ascii="Arial" w:eastAsia="Times New Roman" w:hAnsi="Arial"/>
        </w:rPr>
        <w:t>Behavioural</w:t>
      </w:r>
      <w:r w:rsidRPr="00C23322">
        <w:rPr>
          <w:rFonts w:ascii="Arial" w:eastAsia="Times New Roman" w:hAnsi="Arial"/>
        </w:rPr>
        <w:t xml:space="preserve"> Sciences. 2nd edn. Hillsdale, NJ: Lawrence Erlbaum.</w:t>
      </w:r>
    </w:p>
    <w:p w:rsidR="009426B3" w:rsidRPr="00C23322" w:rsidRDefault="009426B3" w:rsidP="009426B3">
      <w:pPr>
        <w:pStyle w:val="ds-markdown-paragraph"/>
        <w:shd w:val="clear" w:color="auto" w:fill="FFFFFF"/>
        <w:spacing w:before="0" w:beforeAutospacing="0" w:after="120" w:afterAutospacing="0" w:line="360" w:lineRule="auto"/>
        <w:jc w:val="both"/>
        <w:rPr>
          <w:rFonts w:ascii="Arial" w:hAnsi="Arial" w:cs="Arial"/>
          <w:color w:val="0F1115"/>
        </w:rPr>
      </w:pPr>
      <w:r w:rsidRPr="00C23322">
        <w:rPr>
          <w:rFonts w:ascii="Arial" w:hAnsi="Arial" w:cs="Arial"/>
          <w:color w:val="0F1115"/>
        </w:rPr>
        <w:t>Cohen, J. (1992) 'A power primer', Psychological Bulletin, 112(1), pp. 155–159.</w:t>
      </w:r>
    </w:p>
    <w:p w:rsidR="009426B3" w:rsidRPr="00C23322" w:rsidRDefault="009426B3" w:rsidP="009426B3">
      <w:pPr>
        <w:spacing w:after="120"/>
        <w:jc w:val="left"/>
        <w:rPr>
          <w:rFonts w:ascii="Arial" w:hAnsi="Arial"/>
        </w:rPr>
      </w:pPr>
      <w:r w:rsidRPr="00C23322">
        <w:rPr>
          <w:rFonts w:ascii="Arial" w:eastAsia="Times New Roman" w:hAnsi="Arial"/>
        </w:rPr>
        <w:t>Competition and Markets Authority (2024) Loyalty Pricing in</w:t>
      </w:r>
      <w:r w:rsidRPr="00C23322">
        <w:rPr>
          <w:rFonts w:ascii="Arial" w:hAnsi="Arial"/>
        </w:rPr>
        <w:t xml:space="preserve"> the Groceries Sector: Findings </w:t>
      </w:r>
      <w:r w:rsidRPr="00C23322">
        <w:rPr>
          <w:rFonts w:ascii="Arial" w:eastAsia="Times New Roman" w:hAnsi="Arial"/>
        </w:rPr>
        <w:t>Rep</w:t>
      </w:r>
      <w:r w:rsidRPr="00C23322">
        <w:rPr>
          <w:rFonts w:ascii="Arial" w:hAnsi="Arial"/>
        </w:rPr>
        <w:t xml:space="preserve">ort. London: CMA. Available at: </w:t>
      </w:r>
      <w:r w:rsidRPr="00C23322">
        <w:rPr>
          <w:rFonts w:ascii="Arial" w:eastAsia="Times New Roman" w:hAnsi="Arial"/>
        </w:rPr>
        <w:t>https://assets.publishing.service.gov.uk/media/6749f2a7ebabe47136b3a2c0/_____Findings_report___2.pdf (Accessed: 22 June 2026).</w:t>
      </w:r>
    </w:p>
    <w:p w:rsidR="009426B3" w:rsidRPr="00C23322" w:rsidRDefault="009426B3" w:rsidP="009426B3">
      <w:pPr>
        <w:spacing w:after="120"/>
        <w:rPr>
          <w:rFonts w:ascii="Arial" w:hAnsi="Arial"/>
        </w:rPr>
      </w:pPr>
      <w:r w:rsidRPr="00C23322">
        <w:rPr>
          <w:rFonts w:ascii="Arial" w:eastAsia="Times New Roman" w:hAnsi="Arial"/>
        </w:rPr>
        <w:t xml:space="preserve">Davvetas, V. and Sharma, A. (2023) ‘Financial stress and </w:t>
      </w:r>
      <w:r w:rsidR="002C0901">
        <w:rPr>
          <w:rFonts w:ascii="Arial" w:eastAsia="Times New Roman" w:hAnsi="Arial"/>
        </w:rPr>
        <w:t>loyalty programme</w:t>
      </w:r>
      <w:r w:rsidRPr="00C23322">
        <w:rPr>
          <w:rFonts w:ascii="Arial" w:eastAsia="Times New Roman" w:hAnsi="Arial"/>
        </w:rPr>
        <w:t xml:space="preserve"> engagement: The role of member agency’, Journal of Consumer Psychology, 33(2), pp. 289–308.</w:t>
      </w:r>
    </w:p>
    <w:p w:rsidR="009426B3" w:rsidRPr="00C23322" w:rsidRDefault="009426B3" w:rsidP="009426B3">
      <w:pPr>
        <w:pStyle w:val="NormalWeb"/>
        <w:spacing w:before="0" w:beforeAutospacing="0" w:after="120" w:afterAutospacing="0" w:line="360" w:lineRule="auto"/>
        <w:jc w:val="both"/>
        <w:rPr>
          <w:rFonts w:ascii="Arial" w:hAnsi="Arial" w:cs="Arial"/>
        </w:rPr>
      </w:pPr>
      <w:r w:rsidRPr="00C23322">
        <w:rPr>
          <w:rFonts w:ascii="Arial" w:hAnsi="Arial" w:cs="Arial"/>
        </w:rPr>
        <w:t xml:space="preserve">Dawes, J. (2008) ‘Do data characteristics change according to the number of scale points used? An experiment using 5-point, 7-point and 10-point scales’, </w:t>
      </w:r>
      <w:r w:rsidRPr="00C23322">
        <w:rPr>
          <w:rStyle w:val="Emphasis"/>
          <w:rFonts w:ascii="Arial" w:hAnsi="Arial" w:cs="Arial"/>
        </w:rPr>
        <w:t>International Journal of Market Research</w:t>
      </w:r>
      <w:r w:rsidRPr="00C23322">
        <w:rPr>
          <w:rFonts w:ascii="Arial" w:hAnsi="Arial" w:cs="Arial"/>
        </w:rPr>
        <w:t>, 50(1), pp. 61–77.</w:t>
      </w:r>
    </w:p>
    <w:p w:rsidR="009426B3" w:rsidRPr="00C23322" w:rsidRDefault="009426B3" w:rsidP="009426B3">
      <w:pPr>
        <w:spacing w:after="120"/>
        <w:rPr>
          <w:rFonts w:ascii="Arial" w:hAnsi="Arial"/>
        </w:rPr>
      </w:pPr>
      <w:r w:rsidRPr="00C23322">
        <w:rPr>
          <w:rFonts w:ascii="Arial" w:eastAsia="Times New Roman" w:hAnsi="Arial"/>
        </w:rPr>
        <w:t>Dick, A.S. and Basu, K. (1994) ‘Customer loyalty: Toward an integrated conceptual framework’, Journal of the Academy of Marketing Science, 22(2), pp. 99–113.</w:t>
      </w:r>
    </w:p>
    <w:p w:rsidR="009426B3" w:rsidRPr="00C23322" w:rsidRDefault="009426B3" w:rsidP="009426B3">
      <w:pPr>
        <w:pStyle w:val="NormalWeb"/>
        <w:spacing w:before="0" w:beforeAutospacing="0" w:after="120" w:afterAutospacing="0" w:line="360" w:lineRule="auto"/>
        <w:jc w:val="both"/>
        <w:rPr>
          <w:rFonts w:ascii="Arial" w:hAnsi="Arial" w:cs="Arial"/>
        </w:rPr>
      </w:pPr>
      <w:r w:rsidRPr="00C23322">
        <w:rPr>
          <w:rFonts w:ascii="Arial" w:hAnsi="Arial" w:cs="Arial"/>
        </w:rPr>
        <w:t xml:space="preserve">Field, A. (2018) </w:t>
      </w:r>
      <w:r w:rsidRPr="00C23322">
        <w:rPr>
          <w:rStyle w:val="Emphasis"/>
          <w:rFonts w:ascii="Arial" w:hAnsi="Arial" w:cs="Arial"/>
        </w:rPr>
        <w:t>Discovering Statistics Using IBM SPSS Statistics</w:t>
      </w:r>
      <w:r w:rsidRPr="00C23322">
        <w:rPr>
          <w:rFonts w:ascii="Arial" w:hAnsi="Arial" w:cs="Arial"/>
        </w:rPr>
        <w:t>. 5th edn. London: SAGE Publications.</w:t>
      </w:r>
    </w:p>
    <w:p w:rsidR="009426B3" w:rsidRPr="00C23322" w:rsidRDefault="009426B3" w:rsidP="009426B3">
      <w:pPr>
        <w:pStyle w:val="NormalWeb"/>
        <w:spacing w:before="0" w:beforeAutospacing="0" w:after="120" w:afterAutospacing="0" w:line="360" w:lineRule="auto"/>
        <w:jc w:val="both"/>
        <w:rPr>
          <w:rFonts w:ascii="Arial" w:hAnsi="Arial" w:cs="Arial"/>
        </w:rPr>
      </w:pPr>
      <w:r w:rsidRPr="00C23322">
        <w:rPr>
          <w:rFonts w:ascii="Arial" w:hAnsi="Arial" w:cs="Arial"/>
        </w:rPr>
        <w:lastRenderedPageBreak/>
        <w:t xml:space="preserve">Fink, A. (2017) </w:t>
      </w:r>
      <w:r w:rsidRPr="00C23322">
        <w:rPr>
          <w:rStyle w:val="Emphasis"/>
          <w:rFonts w:ascii="Arial" w:hAnsi="Arial" w:cs="Arial"/>
        </w:rPr>
        <w:t>How to Conduct Surveys: A Step-by-Step Guide</w:t>
      </w:r>
      <w:r w:rsidRPr="00C23322">
        <w:rPr>
          <w:rFonts w:ascii="Arial" w:hAnsi="Arial" w:cs="Arial"/>
        </w:rPr>
        <w:t>. 6th edn. Thousand Oaks, CA: SAGE Publications.</w:t>
      </w:r>
    </w:p>
    <w:p w:rsidR="009426B3" w:rsidRPr="00C23322" w:rsidRDefault="009426B3" w:rsidP="009426B3">
      <w:pPr>
        <w:pStyle w:val="ds-markdown-paragraph"/>
        <w:shd w:val="clear" w:color="auto" w:fill="FFFFFF"/>
        <w:spacing w:before="0" w:beforeAutospacing="0" w:after="120" w:afterAutospacing="0" w:line="360" w:lineRule="auto"/>
        <w:jc w:val="both"/>
        <w:rPr>
          <w:rFonts w:ascii="Arial" w:hAnsi="Arial" w:cs="Arial"/>
          <w:color w:val="0F1115"/>
        </w:rPr>
      </w:pPr>
      <w:r w:rsidRPr="00C23322">
        <w:rPr>
          <w:rFonts w:ascii="Arial" w:hAnsi="Arial" w:cs="Arial"/>
          <w:color w:val="0F1115"/>
        </w:rPr>
        <w:t xml:space="preserve">Green, S.B. (1991) 'How many subjects does it take to do a regression analysis?', Multivariate </w:t>
      </w:r>
      <w:r w:rsidR="002C0901">
        <w:rPr>
          <w:rFonts w:ascii="Arial" w:hAnsi="Arial" w:cs="Arial"/>
          <w:color w:val="0F1115"/>
        </w:rPr>
        <w:t>Behavioural</w:t>
      </w:r>
      <w:r w:rsidRPr="00C23322">
        <w:rPr>
          <w:rFonts w:ascii="Arial" w:hAnsi="Arial" w:cs="Arial"/>
          <w:color w:val="0F1115"/>
        </w:rPr>
        <w:t xml:space="preserve"> Research, 26(3), pp. 499–510.</w:t>
      </w:r>
    </w:p>
    <w:p w:rsidR="009426B3" w:rsidRPr="00C23322" w:rsidRDefault="009426B3" w:rsidP="009426B3">
      <w:pPr>
        <w:spacing w:after="120"/>
        <w:rPr>
          <w:rFonts w:ascii="Arial" w:hAnsi="Arial"/>
        </w:rPr>
      </w:pPr>
      <w:r w:rsidRPr="00C23322">
        <w:rPr>
          <w:rFonts w:ascii="Arial" w:eastAsia="Times New Roman" w:hAnsi="Arial"/>
        </w:rPr>
        <w:t>Hair, J.F., Black, W.C., Babin, B.J. and Anderson, R.E. (2019) Multivariate Data Analysis. 8th edn. Andover: Cengage Learning.</w:t>
      </w:r>
    </w:p>
    <w:p w:rsidR="009426B3" w:rsidRPr="00C23322" w:rsidRDefault="009426B3" w:rsidP="009426B3">
      <w:pPr>
        <w:spacing w:after="120"/>
        <w:rPr>
          <w:rFonts w:ascii="Arial" w:hAnsi="Arial"/>
        </w:rPr>
      </w:pPr>
      <w:r w:rsidRPr="00C23322">
        <w:rPr>
          <w:rFonts w:ascii="Arial" w:eastAsia="Times New Roman" w:hAnsi="Arial"/>
        </w:rPr>
        <w:t>Hayes, A.F. (2022) Introduction to Mediation, Moderation, and Conditional Process Analysis. 3rd edn. New York: Guilford Press.</w:t>
      </w:r>
    </w:p>
    <w:p w:rsidR="009426B3" w:rsidRPr="00C23322" w:rsidRDefault="009426B3" w:rsidP="009426B3">
      <w:pPr>
        <w:pStyle w:val="NormalWeb"/>
        <w:spacing w:before="0" w:beforeAutospacing="0" w:after="120" w:afterAutospacing="0" w:line="360" w:lineRule="auto"/>
        <w:jc w:val="both"/>
        <w:rPr>
          <w:rFonts w:ascii="Arial" w:hAnsi="Arial" w:cs="Arial"/>
        </w:rPr>
      </w:pPr>
      <w:r w:rsidRPr="00C23322">
        <w:rPr>
          <w:rFonts w:ascii="Arial" w:hAnsi="Arial" w:cs="Arial"/>
        </w:rPr>
        <w:t xml:space="preserve">Hobfoll, S.E. (1989) ‘Conservation of resources: A new attempt at conceptualizing stress’, </w:t>
      </w:r>
      <w:r w:rsidRPr="00C23322">
        <w:rPr>
          <w:rStyle w:val="Emphasis"/>
          <w:rFonts w:ascii="Arial" w:hAnsi="Arial" w:cs="Arial"/>
        </w:rPr>
        <w:t>American Psychologist</w:t>
      </w:r>
      <w:r w:rsidRPr="00C23322">
        <w:rPr>
          <w:rFonts w:ascii="Arial" w:hAnsi="Arial" w:cs="Arial"/>
        </w:rPr>
        <w:t>, 44(3), pp. 513–524.</w:t>
      </w:r>
    </w:p>
    <w:p w:rsidR="009426B3" w:rsidRPr="00C23322" w:rsidRDefault="009426B3" w:rsidP="009426B3">
      <w:pPr>
        <w:spacing w:after="120"/>
        <w:rPr>
          <w:rFonts w:ascii="Arial" w:hAnsi="Arial"/>
        </w:rPr>
      </w:pPr>
      <w:r w:rsidRPr="00C23322">
        <w:rPr>
          <w:rFonts w:ascii="Arial" w:eastAsia="Times New Roman" w:hAnsi="Arial"/>
        </w:rPr>
        <w:t>Hollebeek, L.D. (2011) ‘Exploring customer brand engagement: definition and themes’, Journal of Strategic Marketing, 19(7), pp. 555–573.</w:t>
      </w:r>
    </w:p>
    <w:p w:rsidR="009426B3" w:rsidRPr="00C23322" w:rsidRDefault="009426B3" w:rsidP="009426B3">
      <w:pPr>
        <w:spacing w:after="120"/>
        <w:rPr>
          <w:rFonts w:ascii="Arial" w:hAnsi="Arial"/>
        </w:rPr>
      </w:pPr>
      <w:r w:rsidRPr="00C23322">
        <w:rPr>
          <w:rFonts w:ascii="Arial" w:eastAsia="Times New Roman" w:hAnsi="Arial"/>
        </w:rPr>
        <w:t>Kumar, V. and Shah, D. (2004) ‘Building and sustaining profitable customer loyalty for the 21st century’, Journal of Retailing, 80(4), pp. 317–330.</w:t>
      </w:r>
    </w:p>
    <w:p w:rsidR="009426B3" w:rsidRPr="00C23322" w:rsidRDefault="009426B3" w:rsidP="009426B3">
      <w:pPr>
        <w:spacing w:after="120"/>
        <w:rPr>
          <w:rFonts w:ascii="Arial" w:hAnsi="Arial"/>
        </w:rPr>
      </w:pPr>
      <w:r w:rsidRPr="00C23322">
        <w:rPr>
          <w:rFonts w:ascii="Arial" w:eastAsia="Times New Roman" w:hAnsi="Arial"/>
        </w:rPr>
        <w:t>Legault, L. and Inzlicht, M. (2013) ‘Self-determination, self-regulation, and the brain’, Journal of Personality and Social Psychology, 105(1), pp. 123–138.</w:t>
      </w:r>
    </w:p>
    <w:p w:rsidR="009426B3" w:rsidRPr="00C23322" w:rsidRDefault="009426B3" w:rsidP="009426B3">
      <w:pPr>
        <w:spacing w:after="120"/>
        <w:rPr>
          <w:rFonts w:ascii="Arial" w:hAnsi="Arial"/>
        </w:rPr>
      </w:pPr>
      <w:r w:rsidRPr="00C23322">
        <w:rPr>
          <w:rFonts w:ascii="Arial" w:eastAsia="Times New Roman" w:hAnsi="Arial"/>
        </w:rPr>
        <w:t>Morgan, R.M. and Hunt, S.D. (1994) ‘The Commitment-Trust Theory of Relationship Marketing’, Journal of Marketing, 58(3), pp. 20–38.</w:t>
      </w:r>
    </w:p>
    <w:p w:rsidR="009426B3" w:rsidRPr="00C23322" w:rsidRDefault="009426B3" w:rsidP="009426B3">
      <w:pPr>
        <w:spacing w:after="120"/>
        <w:rPr>
          <w:rFonts w:ascii="Arial" w:hAnsi="Arial"/>
        </w:rPr>
      </w:pPr>
      <w:r w:rsidRPr="00C23322">
        <w:rPr>
          <w:rFonts w:ascii="Arial" w:eastAsia="Times New Roman" w:hAnsi="Arial"/>
        </w:rPr>
        <w:t>Mullainathan, S. and Shafir, E. (2013) Scarcity: Why Having Too Little Means So Much. London: Allen Lane.</w:t>
      </w:r>
    </w:p>
    <w:p w:rsidR="009426B3" w:rsidRPr="00C23322" w:rsidRDefault="009426B3" w:rsidP="009426B3">
      <w:pPr>
        <w:spacing w:after="120"/>
        <w:ind w:left="720" w:hanging="720"/>
        <w:rPr>
          <w:rFonts w:ascii="Arial" w:hAnsi="Arial"/>
        </w:rPr>
      </w:pPr>
      <w:r w:rsidRPr="00C23322">
        <w:rPr>
          <w:rFonts w:ascii="Arial" w:eastAsia="Times New Roman" w:hAnsi="Arial"/>
        </w:rPr>
        <w:t>Nunnally, J.C. (1978) Psychometric Theory. 2nd edn. New York: McGraw-Hill.</w:t>
      </w:r>
    </w:p>
    <w:p w:rsidR="009426B3" w:rsidRPr="00C23322" w:rsidRDefault="009426B3" w:rsidP="009426B3">
      <w:pPr>
        <w:spacing w:after="120"/>
        <w:rPr>
          <w:rFonts w:ascii="Arial" w:hAnsi="Arial"/>
        </w:rPr>
      </w:pPr>
      <w:r w:rsidRPr="00C23322">
        <w:rPr>
          <w:rFonts w:ascii="Arial" w:eastAsia="Times New Roman" w:hAnsi="Arial"/>
        </w:rPr>
        <w:t>Office for National Statistics (ONS) (2026) Public opinions and social trends, Great Britain: May 2026. Available at: https://www.ons.gov.uk/peoplepopulationandcommunity/wellbeing/bulletins/publicopinionsandsocialtrendsgreatbritain/may2026 (Accessed: 22 June 2026).</w:t>
      </w:r>
    </w:p>
    <w:p w:rsidR="009426B3" w:rsidRPr="00C23322" w:rsidRDefault="009426B3" w:rsidP="009426B3">
      <w:pPr>
        <w:spacing w:after="120"/>
        <w:rPr>
          <w:rFonts w:ascii="Arial" w:hAnsi="Arial"/>
        </w:rPr>
      </w:pPr>
      <w:r w:rsidRPr="00C23322">
        <w:rPr>
          <w:rFonts w:ascii="Arial" w:eastAsia="Times New Roman" w:hAnsi="Arial"/>
        </w:rPr>
        <w:t xml:space="preserve">Peng, C. and Hung, Y. (2020) ‘Exploring the antecedents and consequences of </w:t>
      </w:r>
      <w:r w:rsidR="002C0901">
        <w:rPr>
          <w:rFonts w:ascii="Arial" w:eastAsia="Times New Roman" w:hAnsi="Arial"/>
        </w:rPr>
        <w:t>loyalty programme</w:t>
      </w:r>
      <w:r w:rsidRPr="00C23322">
        <w:rPr>
          <w:rFonts w:ascii="Arial" w:eastAsia="Times New Roman" w:hAnsi="Arial"/>
        </w:rPr>
        <w:t xml:space="preserve"> engagement: A </w:t>
      </w:r>
      <w:r w:rsidR="002C0901">
        <w:rPr>
          <w:rFonts w:ascii="Arial" w:eastAsia="Times New Roman" w:hAnsi="Arial"/>
        </w:rPr>
        <w:t>Self-Determination Theory</w:t>
      </w:r>
      <w:r w:rsidRPr="00C23322">
        <w:rPr>
          <w:rFonts w:ascii="Arial" w:eastAsia="Times New Roman" w:hAnsi="Arial"/>
        </w:rPr>
        <w:t xml:space="preserve"> perspective’, Journal of Business Research, 117, pp. 711–722.</w:t>
      </w:r>
    </w:p>
    <w:p w:rsidR="009426B3" w:rsidRPr="00C23322" w:rsidRDefault="009426B3" w:rsidP="009426B3">
      <w:pPr>
        <w:pStyle w:val="NormalWeb"/>
        <w:spacing w:before="0" w:beforeAutospacing="0" w:after="120" w:afterAutospacing="0" w:line="360" w:lineRule="auto"/>
        <w:jc w:val="both"/>
        <w:rPr>
          <w:rFonts w:ascii="Arial" w:hAnsi="Arial" w:cs="Arial"/>
        </w:rPr>
      </w:pPr>
      <w:r w:rsidRPr="00C23322">
        <w:rPr>
          <w:rFonts w:ascii="Arial" w:hAnsi="Arial" w:cs="Arial"/>
        </w:rPr>
        <w:lastRenderedPageBreak/>
        <w:t xml:space="preserve">Preston, C.C. and Colman, A.M. (2000) ‘Optimal number of response categories in rating scales: Reliability, validity, discriminating power, and respondent preferences’, </w:t>
      </w:r>
      <w:r w:rsidRPr="00C23322">
        <w:rPr>
          <w:rStyle w:val="Emphasis"/>
          <w:rFonts w:ascii="Arial" w:hAnsi="Arial" w:cs="Arial"/>
        </w:rPr>
        <w:t>Acta Psychologica</w:t>
      </w:r>
      <w:r w:rsidRPr="00C23322">
        <w:rPr>
          <w:rFonts w:ascii="Arial" w:hAnsi="Arial" w:cs="Arial"/>
        </w:rPr>
        <w:t>, 104(1), pp. 1–15.</w:t>
      </w:r>
    </w:p>
    <w:p w:rsidR="009426B3" w:rsidRPr="00C23322" w:rsidRDefault="009426B3" w:rsidP="009426B3">
      <w:pPr>
        <w:spacing w:after="120"/>
        <w:rPr>
          <w:rFonts w:ascii="Arial" w:hAnsi="Arial"/>
        </w:rPr>
      </w:pPr>
      <w:r w:rsidRPr="00C23322">
        <w:rPr>
          <w:rFonts w:ascii="Arial" w:eastAsia="Times New Roman" w:hAnsi="Arial"/>
        </w:rPr>
        <w:t>Ryan, R.M. and Deci, E.L. (2000) ‘</w:t>
      </w:r>
      <w:r w:rsidR="002C0901">
        <w:rPr>
          <w:rFonts w:ascii="Arial" w:eastAsia="Times New Roman" w:hAnsi="Arial"/>
        </w:rPr>
        <w:t>Self-Determination Theory</w:t>
      </w:r>
      <w:r w:rsidRPr="00C23322">
        <w:rPr>
          <w:rFonts w:ascii="Arial" w:eastAsia="Times New Roman" w:hAnsi="Arial"/>
        </w:rPr>
        <w:t xml:space="preserve"> and the facilitation of intrinsic motivation, social development, and well-being’, American Psychologist, 55(1), pp. 68–78.</w:t>
      </w:r>
    </w:p>
    <w:p w:rsidR="009426B3" w:rsidRPr="00C23322" w:rsidRDefault="009426B3" w:rsidP="009426B3">
      <w:pPr>
        <w:spacing w:after="120"/>
        <w:rPr>
          <w:rFonts w:ascii="Arial" w:hAnsi="Arial"/>
        </w:rPr>
      </w:pPr>
      <w:r w:rsidRPr="00C23322">
        <w:rPr>
          <w:rFonts w:ascii="Arial" w:eastAsia="Times New Roman" w:hAnsi="Arial"/>
        </w:rPr>
        <w:t>Saunders, M.N.K., Lewis, P. and Thornhill, A. (2019) Research Methods for Business Students. 8th edn. Harlow: Pearson Education.</w:t>
      </w:r>
    </w:p>
    <w:p w:rsidR="009426B3" w:rsidRPr="00C23322" w:rsidRDefault="009426B3" w:rsidP="009426B3">
      <w:pPr>
        <w:spacing w:after="120"/>
        <w:rPr>
          <w:rFonts w:ascii="Arial" w:hAnsi="Arial"/>
        </w:rPr>
      </w:pPr>
      <w:r w:rsidRPr="00C23322">
        <w:rPr>
          <w:rFonts w:ascii="Arial" w:eastAsia="Times New Roman" w:hAnsi="Arial"/>
        </w:rPr>
        <w:t>Sheldon, K.M., Elliot, A.J., Ryan, R.M., Chirkov, V., Kim, Y., Wu, C., Demir, M. and Sun, Z. (2011) ‘Self-concordance and subjective well-being in four cultures’, Journal of Cross-Cultural Psychology, 35(2), pp. 209–223.</w:t>
      </w:r>
    </w:p>
    <w:p w:rsidR="009426B3" w:rsidRPr="00C23322" w:rsidRDefault="009426B3" w:rsidP="009426B3">
      <w:pPr>
        <w:spacing w:after="120"/>
        <w:rPr>
          <w:rFonts w:ascii="Arial" w:hAnsi="Arial"/>
        </w:rPr>
      </w:pPr>
      <w:r w:rsidRPr="00C23322">
        <w:rPr>
          <w:rFonts w:ascii="Arial" w:eastAsia="Times New Roman" w:hAnsi="Arial"/>
        </w:rPr>
        <w:t>Tesco PLC (2025) Annual Report and Financial Statements 2025. Available at: https://www.tescoplc.com/media/ky0bfwpo/tesco_ar25_interactive.pdf (Accessed: 22 June 2026).</w:t>
      </w:r>
    </w:p>
    <w:p w:rsidR="009426B3" w:rsidRPr="00C23322" w:rsidRDefault="009426B3" w:rsidP="009426B3">
      <w:pPr>
        <w:spacing w:after="120"/>
        <w:rPr>
          <w:rFonts w:ascii="Arial" w:hAnsi="Arial"/>
        </w:rPr>
      </w:pPr>
      <w:r w:rsidRPr="00C23322">
        <w:rPr>
          <w:rFonts w:ascii="Arial" w:eastAsia="Times New Roman" w:hAnsi="Arial"/>
        </w:rPr>
        <w:t>Trust for London (2026) London’s Cost of Living Tracker. Available at: https://trustforlondon.org.uk/data/topics/cost-of-living-tracker/ (Accessed: 22 June 2026</w:t>
      </w:r>
    </w:p>
    <w:p w:rsidR="009426B3" w:rsidRPr="00C23322" w:rsidRDefault="009426B3" w:rsidP="009426B3">
      <w:pPr>
        <w:spacing w:after="120"/>
        <w:rPr>
          <w:rFonts w:ascii="Arial" w:hAnsi="Arial"/>
        </w:rPr>
      </w:pPr>
      <w:r w:rsidRPr="00C23322">
        <w:rPr>
          <w:rFonts w:ascii="Arial" w:eastAsia="Times New Roman" w:hAnsi="Arial"/>
        </w:rPr>
        <w:t xml:space="preserve">Vansteenkiste, M., Niemiec, C.P. and Soenens, B. (2010) ‘The development of the five mini-theories of </w:t>
      </w:r>
      <w:r w:rsidR="002C0901">
        <w:rPr>
          <w:rFonts w:ascii="Arial" w:eastAsia="Times New Roman" w:hAnsi="Arial"/>
        </w:rPr>
        <w:t>Self-Determination Theory</w:t>
      </w:r>
      <w:r w:rsidRPr="00C23322">
        <w:rPr>
          <w:rFonts w:ascii="Arial" w:eastAsia="Times New Roman" w:hAnsi="Arial"/>
        </w:rPr>
        <w:t>’, in Urdan, T.C. and Karabenick, S.A. (eds) Advances in Motivation and Achievement. Bingley: Emerald, pp. 105–165.</w:t>
      </w:r>
    </w:p>
    <w:p w:rsidR="009426B3" w:rsidRPr="00C23322" w:rsidRDefault="009426B3" w:rsidP="009426B3">
      <w:pPr>
        <w:spacing w:after="120"/>
        <w:rPr>
          <w:rFonts w:ascii="Arial" w:eastAsia="Times New Roman" w:hAnsi="Arial"/>
        </w:rPr>
      </w:pPr>
      <w:r w:rsidRPr="00C23322">
        <w:rPr>
          <w:rFonts w:ascii="Arial" w:eastAsia="Times New Roman" w:hAnsi="Arial"/>
        </w:rPr>
        <w:t>Xi, N. and Hamari, J. (2020) ‘Does gamification satisfy needs?’, International Journal of Information Management, 51, pp. 1–13.</w:t>
      </w:r>
    </w:p>
    <w:p w:rsidR="009426B3" w:rsidRPr="00C23322" w:rsidRDefault="009426B3" w:rsidP="009426B3">
      <w:pPr>
        <w:pStyle w:val="NormalWeb"/>
        <w:spacing w:before="0" w:beforeAutospacing="0" w:after="120" w:afterAutospacing="0" w:line="360" w:lineRule="auto"/>
        <w:jc w:val="both"/>
        <w:rPr>
          <w:rFonts w:ascii="Arial" w:hAnsi="Arial" w:cs="Arial"/>
        </w:rPr>
      </w:pPr>
      <w:r w:rsidRPr="00C23322">
        <w:rPr>
          <w:rFonts w:ascii="Arial" w:hAnsi="Arial" w:cs="Arial"/>
        </w:rPr>
        <w:t xml:space="preserve">Yin, R.K. (2018) </w:t>
      </w:r>
      <w:r w:rsidRPr="00C23322">
        <w:rPr>
          <w:rStyle w:val="Emphasis"/>
          <w:rFonts w:ascii="Arial" w:hAnsi="Arial" w:cs="Arial"/>
        </w:rPr>
        <w:t>Case Study Research and Applications: Design and Methods</w:t>
      </w:r>
      <w:r w:rsidRPr="00C23322">
        <w:rPr>
          <w:rFonts w:ascii="Arial" w:hAnsi="Arial" w:cs="Arial"/>
        </w:rPr>
        <w:t>. 6th edn. Thousand Oaks, CA: SAGE Publications.</w:t>
      </w:r>
    </w:p>
    <w:p w:rsidR="00E326DA" w:rsidRDefault="00E326DA">
      <w:pPr>
        <w:spacing w:after="160" w:line="259" w:lineRule="auto"/>
        <w:jc w:val="left"/>
        <w:rPr>
          <w:rFonts w:ascii="Arial" w:hAnsi="Arial"/>
        </w:rPr>
      </w:pPr>
      <w:r>
        <w:rPr>
          <w:rFonts w:ascii="Arial" w:hAnsi="Arial"/>
        </w:rPr>
        <w:br w:type="page"/>
      </w:r>
    </w:p>
    <w:p w:rsidR="009426B3" w:rsidRDefault="00E326DA" w:rsidP="00E326DA">
      <w:pPr>
        <w:pStyle w:val="Heading1"/>
      </w:pPr>
      <w:bookmarkStart w:id="106" w:name="_Toc241116886"/>
      <w:r>
        <w:lastRenderedPageBreak/>
        <w:t>Appendix</w:t>
      </w:r>
      <w:bookmarkEnd w:id="106"/>
    </w:p>
    <w:p w:rsidR="00E326DA" w:rsidRPr="00124EDF" w:rsidRDefault="00E326DA" w:rsidP="009426B3">
      <w:pPr>
        <w:spacing w:after="120"/>
        <w:rPr>
          <w:rFonts w:ascii="Arial" w:hAnsi="Arial"/>
          <w:b/>
        </w:rPr>
      </w:pPr>
      <w:r w:rsidRPr="00124EDF">
        <w:rPr>
          <w:rFonts w:ascii="Arial" w:hAnsi="Arial"/>
          <w:b/>
        </w:rPr>
        <w:t>Appendix 1: Ethical Consideration Form</w:t>
      </w:r>
    </w:p>
    <w:bookmarkStart w:id="107" w:name="_MON_1851727039"/>
    <w:bookmarkEnd w:id="107"/>
    <w:p w:rsidR="008A572C" w:rsidRDefault="008A572C" w:rsidP="009426B3">
      <w:pPr>
        <w:spacing w:after="120"/>
        <w:rPr>
          <w:rFonts w:ascii="Arial" w:hAnsi="Arial"/>
        </w:rPr>
      </w:pPr>
      <w:r>
        <w:rPr>
          <w:rFonts w:ascii="Arial" w:hAnsi="Arial"/>
        </w:rPr>
        <w:object w:dxaOrig="1520" w:dyaOrig="9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16" o:title=""/>
          </v:shape>
          <o:OLEObject Type="Embed" ProgID="Word.Document.12" ShapeID="_x0000_i1025" DrawAspect="Icon" ObjectID="_1851813969" r:id="rId17">
            <o:FieldCodes>\s</o:FieldCodes>
          </o:OLEObject>
        </w:object>
      </w:r>
    </w:p>
    <w:p w:rsidR="00E326DA" w:rsidRPr="00124EDF" w:rsidRDefault="008A572C" w:rsidP="009426B3">
      <w:pPr>
        <w:spacing w:after="120"/>
        <w:rPr>
          <w:rFonts w:ascii="Arial" w:hAnsi="Arial"/>
          <w:b/>
        </w:rPr>
      </w:pPr>
      <w:r w:rsidRPr="00124EDF">
        <w:rPr>
          <w:rFonts w:ascii="Arial" w:hAnsi="Arial"/>
          <w:b/>
        </w:rPr>
        <w:t>Appendix 2: Questionnaire</w:t>
      </w:r>
    </w:p>
    <w:p w:rsidR="008A572C" w:rsidRDefault="008A572C" w:rsidP="009426B3">
      <w:pPr>
        <w:spacing w:after="120"/>
        <w:rPr>
          <w:rFonts w:ascii="Arial" w:hAnsi="Arial"/>
        </w:rPr>
      </w:pPr>
      <w:r>
        <w:rPr>
          <w:rFonts w:ascii="Arial" w:hAnsi="Arial"/>
        </w:rPr>
        <w:t xml:space="preserve">Microsoft Form link: </w:t>
      </w:r>
      <w:hyperlink r:id="rId18" w:history="1">
        <w:r w:rsidRPr="0091338D">
          <w:rPr>
            <w:rStyle w:val="Hyperlink"/>
            <w:rFonts w:ascii="Arial" w:hAnsi="Arial"/>
          </w:rPr>
          <w:t>https://forms.cloud.microsoft/e/FEKbccQd2D</w:t>
        </w:r>
      </w:hyperlink>
    </w:p>
    <w:p w:rsidR="008A572C" w:rsidRDefault="008A572C" w:rsidP="008A572C">
      <w:pPr>
        <w:spacing w:after="120"/>
        <w:rPr>
          <w:rFonts w:ascii="Arial" w:hAnsi="Arial"/>
        </w:rPr>
      </w:pPr>
      <w:r>
        <w:rPr>
          <w:rFonts w:ascii="Arial" w:hAnsi="Arial"/>
        </w:rPr>
        <w:t>Questionnaire PDF:</w:t>
      </w:r>
    </w:p>
    <w:p w:rsidR="008A572C" w:rsidRDefault="008A572C" w:rsidP="008A572C">
      <w:pPr>
        <w:spacing w:after="120"/>
        <w:rPr>
          <w:rFonts w:ascii="Arial" w:hAnsi="Arial"/>
        </w:rPr>
      </w:pPr>
      <w:r>
        <w:rPr>
          <w:rFonts w:ascii="Arial" w:hAnsi="Arial"/>
        </w:rPr>
        <w:object w:dxaOrig="3925" w:dyaOrig="816">
          <v:shape id="_x0000_i1026" type="#_x0000_t75" style="width:196.2pt;height:40.8pt" o:ole="">
            <v:imagedata r:id="rId19" o:title=""/>
          </v:shape>
          <o:OLEObject Type="Embed" ProgID="Package" ShapeID="_x0000_i1026" DrawAspect="Content" ObjectID="_1851813970" r:id="rId20"/>
        </w:object>
      </w:r>
    </w:p>
    <w:p w:rsidR="00597777" w:rsidRPr="00124EDF" w:rsidRDefault="00597777" w:rsidP="009426B3">
      <w:pPr>
        <w:spacing w:after="120"/>
        <w:rPr>
          <w:rFonts w:ascii="Arial" w:hAnsi="Arial"/>
          <w:b/>
        </w:rPr>
      </w:pPr>
      <w:r w:rsidRPr="00124EDF">
        <w:rPr>
          <w:rFonts w:ascii="Arial" w:hAnsi="Arial"/>
          <w:b/>
        </w:rPr>
        <w:t>Appendix 3: Response from Respondent</w:t>
      </w:r>
      <w:r w:rsidR="008B5566">
        <w:rPr>
          <w:rFonts w:ascii="Arial" w:hAnsi="Arial"/>
          <w:b/>
        </w:rPr>
        <w:t>s</w:t>
      </w:r>
    </w:p>
    <w:p w:rsidR="00597777" w:rsidRDefault="00124EDF" w:rsidP="009426B3">
      <w:pPr>
        <w:spacing w:after="120"/>
        <w:rPr>
          <w:rFonts w:ascii="Arial" w:hAnsi="Arial"/>
        </w:rPr>
      </w:pPr>
      <w:r>
        <w:rPr>
          <w:rFonts w:ascii="Arial" w:hAnsi="Arial"/>
        </w:rPr>
        <w:object w:dxaOrig="1520" w:dyaOrig="985">
          <v:shape id="_x0000_i1027" type="#_x0000_t75" style="width:76.2pt;height:49.2pt" o:ole="">
            <v:imagedata r:id="rId21" o:title=""/>
          </v:shape>
          <o:OLEObject Type="Embed" ProgID="Excel.Sheet.12" ShapeID="_x0000_i1027" DrawAspect="Icon" ObjectID="_1851813971" r:id="rId22"/>
        </w:object>
      </w:r>
    </w:p>
    <w:p w:rsidR="008A572C" w:rsidRPr="00124EDF" w:rsidRDefault="00597777" w:rsidP="009426B3">
      <w:pPr>
        <w:spacing w:after="120"/>
        <w:rPr>
          <w:rFonts w:ascii="Arial" w:hAnsi="Arial"/>
          <w:b/>
        </w:rPr>
      </w:pPr>
      <w:r w:rsidRPr="00124EDF">
        <w:rPr>
          <w:rFonts w:ascii="Arial" w:hAnsi="Arial"/>
          <w:b/>
        </w:rPr>
        <w:t>Appendix 4</w:t>
      </w:r>
      <w:r w:rsidR="008A572C" w:rsidRPr="00124EDF">
        <w:rPr>
          <w:rFonts w:ascii="Arial" w:hAnsi="Arial"/>
          <w:b/>
        </w:rPr>
        <w:t>: Data Analysis in SPSS</w:t>
      </w:r>
    </w:p>
    <w:p w:rsidR="008A572C" w:rsidRPr="00C23322" w:rsidRDefault="00597777" w:rsidP="009426B3">
      <w:pPr>
        <w:spacing w:after="120"/>
        <w:rPr>
          <w:rFonts w:ascii="Arial" w:hAnsi="Arial"/>
        </w:rPr>
      </w:pPr>
      <w:r>
        <w:rPr>
          <w:rFonts w:ascii="Arial" w:hAnsi="Arial"/>
        </w:rPr>
        <w:object w:dxaOrig="1520" w:dyaOrig="985">
          <v:shape id="_x0000_i1028" type="#_x0000_t75" style="width:76.2pt;height:49.2pt" o:ole="">
            <v:imagedata r:id="rId23" o:title=""/>
          </v:shape>
          <o:OLEObject Type="Embed" ProgID="Package" ShapeID="_x0000_i1028" DrawAspect="Icon" ObjectID="_1851813972" r:id="rId24"/>
        </w:object>
      </w:r>
    </w:p>
    <w:p w:rsidR="00FE1099" w:rsidRPr="00C23322" w:rsidRDefault="00FE1099" w:rsidP="00FE1099">
      <w:pPr>
        <w:spacing w:line="276" w:lineRule="auto"/>
        <w:rPr>
          <w:rFonts w:ascii="Arial" w:hAnsi="Arial"/>
          <w:b/>
        </w:rPr>
      </w:pPr>
    </w:p>
    <w:sectPr w:rsidR="00FE1099" w:rsidRPr="00C23322">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1AAA" w:rsidRDefault="00C41AAA" w:rsidP="00B21D3F">
      <w:pPr>
        <w:spacing w:line="240" w:lineRule="auto"/>
      </w:pPr>
      <w:r>
        <w:separator/>
      </w:r>
    </w:p>
  </w:endnote>
  <w:endnote w:type="continuationSeparator" w:id="0">
    <w:p w:rsidR="00C41AAA" w:rsidRDefault="00C41AAA" w:rsidP="00B21D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566" w:rsidRDefault="008B5566">
    <w:pPr>
      <w:pStyle w:val="BodyText"/>
      <w:spacing w:line="14" w:lineRule="auto"/>
      <w:rPr>
        <w:sz w:val="20"/>
      </w:rPr>
    </w:pPr>
    <w:r>
      <w:rPr>
        <w:noProof/>
        <w:sz w:val="20"/>
      </w:rPr>
      <mc:AlternateContent>
        <mc:Choice Requires="wps">
          <w:drawing>
            <wp:anchor distT="0" distB="0" distL="0" distR="0" simplePos="0" relativeHeight="251659264" behindDoc="1" locked="0" layoutInCell="1" allowOverlap="1" wp14:anchorId="49F996C0" wp14:editId="071929BB">
              <wp:simplePos x="0" y="0"/>
              <wp:positionH relativeFrom="page">
                <wp:posOffset>3443732</wp:posOffset>
              </wp:positionH>
              <wp:positionV relativeFrom="page">
                <wp:posOffset>10131097</wp:posOffset>
              </wp:positionV>
              <wp:extent cx="665480" cy="165735"/>
              <wp:effectExtent l="0" t="0" r="0" b="0"/>
              <wp:wrapNone/>
              <wp:docPr id="8"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 cy="165735"/>
                      </a:xfrm>
                      <a:prstGeom prst="rect">
                        <a:avLst/>
                      </a:prstGeom>
                    </wps:spPr>
                    <wps:txbx>
                      <w:txbxContent>
                        <w:p w:rsidR="008B5566" w:rsidRDefault="008B5566">
                          <w:pPr>
                            <w:spacing w:before="10"/>
                            <w:ind w:left="20"/>
                            <w:rPr>
                              <w:b/>
                              <w:sz w:val="20"/>
                            </w:rPr>
                          </w:pPr>
                          <w:r>
                            <w:rPr>
                              <w:sz w:val="20"/>
                            </w:rPr>
                            <w:t>Page</w:t>
                          </w:r>
                          <w:r>
                            <w:rPr>
                              <w:spacing w:val="-3"/>
                              <w:sz w:val="20"/>
                            </w:rPr>
                            <w:t xml:space="preserve"> </w:t>
                          </w:r>
                          <w:r>
                            <w:rPr>
                              <w:b/>
                              <w:sz w:val="20"/>
                            </w:rPr>
                            <w:fldChar w:fldCharType="begin"/>
                          </w:r>
                          <w:r>
                            <w:rPr>
                              <w:b/>
                              <w:sz w:val="20"/>
                            </w:rPr>
                            <w:instrText xml:space="preserve"> PAGE </w:instrText>
                          </w:r>
                          <w:r>
                            <w:rPr>
                              <w:b/>
                              <w:sz w:val="20"/>
                            </w:rPr>
                            <w:fldChar w:fldCharType="separate"/>
                          </w:r>
                          <w:r w:rsidR="001412E8">
                            <w:rPr>
                              <w:b/>
                              <w:noProof/>
                              <w:sz w:val="20"/>
                            </w:rPr>
                            <w:t>1</w:t>
                          </w:r>
                          <w:r>
                            <w:rPr>
                              <w:b/>
                              <w:sz w:val="20"/>
                            </w:rPr>
                            <w:fldChar w:fldCharType="end"/>
                          </w:r>
                          <w:r>
                            <w:rPr>
                              <w:b/>
                              <w:sz w:val="20"/>
                            </w:rPr>
                            <w:t xml:space="preserve"> </w:t>
                          </w:r>
                          <w:r>
                            <w:rPr>
                              <w:sz w:val="20"/>
                            </w:rPr>
                            <w:t>of</w:t>
                          </w:r>
                          <w:r>
                            <w:rPr>
                              <w:spacing w:val="-3"/>
                              <w:sz w:val="20"/>
                            </w:rPr>
                            <w:t xml:space="preserve"> </w:t>
                          </w:r>
                          <w:r>
                            <w:rPr>
                              <w:b/>
                              <w:spacing w:val="-5"/>
                              <w:sz w:val="20"/>
                            </w:rPr>
                            <w:fldChar w:fldCharType="begin"/>
                          </w:r>
                          <w:r>
                            <w:rPr>
                              <w:b/>
                              <w:spacing w:val="-5"/>
                              <w:sz w:val="20"/>
                            </w:rPr>
                            <w:instrText xml:space="preserve"> NUMPAGES </w:instrText>
                          </w:r>
                          <w:r>
                            <w:rPr>
                              <w:b/>
                              <w:spacing w:val="-5"/>
                              <w:sz w:val="20"/>
                            </w:rPr>
                            <w:fldChar w:fldCharType="separate"/>
                          </w:r>
                          <w:r w:rsidR="001412E8">
                            <w:rPr>
                              <w:b/>
                              <w:noProof/>
                              <w:spacing w:val="-5"/>
                              <w:sz w:val="20"/>
                            </w:rPr>
                            <w:t>79</w:t>
                          </w:r>
                          <w:r>
                            <w:rPr>
                              <w:b/>
                              <w:spacing w:val="-5"/>
                              <w:sz w:val="20"/>
                            </w:rPr>
                            <w:fldChar w:fldCharType="end"/>
                          </w:r>
                        </w:p>
                      </w:txbxContent>
                    </wps:txbx>
                    <wps:bodyPr wrap="square" lIns="0" tIns="0" rIns="0" bIns="0" rtlCol="0">
                      <a:noAutofit/>
                    </wps:bodyPr>
                  </wps:wsp>
                </a:graphicData>
              </a:graphic>
            </wp:anchor>
          </w:drawing>
        </mc:Choice>
        <mc:Fallback>
          <w:pict>
            <v:shapetype w14:anchorId="49F996C0" id="_x0000_t202" coordsize="21600,21600" o:spt="202" path="m,l,21600r21600,l21600,xe">
              <v:stroke joinstyle="miter"/>
              <v:path gradientshapeok="t" o:connecttype="rect"/>
            </v:shapetype>
            <v:shape id="Textbox 1" o:spid="_x0000_s1028" type="#_x0000_t202" style="position:absolute;margin-left:271.15pt;margin-top:797.7pt;width:52.4pt;height:13.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" filled="f" stroked="f">
              <v:path arrowok="t"/>
              <v:textbox inset="0,0,0,0">
                <w:txbxContent>
                  <w:p w:rsidR="008B5566" w:rsidRDefault="008B5566">
                    <w:pPr>
                      <w:spacing w:before="10"/>
                      <w:ind w:left="20"/>
                      <w:rPr>
                        <w:b/>
                        <w:sz w:val="20"/>
                      </w:rPr>
                    </w:pPr>
                    <w:r>
                      <w:rPr>
                        <w:sz w:val="20"/>
                      </w:rPr>
                      <w:t>Page</w:t>
                    </w:r>
                    <w:r>
                      <w:rPr>
                        <w:spacing w:val="-3"/>
                        <w:sz w:val="20"/>
                      </w:rPr>
                      <w:t xml:space="preserve"> </w:t>
                    </w:r>
                    <w:r>
                      <w:rPr>
                        <w:b/>
                        <w:sz w:val="20"/>
                      </w:rPr>
                      <w:fldChar w:fldCharType="begin"/>
                    </w:r>
                    <w:r>
                      <w:rPr>
                        <w:b/>
                        <w:sz w:val="20"/>
                      </w:rPr>
                      <w:instrText xml:space="preserve"> PAGE </w:instrText>
                    </w:r>
                    <w:r>
                      <w:rPr>
                        <w:b/>
                        <w:sz w:val="20"/>
                      </w:rPr>
                      <w:fldChar w:fldCharType="separate"/>
                    </w:r>
                    <w:r w:rsidR="001412E8">
                      <w:rPr>
                        <w:b/>
                        <w:noProof/>
                        <w:sz w:val="20"/>
                      </w:rPr>
                      <w:t>1</w:t>
                    </w:r>
                    <w:r>
                      <w:rPr>
                        <w:b/>
                        <w:sz w:val="20"/>
                      </w:rPr>
                      <w:fldChar w:fldCharType="end"/>
                    </w:r>
                    <w:r>
                      <w:rPr>
                        <w:b/>
                        <w:sz w:val="20"/>
                      </w:rPr>
                      <w:t xml:space="preserve"> </w:t>
                    </w:r>
                    <w:r>
                      <w:rPr>
                        <w:sz w:val="20"/>
                      </w:rPr>
                      <w:t>of</w:t>
                    </w:r>
                    <w:r>
                      <w:rPr>
                        <w:spacing w:val="-3"/>
                        <w:sz w:val="20"/>
                      </w:rPr>
                      <w:t xml:space="preserve"> </w:t>
                    </w:r>
                    <w:r>
                      <w:rPr>
                        <w:b/>
                        <w:spacing w:val="-5"/>
                        <w:sz w:val="20"/>
                      </w:rPr>
                      <w:fldChar w:fldCharType="begin"/>
                    </w:r>
                    <w:r>
                      <w:rPr>
                        <w:b/>
                        <w:spacing w:val="-5"/>
                        <w:sz w:val="20"/>
                      </w:rPr>
                      <w:instrText xml:space="preserve"> NUMPAGES </w:instrText>
                    </w:r>
                    <w:r>
                      <w:rPr>
                        <w:b/>
                        <w:spacing w:val="-5"/>
                        <w:sz w:val="20"/>
                      </w:rPr>
                      <w:fldChar w:fldCharType="separate"/>
                    </w:r>
                    <w:r w:rsidR="001412E8">
                      <w:rPr>
                        <w:b/>
                        <w:noProof/>
                        <w:spacing w:val="-5"/>
                        <w:sz w:val="20"/>
                      </w:rPr>
                      <w:t>79</w:t>
                    </w:r>
                    <w:r>
                      <w:rPr>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8080889"/>
      <w:docPartObj>
        <w:docPartGallery w:val="Page Numbers (Bottom of Page)"/>
        <w:docPartUnique/>
      </w:docPartObj>
    </w:sdtPr>
    <w:sdtEndPr>
      <w:rPr>
        <w:noProof/>
      </w:rPr>
    </w:sdtEndPr>
    <w:sdtContent>
      <w:p w:rsidR="008B5566" w:rsidRDefault="008B5566">
        <w:pPr>
          <w:pStyle w:val="Footer"/>
          <w:jc w:val="right"/>
        </w:pPr>
        <w:r>
          <w:fldChar w:fldCharType="begin"/>
        </w:r>
        <w:r>
          <w:instrText xml:space="preserve"> PAGE   \* MERGEFORMAT </w:instrText>
        </w:r>
        <w:r>
          <w:fldChar w:fldCharType="separate"/>
        </w:r>
        <w:r w:rsidR="001412E8">
          <w:rPr>
            <w:noProof/>
          </w:rPr>
          <w:t>34</w:t>
        </w:r>
        <w:r>
          <w:rPr>
            <w:noProof/>
          </w:rPr>
          <w:fldChar w:fldCharType="end"/>
        </w:r>
      </w:p>
    </w:sdtContent>
  </w:sdt>
  <w:p w:rsidR="008B5566" w:rsidRDefault="008B55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1AAA" w:rsidRDefault="00C41AAA" w:rsidP="00B21D3F">
      <w:pPr>
        <w:spacing w:line="240" w:lineRule="auto"/>
      </w:pPr>
      <w:r>
        <w:separator/>
      </w:r>
    </w:p>
  </w:footnote>
  <w:footnote w:type="continuationSeparator" w:id="0">
    <w:p w:rsidR="00C41AAA" w:rsidRDefault="00C41AAA" w:rsidP="00B21D3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8E042D"/>
    <w:multiLevelType w:val="multilevel"/>
    <w:tmpl w:val="DAD02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AA3603"/>
    <w:multiLevelType w:val="hybridMultilevel"/>
    <w:tmpl w:val="AFE8D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E469F6"/>
    <w:multiLevelType w:val="hybridMultilevel"/>
    <w:tmpl w:val="FB688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EE031FD"/>
    <w:multiLevelType w:val="multilevel"/>
    <w:tmpl w:val="EB6E9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B8B0739"/>
    <w:multiLevelType w:val="hybridMultilevel"/>
    <w:tmpl w:val="93F4683C"/>
    <w:lvl w:ilvl="0" w:tplc="23E21CA2">
      <w:start w:val="1"/>
      <w:numFmt w:val="bullet"/>
      <w:lvlText w:val="•"/>
      <w:lvlJc w:val="left"/>
      <w:pPr>
        <w:ind w:left="720" w:hanging="360"/>
      </w:pPr>
    </w:lvl>
    <w:lvl w:ilvl="1" w:tplc="B3763506">
      <w:numFmt w:val="decimal"/>
      <w:lvlText w:val=""/>
      <w:lvlJc w:val="left"/>
    </w:lvl>
    <w:lvl w:ilvl="2" w:tplc="70E6984A">
      <w:numFmt w:val="decimal"/>
      <w:lvlText w:val=""/>
      <w:lvlJc w:val="left"/>
    </w:lvl>
    <w:lvl w:ilvl="3" w:tplc="C3DA3CEA">
      <w:numFmt w:val="decimal"/>
      <w:lvlText w:val=""/>
      <w:lvlJc w:val="left"/>
    </w:lvl>
    <w:lvl w:ilvl="4" w:tplc="501EDF74">
      <w:numFmt w:val="decimal"/>
      <w:lvlText w:val=""/>
      <w:lvlJc w:val="left"/>
    </w:lvl>
    <w:lvl w:ilvl="5" w:tplc="1F36E130">
      <w:numFmt w:val="decimal"/>
      <w:lvlText w:val=""/>
      <w:lvlJc w:val="left"/>
    </w:lvl>
    <w:lvl w:ilvl="6" w:tplc="745208E0">
      <w:numFmt w:val="decimal"/>
      <w:lvlText w:val=""/>
      <w:lvlJc w:val="left"/>
    </w:lvl>
    <w:lvl w:ilvl="7" w:tplc="CA781D06">
      <w:numFmt w:val="decimal"/>
      <w:lvlText w:val=""/>
      <w:lvlJc w:val="left"/>
    </w:lvl>
    <w:lvl w:ilvl="8" w:tplc="E550CDC6">
      <w:numFmt w:val="decimal"/>
      <w:lvlText w:val=""/>
      <w:lvlJc w:val="left"/>
    </w:lvl>
  </w:abstractNum>
  <w:abstractNum w:abstractNumId="5">
    <w:nsid w:val="78A17D6D"/>
    <w:multiLevelType w:val="multilevel"/>
    <w:tmpl w:val="2A461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lvlOverride w:ilvl="0">
      <w:startOverride w:val="1"/>
    </w:lvlOverride>
  </w:num>
  <w:num w:numId="2">
    <w:abstractNumId w:val="0"/>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099"/>
    <w:rsid w:val="0001485B"/>
    <w:rsid w:val="000547B3"/>
    <w:rsid w:val="0005483A"/>
    <w:rsid w:val="000660F6"/>
    <w:rsid w:val="000970E8"/>
    <w:rsid w:val="000B66FC"/>
    <w:rsid w:val="000F4E3D"/>
    <w:rsid w:val="00100D46"/>
    <w:rsid w:val="00124EDF"/>
    <w:rsid w:val="001412E8"/>
    <w:rsid w:val="00164833"/>
    <w:rsid w:val="00180CC5"/>
    <w:rsid w:val="00186F1F"/>
    <w:rsid w:val="001B06AB"/>
    <w:rsid w:val="001C1DAC"/>
    <w:rsid w:val="001C37A4"/>
    <w:rsid w:val="001F285C"/>
    <w:rsid w:val="00203EA9"/>
    <w:rsid w:val="00216DCE"/>
    <w:rsid w:val="00224021"/>
    <w:rsid w:val="0024481F"/>
    <w:rsid w:val="00253ACE"/>
    <w:rsid w:val="0025586E"/>
    <w:rsid w:val="002707D2"/>
    <w:rsid w:val="002C0901"/>
    <w:rsid w:val="002D74EB"/>
    <w:rsid w:val="002F42F0"/>
    <w:rsid w:val="003170B4"/>
    <w:rsid w:val="0035013C"/>
    <w:rsid w:val="0038043B"/>
    <w:rsid w:val="003A6AAC"/>
    <w:rsid w:val="00414D0F"/>
    <w:rsid w:val="00436E7B"/>
    <w:rsid w:val="004555A9"/>
    <w:rsid w:val="00457493"/>
    <w:rsid w:val="00467D15"/>
    <w:rsid w:val="004723C3"/>
    <w:rsid w:val="00474AB9"/>
    <w:rsid w:val="00535CCE"/>
    <w:rsid w:val="00566224"/>
    <w:rsid w:val="00572BA0"/>
    <w:rsid w:val="00597777"/>
    <w:rsid w:val="005C2456"/>
    <w:rsid w:val="00603BF6"/>
    <w:rsid w:val="00622716"/>
    <w:rsid w:val="0062647F"/>
    <w:rsid w:val="00630D5C"/>
    <w:rsid w:val="0064505D"/>
    <w:rsid w:val="00647434"/>
    <w:rsid w:val="00651EE7"/>
    <w:rsid w:val="0067684D"/>
    <w:rsid w:val="006A626A"/>
    <w:rsid w:val="006D7A7C"/>
    <w:rsid w:val="006E1E85"/>
    <w:rsid w:val="00733441"/>
    <w:rsid w:val="007B21C0"/>
    <w:rsid w:val="007D5463"/>
    <w:rsid w:val="007E4708"/>
    <w:rsid w:val="007E7216"/>
    <w:rsid w:val="008351AA"/>
    <w:rsid w:val="00836341"/>
    <w:rsid w:val="008455FC"/>
    <w:rsid w:val="008A572C"/>
    <w:rsid w:val="008B5566"/>
    <w:rsid w:val="008C2CC8"/>
    <w:rsid w:val="008C4B14"/>
    <w:rsid w:val="008D204F"/>
    <w:rsid w:val="009218F7"/>
    <w:rsid w:val="009338F6"/>
    <w:rsid w:val="009426B3"/>
    <w:rsid w:val="00974B8B"/>
    <w:rsid w:val="009A15FF"/>
    <w:rsid w:val="009D021D"/>
    <w:rsid w:val="009F426B"/>
    <w:rsid w:val="009F581B"/>
    <w:rsid w:val="00A22607"/>
    <w:rsid w:val="00A23D0B"/>
    <w:rsid w:val="00A25AA9"/>
    <w:rsid w:val="00A37033"/>
    <w:rsid w:val="00AE03EA"/>
    <w:rsid w:val="00AF77FB"/>
    <w:rsid w:val="00B01232"/>
    <w:rsid w:val="00B21D3F"/>
    <w:rsid w:val="00B42FEA"/>
    <w:rsid w:val="00B54EE8"/>
    <w:rsid w:val="00B6195F"/>
    <w:rsid w:val="00B84E7D"/>
    <w:rsid w:val="00BA4EF7"/>
    <w:rsid w:val="00BF0A05"/>
    <w:rsid w:val="00C04360"/>
    <w:rsid w:val="00C11C38"/>
    <w:rsid w:val="00C22E42"/>
    <w:rsid w:val="00C23322"/>
    <w:rsid w:val="00C41AAA"/>
    <w:rsid w:val="00C57488"/>
    <w:rsid w:val="00C61EB1"/>
    <w:rsid w:val="00C6357A"/>
    <w:rsid w:val="00C703B5"/>
    <w:rsid w:val="00C70446"/>
    <w:rsid w:val="00CB7A5B"/>
    <w:rsid w:val="00CC5FB6"/>
    <w:rsid w:val="00CF09ED"/>
    <w:rsid w:val="00CF6086"/>
    <w:rsid w:val="00D13741"/>
    <w:rsid w:val="00D26F79"/>
    <w:rsid w:val="00D3685C"/>
    <w:rsid w:val="00D37C68"/>
    <w:rsid w:val="00D642A1"/>
    <w:rsid w:val="00DC7C09"/>
    <w:rsid w:val="00DF5295"/>
    <w:rsid w:val="00E326DA"/>
    <w:rsid w:val="00E61D9D"/>
    <w:rsid w:val="00E650D9"/>
    <w:rsid w:val="00E677DF"/>
    <w:rsid w:val="00E7084B"/>
    <w:rsid w:val="00E9526C"/>
    <w:rsid w:val="00EB16A9"/>
    <w:rsid w:val="00EE651A"/>
    <w:rsid w:val="00EF5609"/>
    <w:rsid w:val="00F4541B"/>
    <w:rsid w:val="00F45D0D"/>
    <w:rsid w:val="00F51EFF"/>
    <w:rsid w:val="00F92FF2"/>
    <w:rsid w:val="00FA53F2"/>
    <w:rsid w:val="00FC3D32"/>
    <w:rsid w:val="00FE1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4C6AA6-00DA-4113-A7DF-13A21B3E5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7D15"/>
    <w:pPr>
      <w:spacing w:after="0" w:line="360" w:lineRule="auto"/>
      <w:jc w:val="both"/>
    </w:pPr>
    <w:rPr>
      <w:rFonts w:ascii="Times New Roman" w:hAnsi="Times New Roman" w:cs="Arial"/>
      <w:sz w:val="24"/>
      <w:szCs w:val="24"/>
    </w:rPr>
  </w:style>
  <w:style w:type="paragraph" w:styleId="Heading1">
    <w:name w:val="heading 1"/>
    <w:basedOn w:val="Normal"/>
    <w:link w:val="Heading1Char"/>
    <w:autoRedefine/>
    <w:qFormat/>
    <w:rsid w:val="00E326DA"/>
    <w:pPr>
      <w:spacing w:after="120"/>
      <w:outlineLvl w:val="0"/>
    </w:pPr>
    <w:rPr>
      <w:rFonts w:ascii="Arial" w:eastAsia="Times New Roman" w:hAnsi="Arial"/>
      <w:b/>
      <w:bCs/>
      <w:color w:val="000000"/>
      <w:sz w:val="28"/>
      <w:szCs w:val="28"/>
    </w:rPr>
  </w:style>
  <w:style w:type="paragraph" w:styleId="Heading2">
    <w:name w:val="heading 2"/>
    <w:link w:val="Heading2Char"/>
    <w:autoRedefine/>
    <w:qFormat/>
    <w:rsid w:val="00C22E42"/>
    <w:pPr>
      <w:spacing w:before="280" w:line="360" w:lineRule="auto"/>
      <w:jc w:val="both"/>
      <w:outlineLvl w:val="1"/>
    </w:pPr>
    <w:rPr>
      <w:rFonts w:ascii="Times New Roman" w:eastAsia="Times New Roman" w:hAnsi="Times New Roman" w:cs="Times New Roman"/>
      <w:b/>
      <w:bCs/>
      <w:color w:val="000000" w:themeColor="text1"/>
      <w:sz w:val="26"/>
      <w:szCs w:val="24"/>
    </w:rPr>
  </w:style>
  <w:style w:type="paragraph" w:styleId="Heading3">
    <w:name w:val="heading 3"/>
    <w:link w:val="Heading3Char"/>
    <w:autoRedefine/>
    <w:qFormat/>
    <w:rsid w:val="00457493"/>
    <w:pPr>
      <w:spacing w:after="120" w:line="360" w:lineRule="auto"/>
      <w:jc w:val="both"/>
      <w:outlineLvl w:val="2"/>
    </w:pPr>
    <w:rPr>
      <w:rFonts w:ascii="Times New Roman" w:hAnsi="Times New Roman" w:cs="Times New Roman"/>
      <w:b/>
      <w:bCs/>
      <w:color w:val="0F1115"/>
      <w:sz w:val="24"/>
      <w:szCs w:val="24"/>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22E42"/>
    <w:rPr>
      <w:rFonts w:ascii="Times New Roman" w:eastAsia="Times New Roman" w:hAnsi="Times New Roman" w:cs="Times New Roman"/>
      <w:b/>
      <w:bCs/>
      <w:color w:val="000000" w:themeColor="text1"/>
      <w:sz w:val="26"/>
      <w:szCs w:val="24"/>
    </w:rPr>
  </w:style>
  <w:style w:type="character" w:customStyle="1" w:styleId="Heading3Char">
    <w:name w:val="Heading 3 Char"/>
    <w:basedOn w:val="DefaultParagraphFont"/>
    <w:link w:val="Heading3"/>
    <w:rsid w:val="00457493"/>
    <w:rPr>
      <w:rFonts w:ascii="Times New Roman" w:hAnsi="Times New Roman" w:cs="Times New Roman"/>
      <w:b/>
      <w:bCs/>
      <w:color w:val="0F1115"/>
      <w:sz w:val="24"/>
      <w:szCs w:val="24"/>
    </w:rPr>
  </w:style>
  <w:style w:type="character" w:customStyle="1" w:styleId="Heading1Char">
    <w:name w:val="Heading 1 Char"/>
    <w:basedOn w:val="DefaultParagraphFont"/>
    <w:link w:val="Heading1"/>
    <w:rsid w:val="00E326DA"/>
    <w:rPr>
      <w:rFonts w:ascii="Arial" w:eastAsia="Times New Roman" w:hAnsi="Arial" w:cs="Arial"/>
      <w:b/>
      <w:bCs/>
      <w:color w:val="000000"/>
      <w:sz w:val="28"/>
      <w:szCs w:val="28"/>
    </w:rPr>
  </w:style>
  <w:style w:type="character" w:styleId="Hyperlink">
    <w:name w:val="Hyperlink"/>
    <w:basedOn w:val="DefaultParagraphFont"/>
    <w:uiPriority w:val="99"/>
    <w:unhideWhenUsed/>
    <w:rsid w:val="00FE1099"/>
    <w:rPr>
      <w:color w:val="0563C1" w:themeColor="hyperlink"/>
      <w:u w:val="single"/>
    </w:rPr>
  </w:style>
  <w:style w:type="paragraph" w:styleId="ListParagraph">
    <w:name w:val="List Paragraph"/>
    <w:qFormat/>
    <w:rsid w:val="00535CCE"/>
    <w:pPr>
      <w:spacing w:after="0"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535CCE"/>
    <w:pPr>
      <w:keepNext/>
      <w:keepLine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2">
    <w:name w:val="toc 2"/>
    <w:basedOn w:val="Normal"/>
    <w:next w:val="Normal"/>
    <w:autoRedefine/>
    <w:uiPriority w:val="39"/>
    <w:unhideWhenUsed/>
    <w:rsid w:val="00535CCE"/>
    <w:pPr>
      <w:spacing w:after="100"/>
      <w:ind w:left="240"/>
    </w:pPr>
  </w:style>
  <w:style w:type="paragraph" w:styleId="TOC3">
    <w:name w:val="toc 3"/>
    <w:basedOn w:val="Normal"/>
    <w:next w:val="Normal"/>
    <w:autoRedefine/>
    <w:uiPriority w:val="39"/>
    <w:unhideWhenUsed/>
    <w:rsid w:val="00535CCE"/>
    <w:pPr>
      <w:spacing w:after="100"/>
      <w:ind w:left="480"/>
    </w:pPr>
  </w:style>
  <w:style w:type="paragraph" w:styleId="TOC1">
    <w:name w:val="toc 1"/>
    <w:basedOn w:val="Normal"/>
    <w:next w:val="Normal"/>
    <w:autoRedefine/>
    <w:uiPriority w:val="39"/>
    <w:unhideWhenUsed/>
    <w:rsid w:val="00535CCE"/>
    <w:pPr>
      <w:spacing w:after="100"/>
    </w:pPr>
  </w:style>
  <w:style w:type="paragraph" w:styleId="Footer">
    <w:name w:val="footer"/>
    <w:basedOn w:val="Normal"/>
    <w:link w:val="FooterChar"/>
    <w:uiPriority w:val="99"/>
    <w:unhideWhenUsed/>
    <w:rsid w:val="00535CCE"/>
    <w:pPr>
      <w:tabs>
        <w:tab w:val="center" w:pos="4680"/>
        <w:tab w:val="right" w:pos="9360"/>
      </w:tabs>
      <w:spacing w:line="240" w:lineRule="auto"/>
    </w:pPr>
  </w:style>
  <w:style w:type="character" w:customStyle="1" w:styleId="FooterChar">
    <w:name w:val="Footer Char"/>
    <w:basedOn w:val="DefaultParagraphFont"/>
    <w:link w:val="Footer"/>
    <w:uiPriority w:val="99"/>
    <w:rsid w:val="00535CCE"/>
    <w:rPr>
      <w:rFonts w:ascii="Times New Roman" w:hAnsi="Times New Roman" w:cs="Arial"/>
      <w:sz w:val="24"/>
      <w:szCs w:val="24"/>
    </w:rPr>
  </w:style>
  <w:style w:type="paragraph" w:styleId="Header">
    <w:name w:val="header"/>
    <w:basedOn w:val="Normal"/>
    <w:link w:val="HeaderChar"/>
    <w:uiPriority w:val="99"/>
    <w:unhideWhenUsed/>
    <w:rsid w:val="00B21D3F"/>
    <w:pPr>
      <w:tabs>
        <w:tab w:val="center" w:pos="4680"/>
        <w:tab w:val="right" w:pos="9360"/>
      </w:tabs>
      <w:spacing w:line="240" w:lineRule="auto"/>
    </w:pPr>
  </w:style>
  <w:style w:type="character" w:customStyle="1" w:styleId="HeaderChar">
    <w:name w:val="Header Char"/>
    <w:basedOn w:val="DefaultParagraphFont"/>
    <w:link w:val="Header"/>
    <w:uiPriority w:val="99"/>
    <w:rsid w:val="00B21D3F"/>
    <w:rPr>
      <w:rFonts w:ascii="Times New Roman" w:hAnsi="Times New Roman" w:cs="Arial"/>
      <w:sz w:val="24"/>
      <w:szCs w:val="24"/>
    </w:rPr>
  </w:style>
  <w:style w:type="paragraph" w:styleId="NormalWeb">
    <w:name w:val="Normal (Web)"/>
    <w:basedOn w:val="Normal"/>
    <w:uiPriority w:val="99"/>
    <w:unhideWhenUsed/>
    <w:rsid w:val="00DF5295"/>
    <w:pPr>
      <w:spacing w:before="100" w:beforeAutospacing="1" w:after="100" w:afterAutospacing="1" w:line="240" w:lineRule="auto"/>
      <w:jc w:val="left"/>
    </w:pPr>
    <w:rPr>
      <w:rFonts w:eastAsia="Times New Roman" w:cs="Times New Roman"/>
    </w:rPr>
  </w:style>
  <w:style w:type="paragraph" w:styleId="TOC4">
    <w:name w:val="toc 4"/>
    <w:basedOn w:val="Normal"/>
    <w:next w:val="Normal"/>
    <w:autoRedefine/>
    <w:uiPriority w:val="39"/>
    <w:unhideWhenUsed/>
    <w:rsid w:val="00F45D0D"/>
    <w:pPr>
      <w:spacing w:after="100" w:line="259" w:lineRule="auto"/>
      <w:ind w:left="660"/>
      <w:jc w:val="left"/>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F45D0D"/>
    <w:pPr>
      <w:spacing w:after="100" w:line="259" w:lineRule="auto"/>
      <w:ind w:left="880"/>
      <w:jc w:val="left"/>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F45D0D"/>
    <w:pPr>
      <w:spacing w:after="100" w:line="259" w:lineRule="auto"/>
      <w:ind w:left="110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F45D0D"/>
    <w:pPr>
      <w:spacing w:after="100" w:line="259" w:lineRule="auto"/>
      <w:ind w:left="132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F45D0D"/>
    <w:pPr>
      <w:spacing w:after="100" w:line="259" w:lineRule="auto"/>
      <w:ind w:left="154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F45D0D"/>
    <w:pPr>
      <w:spacing w:after="100" w:line="259" w:lineRule="auto"/>
      <w:ind w:left="1760"/>
      <w:jc w:val="left"/>
    </w:pPr>
    <w:rPr>
      <w:rFonts w:asciiTheme="minorHAnsi" w:eastAsiaTheme="minorEastAsia" w:hAnsiTheme="minorHAnsi" w:cstheme="minorBidi"/>
      <w:sz w:val="22"/>
      <w:szCs w:val="22"/>
    </w:rPr>
  </w:style>
  <w:style w:type="character" w:styleId="Strong">
    <w:name w:val="Strong"/>
    <w:basedOn w:val="DefaultParagraphFont"/>
    <w:uiPriority w:val="22"/>
    <w:qFormat/>
    <w:rsid w:val="008C2CC8"/>
    <w:rPr>
      <w:b/>
      <w:bCs/>
    </w:rPr>
  </w:style>
  <w:style w:type="paragraph" w:customStyle="1" w:styleId="ds-markdown-paragraph">
    <w:name w:val="ds-markdown-paragraph"/>
    <w:basedOn w:val="Normal"/>
    <w:rsid w:val="008C2CC8"/>
    <w:pPr>
      <w:spacing w:before="100" w:beforeAutospacing="1" w:after="100" w:afterAutospacing="1" w:line="240" w:lineRule="auto"/>
      <w:jc w:val="left"/>
    </w:pPr>
    <w:rPr>
      <w:rFonts w:eastAsia="Times New Roman" w:cs="Times New Roman"/>
    </w:rPr>
  </w:style>
  <w:style w:type="paragraph" w:styleId="NoSpacing">
    <w:name w:val="No Spacing"/>
    <w:uiPriority w:val="1"/>
    <w:qFormat/>
    <w:rsid w:val="00457493"/>
    <w:pPr>
      <w:spacing w:after="0" w:line="240" w:lineRule="auto"/>
      <w:jc w:val="both"/>
    </w:pPr>
    <w:rPr>
      <w:rFonts w:ascii="Times New Roman" w:hAnsi="Times New Roman" w:cs="Arial"/>
      <w:sz w:val="24"/>
      <w:szCs w:val="24"/>
    </w:rPr>
  </w:style>
  <w:style w:type="paragraph" w:styleId="Caption">
    <w:name w:val="caption"/>
    <w:basedOn w:val="Normal"/>
    <w:next w:val="Normal"/>
    <w:uiPriority w:val="35"/>
    <w:unhideWhenUsed/>
    <w:qFormat/>
    <w:rsid w:val="00DC7C09"/>
    <w:pPr>
      <w:spacing w:after="200" w:line="240" w:lineRule="auto"/>
      <w:jc w:val="left"/>
    </w:pPr>
    <w:rPr>
      <w:rFonts w:eastAsia="Times New Roman" w:cs="Times New Roman"/>
      <w:i/>
      <w:iCs/>
      <w:color w:val="44546A" w:themeColor="text2"/>
      <w:sz w:val="18"/>
      <w:szCs w:val="18"/>
    </w:rPr>
  </w:style>
  <w:style w:type="paragraph" w:customStyle="1" w:styleId="pdq2pgselectionanchorcontainer">
    <w:name w:val="pdq2pg_selectionanchorcontainer"/>
    <w:basedOn w:val="Normal"/>
    <w:rsid w:val="009426B3"/>
    <w:pPr>
      <w:spacing w:before="100" w:beforeAutospacing="1" w:after="100" w:afterAutospacing="1" w:line="240" w:lineRule="auto"/>
      <w:jc w:val="left"/>
    </w:pPr>
    <w:rPr>
      <w:rFonts w:eastAsia="Times New Roman" w:cs="Times New Roman"/>
    </w:rPr>
  </w:style>
  <w:style w:type="character" w:styleId="Emphasis">
    <w:name w:val="Emphasis"/>
    <w:basedOn w:val="DefaultParagraphFont"/>
    <w:uiPriority w:val="20"/>
    <w:qFormat/>
    <w:rsid w:val="009426B3"/>
    <w:rPr>
      <w:i/>
      <w:iCs/>
    </w:rPr>
  </w:style>
  <w:style w:type="paragraph" w:styleId="BodyText">
    <w:name w:val="Body Text"/>
    <w:basedOn w:val="Normal"/>
    <w:link w:val="BodyTextChar"/>
    <w:uiPriority w:val="1"/>
    <w:qFormat/>
    <w:rsid w:val="00EE651A"/>
    <w:pPr>
      <w:widowControl w:val="0"/>
      <w:autoSpaceDE w:val="0"/>
      <w:autoSpaceDN w:val="0"/>
      <w:spacing w:line="240" w:lineRule="auto"/>
      <w:jc w:val="left"/>
    </w:pPr>
    <w:rPr>
      <w:rFonts w:ascii="Arial MT" w:eastAsia="Arial MT" w:hAnsi="Arial MT" w:cs="Arial MT"/>
      <w:sz w:val="22"/>
      <w:szCs w:val="22"/>
    </w:rPr>
  </w:style>
  <w:style w:type="character" w:customStyle="1" w:styleId="BodyTextChar">
    <w:name w:val="Body Text Char"/>
    <w:basedOn w:val="DefaultParagraphFont"/>
    <w:link w:val="BodyText"/>
    <w:uiPriority w:val="1"/>
    <w:rsid w:val="00EE651A"/>
    <w:rPr>
      <w:rFonts w:ascii="Arial MT" w:eastAsia="Arial MT" w:hAnsi="Arial MT" w:cs="Arial MT"/>
    </w:rPr>
  </w:style>
  <w:style w:type="paragraph" w:customStyle="1" w:styleId="TableParagraph">
    <w:name w:val="Table Paragraph"/>
    <w:basedOn w:val="Normal"/>
    <w:uiPriority w:val="1"/>
    <w:qFormat/>
    <w:rsid w:val="00EE651A"/>
    <w:pPr>
      <w:widowControl w:val="0"/>
      <w:autoSpaceDE w:val="0"/>
      <w:autoSpaceDN w:val="0"/>
      <w:spacing w:line="240" w:lineRule="auto"/>
      <w:jc w:val="left"/>
    </w:pPr>
    <w:rPr>
      <w:rFonts w:ascii="Arial MT" w:eastAsia="Arial MT" w:hAnsi="Arial MT" w:cs="Arial MT"/>
      <w:sz w:val="22"/>
      <w:szCs w:val="22"/>
    </w:rPr>
  </w:style>
  <w:style w:type="table" w:styleId="TableGrid">
    <w:name w:val="Table Grid"/>
    <w:basedOn w:val="TableNormal"/>
    <w:uiPriority w:val="39"/>
    <w:rsid w:val="00D137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5">
    <w:name w:val="Plain Table 5"/>
    <w:basedOn w:val="TableNormal"/>
    <w:uiPriority w:val="45"/>
    <w:rsid w:val="007E7216"/>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
    <w:name w:val="Grid Table 2"/>
    <w:basedOn w:val="TableNormal"/>
    <w:uiPriority w:val="47"/>
    <w:rsid w:val="00E326DA"/>
    <w:pPr>
      <w:spacing w:after="0" w:line="240" w:lineRule="auto"/>
    </w:pPr>
    <w:rPr>
      <w:rFonts w:ascii="Times New Roman" w:eastAsia="Times New Roman" w:hAnsi="Times New Roman" w:cs="Times New Roman"/>
      <w:sz w:val="24"/>
      <w:szCs w:val="24"/>
    </w:r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ableofFigures">
    <w:name w:val="table of figures"/>
    <w:basedOn w:val="Normal"/>
    <w:next w:val="Normal"/>
    <w:uiPriority w:val="99"/>
    <w:unhideWhenUsed/>
    <w:rsid w:val="00216D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775106">
      <w:bodyDiv w:val="1"/>
      <w:marLeft w:val="0"/>
      <w:marRight w:val="0"/>
      <w:marTop w:val="0"/>
      <w:marBottom w:val="0"/>
      <w:divBdr>
        <w:top w:val="none" w:sz="0" w:space="0" w:color="auto"/>
        <w:left w:val="none" w:sz="0" w:space="0" w:color="auto"/>
        <w:bottom w:val="none" w:sz="0" w:space="0" w:color="auto"/>
        <w:right w:val="none" w:sz="0" w:space="0" w:color="auto"/>
      </w:divBdr>
    </w:div>
    <w:div w:id="398939169">
      <w:bodyDiv w:val="1"/>
      <w:marLeft w:val="0"/>
      <w:marRight w:val="0"/>
      <w:marTop w:val="0"/>
      <w:marBottom w:val="0"/>
      <w:divBdr>
        <w:top w:val="none" w:sz="0" w:space="0" w:color="auto"/>
        <w:left w:val="none" w:sz="0" w:space="0" w:color="auto"/>
        <w:bottom w:val="none" w:sz="0" w:space="0" w:color="auto"/>
        <w:right w:val="none" w:sz="0" w:space="0" w:color="auto"/>
      </w:divBdr>
    </w:div>
    <w:div w:id="641428865">
      <w:bodyDiv w:val="1"/>
      <w:marLeft w:val="0"/>
      <w:marRight w:val="0"/>
      <w:marTop w:val="0"/>
      <w:marBottom w:val="0"/>
      <w:divBdr>
        <w:top w:val="none" w:sz="0" w:space="0" w:color="auto"/>
        <w:left w:val="none" w:sz="0" w:space="0" w:color="auto"/>
        <w:bottom w:val="none" w:sz="0" w:space="0" w:color="auto"/>
        <w:right w:val="none" w:sz="0" w:space="0" w:color="auto"/>
      </w:divBdr>
    </w:div>
    <w:div w:id="645671804">
      <w:bodyDiv w:val="1"/>
      <w:marLeft w:val="0"/>
      <w:marRight w:val="0"/>
      <w:marTop w:val="0"/>
      <w:marBottom w:val="0"/>
      <w:divBdr>
        <w:top w:val="none" w:sz="0" w:space="0" w:color="auto"/>
        <w:left w:val="none" w:sz="0" w:space="0" w:color="auto"/>
        <w:bottom w:val="none" w:sz="0" w:space="0" w:color="auto"/>
        <w:right w:val="none" w:sz="0" w:space="0" w:color="auto"/>
      </w:divBdr>
    </w:div>
    <w:div w:id="1004161647">
      <w:bodyDiv w:val="1"/>
      <w:marLeft w:val="0"/>
      <w:marRight w:val="0"/>
      <w:marTop w:val="0"/>
      <w:marBottom w:val="0"/>
      <w:divBdr>
        <w:top w:val="none" w:sz="0" w:space="0" w:color="auto"/>
        <w:left w:val="none" w:sz="0" w:space="0" w:color="auto"/>
        <w:bottom w:val="none" w:sz="0" w:space="0" w:color="auto"/>
        <w:right w:val="none" w:sz="0" w:space="0" w:color="auto"/>
      </w:divBdr>
    </w:div>
    <w:div w:id="1038894766">
      <w:bodyDiv w:val="1"/>
      <w:marLeft w:val="0"/>
      <w:marRight w:val="0"/>
      <w:marTop w:val="0"/>
      <w:marBottom w:val="0"/>
      <w:divBdr>
        <w:top w:val="none" w:sz="0" w:space="0" w:color="auto"/>
        <w:left w:val="none" w:sz="0" w:space="0" w:color="auto"/>
        <w:bottom w:val="none" w:sz="0" w:space="0" w:color="auto"/>
        <w:right w:val="none" w:sz="0" w:space="0" w:color="auto"/>
      </w:divBdr>
    </w:div>
    <w:div w:id="1149787135">
      <w:bodyDiv w:val="1"/>
      <w:marLeft w:val="0"/>
      <w:marRight w:val="0"/>
      <w:marTop w:val="0"/>
      <w:marBottom w:val="0"/>
      <w:divBdr>
        <w:top w:val="none" w:sz="0" w:space="0" w:color="auto"/>
        <w:left w:val="none" w:sz="0" w:space="0" w:color="auto"/>
        <w:bottom w:val="none" w:sz="0" w:space="0" w:color="auto"/>
        <w:right w:val="none" w:sz="0" w:space="0" w:color="auto"/>
      </w:divBdr>
    </w:div>
    <w:div w:id="1251700285">
      <w:bodyDiv w:val="1"/>
      <w:marLeft w:val="0"/>
      <w:marRight w:val="0"/>
      <w:marTop w:val="0"/>
      <w:marBottom w:val="0"/>
      <w:divBdr>
        <w:top w:val="none" w:sz="0" w:space="0" w:color="auto"/>
        <w:left w:val="none" w:sz="0" w:space="0" w:color="auto"/>
        <w:bottom w:val="none" w:sz="0" w:space="0" w:color="auto"/>
        <w:right w:val="none" w:sz="0" w:space="0" w:color="auto"/>
      </w:divBdr>
    </w:div>
    <w:div w:id="1422530964">
      <w:bodyDiv w:val="1"/>
      <w:marLeft w:val="0"/>
      <w:marRight w:val="0"/>
      <w:marTop w:val="0"/>
      <w:marBottom w:val="0"/>
      <w:divBdr>
        <w:top w:val="none" w:sz="0" w:space="0" w:color="auto"/>
        <w:left w:val="none" w:sz="0" w:space="0" w:color="auto"/>
        <w:bottom w:val="none" w:sz="0" w:space="0" w:color="auto"/>
        <w:right w:val="none" w:sz="0" w:space="0" w:color="auto"/>
      </w:divBdr>
    </w:div>
    <w:div w:id="1755319632">
      <w:bodyDiv w:val="1"/>
      <w:marLeft w:val="0"/>
      <w:marRight w:val="0"/>
      <w:marTop w:val="0"/>
      <w:marBottom w:val="0"/>
      <w:divBdr>
        <w:top w:val="none" w:sz="0" w:space="0" w:color="auto"/>
        <w:left w:val="none" w:sz="0" w:space="0" w:color="auto"/>
        <w:bottom w:val="none" w:sz="0" w:space="0" w:color="auto"/>
        <w:right w:val="none" w:sz="0" w:space="0" w:color="auto"/>
      </w:divBdr>
    </w:div>
    <w:div w:id="1790006816">
      <w:bodyDiv w:val="1"/>
      <w:marLeft w:val="0"/>
      <w:marRight w:val="0"/>
      <w:marTop w:val="0"/>
      <w:marBottom w:val="0"/>
      <w:divBdr>
        <w:top w:val="none" w:sz="0" w:space="0" w:color="auto"/>
        <w:left w:val="none" w:sz="0" w:space="0" w:color="auto"/>
        <w:bottom w:val="none" w:sz="0" w:space="0" w:color="auto"/>
        <w:right w:val="none" w:sz="0" w:space="0" w:color="auto"/>
      </w:divBdr>
    </w:div>
    <w:div w:id="1929732640">
      <w:bodyDiv w:val="1"/>
      <w:marLeft w:val="0"/>
      <w:marRight w:val="0"/>
      <w:marTop w:val="0"/>
      <w:marBottom w:val="0"/>
      <w:divBdr>
        <w:top w:val="none" w:sz="0" w:space="0" w:color="auto"/>
        <w:left w:val="none" w:sz="0" w:space="0" w:color="auto"/>
        <w:bottom w:val="none" w:sz="0" w:space="0" w:color="auto"/>
        <w:right w:val="none" w:sz="0" w:space="0" w:color="auto"/>
      </w:divBdr>
    </w:div>
    <w:div w:id="1981304483">
      <w:bodyDiv w:val="1"/>
      <w:marLeft w:val="0"/>
      <w:marRight w:val="0"/>
      <w:marTop w:val="0"/>
      <w:marBottom w:val="0"/>
      <w:divBdr>
        <w:top w:val="none" w:sz="0" w:space="0" w:color="auto"/>
        <w:left w:val="none" w:sz="0" w:space="0" w:color="auto"/>
        <w:bottom w:val="none" w:sz="0" w:space="0" w:color="auto"/>
        <w:right w:val="none" w:sz="0" w:space="0" w:color="auto"/>
      </w:divBdr>
    </w:div>
    <w:div w:id="2053185241">
      <w:bodyDiv w:val="1"/>
      <w:marLeft w:val="0"/>
      <w:marRight w:val="0"/>
      <w:marTop w:val="0"/>
      <w:marBottom w:val="0"/>
      <w:divBdr>
        <w:top w:val="none" w:sz="0" w:space="0" w:color="auto"/>
        <w:left w:val="none" w:sz="0" w:space="0" w:color="auto"/>
        <w:bottom w:val="none" w:sz="0" w:space="0" w:color="auto"/>
        <w:right w:val="none" w:sz="0" w:space="0" w:color="auto"/>
      </w:divBdr>
    </w:div>
    <w:div w:id="211165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forms.cloud.microsoft/e/FEKbccQd2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package" Target="embeddings/Microsoft_Word_Document1.docx"/><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ammarly.com/" TargetMode="External"/><Relationship Id="rId24"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9.emf"/><Relationship Id="rId10" Type="http://schemas.openxmlformats.org/officeDocument/2006/relationships/hyperlink" Target="https://chatgpt.com/" TargetMode="External"/><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package" Target="embeddings/Microsoft_Excel_Worksheet2.xlsx"/><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A88FA-7771-4AD7-9F5D-957A9AF39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78</Pages>
  <Words>21049</Words>
  <Characters>119982</Characters>
  <Application>Microsoft Office Word</Application>
  <DocSecurity>0</DocSecurity>
  <Lines>999</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SAMSUNG</cp:lastModifiedBy>
  <cp:revision>13</cp:revision>
  <dcterms:created xsi:type="dcterms:W3CDTF">2026-09-23T23:56:00Z</dcterms:created>
  <dcterms:modified xsi:type="dcterms:W3CDTF">2026-09-24T21:59:00Z</dcterms:modified>
</cp:coreProperties>
</file>