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2C03E" w14:textId="77777777" w:rsidR="00EC43DC" w:rsidRDefault="00EC43DC">
      <w:pPr>
        <w:pStyle w:val="Title"/>
      </w:pPr>
    </w:p>
    <w:p w14:paraId="3885EBC8" w14:textId="735BF9D0" w:rsidR="00EC43DC" w:rsidRDefault="002A258F">
      <w:pPr>
        <w:pStyle w:val="Title"/>
      </w:pPr>
      <w:r>
        <w:rPr>
          <w:noProof/>
        </w:rPr>
        <w:drawing>
          <wp:inline distT="0" distB="0" distL="0" distR="0" wp14:anchorId="2A8B857E" wp14:editId="243DE4F9">
            <wp:extent cx="4700954" cy="2257363"/>
            <wp:effectExtent l="0" t="0" r="4445" b="0"/>
            <wp:docPr id="1163907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907317" name="Picture 1163907317"/>
                    <pic:cNvPicPr/>
                  </pic:nvPicPr>
                  <pic:blipFill>
                    <a:blip r:embed="rId8">
                      <a:extLst>
                        <a:ext uri="{28A0092B-C50C-407E-A947-70E740481C1C}">
                          <a14:useLocalDpi xmlns:a14="http://schemas.microsoft.com/office/drawing/2010/main" val="0"/>
                        </a:ext>
                      </a:extLst>
                    </a:blip>
                    <a:stretch>
                      <a:fillRect/>
                    </a:stretch>
                  </pic:blipFill>
                  <pic:spPr>
                    <a:xfrm>
                      <a:off x="0" y="0"/>
                      <a:ext cx="4715923" cy="2264551"/>
                    </a:xfrm>
                    <a:prstGeom prst="rect">
                      <a:avLst/>
                    </a:prstGeom>
                  </pic:spPr>
                </pic:pic>
              </a:graphicData>
            </a:graphic>
          </wp:inline>
        </w:drawing>
      </w:r>
    </w:p>
    <w:p w14:paraId="04B328A8" w14:textId="77777777" w:rsidR="00EC43DC" w:rsidRDefault="00EC43DC">
      <w:pPr>
        <w:pStyle w:val="Title"/>
      </w:pPr>
    </w:p>
    <w:p w14:paraId="51D05692" w14:textId="558485EF" w:rsidR="002A258F" w:rsidRDefault="002A258F" w:rsidP="002A258F">
      <w:pPr>
        <w:rPr>
          <w:b/>
          <w:sz w:val="32"/>
          <w:szCs w:val="24"/>
        </w:rPr>
      </w:pPr>
      <w:r>
        <w:rPr>
          <w:b/>
          <w:sz w:val="32"/>
          <w:szCs w:val="24"/>
        </w:rPr>
        <w:t xml:space="preserve">Name: </w:t>
      </w:r>
      <w:r w:rsidR="00643814" w:rsidRPr="00643814">
        <w:rPr>
          <w:b/>
          <w:sz w:val="32"/>
          <w:szCs w:val="24"/>
        </w:rPr>
        <w:t>Rohankumar patel</w:t>
      </w:r>
    </w:p>
    <w:p w14:paraId="4095EF70" w14:textId="19CB874E" w:rsidR="002A258F" w:rsidRDefault="002A258F" w:rsidP="002A258F">
      <w:pPr>
        <w:rPr>
          <w:b/>
          <w:sz w:val="32"/>
          <w:szCs w:val="24"/>
        </w:rPr>
      </w:pPr>
      <w:r>
        <w:rPr>
          <w:b/>
          <w:sz w:val="32"/>
          <w:szCs w:val="24"/>
        </w:rPr>
        <w:t xml:space="preserve">Student ID: </w:t>
      </w:r>
      <w:r w:rsidR="00B75005" w:rsidRPr="00B75005">
        <w:rPr>
          <w:b/>
          <w:sz w:val="32"/>
          <w:szCs w:val="24"/>
        </w:rPr>
        <w:t>2239383</w:t>
      </w:r>
    </w:p>
    <w:p w14:paraId="530F71B4" w14:textId="77777777" w:rsidR="002A258F" w:rsidRDefault="002A258F" w:rsidP="002A258F">
      <w:pPr>
        <w:rPr>
          <w:b/>
          <w:sz w:val="32"/>
          <w:szCs w:val="24"/>
        </w:rPr>
      </w:pPr>
      <w:r>
        <w:rPr>
          <w:b/>
          <w:sz w:val="32"/>
          <w:szCs w:val="24"/>
        </w:rPr>
        <w:t>Module: International Marketing</w:t>
      </w:r>
    </w:p>
    <w:p w14:paraId="1289F450" w14:textId="77777777" w:rsidR="002A258F" w:rsidRDefault="002A258F" w:rsidP="002A258F">
      <w:pPr>
        <w:tabs>
          <w:tab w:val="center" w:pos="4513"/>
        </w:tabs>
        <w:rPr>
          <w:b/>
          <w:sz w:val="32"/>
          <w:szCs w:val="24"/>
        </w:rPr>
      </w:pPr>
      <w:r>
        <w:rPr>
          <w:b/>
          <w:sz w:val="32"/>
          <w:szCs w:val="24"/>
        </w:rPr>
        <w:t>Module Code: LCMB7006</w:t>
      </w:r>
    </w:p>
    <w:p w14:paraId="516E6672" w14:textId="77777777" w:rsidR="002A258F" w:rsidRDefault="002A258F" w:rsidP="002A258F">
      <w:pPr>
        <w:rPr>
          <w:b/>
          <w:sz w:val="32"/>
          <w:szCs w:val="24"/>
        </w:rPr>
      </w:pPr>
      <w:r>
        <w:rPr>
          <w:b/>
          <w:sz w:val="32"/>
          <w:szCs w:val="24"/>
        </w:rPr>
        <w:t xml:space="preserve">Lecturer: </w:t>
      </w:r>
      <w:r w:rsidRPr="00E566C9">
        <w:rPr>
          <w:b/>
          <w:sz w:val="32"/>
          <w:szCs w:val="24"/>
        </w:rPr>
        <w:t>Tushara Balendran</w:t>
      </w:r>
    </w:p>
    <w:p w14:paraId="58C68AD7" w14:textId="135D04E6" w:rsidR="00EC43DC" w:rsidRDefault="002A258F" w:rsidP="002A258F">
      <w:r>
        <w:rPr>
          <w:b/>
          <w:sz w:val="32"/>
          <w:szCs w:val="24"/>
        </w:rPr>
        <w:t>Submission Date: 20/12/2023</w:t>
      </w:r>
    </w:p>
    <w:p w14:paraId="53C9349E" w14:textId="77777777" w:rsidR="00EC43DC" w:rsidRDefault="00B75005">
      <w:r>
        <w:br w:type="page"/>
      </w:r>
    </w:p>
    <w:p w14:paraId="68F47B6B" w14:textId="77777777" w:rsidR="00EC43DC" w:rsidRDefault="00B75005">
      <w:pPr>
        <w:pStyle w:val="Heading1"/>
        <w:jc w:val="center"/>
      </w:pPr>
      <w:bookmarkStart w:id="0" w:name="_Toc153916126"/>
      <w:r>
        <w:lastRenderedPageBreak/>
        <w:t>Executive Summary</w:t>
      </w:r>
      <w:bookmarkEnd w:id="0"/>
    </w:p>
    <w:p w14:paraId="062FB8E7" w14:textId="77777777" w:rsidR="00EC43DC" w:rsidRDefault="00B75005">
      <w:r>
        <w:t xml:space="preserve">The present study scrutinizes and evaluates Rolex's global marketing endeavors in the United Kingdom and India. The study looks at the company's strategies for entering, </w:t>
      </w:r>
      <w:r>
        <w:t>distributing, pricing and choosing promotions in these different markets. It considers macro and micro settings, segmentation, targeting, and positioning. In order to satisfy its expanding middle class and aspirational customers in India, Rolex adjusts its marketing methods through a combination of direct exporting, licensing, and value-oriented pricing. Advertising tactics aim to evoke powerful emotions by fusing historical context with emotional appeal. Rolex provides services to the well-established luxu</w:t>
      </w:r>
      <w:r>
        <w:t>ry market in the UK through partnerships, prestige-focused pricing, and direct exporting. Advertising places a lot of focus on exclusivity and legacy, which is in line with what UK consumers want. The analysis evaluates each option's effectiveness, taking strategic alignment and market conditions into account. By embracing standardization and flexibility, Rolex skillfully creates global advertising strategies that appeal to a wide range of audiences while maintaining the company's unique luxury brand image.</w:t>
      </w:r>
    </w:p>
    <w:p w14:paraId="6FD52126" w14:textId="77777777" w:rsidR="00EC43DC" w:rsidRDefault="00B75005">
      <w:r>
        <w:br w:type="page"/>
      </w:r>
    </w:p>
    <w:p w14:paraId="5E65A796" w14:textId="77777777" w:rsidR="00EC43DC" w:rsidRDefault="00B75005">
      <w:pPr>
        <w:pStyle w:val="TOCHeading"/>
      </w:pPr>
      <w:r>
        <w:lastRenderedPageBreak/>
        <w:t>Contents</w:t>
      </w:r>
    </w:p>
    <w:p w14:paraId="7CDB1E33" w14:textId="77777777" w:rsidR="00EC43DC" w:rsidRDefault="00B75005">
      <w:pPr>
        <w:pStyle w:val="TOC1"/>
        <w:tabs>
          <w:tab w:val="right" w:leader="dot" w:pos="9350"/>
        </w:tabs>
        <w:rPr>
          <w:rFonts w:ascii="Calibri" w:eastAsia="SimSun" w:hAnsi="Calibri" w:cs="SimSun"/>
          <w:noProof/>
          <w:color w:val="auto"/>
          <w:sz w:val="22"/>
          <w:lang w:val="en-US"/>
        </w:rPr>
      </w:pPr>
      <w:r>
        <w:fldChar w:fldCharType="begin"/>
      </w:r>
      <w:r>
        <w:instrText xml:space="preserve"> TOC \o "1-3" \h \z \u </w:instrText>
      </w:r>
      <w:r>
        <w:fldChar w:fldCharType="separate"/>
      </w:r>
      <w:hyperlink w:anchor="_Toc153916126" w:history="1">
        <w:r>
          <w:rPr>
            <w:rStyle w:val="Hyperlink"/>
            <w:noProof/>
          </w:rPr>
          <w:t>Executive Summary</w:t>
        </w:r>
        <w:r>
          <w:rPr>
            <w:noProof/>
            <w:webHidden/>
          </w:rPr>
          <w:tab/>
        </w:r>
        <w:r>
          <w:rPr>
            <w:noProof/>
            <w:webHidden/>
          </w:rPr>
          <w:fldChar w:fldCharType="begin"/>
        </w:r>
        <w:r>
          <w:rPr>
            <w:noProof/>
            <w:webHidden/>
          </w:rPr>
          <w:instrText xml:space="preserve"> PAGEREF _Toc153916126 \h </w:instrText>
        </w:r>
        <w:r>
          <w:rPr>
            <w:noProof/>
            <w:webHidden/>
          </w:rPr>
        </w:r>
        <w:r>
          <w:rPr>
            <w:noProof/>
            <w:webHidden/>
          </w:rPr>
          <w:fldChar w:fldCharType="separate"/>
        </w:r>
        <w:r>
          <w:rPr>
            <w:noProof/>
            <w:webHidden/>
          </w:rPr>
          <w:t>2</w:t>
        </w:r>
        <w:r>
          <w:rPr>
            <w:noProof/>
            <w:webHidden/>
          </w:rPr>
          <w:fldChar w:fldCharType="end"/>
        </w:r>
      </w:hyperlink>
    </w:p>
    <w:p w14:paraId="7D227C44"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27" w:history="1">
        <w:r>
          <w:rPr>
            <w:rStyle w:val="Hyperlink"/>
            <w:noProof/>
          </w:rPr>
          <w:t>Introduction</w:t>
        </w:r>
        <w:r>
          <w:rPr>
            <w:noProof/>
            <w:webHidden/>
          </w:rPr>
          <w:tab/>
        </w:r>
        <w:r>
          <w:rPr>
            <w:noProof/>
            <w:webHidden/>
          </w:rPr>
          <w:fldChar w:fldCharType="begin"/>
        </w:r>
        <w:r>
          <w:rPr>
            <w:noProof/>
            <w:webHidden/>
          </w:rPr>
          <w:instrText xml:space="preserve"> PAGEREF _Toc153916127 \h </w:instrText>
        </w:r>
        <w:r>
          <w:rPr>
            <w:noProof/>
            <w:webHidden/>
          </w:rPr>
        </w:r>
        <w:r>
          <w:rPr>
            <w:noProof/>
            <w:webHidden/>
          </w:rPr>
          <w:fldChar w:fldCharType="separate"/>
        </w:r>
        <w:r>
          <w:rPr>
            <w:noProof/>
            <w:webHidden/>
          </w:rPr>
          <w:t>6</w:t>
        </w:r>
        <w:r>
          <w:rPr>
            <w:noProof/>
            <w:webHidden/>
          </w:rPr>
          <w:fldChar w:fldCharType="end"/>
        </w:r>
      </w:hyperlink>
    </w:p>
    <w:p w14:paraId="2F0632B7"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28" w:history="1">
        <w:r>
          <w:rPr>
            <w:rStyle w:val="Hyperlink"/>
            <w:noProof/>
          </w:rPr>
          <w:t>Background Information of Company</w:t>
        </w:r>
        <w:r>
          <w:rPr>
            <w:noProof/>
            <w:webHidden/>
          </w:rPr>
          <w:tab/>
        </w:r>
        <w:r>
          <w:rPr>
            <w:noProof/>
            <w:webHidden/>
          </w:rPr>
          <w:fldChar w:fldCharType="begin"/>
        </w:r>
        <w:r>
          <w:rPr>
            <w:noProof/>
            <w:webHidden/>
          </w:rPr>
          <w:instrText xml:space="preserve"> PAGEREF _Toc153916128 \h </w:instrText>
        </w:r>
        <w:r>
          <w:rPr>
            <w:noProof/>
            <w:webHidden/>
          </w:rPr>
        </w:r>
        <w:r>
          <w:rPr>
            <w:noProof/>
            <w:webHidden/>
          </w:rPr>
          <w:fldChar w:fldCharType="separate"/>
        </w:r>
        <w:r>
          <w:rPr>
            <w:noProof/>
            <w:webHidden/>
          </w:rPr>
          <w:t>6</w:t>
        </w:r>
        <w:r>
          <w:rPr>
            <w:noProof/>
            <w:webHidden/>
          </w:rPr>
          <w:fldChar w:fldCharType="end"/>
        </w:r>
      </w:hyperlink>
    </w:p>
    <w:p w14:paraId="1BD4739E"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29" w:history="1">
        <w:r>
          <w:rPr>
            <w:rStyle w:val="Hyperlink"/>
            <w:noProof/>
          </w:rPr>
          <w:t>Macro Environment</w:t>
        </w:r>
        <w:r>
          <w:rPr>
            <w:noProof/>
            <w:webHidden/>
          </w:rPr>
          <w:tab/>
        </w:r>
        <w:r>
          <w:rPr>
            <w:noProof/>
            <w:webHidden/>
          </w:rPr>
          <w:fldChar w:fldCharType="begin"/>
        </w:r>
        <w:r>
          <w:rPr>
            <w:noProof/>
            <w:webHidden/>
          </w:rPr>
          <w:instrText xml:space="preserve"> PAGEREF _Toc153916129 \h </w:instrText>
        </w:r>
        <w:r>
          <w:rPr>
            <w:noProof/>
            <w:webHidden/>
          </w:rPr>
        </w:r>
        <w:r>
          <w:rPr>
            <w:noProof/>
            <w:webHidden/>
          </w:rPr>
          <w:fldChar w:fldCharType="separate"/>
        </w:r>
        <w:r>
          <w:rPr>
            <w:noProof/>
            <w:webHidden/>
          </w:rPr>
          <w:t>8</w:t>
        </w:r>
        <w:r>
          <w:rPr>
            <w:noProof/>
            <w:webHidden/>
          </w:rPr>
          <w:fldChar w:fldCharType="end"/>
        </w:r>
      </w:hyperlink>
    </w:p>
    <w:p w14:paraId="406445C5"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0" w:history="1">
        <w:r>
          <w:rPr>
            <w:rStyle w:val="Hyperlink"/>
            <w:noProof/>
          </w:rPr>
          <w:t>PESTLE ANALYSIS</w:t>
        </w:r>
        <w:r>
          <w:rPr>
            <w:noProof/>
            <w:webHidden/>
          </w:rPr>
          <w:tab/>
        </w:r>
        <w:r>
          <w:rPr>
            <w:noProof/>
            <w:webHidden/>
          </w:rPr>
          <w:fldChar w:fldCharType="begin"/>
        </w:r>
        <w:r>
          <w:rPr>
            <w:noProof/>
            <w:webHidden/>
          </w:rPr>
          <w:instrText xml:space="preserve"> PAGEREF _Toc153916130 \h </w:instrText>
        </w:r>
        <w:r>
          <w:rPr>
            <w:noProof/>
            <w:webHidden/>
          </w:rPr>
        </w:r>
        <w:r>
          <w:rPr>
            <w:noProof/>
            <w:webHidden/>
          </w:rPr>
          <w:fldChar w:fldCharType="separate"/>
        </w:r>
        <w:r>
          <w:rPr>
            <w:noProof/>
            <w:webHidden/>
          </w:rPr>
          <w:t>8</w:t>
        </w:r>
        <w:r>
          <w:rPr>
            <w:noProof/>
            <w:webHidden/>
          </w:rPr>
          <w:fldChar w:fldCharType="end"/>
        </w:r>
      </w:hyperlink>
    </w:p>
    <w:p w14:paraId="61D57A72" w14:textId="7236D838" w:rsidR="00EC43DC" w:rsidRDefault="00B75005">
      <w:pPr>
        <w:pStyle w:val="TOC1"/>
        <w:tabs>
          <w:tab w:val="right" w:leader="dot" w:pos="9350"/>
        </w:tabs>
        <w:rPr>
          <w:rFonts w:ascii="Calibri" w:eastAsia="SimSun" w:hAnsi="Calibri" w:cs="SimSun"/>
          <w:noProof/>
          <w:color w:val="auto"/>
          <w:sz w:val="22"/>
          <w:lang w:val="en-US"/>
        </w:rPr>
      </w:pPr>
      <w:hyperlink w:anchor="_Toc153916131" w:history="1">
        <w:r>
          <w:rPr>
            <w:rStyle w:val="Hyperlink"/>
            <w:noProof/>
          </w:rPr>
          <w:t>The Hofstede Model</w:t>
        </w:r>
        <w:r>
          <w:rPr>
            <w:noProof/>
            <w:webHidden/>
          </w:rPr>
          <w:tab/>
        </w:r>
        <w:r>
          <w:rPr>
            <w:noProof/>
            <w:webHidden/>
          </w:rPr>
          <w:fldChar w:fldCharType="begin"/>
        </w:r>
        <w:r>
          <w:rPr>
            <w:noProof/>
            <w:webHidden/>
          </w:rPr>
          <w:instrText xml:space="preserve"> PAGEREF _Toc153916131 \h </w:instrText>
        </w:r>
        <w:r>
          <w:rPr>
            <w:noProof/>
            <w:webHidden/>
          </w:rPr>
        </w:r>
        <w:r>
          <w:rPr>
            <w:noProof/>
            <w:webHidden/>
          </w:rPr>
          <w:fldChar w:fldCharType="separate"/>
        </w:r>
        <w:r>
          <w:rPr>
            <w:noProof/>
            <w:webHidden/>
          </w:rPr>
          <w:t>13</w:t>
        </w:r>
        <w:r>
          <w:rPr>
            <w:noProof/>
            <w:webHidden/>
          </w:rPr>
          <w:fldChar w:fldCharType="end"/>
        </w:r>
      </w:hyperlink>
    </w:p>
    <w:p w14:paraId="55C7461F"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2" w:history="1">
        <w:r>
          <w:rPr>
            <w:rStyle w:val="Hyperlink"/>
            <w:noProof/>
          </w:rPr>
          <w:t>Benefits and Drawbacks of Hofstede's Model</w:t>
        </w:r>
        <w:r>
          <w:rPr>
            <w:noProof/>
            <w:webHidden/>
          </w:rPr>
          <w:tab/>
        </w:r>
        <w:r>
          <w:rPr>
            <w:noProof/>
            <w:webHidden/>
          </w:rPr>
          <w:fldChar w:fldCharType="begin"/>
        </w:r>
        <w:r>
          <w:rPr>
            <w:noProof/>
            <w:webHidden/>
          </w:rPr>
          <w:instrText xml:space="preserve"> PAGEREF _Toc153916132 \h </w:instrText>
        </w:r>
        <w:r>
          <w:rPr>
            <w:noProof/>
            <w:webHidden/>
          </w:rPr>
        </w:r>
        <w:r>
          <w:rPr>
            <w:noProof/>
            <w:webHidden/>
          </w:rPr>
          <w:fldChar w:fldCharType="separate"/>
        </w:r>
        <w:r>
          <w:rPr>
            <w:noProof/>
            <w:webHidden/>
          </w:rPr>
          <w:t>14</w:t>
        </w:r>
        <w:r>
          <w:rPr>
            <w:noProof/>
            <w:webHidden/>
          </w:rPr>
          <w:fldChar w:fldCharType="end"/>
        </w:r>
      </w:hyperlink>
    </w:p>
    <w:p w14:paraId="58DA03E1"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3" w:history="1">
        <w:r>
          <w:rPr>
            <w:rStyle w:val="Hyperlink"/>
            <w:noProof/>
            <w:lang w:val="en-US"/>
          </w:rPr>
          <w:t>India (High Power Distance)</w:t>
        </w:r>
        <w:r>
          <w:rPr>
            <w:noProof/>
            <w:webHidden/>
          </w:rPr>
          <w:tab/>
        </w:r>
        <w:r>
          <w:rPr>
            <w:noProof/>
            <w:webHidden/>
          </w:rPr>
          <w:fldChar w:fldCharType="begin"/>
        </w:r>
        <w:r>
          <w:rPr>
            <w:noProof/>
            <w:webHidden/>
          </w:rPr>
          <w:instrText xml:space="preserve"> PAGEREF _Toc153916133 \h </w:instrText>
        </w:r>
        <w:r>
          <w:rPr>
            <w:noProof/>
            <w:webHidden/>
          </w:rPr>
        </w:r>
        <w:r>
          <w:rPr>
            <w:noProof/>
            <w:webHidden/>
          </w:rPr>
          <w:fldChar w:fldCharType="separate"/>
        </w:r>
        <w:r>
          <w:rPr>
            <w:noProof/>
            <w:webHidden/>
          </w:rPr>
          <w:t>15</w:t>
        </w:r>
        <w:r>
          <w:rPr>
            <w:noProof/>
            <w:webHidden/>
          </w:rPr>
          <w:fldChar w:fldCharType="end"/>
        </w:r>
      </w:hyperlink>
    </w:p>
    <w:p w14:paraId="3ED3A8CD"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4" w:history="1">
        <w:r>
          <w:rPr>
            <w:rStyle w:val="Hyperlink"/>
            <w:noProof/>
            <w:lang w:val="en-US"/>
          </w:rPr>
          <w:t>Individualism versus collectivism:</w:t>
        </w:r>
        <w:r>
          <w:rPr>
            <w:noProof/>
            <w:webHidden/>
          </w:rPr>
          <w:tab/>
        </w:r>
        <w:r>
          <w:rPr>
            <w:noProof/>
            <w:webHidden/>
          </w:rPr>
          <w:fldChar w:fldCharType="begin"/>
        </w:r>
        <w:r>
          <w:rPr>
            <w:noProof/>
            <w:webHidden/>
          </w:rPr>
          <w:instrText xml:space="preserve"> PAGEREF _Toc153916134 \h </w:instrText>
        </w:r>
        <w:r>
          <w:rPr>
            <w:noProof/>
            <w:webHidden/>
          </w:rPr>
        </w:r>
        <w:r>
          <w:rPr>
            <w:noProof/>
            <w:webHidden/>
          </w:rPr>
          <w:fldChar w:fldCharType="separate"/>
        </w:r>
        <w:r>
          <w:rPr>
            <w:noProof/>
            <w:webHidden/>
          </w:rPr>
          <w:t>16</w:t>
        </w:r>
        <w:r>
          <w:rPr>
            <w:noProof/>
            <w:webHidden/>
          </w:rPr>
          <w:fldChar w:fldCharType="end"/>
        </w:r>
      </w:hyperlink>
    </w:p>
    <w:p w14:paraId="58FFA70C"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5" w:history="1">
        <w:r>
          <w:rPr>
            <w:rStyle w:val="Hyperlink"/>
            <w:noProof/>
            <w:lang w:val="en-US"/>
          </w:rPr>
          <w:t>The United Kingdom (Individualism)</w:t>
        </w:r>
        <w:r>
          <w:rPr>
            <w:noProof/>
            <w:webHidden/>
          </w:rPr>
          <w:tab/>
        </w:r>
        <w:r>
          <w:rPr>
            <w:noProof/>
            <w:webHidden/>
          </w:rPr>
          <w:fldChar w:fldCharType="begin"/>
        </w:r>
        <w:r>
          <w:rPr>
            <w:noProof/>
            <w:webHidden/>
          </w:rPr>
          <w:instrText xml:space="preserve"> PAGEREF _Toc153916135 \h </w:instrText>
        </w:r>
        <w:r>
          <w:rPr>
            <w:noProof/>
            <w:webHidden/>
          </w:rPr>
        </w:r>
        <w:r>
          <w:rPr>
            <w:noProof/>
            <w:webHidden/>
          </w:rPr>
          <w:fldChar w:fldCharType="separate"/>
        </w:r>
        <w:r>
          <w:rPr>
            <w:noProof/>
            <w:webHidden/>
          </w:rPr>
          <w:t>16</w:t>
        </w:r>
        <w:r>
          <w:rPr>
            <w:noProof/>
            <w:webHidden/>
          </w:rPr>
          <w:fldChar w:fldCharType="end"/>
        </w:r>
      </w:hyperlink>
    </w:p>
    <w:p w14:paraId="62B86ABF"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6" w:history="1">
        <w:r>
          <w:rPr>
            <w:rStyle w:val="Hyperlink"/>
            <w:noProof/>
            <w:lang w:val="en-US"/>
          </w:rPr>
          <w:t>India (Collectivistic):</w:t>
        </w:r>
        <w:r>
          <w:rPr>
            <w:noProof/>
            <w:webHidden/>
          </w:rPr>
          <w:tab/>
        </w:r>
        <w:r>
          <w:rPr>
            <w:noProof/>
            <w:webHidden/>
          </w:rPr>
          <w:fldChar w:fldCharType="begin"/>
        </w:r>
        <w:r>
          <w:rPr>
            <w:noProof/>
            <w:webHidden/>
          </w:rPr>
          <w:instrText xml:space="preserve"> PAGEREF _Toc153916136 \h </w:instrText>
        </w:r>
        <w:r>
          <w:rPr>
            <w:noProof/>
            <w:webHidden/>
          </w:rPr>
        </w:r>
        <w:r>
          <w:rPr>
            <w:noProof/>
            <w:webHidden/>
          </w:rPr>
          <w:fldChar w:fldCharType="separate"/>
        </w:r>
        <w:r>
          <w:rPr>
            <w:noProof/>
            <w:webHidden/>
          </w:rPr>
          <w:t>16</w:t>
        </w:r>
        <w:r>
          <w:rPr>
            <w:noProof/>
            <w:webHidden/>
          </w:rPr>
          <w:fldChar w:fldCharType="end"/>
        </w:r>
      </w:hyperlink>
    </w:p>
    <w:p w14:paraId="57E41719"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37" w:history="1">
        <w:r>
          <w:rPr>
            <w:rStyle w:val="Hyperlink"/>
            <w:noProof/>
          </w:rPr>
          <w:t>Porter's Five Forces Model</w:t>
        </w:r>
        <w:r>
          <w:rPr>
            <w:noProof/>
            <w:webHidden/>
          </w:rPr>
          <w:tab/>
        </w:r>
        <w:r>
          <w:rPr>
            <w:noProof/>
            <w:webHidden/>
          </w:rPr>
          <w:fldChar w:fldCharType="begin"/>
        </w:r>
        <w:r>
          <w:rPr>
            <w:noProof/>
            <w:webHidden/>
          </w:rPr>
          <w:instrText xml:space="preserve"> PAGEREF _Toc153916137 \h </w:instrText>
        </w:r>
        <w:r>
          <w:rPr>
            <w:noProof/>
            <w:webHidden/>
          </w:rPr>
        </w:r>
        <w:r>
          <w:rPr>
            <w:noProof/>
            <w:webHidden/>
          </w:rPr>
          <w:fldChar w:fldCharType="separate"/>
        </w:r>
        <w:r>
          <w:rPr>
            <w:noProof/>
            <w:webHidden/>
          </w:rPr>
          <w:t>17</w:t>
        </w:r>
        <w:r>
          <w:rPr>
            <w:noProof/>
            <w:webHidden/>
          </w:rPr>
          <w:fldChar w:fldCharType="end"/>
        </w:r>
      </w:hyperlink>
    </w:p>
    <w:p w14:paraId="645701A2"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8" w:history="1">
        <w:r>
          <w:rPr>
            <w:rStyle w:val="Hyperlink"/>
            <w:noProof/>
          </w:rPr>
          <w:t>Targeting and Positioning Segmentation</w:t>
        </w:r>
        <w:r>
          <w:rPr>
            <w:noProof/>
            <w:webHidden/>
          </w:rPr>
          <w:tab/>
        </w:r>
        <w:r>
          <w:rPr>
            <w:noProof/>
            <w:webHidden/>
          </w:rPr>
          <w:fldChar w:fldCharType="begin"/>
        </w:r>
        <w:r>
          <w:rPr>
            <w:noProof/>
            <w:webHidden/>
          </w:rPr>
          <w:instrText xml:space="preserve"> PAGEREF _Toc153916138 \h </w:instrText>
        </w:r>
        <w:r>
          <w:rPr>
            <w:noProof/>
            <w:webHidden/>
          </w:rPr>
        </w:r>
        <w:r>
          <w:rPr>
            <w:noProof/>
            <w:webHidden/>
          </w:rPr>
          <w:fldChar w:fldCharType="separate"/>
        </w:r>
        <w:r>
          <w:rPr>
            <w:noProof/>
            <w:webHidden/>
          </w:rPr>
          <w:t>18</w:t>
        </w:r>
        <w:r>
          <w:rPr>
            <w:noProof/>
            <w:webHidden/>
          </w:rPr>
          <w:fldChar w:fldCharType="end"/>
        </w:r>
      </w:hyperlink>
    </w:p>
    <w:p w14:paraId="78E67EBD"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39" w:history="1">
        <w:r>
          <w:rPr>
            <w:rStyle w:val="Hyperlink"/>
            <w:noProof/>
          </w:rPr>
          <w:t>Segmentation</w:t>
        </w:r>
        <w:r>
          <w:rPr>
            <w:noProof/>
            <w:webHidden/>
          </w:rPr>
          <w:tab/>
        </w:r>
        <w:r>
          <w:rPr>
            <w:noProof/>
            <w:webHidden/>
          </w:rPr>
          <w:fldChar w:fldCharType="begin"/>
        </w:r>
        <w:r>
          <w:rPr>
            <w:noProof/>
            <w:webHidden/>
          </w:rPr>
          <w:instrText xml:space="preserve"> PAGEREF _Toc153916139 \h </w:instrText>
        </w:r>
        <w:r>
          <w:rPr>
            <w:noProof/>
            <w:webHidden/>
          </w:rPr>
        </w:r>
        <w:r>
          <w:rPr>
            <w:noProof/>
            <w:webHidden/>
          </w:rPr>
          <w:fldChar w:fldCharType="separate"/>
        </w:r>
        <w:r>
          <w:rPr>
            <w:noProof/>
            <w:webHidden/>
          </w:rPr>
          <w:t>18</w:t>
        </w:r>
        <w:r>
          <w:rPr>
            <w:noProof/>
            <w:webHidden/>
          </w:rPr>
          <w:fldChar w:fldCharType="end"/>
        </w:r>
      </w:hyperlink>
    </w:p>
    <w:p w14:paraId="3D98FF2A"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0" w:history="1">
        <w:r>
          <w:rPr>
            <w:rStyle w:val="Hyperlink"/>
            <w:noProof/>
          </w:rPr>
          <w:t>Targeting</w:t>
        </w:r>
        <w:r>
          <w:rPr>
            <w:noProof/>
            <w:webHidden/>
          </w:rPr>
          <w:tab/>
        </w:r>
        <w:r>
          <w:rPr>
            <w:noProof/>
            <w:webHidden/>
          </w:rPr>
          <w:fldChar w:fldCharType="begin"/>
        </w:r>
        <w:r>
          <w:rPr>
            <w:noProof/>
            <w:webHidden/>
          </w:rPr>
          <w:instrText xml:space="preserve"> PAGEREF _Toc153916140 \h </w:instrText>
        </w:r>
        <w:r>
          <w:rPr>
            <w:noProof/>
            <w:webHidden/>
          </w:rPr>
        </w:r>
        <w:r>
          <w:rPr>
            <w:noProof/>
            <w:webHidden/>
          </w:rPr>
          <w:fldChar w:fldCharType="separate"/>
        </w:r>
        <w:r>
          <w:rPr>
            <w:noProof/>
            <w:webHidden/>
          </w:rPr>
          <w:t>19</w:t>
        </w:r>
        <w:r>
          <w:rPr>
            <w:noProof/>
            <w:webHidden/>
          </w:rPr>
          <w:fldChar w:fldCharType="end"/>
        </w:r>
      </w:hyperlink>
    </w:p>
    <w:p w14:paraId="3181B451"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1" w:history="1">
        <w:r>
          <w:rPr>
            <w:rStyle w:val="Hyperlink"/>
            <w:noProof/>
          </w:rPr>
          <w:t>Positioning</w:t>
        </w:r>
        <w:r>
          <w:rPr>
            <w:noProof/>
            <w:webHidden/>
          </w:rPr>
          <w:tab/>
        </w:r>
        <w:r>
          <w:rPr>
            <w:noProof/>
            <w:webHidden/>
          </w:rPr>
          <w:fldChar w:fldCharType="begin"/>
        </w:r>
        <w:r>
          <w:rPr>
            <w:noProof/>
            <w:webHidden/>
          </w:rPr>
          <w:instrText xml:space="preserve"> PAGEREF _Toc153916141 \h </w:instrText>
        </w:r>
        <w:r>
          <w:rPr>
            <w:noProof/>
            <w:webHidden/>
          </w:rPr>
        </w:r>
        <w:r>
          <w:rPr>
            <w:noProof/>
            <w:webHidden/>
          </w:rPr>
          <w:fldChar w:fldCharType="separate"/>
        </w:r>
        <w:r>
          <w:rPr>
            <w:noProof/>
            <w:webHidden/>
          </w:rPr>
          <w:t>20</w:t>
        </w:r>
        <w:r>
          <w:rPr>
            <w:noProof/>
            <w:webHidden/>
          </w:rPr>
          <w:fldChar w:fldCharType="end"/>
        </w:r>
      </w:hyperlink>
    </w:p>
    <w:p w14:paraId="57EF5AE5"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42" w:history="1">
        <w:r>
          <w:rPr>
            <w:rStyle w:val="Hyperlink"/>
            <w:noProof/>
          </w:rPr>
          <w:t>Marketing Mix Elements</w:t>
        </w:r>
        <w:r>
          <w:rPr>
            <w:noProof/>
            <w:webHidden/>
          </w:rPr>
          <w:tab/>
        </w:r>
        <w:r>
          <w:rPr>
            <w:noProof/>
            <w:webHidden/>
          </w:rPr>
          <w:fldChar w:fldCharType="begin"/>
        </w:r>
        <w:r>
          <w:rPr>
            <w:noProof/>
            <w:webHidden/>
          </w:rPr>
          <w:instrText xml:space="preserve"> PAGEREF _Toc153916142 \h </w:instrText>
        </w:r>
        <w:r>
          <w:rPr>
            <w:noProof/>
            <w:webHidden/>
          </w:rPr>
        </w:r>
        <w:r>
          <w:rPr>
            <w:noProof/>
            <w:webHidden/>
          </w:rPr>
          <w:fldChar w:fldCharType="separate"/>
        </w:r>
        <w:r>
          <w:rPr>
            <w:noProof/>
            <w:webHidden/>
          </w:rPr>
          <w:t>21</w:t>
        </w:r>
        <w:r>
          <w:rPr>
            <w:noProof/>
            <w:webHidden/>
          </w:rPr>
          <w:fldChar w:fldCharType="end"/>
        </w:r>
      </w:hyperlink>
    </w:p>
    <w:p w14:paraId="147EEA5F"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3" w:history="1">
        <w:r>
          <w:rPr>
            <w:rStyle w:val="Hyperlink"/>
            <w:noProof/>
          </w:rPr>
          <w:t>Pricing Decision</w:t>
        </w:r>
        <w:r>
          <w:rPr>
            <w:noProof/>
            <w:webHidden/>
          </w:rPr>
          <w:tab/>
        </w:r>
        <w:r>
          <w:rPr>
            <w:noProof/>
            <w:webHidden/>
          </w:rPr>
          <w:fldChar w:fldCharType="begin"/>
        </w:r>
        <w:r>
          <w:rPr>
            <w:noProof/>
            <w:webHidden/>
          </w:rPr>
          <w:instrText xml:space="preserve"> PAGEREF _Toc153916143 \h </w:instrText>
        </w:r>
        <w:r>
          <w:rPr>
            <w:noProof/>
            <w:webHidden/>
          </w:rPr>
        </w:r>
        <w:r>
          <w:rPr>
            <w:noProof/>
            <w:webHidden/>
          </w:rPr>
          <w:fldChar w:fldCharType="separate"/>
        </w:r>
        <w:r>
          <w:rPr>
            <w:noProof/>
            <w:webHidden/>
          </w:rPr>
          <w:t>21</w:t>
        </w:r>
        <w:r>
          <w:rPr>
            <w:noProof/>
            <w:webHidden/>
          </w:rPr>
          <w:fldChar w:fldCharType="end"/>
        </w:r>
      </w:hyperlink>
    </w:p>
    <w:p w14:paraId="63F1F68E"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4" w:history="1">
        <w:r>
          <w:rPr>
            <w:rStyle w:val="Hyperlink"/>
            <w:noProof/>
          </w:rPr>
          <w:t>Promotion Decision</w:t>
        </w:r>
        <w:r>
          <w:rPr>
            <w:noProof/>
            <w:webHidden/>
          </w:rPr>
          <w:tab/>
        </w:r>
        <w:r>
          <w:rPr>
            <w:noProof/>
            <w:webHidden/>
          </w:rPr>
          <w:fldChar w:fldCharType="begin"/>
        </w:r>
        <w:r>
          <w:rPr>
            <w:noProof/>
            <w:webHidden/>
          </w:rPr>
          <w:instrText xml:space="preserve"> PAGEREF _Toc153916144 \h </w:instrText>
        </w:r>
        <w:r>
          <w:rPr>
            <w:noProof/>
            <w:webHidden/>
          </w:rPr>
        </w:r>
        <w:r>
          <w:rPr>
            <w:noProof/>
            <w:webHidden/>
          </w:rPr>
          <w:fldChar w:fldCharType="separate"/>
        </w:r>
        <w:r>
          <w:rPr>
            <w:noProof/>
            <w:webHidden/>
          </w:rPr>
          <w:t>23</w:t>
        </w:r>
        <w:r>
          <w:rPr>
            <w:noProof/>
            <w:webHidden/>
          </w:rPr>
          <w:fldChar w:fldCharType="end"/>
        </w:r>
      </w:hyperlink>
    </w:p>
    <w:p w14:paraId="548CA0B1"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45" w:history="1">
        <w:r>
          <w:rPr>
            <w:rStyle w:val="Hyperlink"/>
            <w:noProof/>
          </w:rPr>
          <w:t>Comparison and Explanation of the Market Entry Method (Place)</w:t>
        </w:r>
        <w:r>
          <w:rPr>
            <w:noProof/>
            <w:webHidden/>
          </w:rPr>
          <w:tab/>
        </w:r>
        <w:r>
          <w:rPr>
            <w:noProof/>
            <w:webHidden/>
          </w:rPr>
          <w:fldChar w:fldCharType="begin"/>
        </w:r>
        <w:r>
          <w:rPr>
            <w:noProof/>
            <w:webHidden/>
          </w:rPr>
          <w:instrText xml:space="preserve"> PAGEREF _Toc153916145 \h </w:instrText>
        </w:r>
        <w:r>
          <w:rPr>
            <w:noProof/>
            <w:webHidden/>
          </w:rPr>
        </w:r>
        <w:r>
          <w:rPr>
            <w:noProof/>
            <w:webHidden/>
          </w:rPr>
          <w:fldChar w:fldCharType="separate"/>
        </w:r>
        <w:r>
          <w:rPr>
            <w:noProof/>
            <w:webHidden/>
          </w:rPr>
          <w:t>24</w:t>
        </w:r>
        <w:r>
          <w:rPr>
            <w:noProof/>
            <w:webHidden/>
          </w:rPr>
          <w:fldChar w:fldCharType="end"/>
        </w:r>
      </w:hyperlink>
    </w:p>
    <w:p w14:paraId="31FD90DA"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46" w:history="1">
        <w:r>
          <w:rPr>
            <w:rStyle w:val="Hyperlink"/>
            <w:noProof/>
          </w:rPr>
          <w:t>Directional Development Strategy with Definition</w:t>
        </w:r>
        <w:r>
          <w:rPr>
            <w:noProof/>
            <w:webHidden/>
          </w:rPr>
          <w:tab/>
        </w:r>
        <w:r>
          <w:rPr>
            <w:noProof/>
            <w:webHidden/>
          </w:rPr>
          <w:fldChar w:fldCharType="begin"/>
        </w:r>
        <w:r>
          <w:rPr>
            <w:noProof/>
            <w:webHidden/>
          </w:rPr>
          <w:instrText xml:space="preserve"> PAGEREF _Toc153916146 \h </w:instrText>
        </w:r>
        <w:r>
          <w:rPr>
            <w:noProof/>
            <w:webHidden/>
          </w:rPr>
        </w:r>
        <w:r>
          <w:rPr>
            <w:noProof/>
            <w:webHidden/>
          </w:rPr>
          <w:fldChar w:fldCharType="separate"/>
        </w:r>
        <w:r>
          <w:rPr>
            <w:noProof/>
            <w:webHidden/>
          </w:rPr>
          <w:t>29</w:t>
        </w:r>
        <w:r>
          <w:rPr>
            <w:noProof/>
            <w:webHidden/>
          </w:rPr>
          <w:fldChar w:fldCharType="end"/>
        </w:r>
      </w:hyperlink>
    </w:p>
    <w:p w14:paraId="67AAB9E8"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7" w:history="1">
        <w:r>
          <w:rPr>
            <w:rStyle w:val="Hyperlink"/>
            <w:noProof/>
          </w:rPr>
          <w:t>Stars (India and UK):</w:t>
        </w:r>
        <w:r>
          <w:rPr>
            <w:noProof/>
            <w:webHidden/>
          </w:rPr>
          <w:tab/>
        </w:r>
        <w:r>
          <w:rPr>
            <w:noProof/>
            <w:webHidden/>
          </w:rPr>
          <w:fldChar w:fldCharType="begin"/>
        </w:r>
        <w:r>
          <w:rPr>
            <w:noProof/>
            <w:webHidden/>
          </w:rPr>
          <w:instrText xml:space="preserve"> PAGEREF _Toc153916147 \h </w:instrText>
        </w:r>
        <w:r>
          <w:rPr>
            <w:noProof/>
            <w:webHidden/>
          </w:rPr>
        </w:r>
        <w:r>
          <w:rPr>
            <w:noProof/>
            <w:webHidden/>
          </w:rPr>
          <w:fldChar w:fldCharType="separate"/>
        </w:r>
        <w:r>
          <w:rPr>
            <w:noProof/>
            <w:webHidden/>
          </w:rPr>
          <w:t>30</w:t>
        </w:r>
        <w:r>
          <w:rPr>
            <w:noProof/>
            <w:webHidden/>
          </w:rPr>
          <w:fldChar w:fldCharType="end"/>
        </w:r>
      </w:hyperlink>
    </w:p>
    <w:p w14:paraId="1BAAFAC3"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8" w:history="1">
        <w:r>
          <w:rPr>
            <w:rStyle w:val="Hyperlink"/>
            <w:noProof/>
          </w:rPr>
          <w:t>Question Marks (India and UK):</w:t>
        </w:r>
        <w:r>
          <w:rPr>
            <w:noProof/>
            <w:webHidden/>
          </w:rPr>
          <w:tab/>
        </w:r>
        <w:r>
          <w:rPr>
            <w:noProof/>
            <w:webHidden/>
          </w:rPr>
          <w:fldChar w:fldCharType="begin"/>
        </w:r>
        <w:r>
          <w:rPr>
            <w:noProof/>
            <w:webHidden/>
          </w:rPr>
          <w:instrText xml:space="preserve"> PAGEREF _Toc153916148 \h </w:instrText>
        </w:r>
        <w:r>
          <w:rPr>
            <w:noProof/>
            <w:webHidden/>
          </w:rPr>
        </w:r>
        <w:r>
          <w:rPr>
            <w:noProof/>
            <w:webHidden/>
          </w:rPr>
          <w:fldChar w:fldCharType="separate"/>
        </w:r>
        <w:r>
          <w:rPr>
            <w:noProof/>
            <w:webHidden/>
          </w:rPr>
          <w:t>30</w:t>
        </w:r>
        <w:r>
          <w:rPr>
            <w:noProof/>
            <w:webHidden/>
          </w:rPr>
          <w:fldChar w:fldCharType="end"/>
        </w:r>
      </w:hyperlink>
    </w:p>
    <w:p w14:paraId="0962B986"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49" w:history="1">
        <w:r>
          <w:rPr>
            <w:rStyle w:val="Hyperlink"/>
            <w:noProof/>
          </w:rPr>
          <w:t>Profit Centres (UK and India):</w:t>
        </w:r>
        <w:r>
          <w:rPr>
            <w:noProof/>
            <w:webHidden/>
          </w:rPr>
          <w:tab/>
        </w:r>
        <w:r>
          <w:rPr>
            <w:noProof/>
            <w:webHidden/>
          </w:rPr>
          <w:fldChar w:fldCharType="begin"/>
        </w:r>
        <w:r>
          <w:rPr>
            <w:noProof/>
            <w:webHidden/>
          </w:rPr>
          <w:instrText xml:space="preserve"> PAGEREF _Toc153916149 \h </w:instrText>
        </w:r>
        <w:r>
          <w:rPr>
            <w:noProof/>
            <w:webHidden/>
          </w:rPr>
        </w:r>
        <w:r>
          <w:rPr>
            <w:noProof/>
            <w:webHidden/>
          </w:rPr>
          <w:fldChar w:fldCharType="separate"/>
        </w:r>
        <w:r>
          <w:rPr>
            <w:noProof/>
            <w:webHidden/>
          </w:rPr>
          <w:t>31</w:t>
        </w:r>
        <w:r>
          <w:rPr>
            <w:noProof/>
            <w:webHidden/>
          </w:rPr>
          <w:fldChar w:fldCharType="end"/>
        </w:r>
      </w:hyperlink>
    </w:p>
    <w:p w14:paraId="2B740360" w14:textId="77777777" w:rsidR="00EC43DC" w:rsidRDefault="00B75005">
      <w:pPr>
        <w:pStyle w:val="TOC2"/>
        <w:tabs>
          <w:tab w:val="right" w:leader="dot" w:pos="9350"/>
        </w:tabs>
        <w:rPr>
          <w:rFonts w:ascii="Calibri" w:eastAsia="SimSun" w:hAnsi="Calibri" w:cs="SimSun"/>
          <w:noProof/>
          <w:color w:val="auto"/>
          <w:sz w:val="22"/>
          <w:lang w:val="en-US"/>
        </w:rPr>
      </w:pPr>
      <w:hyperlink w:anchor="_Toc153916150" w:history="1">
        <w:r>
          <w:rPr>
            <w:rStyle w:val="Hyperlink"/>
            <w:noProof/>
          </w:rPr>
          <w:t>Dogs (UK and India):</w:t>
        </w:r>
        <w:r>
          <w:rPr>
            <w:noProof/>
            <w:webHidden/>
          </w:rPr>
          <w:tab/>
        </w:r>
        <w:r>
          <w:rPr>
            <w:noProof/>
            <w:webHidden/>
          </w:rPr>
          <w:fldChar w:fldCharType="begin"/>
        </w:r>
        <w:r>
          <w:rPr>
            <w:noProof/>
            <w:webHidden/>
          </w:rPr>
          <w:instrText xml:space="preserve"> PAGEREF _Toc153916150 \h </w:instrText>
        </w:r>
        <w:r>
          <w:rPr>
            <w:noProof/>
            <w:webHidden/>
          </w:rPr>
        </w:r>
        <w:r>
          <w:rPr>
            <w:noProof/>
            <w:webHidden/>
          </w:rPr>
          <w:fldChar w:fldCharType="separate"/>
        </w:r>
        <w:r>
          <w:rPr>
            <w:noProof/>
            <w:webHidden/>
          </w:rPr>
          <w:t>31</w:t>
        </w:r>
        <w:r>
          <w:rPr>
            <w:noProof/>
            <w:webHidden/>
          </w:rPr>
          <w:fldChar w:fldCharType="end"/>
        </w:r>
      </w:hyperlink>
    </w:p>
    <w:p w14:paraId="1CB24E79"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51" w:history="1">
        <w:r>
          <w:rPr>
            <w:rStyle w:val="Hyperlink"/>
            <w:noProof/>
          </w:rPr>
          <w:t>Conclusion and recommendation.</w:t>
        </w:r>
        <w:r>
          <w:rPr>
            <w:noProof/>
            <w:webHidden/>
          </w:rPr>
          <w:tab/>
        </w:r>
        <w:r>
          <w:rPr>
            <w:noProof/>
            <w:webHidden/>
          </w:rPr>
          <w:fldChar w:fldCharType="begin"/>
        </w:r>
        <w:r>
          <w:rPr>
            <w:noProof/>
            <w:webHidden/>
          </w:rPr>
          <w:instrText xml:space="preserve"> PAGEREF _Toc153916151 \h </w:instrText>
        </w:r>
        <w:r>
          <w:rPr>
            <w:noProof/>
            <w:webHidden/>
          </w:rPr>
        </w:r>
        <w:r>
          <w:rPr>
            <w:noProof/>
            <w:webHidden/>
          </w:rPr>
          <w:fldChar w:fldCharType="separate"/>
        </w:r>
        <w:r>
          <w:rPr>
            <w:noProof/>
            <w:webHidden/>
          </w:rPr>
          <w:t>31</w:t>
        </w:r>
        <w:r>
          <w:rPr>
            <w:noProof/>
            <w:webHidden/>
          </w:rPr>
          <w:fldChar w:fldCharType="end"/>
        </w:r>
      </w:hyperlink>
    </w:p>
    <w:p w14:paraId="7F792E34" w14:textId="77777777" w:rsidR="00EC43DC" w:rsidRDefault="00B75005">
      <w:pPr>
        <w:pStyle w:val="TOC1"/>
        <w:tabs>
          <w:tab w:val="right" w:leader="dot" w:pos="9350"/>
        </w:tabs>
        <w:rPr>
          <w:rFonts w:ascii="Calibri" w:eastAsia="SimSun" w:hAnsi="Calibri" w:cs="SimSun"/>
          <w:noProof/>
          <w:color w:val="auto"/>
          <w:sz w:val="22"/>
          <w:lang w:val="en-US"/>
        </w:rPr>
      </w:pPr>
      <w:hyperlink w:anchor="_Toc153916152" w:history="1">
        <w:r>
          <w:rPr>
            <w:rStyle w:val="Hyperlink"/>
            <w:noProof/>
          </w:rPr>
          <w:t>References</w:t>
        </w:r>
        <w:r>
          <w:rPr>
            <w:noProof/>
            <w:webHidden/>
          </w:rPr>
          <w:tab/>
        </w:r>
        <w:r>
          <w:rPr>
            <w:noProof/>
            <w:webHidden/>
          </w:rPr>
          <w:fldChar w:fldCharType="begin"/>
        </w:r>
        <w:r>
          <w:rPr>
            <w:noProof/>
            <w:webHidden/>
          </w:rPr>
          <w:instrText xml:space="preserve"> PAGEREF _Toc153916152 \h </w:instrText>
        </w:r>
        <w:r>
          <w:rPr>
            <w:noProof/>
            <w:webHidden/>
          </w:rPr>
        </w:r>
        <w:r>
          <w:rPr>
            <w:noProof/>
            <w:webHidden/>
          </w:rPr>
          <w:fldChar w:fldCharType="separate"/>
        </w:r>
        <w:r>
          <w:rPr>
            <w:noProof/>
            <w:webHidden/>
          </w:rPr>
          <w:t>33</w:t>
        </w:r>
        <w:r>
          <w:rPr>
            <w:noProof/>
            <w:webHidden/>
          </w:rPr>
          <w:fldChar w:fldCharType="end"/>
        </w:r>
      </w:hyperlink>
    </w:p>
    <w:p w14:paraId="66EE6E35" w14:textId="77777777" w:rsidR="00EC43DC" w:rsidRDefault="00B75005">
      <w:r>
        <w:rPr>
          <w:b/>
          <w:bCs/>
          <w:noProof/>
        </w:rPr>
        <w:fldChar w:fldCharType="end"/>
      </w:r>
    </w:p>
    <w:p w14:paraId="6406E80E" w14:textId="77777777" w:rsidR="00EC43DC" w:rsidRDefault="00B75005">
      <w:pPr>
        <w:spacing w:after="160" w:line="259" w:lineRule="auto"/>
        <w:jc w:val="left"/>
        <w:rPr>
          <w:b/>
          <w:color w:val="5B9BD5"/>
        </w:rPr>
      </w:pPr>
      <w:r>
        <w:rPr>
          <w:b/>
          <w:color w:val="5B9BD5"/>
        </w:rPr>
        <w:br w:type="page"/>
      </w:r>
    </w:p>
    <w:p w14:paraId="78014423" w14:textId="77777777" w:rsidR="00EC43DC" w:rsidRDefault="00B75005">
      <w:pPr>
        <w:pStyle w:val="TableofFigures"/>
        <w:tabs>
          <w:tab w:val="right" w:leader="dot" w:pos="9350"/>
        </w:tabs>
        <w:rPr>
          <w:b/>
          <w:color w:val="5B9BD5"/>
        </w:rPr>
      </w:pPr>
      <w:r>
        <w:rPr>
          <w:b/>
          <w:color w:val="5B9BD5"/>
        </w:rPr>
        <w:lastRenderedPageBreak/>
        <w:t>Figures</w:t>
      </w:r>
    </w:p>
    <w:p w14:paraId="639FF7DC" w14:textId="77777777" w:rsidR="00EC43DC" w:rsidRDefault="00B75005">
      <w:pPr>
        <w:pStyle w:val="TableofFigures"/>
        <w:tabs>
          <w:tab w:val="right" w:leader="dot" w:pos="9350"/>
        </w:tabs>
        <w:rPr>
          <w:noProof/>
        </w:rPr>
      </w:pPr>
      <w:r>
        <w:fldChar w:fldCharType="begin"/>
      </w:r>
      <w:r>
        <w:instrText xml:space="preserve"> TOC \h \z \c "Figure" </w:instrText>
      </w:r>
      <w:r>
        <w:fldChar w:fldCharType="separate"/>
      </w:r>
      <w:hyperlink w:anchor="_Toc153531130" w:history="1">
        <w:r>
          <w:rPr>
            <w:rStyle w:val="Hyperlink"/>
            <w:noProof/>
          </w:rPr>
          <w:t>Figure 1The Hofstede Model(Source:iEduNote, 2023)</w:t>
        </w:r>
        <w:r>
          <w:rPr>
            <w:noProof/>
            <w:webHidden/>
          </w:rPr>
          <w:tab/>
        </w:r>
        <w:r>
          <w:rPr>
            <w:noProof/>
            <w:webHidden/>
          </w:rPr>
          <w:fldChar w:fldCharType="begin"/>
        </w:r>
        <w:r>
          <w:rPr>
            <w:noProof/>
            <w:webHidden/>
          </w:rPr>
          <w:instrText xml:space="preserve"> PAGEREF _Toc153531130 \h </w:instrText>
        </w:r>
        <w:r>
          <w:rPr>
            <w:noProof/>
            <w:webHidden/>
          </w:rPr>
        </w:r>
        <w:r>
          <w:rPr>
            <w:noProof/>
            <w:webHidden/>
          </w:rPr>
          <w:fldChar w:fldCharType="separate"/>
        </w:r>
        <w:r>
          <w:rPr>
            <w:noProof/>
            <w:webHidden/>
          </w:rPr>
          <w:t>13</w:t>
        </w:r>
        <w:r>
          <w:rPr>
            <w:noProof/>
            <w:webHidden/>
          </w:rPr>
          <w:fldChar w:fldCharType="end"/>
        </w:r>
      </w:hyperlink>
    </w:p>
    <w:p w14:paraId="0AF4AA96" w14:textId="77777777" w:rsidR="00EC43DC" w:rsidRDefault="00B75005">
      <w:pPr>
        <w:pStyle w:val="TableofFigures"/>
        <w:tabs>
          <w:tab w:val="right" w:leader="dot" w:pos="9350"/>
        </w:tabs>
        <w:rPr>
          <w:noProof/>
        </w:rPr>
      </w:pPr>
      <w:hyperlink w:anchor="_Toc153531131" w:history="1">
        <w:r>
          <w:rPr>
            <w:rStyle w:val="Hyperlink"/>
            <w:noProof/>
          </w:rPr>
          <w:t xml:space="preserve">Figure 2 Hofstede Cultural Dimensions (Source: </w:t>
        </w:r>
        <w:r>
          <w:rPr>
            <w:rStyle w:val="Hyperlink"/>
            <w:noProof/>
            <w:lang w:val="en-US"/>
          </w:rPr>
          <w:t xml:space="preserve">website </w:t>
        </w:r>
        <w:r>
          <w:rPr>
            <w:rStyle w:val="Hyperlink"/>
            <w:noProof/>
          </w:rPr>
          <w:t>)</w:t>
        </w:r>
        <w:r>
          <w:rPr>
            <w:noProof/>
            <w:webHidden/>
          </w:rPr>
          <w:tab/>
        </w:r>
        <w:r>
          <w:rPr>
            <w:noProof/>
            <w:webHidden/>
          </w:rPr>
          <w:fldChar w:fldCharType="begin"/>
        </w:r>
        <w:r>
          <w:rPr>
            <w:noProof/>
            <w:webHidden/>
          </w:rPr>
          <w:instrText xml:space="preserve"> PAGEREF _Toc153531131 \h </w:instrText>
        </w:r>
        <w:r>
          <w:rPr>
            <w:noProof/>
            <w:webHidden/>
          </w:rPr>
        </w:r>
        <w:r>
          <w:rPr>
            <w:noProof/>
            <w:webHidden/>
          </w:rPr>
          <w:fldChar w:fldCharType="separate"/>
        </w:r>
        <w:r>
          <w:rPr>
            <w:noProof/>
            <w:webHidden/>
          </w:rPr>
          <w:t>16</w:t>
        </w:r>
        <w:r>
          <w:rPr>
            <w:noProof/>
            <w:webHidden/>
          </w:rPr>
          <w:fldChar w:fldCharType="end"/>
        </w:r>
      </w:hyperlink>
    </w:p>
    <w:p w14:paraId="6740F30A" w14:textId="77777777" w:rsidR="00EC43DC" w:rsidRDefault="00B75005">
      <w:pPr>
        <w:pStyle w:val="TableofFigures"/>
        <w:tabs>
          <w:tab w:val="right" w:leader="dot" w:pos="9350"/>
        </w:tabs>
        <w:rPr>
          <w:noProof/>
        </w:rPr>
      </w:pPr>
      <w:hyperlink w:anchor="_Toc153531132" w:history="1">
        <w:r>
          <w:rPr>
            <w:rStyle w:val="Hyperlink"/>
            <w:noProof/>
          </w:rPr>
          <w:t>Figure 3Porter's Five Forces Model(Source:Wondershare, 2023)</w:t>
        </w:r>
        <w:r>
          <w:rPr>
            <w:noProof/>
            <w:webHidden/>
          </w:rPr>
          <w:tab/>
        </w:r>
        <w:r>
          <w:rPr>
            <w:noProof/>
            <w:webHidden/>
          </w:rPr>
          <w:fldChar w:fldCharType="begin"/>
        </w:r>
        <w:r>
          <w:rPr>
            <w:noProof/>
            <w:webHidden/>
          </w:rPr>
          <w:instrText xml:space="preserve"> PAGEREF _Toc153531132 \h </w:instrText>
        </w:r>
        <w:r>
          <w:rPr>
            <w:noProof/>
            <w:webHidden/>
          </w:rPr>
        </w:r>
        <w:r>
          <w:rPr>
            <w:noProof/>
            <w:webHidden/>
          </w:rPr>
          <w:fldChar w:fldCharType="separate"/>
        </w:r>
        <w:r>
          <w:rPr>
            <w:noProof/>
            <w:webHidden/>
          </w:rPr>
          <w:t>16</w:t>
        </w:r>
        <w:r>
          <w:rPr>
            <w:noProof/>
            <w:webHidden/>
          </w:rPr>
          <w:fldChar w:fldCharType="end"/>
        </w:r>
      </w:hyperlink>
    </w:p>
    <w:p w14:paraId="41B8A977" w14:textId="77777777" w:rsidR="00EC43DC" w:rsidRDefault="00B75005">
      <w:pPr>
        <w:pStyle w:val="TableofFigures"/>
        <w:tabs>
          <w:tab w:val="right" w:leader="dot" w:pos="9350"/>
        </w:tabs>
        <w:rPr>
          <w:noProof/>
        </w:rPr>
      </w:pPr>
      <w:hyperlink w:anchor="_Toc153531133" w:history="1">
        <w:r>
          <w:rPr>
            <w:rStyle w:val="Hyperlink"/>
            <w:noProof/>
          </w:rPr>
          <w:t>Figure 4 BCG  Matrix (Source: Management, n.d.)</w:t>
        </w:r>
        <w:r>
          <w:rPr>
            <w:noProof/>
            <w:webHidden/>
          </w:rPr>
          <w:tab/>
        </w:r>
        <w:r>
          <w:rPr>
            <w:noProof/>
            <w:webHidden/>
          </w:rPr>
          <w:fldChar w:fldCharType="begin"/>
        </w:r>
        <w:r>
          <w:rPr>
            <w:noProof/>
            <w:webHidden/>
          </w:rPr>
          <w:instrText xml:space="preserve"> PAGEREF _Toc153531133 \h </w:instrText>
        </w:r>
        <w:r>
          <w:rPr>
            <w:noProof/>
            <w:webHidden/>
          </w:rPr>
        </w:r>
        <w:r>
          <w:rPr>
            <w:noProof/>
            <w:webHidden/>
          </w:rPr>
          <w:fldChar w:fldCharType="separate"/>
        </w:r>
        <w:r>
          <w:rPr>
            <w:noProof/>
            <w:webHidden/>
          </w:rPr>
          <w:t>31</w:t>
        </w:r>
        <w:r>
          <w:rPr>
            <w:noProof/>
            <w:webHidden/>
          </w:rPr>
          <w:fldChar w:fldCharType="end"/>
        </w:r>
      </w:hyperlink>
    </w:p>
    <w:p w14:paraId="644A041C" w14:textId="77777777" w:rsidR="00EC43DC" w:rsidRDefault="00B75005">
      <w:r>
        <w:fldChar w:fldCharType="end"/>
      </w:r>
      <w:r>
        <w:br w:type="page"/>
      </w:r>
    </w:p>
    <w:p w14:paraId="068C83C3" w14:textId="77777777" w:rsidR="00EC43DC" w:rsidRDefault="00B75005">
      <w:pPr>
        <w:pStyle w:val="Heading1"/>
      </w:pPr>
      <w:bookmarkStart w:id="1" w:name="_Toc153916127"/>
      <w:r>
        <w:lastRenderedPageBreak/>
        <w:t>Introduction</w:t>
      </w:r>
      <w:bookmarkEnd w:id="1"/>
    </w:p>
    <w:p w14:paraId="57A77E4B" w14:textId="77777777" w:rsidR="00EC43DC" w:rsidRDefault="00B75005">
      <w:r>
        <w:t>Organizations have developed a variety of strategies in the current globalization race to engage in promotional activities and reach a broad spectrum of consumers. One of these strategies is marketing, which describes a collection of processes that work to exchange, interact, provide, and create value for the company's goods in relation to the client (Cateora et al., 2020). The larger category of marketing is known as international marketing, and it encompasses a wide range of services that businesses provi</w:t>
      </w:r>
      <w:r>
        <w:t>de to the global market. With this kind of marketing, a company targets a diverse group of clients who come from various locations and regions.</w:t>
      </w:r>
    </w:p>
    <w:p w14:paraId="4FA4F4C3" w14:textId="77777777" w:rsidR="00EC43DC" w:rsidRDefault="00B75005">
      <w:pPr>
        <w:pStyle w:val="Heading1"/>
      </w:pPr>
      <w:bookmarkStart w:id="2" w:name="_Toc153916128"/>
      <w:r>
        <w:t>Background Information of Company</w:t>
      </w:r>
      <w:bookmarkEnd w:id="2"/>
    </w:p>
    <w:p w14:paraId="064EBDCD" w14:textId="77777777" w:rsidR="00EC43DC" w:rsidRDefault="00B75005">
      <w:pPr>
        <w:rPr>
          <w:szCs w:val="24"/>
        </w:rPr>
      </w:pPr>
      <w:r>
        <w:rPr>
          <w:szCs w:val="24"/>
        </w:rPr>
        <w:t>Founded in 1905, Rolex is a renowned luxury watchmaker with headquarters in Switzerland. Its distinctive brand is known for its exceptional workmanship, precision, and exclusivity. The company produces amazing timepieces in the luxury watch market that masterfully combine exceptional utility with exquisite design (Nagy, Bennett, and Graham, 2020). Owing to its dedication to excellence and novelty, Rolex has solidified its position as the world's foremost producer of high-end timepieces.</w:t>
      </w:r>
    </w:p>
    <w:p w14:paraId="15D4169A" w14:textId="77777777" w:rsidR="00EC43DC" w:rsidRDefault="00B75005">
      <w:pPr>
        <w:ind w:firstLine="720"/>
        <w:rPr>
          <w:b/>
          <w:i/>
          <w:szCs w:val="24"/>
        </w:rPr>
      </w:pPr>
      <w:r>
        <w:rPr>
          <w:b/>
          <w:i/>
          <w:szCs w:val="24"/>
        </w:rPr>
        <w:t xml:space="preserve">Mission, </w:t>
      </w:r>
      <w:r>
        <w:rPr>
          <w:b/>
          <w:i/>
          <w:szCs w:val="24"/>
        </w:rPr>
        <w:t>Vision, Aims, and Objectives</w:t>
      </w:r>
    </w:p>
    <w:p w14:paraId="0473BD1C" w14:textId="77777777" w:rsidR="00EC43DC" w:rsidRDefault="00B75005">
      <w:pPr>
        <w:rPr>
          <w:szCs w:val="24"/>
        </w:rPr>
      </w:pPr>
      <w:r>
        <w:rPr>
          <w:szCs w:val="24"/>
        </w:rPr>
        <w:t xml:space="preserve">The goal of Rolex is to produce clocks that are more than just functional and become complex, self-aware icons over time. The company views itself as a pioneer in the watchmaking industry, always striving for perfection and setting new standards for excellence in horology. According to Schultz and Seele (2022), Rolex strives to create enduring, trustworthy watches that respect the brand's heritage of ingenuity and accuracy while showcasing the wearer's uniqueness. Maintaining </w:t>
      </w:r>
      <w:r>
        <w:rPr>
          <w:szCs w:val="24"/>
        </w:rPr>
        <w:lastRenderedPageBreak/>
        <w:t>its standing as a premium luxury brand, expanding into new markets, and continuing to innovate in design and technology to adapt to shifting consumer tastes are just a few of Rolex's many goals.</w:t>
      </w:r>
    </w:p>
    <w:p w14:paraId="672A8042" w14:textId="77777777" w:rsidR="00EC43DC" w:rsidRDefault="00B75005">
      <w:pPr>
        <w:ind w:firstLine="720"/>
        <w:rPr>
          <w:b/>
          <w:i/>
          <w:szCs w:val="24"/>
        </w:rPr>
      </w:pPr>
      <w:r>
        <w:rPr>
          <w:b/>
          <w:i/>
          <w:szCs w:val="24"/>
        </w:rPr>
        <w:t>Position in Key Markets</w:t>
      </w:r>
    </w:p>
    <w:p w14:paraId="648760CE" w14:textId="77777777" w:rsidR="00EC43DC" w:rsidRDefault="00B75005">
      <w:pPr>
        <w:rPr>
          <w:szCs w:val="24"/>
        </w:rPr>
      </w:pPr>
      <w:r>
        <w:rPr>
          <w:szCs w:val="24"/>
        </w:rPr>
        <w:t>In the UK, Rolex is widely recognized as a status symbol and an indication of refined taste. The brand is the top option for luxury watches because of its distinctiveness and high caliber. When compared to luxury watch manufacturers, Rolex's heritage, style, and accuracy have kept it at the top (Baumgartner and Weijters, 2021). In India, Rolex has purposefully positioned itself as a symbol of prosperity and elegance. Despite cultural differences, the increasingly wealthy elite in India is drawn to Rolex's g</w:t>
      </w:r>
      <w:r>
        <w:rPr>
          <w:szCs w:val="24"/>
        </w:rPr>
        <w:t>lobal appeal. Due to its heritage and classic designs, Rolex is able to rival both domestic and foreign manufacturers of luxury timepieces.</w:t>
      </w:r>
    </w:p>
    <w:p w14:paraId="3899B034" w14:textId="77777777" w:rsidR="00EC43DC" w:rsidRDefault="00B75005">
      <w:pPr>
        <w:ind w:firstLine="720"/>
        <w:jc w:val="center"/>
        <w:rPr>
          <w:szCs w:val="24"/>
        </w:rPr>
      </w:pPr>
      <w:r>
        <w:rPr>
          <w:noProof/>
          <w:lang w:val="en-US"/>
        </w:rPr>
        <w:drawing>
          <wp:inline distT="0" distB="0" distL="0" distR="0" wp14:anchorId="6731155D" wp14:editId="610D9136">
            <wp:extent cx="4805678" cy="3335655"/>
            <wp:effectExtent l="0" t="0" r="0" b="0"/>
            <wp:docPr id="1026" name="Picture 1" descr="Brand Positioning of Rolex watch | mashaye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4805678" cy="3335655"/>
                    </a:xfrm>
                    <a:prstGeom prst="rect">
                      <a:avLst/>
                    </a:prstGeom>
                    <a:ln>
                      <a:noFill/>
                    </a:ln>
                  </pic:spPr>
                </pic:pic>
              </a:graphicData>
            </a:graphic>
          </wp:inline>
        </w:drawing>
      </w:r>
    </w:p>
    <w:p w14:paraId="7B098DE8" w14:textId="77777777" w:rsidR="00EC43DC" w:rsidRDefault="00B75005">
      <w:pPr>
        <w:ind w:firstLine="720"/>
        <w:jc w:val="center"/>
        <w:rPr>
          <w:szCs w:val="24"/>
        </w:rPr>
      </w:pPr>
      <w:r>
        <w:rPr>
          <w:szCs w:val="24"/>
        </w:rPr>
        <w:t>Figure: Rolex Pyramid</w:t>
      </w:r>
    </w:p>
    <w:p w14:paraId="38960760" w14:textId="77777777" w:rsidR="00EC43DC" w:rsidRDefault="00EC43DC">
      <w:pPr>
        <w:ind w:firstLine="720"/>
        <w:rPr>
          <w:szCs w:val="24"/>
        </w:rPr>
      </w:pPr>
    </w:p>
    <w:p w14:paraId="6EA5BEB8" w14:textId="77777777" w:rsidR="00EC43DC" w:rsidRDefault="00B75005">
      <w:pPr>
        <w:pStyle w:val="Heading1"/>
      </w:pPr>
      <w:bookmarkStart w:id="3" w:name="_Toc153916129"/>
      <w:r>
        <w:lastRenderedPageBreak/>
        <w:t>Macro Environment</w:t>
      </w:r>
      <w:bookmarkEnd w:id="3"/>
    </w:p>
    <w:p w14:paraId="679298AB" w14:textId="77777777" w:rsidR="00EC43DC" w:rsidRDefault="00B75005">
      <w:pPr>
        <w:rPr>
          <w:szCs w:val="24"/>
        </w:rPr>
      </w:pPr>
      <w:r>
        <w:rPr>
          <w:szCs w:val="24"/>
        </w:rPr>
        <w:t xml:space="preserve">A dynamic landscape is revealed by the PESTLE analysis conducted for Rolex in India and the UK. Opportunities are presented in India by the country's increasing urbanization, middle class, and internet connectivity. Growth in the economy and rising disposable incomes complement the premium market for Rolex watches. </w:t>
      </w:r>
    </w:p>
    <w:p w14:paraId="7DF7D3D3" w14:textId="77777777" w:rsidR="00EC43DC" w:rsidRDefault="00B75005">
      <w:pPr>
        <w:pStyle w:val="Heading2"/>
      </w:pPr>
      <w:bookmarkStart w:id="4" w:name="_Toc153916130"/>
      <w:r>
        <w:t>PESTLE ANALYSIS</w:t>
      </w:r>
      <w:bookmarkEnd w:id="4"/>
    </w:p>
    <w:p w14:paraId="27864196" w14:textId="77777777" w:rsidR="00EC43DC" w:rsidRDefault="00B75005">
      <w:r>
        <w:t>A PESTLE analysis explores the primary external elements (Political, Economic, Sociological, Technological, Legal, and Environmental) that impact an organisation. It has versatile applications and can provide advice to professionals and executives in making strategic decisions (CIPD, 2023).</w:t>
      </w:r>
    </w:p>
    <w:p w14:paraId="648EDBC0" w14:textId="77777777" w:rsidR="00EC43DC" w:rsidRDefault="00B75005">
      <w:pPr>
        <w:spacing w:after="160" w:line="259" w:lineRule="auto"/>
        <w:jc w:val="left"/>
        <w:rPr>
          <w:b/>
          <w:bCs/>
          <w:szCs w:val="24"/>
        </w:rPr>
      </w:pPr>
      <w:r>
        <w:rPr>
          <w:b/>
          <w:bCs/>
          <w:szCs w:val="24"/>
        </w:rPr>
        <w:t xml:space="preserve">Macro Environmental Analysis - PESTLE Framework for India </w:t>
      </w:r>
    </w:p>
    <w:p w14:paraId="579140CC" w14:textId="77777777" w:rsidR="00EC43DC" w:rsidRDefault="00B75005">
      <w:pPr>
        <w:spacing w:after="160" w:line="259" w:lineRule="auto"/>
        <w:jc w:val="left"/>
        <w:rPr>
          <w:b/>
          <w:bCs/>
          <w:szCs w:val="24"/>
        </w:rPr>
      </w:pPr>
      <w:r>
        <w:rPr>
          <w:b/>
          <w:bCs/>
          <w:szCs w:val="24"/>
        </w:rPr>
        <w:t xml:space="preserve">Political </w:t>
      </w:r>
    </w:p>
    <w:p w14:paraId="7A6FA919" w14:textId="77777777" w:rsidR="00EC43DC" w:rsidRDefault="00B75005">
      <w:r>
        <w:t xml:space="preserve">According to Rossendo-Rios and Shukla (2023), India has a federal democratic system with a variety of political dynamics. Rolex's operating environment is impacted by the </w:t>
      </w:r>
      <w:r>
        <w:t>political variety that shapes foreign investment strategy and economic policies. In India, Rolex has to manage shifting political and economic landscapes that affect its expansion and investment choices.</w:t>
      </w:r>
    </w:p>
    <w:p w14:paraId="28B71FDE" w14:textId="77777777" w:rsidR="00EC43DC" w:rsidRDefault="00B75005">
      <w:pPr>
        <w:spacing w:after="160" w:line="259" w:lineRule="auto"/>
        <w:jc w:val="left"/>
        <w:rPr>
          <w:b/>
          <w:bCs/>
          <w:szCs w:val="24"/>
        </w:rPr>
      </w:pPr>
      <w:r>
        <w:rPr>
          <w:b/>
          <w:bCs/>
          <w:szCs w:val="24"/>
        </w:rPr>
        <w:t>Economic</w:t>
      </w:r>
    </w:p>
    <w:p w14:paraId="144E3DD3" w14:textId="77777777" w:rsidR="00EC43DC" w:rsidRDefault="00B75005">
      <w:r>
        <w:t>With a GDP of over $2.87 trillion (2020), India's burgeoning economy offers prospects for expansion, especially because of its growing middle class and rising consumer expenditure. Changes in the Indian Rupee's exchange rate can have an effect on import expenses, which can affect Rolex's pricing policies. In order to retain competitive pricing and profitability, Rolex must carefully manage foreign exchange risks in order to capitalize on India's expanding luxury market (Viswanathan and Jha, 2019).</w:t>
      </w:r>
    </w:p>
    <w:p w14:paraId="18A687A5" w14:textId="77777777" w:rsidR="00EC43DC" w:rsidRDefault="00B75005">
      <w:pPr>
        <w:spacing w:after="160" w:line="259" w:lineRule="auto"/>
        <w:jc w:val="left"/>
        <w:rPr>
          <w:b/>
          <w:bCs/>
          <w:szCs w:val="24"/>
        </w:rPr>
      </w:pPr>
      <w:r>
        <w:rPr>
          <w:b/>
          <w:bCs/>
          <w:szCs w:val="24"/>
        </w:rPr>
        <w:lastRenderedPageBreak/>
        <w:t xml:space="preserve"> Social</w:t>
      </w:r>
      <w:r>
        <w:rPr>
          <w:b/>
          <w:bCs/>
          <w:szCs w:val="24"/>
        </w:rPr>
        <w:tab/>
      </w:r>
    </w:p>
    <w:p w14:paraId="47AE7D10" w14:textId="77777777" w:rsidR="00EC43DC" w:rsidRDefault="00B75005">
      <w:r>
        <w:t>The growing Indian culture and environmental practices have a significant impact on consumers' purchase decisions (Thomsen and Kavadis, 2022). High-priced products such as Rolex watches have grown as a result of both urbanization and the adoption of modern lifestyles. Rolex's marketing strategies must consider the subtle cultural distinctions and changing lifestyles of India in order to appeal to the country's clientele.</w:t>
      </w:r>
    </w:p>
    <w:p w14:paraId="0C00AA87" w14:textId="77777777" w:rsidR="00EC43DC" w:rsidRDefault="00B75005">
      <w:pPr>
        <w:spacing w:after="160"/>
        <w:jc w:val="left"/>
        <w:rPr>
          <w:b/>
          <w:bCs/>
          <w:szCs w:val="24"/>
        </w:rPr>
      </w:pPr>
      <w:r>
        <w:rPr>
          <w:b/>
          <w:bCs/>
          <w:szCs w:val="24"/>
        </w:rPr>
        <w:t>Technological</w:t>
      </w:r>
    </w:p>
    <w:p w14:paraId="109ABD1C" w14:textId="77777777" w:rsidR="00EC43DC" w:rsidRDefault="00B75005">
      <w:r>
        <w:t>The growing technological market of the country provides the company with the opportunity to benefit from the technological sector. This includes the increasing number of people who use smartphones and the large database.  (Viswanathan and Jha, 2019). To enhance its online marketing tactics and capitalize on the trend of selling high-end goods online, Rolex might reach out to the technologically astute populace in India.</w:t>
      </w:r>
    </w:p>
    <w:p w14:paraId="1B559A44" w14:textId="77777777" w:rsidR="00EC43DC" w:rsidRDefault="00B75005">
      <w:pPr>
        <w:spacing w:after="160"/>
        <w:jc w:val="left"/>
        <w:rPr>
          <w:b/>
          <w:bCs/>
          <w:szCs w:val="24"/>
        </w:rPr>
      </w:pPr>
      <w:r>
        <w:rPr>
          <w:b/>
          <w:bCs/>
          <w:szCs w:val="24"/>
        </w:rPr>
        <w:t>Environmental</w:t>
      </w:r>
    </w:p>
    <w:p w14:paraId="3E0BD3EE" w14:textId="77777777" w:rsidR="00EC43DC" w:rsidRDefault="00B75005">
      <w:pPr>
        <w:rPr>
          <w:b/>
          <w:bCs/>
          <w:szCs w:val="24"/>
        </w:rPr>
      </w:pPr>
      <w:r>
        <w:t>An increased emphasis on ecological methods has resulted from India's growing environmental consciousness. Globally, there is a trend towards ethical business practices that aligns with the endorsement of eco-friendly programs and biomass energy.</w:t>
      </w:r>
      <w:r>
        <w:rPr>
          <w:szCs w:val="24"/>
        </w:rPr>
        <w:t xml:space="preserve"> By partnering with India's environmentally sensitive consumers through sustainability projects and eco-friendly practices, Rolex can improve the perception and allure of its brand (Tien, Phu, and Chi, 2019).</w:t>
      </w:r>
    </w:p>
    <w:p w14:paraId="66CE3843" w14:textId="77777777" w:rsidR="00EC43DC" w:rsidRDefault="00EC43DC">
      <w:pPr>
        <w:spacing w:after="160"/>
        <w:jc w:val="left"/>
        <w:rPr>
          <w:b/>
          <w:bCs/>
          <w:szCs w:val="24"/>
        </w:rPr>
      </w:pPr>
    </w:p>
    <w:p w14:paraId="10514446" w14:textId="77777777" w:rsidR="00EC43DC" w:rsidRDefault="00B75005">
      <w:pPr>
        <w:spacing w:after="160"/>
        <w:jc w:val="left"/>
        <w:rPr>
          <w:szCs w:val="24"/>
        </w:rPr>
      </w:pPr>
      <w:r>
        <w:rPr>
          <w:b/>
          <w:bCs/>
          <w:szCs w:val="24"/>
        </w:rPr>
        <w:t>Legal</w:t>
      </w:r>
    </w:p>
    <w:p w14:paraId="18B4F46B" w14:textId="77777777" w:rsidR="00EC43DC" w:rsidRDefault="00B75005">
      <w:pPr>
        <w:rPr>
          <w:b/>
          <w:szCs w:val="24"/>
        </w:rPr>
      </w:pPr>
      <w:r>
        <w:lastRenderedPageBreak/>
        <w:t>The intricate legal framework in India has an effect on how businesses operate and how intellectual property (IP) is protected (Viswanathan and Jha, 2019). For businesses like Rolex, adhering to employment regulations and managing the regulatory environment are essential. In order to uphold its moral business practices, Rolex must make sure that India's legal framework is followed, protecting its intellectual property rights and obeying labor regulations</w:t>
      </w:r>
      <w:r>
        <w:br/>
      </w:r>
      <w:r>
        <w:rPr>
          <w:b/>
          <w:szCs w:val="24"/>
        </w:rPr>
        <w:t>A PESTLE System analysis of the macro environment in the UK</w:t>
      </w:r>
    </w:p>
    <w:p w14:paraId="71116F2E" w14:textId="77777777" w:rsidR="00EC43DC" w:rsidRDefault="00B75005">
      <w:pPr>
        <w:rPr>
          <w:rFonts w:eastAsia="Times New Roman"/>
          <w:szCs w:val="24"/>
          <w:lang w:eastAsia="en-GB"/>
        </w:rPr>
      </w:pPr>
      <w:r>
        <w:rPr>
          <w:rFonts w:eastAsia="Times New Roman"/>
          <w:b/>
          <w:szCs w:val="24"/>
          <w:lang w:eastAsia="en-GB"/>
        </w:rPr>
        <w:t>Political</w:t>
      </w:r>
      <w:r>
        <w:rPr>
          <w:rFonts w:eastAsia="Times New Roman"/>
          <w:b/>
          <w:szCs w:val="24"/>
          <w:lang w:eastAsia="en-GB"/>
        </w:rPr>
        <w:br/>
      </w:r>
      <w:r>
        <w:rPr>
          <w:rFonts w:eastAsia="Times New Roman"/>
          <w:szCs w:val="24"/>
          <w:lang w:eastAsia="en-GB"/>
        </w:rPr>
        <w:t xml:space="preserve">The political climate in the UK is stable, which encourages business confidence and long-term investment (Wang et al., 2021). Nonetheless, trade agreements and Brexit's effects may change the nature of trade and have an </w:t>
      </w:r>
      <w:r>
        <w:rPr>
          <w:rFonts w:eastAsia="Times New Roman"/>
          <w:szCs w:val="24"/>
          <w:lang w:eastAsia="en-GB"/>
        </w:rPr>
        <w:t>impact on Rolex's distribution and supply chains.</w:t>
      </w:r>
      <w:r>
        <w:rPr>
          <w:rFonts w:eastAsia="Times New Roman"/>
          <w:szCs w:val="24"/>
          <w:lang w:eastAsia="en-GB"/>
        </w:rPr>
        <w:br/>
        <w:t>Rolex has to manage post-Brexit trade dynamics and regulatory shifts while preserving an atmosphere that is conducive to business and guaranteeing a smooth supply chain.</w:t>
      </w:r>
    </w:p>
    <w:p w14:paraId="44E32E66" w14:textId="77777777" w:rsidR="00EC43DC" w:rsidRDefault="00B75005">
      <w:pPr>
        <w:rPr>
          <w:rFonts w:eastAsia="Times New Roman"/>
          <w:b/>
          <w:szCs w:val="24"/>
          <w:lang w:eastAsia="en-GB"/>
        </w:rPr>
      </w:pPr>
      <w:r>
        <w:rPr>
          <w:rFonts w:eastAsia="Times New Roman"/>
          <w:b/>
          <w:szCs w:val="24"/>
          <w:lang w:eastAsia="en-GB"/>
        </w:rPr>
        <w:t>Economic</w:t>
      </w:r>
    </w:p>
    <w:p w14:paraId="5A77CE1A" w14:textId="77777777" w:rsidR="00EC43DC" w:rsidRDefault="00B75005">
      <w:pPr>
        <w:rPr>
          <w:rFonts w:eastAsia="Times New Roman"/>
          <w:szCs w:val="24"/>
          <w:lang w:eastAsia="en-GB"/>
        </w:rPr>
      </w:pPr>
      <w:r>
        <w:rPr>
          <w:rFonts w:eastAsia="Times New Roman"/>
          <w:szCs w:val="24"/>
          <w:lang w:eastAsia="en-GB"/>
        </w:rPr>
        <w:t>With a GDP of over $3.13 trillion (2020), the UK's robust economy draws investment and premium demand (Thomsen and Kavadis, 2022). The value of the British Pound has an effect on people's ability to afford luxury products. Rich people are an ideal customer base for Rolex when it comes to pricing tactics and client affordability, and the company needs to monitor fluctuations in the value of the currency so that it may adjust its products and services accordingly.</w:t>
      </w:r>
    </w:p>
    <w:p w14:paraId="412AAD7D" w14:textId="77777777" w:rsidR="00EC43DC" w:rsidRDefault="00B75005">
      <w:pPr>
        <w:rPr>
          <w:rFonts w:eastAsia="Times New Roman"/>
          <w:szCs w:val="24"/>
          <w:lang w:eastAsia="en-GB"/>
        </w:rPr>
      </w:pPr>
      <w:r>
        <w:rPr>
          <w:rFonts w:eastAsia="Times New Roman"/>
          <w:b/>
          <w:szCs w:val="24"/>
          <w:lang w:eastAsia="en-GB"/>
        </w:rPr>
        <w:t>Social</w:t>
      </w:r>
      <w:r>
        <w:rPr>
          <w:rFonts w:eastAsia="Times New Roman"/>
          <w:b/>
          <w:szCs w:val="24"/>
          <w:lang w:eastAsia="en-GB"/>
        </w:rPr>
        <w:br/>
      </w:r>
      <w:r>
        <w:rPr>
          <w:rFonts w:eastAsia="Times New Roman"/>
          <w:szCs w:val="24"/>
          <w:lang w:eastAsia="en-GB"/>
        </w:rPr>
        <w:t xml:space="preserve">According to Tien, Phu, and Chi (2019), the wealthy population, shifting demographics, and dynamic lifestyles in the UK make it an ideal market for high-end products such as Rolex. As customer tastes evolve, advertising strategies need to adapt to reach specific demographics. Rolex </w:t>
      </w:r>
      <w:r>
        <w:rPr>
          <w:rFonts w:eastAsia="Times New Roman"/>
          <w:szCs w:val="24"/>
          <w:lang w:eastAsia="en-GB"/>
        </w:rPr>
        <w:lastRenderedPageBreak/>
        <w:t>needs to tailor its marketing messaging to the individual tastes, ever-changing habits, and goals of the rich and famous people of the United Kingdom.</w:t>
      </w:r>
    </w:p>
    <w:p w14:paraId="4237880A" w14:textId="77777777" w:rsidR="004614B3" w:rsidRDefault="004614B3" w:rsidP="004614B3">
      <w:pPr>
        <w:pStyle w:val="Heading1"/>
      </w:pPr>
      <w:bookmarkStart w:id="5" w:name="_Toc153916131"/>
      <w:r>
        <w:t>The Hofstede Model</w:t>
      </w:r>
      <w:bookmarkEnd w:id="5"/>
      <w:r>
        <w:t xml:space="preserve"> </w:t>
      </w:r>
    </w:p>
    <w:p w14:paraId="2C368275" w14:textId="676AB0B0" w:rsidR="004614B3" w:rsidRDefault="004614B3" w:rsidP="004614B3">
      <w:r>
        <w:t>Geert Hofstede developed the six-dimensional Hofstede and Colleagues Model to analyze cultural variations across national boundaries. These traits help develop an understanding of the variations in cultural values, practices, and lifestyles. The approach provides an invaluable viewpoint for studying cultural variations in a variety of economic status domains, including relationships, commerce, and communication</w:t>
      </w:r>
    </w:p>
    <w:p w14:paraId="2F25BB1B" w14:textId="097749DA" w:rsidR="004614B3" w:rsidRDefault="004614B3" w:rsidP="004614B3">
      <w:pPr>
        <w:jc w:val="center"/>
        <w:rPr>
          <w:rFonts w:eastAsia="Times New Roman"/>
          <w:szCs w:val="24"/>
          <w:lang w:eastAsia="en-GB"/>
        </w:rPr>
      </w:pPr>
      <w:r>
        <w:rPr>
          <w:noProof/>
          <w:lang w:val="en-US"/>
        </w:rPr>
        <w:drawing>
          <wp:inline distT="0" distB="0" distL="0" distR="0" wp14:anchorId="4058D762" wp14:editId="2B4BA45E">
            <wp:extent cx="2307332" cy="2023353"/>
            <wp:effectExtent l="0" t="0" r="0" b="0"/>
            <wp:docPr id="1027"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0"/>
                    <pic:cNvPicPr/>
                  </pic:nvPicPr>
                  <pic:blipFill>
                    <a:blip r:embed="rId10" cstate="print"/>
                    <a:srcRect/>
                    <a:stretch/>
                  </pic:blipFill>
                  <pic:spPr>
                    <a:xfrm>
                      <a:off x="0" y="0"/>
                      <a:ext cx="2307332" cy="2023353"/>
                    </a:xfrm>
                    <a:prstGeom prst="rect">
                      <a:avLst/>
                    </a:prstGeom>
                  </pic:spPr>
                </pic:pic>
              </a:graphicData>
            </a:graphic>
          </wp:inline>
        </w:drawing>
      </w:r>
    </w:p>
    <w:p w14:paraId="2C8DEAB7" w14:textId="77777777" w:rsidR="004614B3" w:rsidRDefault="004614B3" w:rsidP="004614B3">
      <w:pPr>
        <w:pStyle w:val="Caption"/>
        <w:jc w:val="center"/>
      </w:pPr>
      <w:bookmarkStart w:id="6" w:name="_Toc153531130"/>
      <w:r>
        <w:t xml:space="preserve">Figure </w:t>
      </w:r>
      <w:r>
        <w:fldChar w:fldCharType="begin"/>
      </w:r>
      <w:r>
        <w:instrText xml:space="preserve"> SEQ Figure \* ARABIC </w:instrText>
      </w:r>
      <w:r>
        <w:fldChar w:fldCharType="separate"/>
      </w:r>
      <w:r>
        <w:rPr>
          <w:noProof/>
        </w:rPr>
        <w:t>1</w:t>
      </w:r>
      <w:r>
        <w:fldChar w:fldCharType="end"/>
      </w:r>
      <w:r>
        <w:t>The Hofstede Model (Source:iEduNote, 2023)</w:t>
      </w:r>
      <w:bookmarkEnd w:id="6"/>
    </w:p>
    <w:p w14:paraId="25C28203" w14:textId="77777777" w:rsidR="004614B3" w:rsidRDefault="004614B3" w:rsidP="004614B3">
      <w:pPr>
        <w:pStyle w:val="Heading2"/>
      </w:pPr>
      <w:bookmarkStart w:id="7" w:name="_Toc153916132"/>
      <w:r>
        <w:t>Benefits and Drawbacks of Hofstede's Model</w:t>
      </w:r>
      <w:bookmarkEnd w:id="7"/>
    </w:p>
    <w:p w14:paraId="32026417" w14:textId="77777777" w:rsidR="004614B3" w:rsidRDefault="004614B3" w:rsidP="004614B3">
      <w:r>
        <w:t xml:space="preserve">The Hofstede Model provides a systematic framework for comprehending and interacting with individuals from diverse cultural backgrounds. It offers a common language for debating and evaluating these differences, which is crucial in today's globalized society. International business owners will find this technique to be a helpful resource. It enhances their ability to make knowledgeable decisions on product modifications, market share, and advertising tactics. A deep </w:t>
      </w:r>
      <w:r>
        <w:lastRenderedPageBreak/>
        <w:t>understanding of socioeconomic concerns is necessary to enhance corporate performance and prevent costly misunderstandings.</w:t>
      </w:r>
    </w:p>
    <w:p w14:paraId="20C68646" w14:textId="77777777" w:rsidR="004614B3" w:rsidRDefault="004614B3" w:rsidP="004614B3">
      <w:r>
        <w:t>This strategy can enhance the way conflicts are settled in multicultural environments. When both parties are aware of and respectful of each other's cultural origins, people and organizations are better equipped to approach difficulties with understanding and open communication, which leads to more fruitful solutions.</w:t>
      </w:r>
    </w:p>
    <w:p w14:paraId="7B19DC94" w14:textId="77777777" w:rsidR="004614B3" w:rsidRDefault="004614B3" w:rsidP="004614B3">
      <w:r>
        <w:t>Among the many criticisms levelled against the Hofstede Model are its tendencies towards generality and simplification. Assuming that all members of a particular culture are alike could result in incorrect interpretations and conclusions. The framework provides a decent overview, even though it might not take into consideration all the nuances connected to other cultures. Global adoption of the paradigm is further complicated by cultural differences between different regions, nations, or even individuals. Cultural norms are adaptable and frequently change. The Model's ability to accurately depict contemporary cultural shifts and trends may be compromised in the context of quickly developing civilizations where conventional values are changing.</w:t>
      </w:r>
    </w:p>
    <w:p w14:paraId="2A301FF7" w14:textId="77777777" w:rsidR="004614B3" w:rsidRDefault="004614B3" w:rsidP="004614B3">
      <w:pPr>
        <w:pStyle w:val="ListParagraph"/>
        <w:numPr>
          <w:ilvl w:val="0"/>
          <w:numId w:val="2"/>
        </w:numPr>
        <w:rPr>
          <w:b/>
          <w:bCs/>
          <w:lang w:val="en-US"/>
        </w:rPr>
      </w:pPr>
      <w:r>
        <w:rPr>
          <w:b/>
          <w:bCs/>
          <w:lang w:val="en-US"/>
        </w:rPr>
        <w:t>Power Distance:</w:t>
      </w:r>
    </w:p>
    <w:p w14:paraId="1347067F" w14:textId="77777777" w:rsidR="004614B3" w:rsidRDefault="004614B3" w:rsidP="004614B3">
      <w:pPr>
        <w:rPr>
          <w:lang w:val="en-US"/>
        </w:rPr>
      </w:pPr>
      <w:r>
        <w:rPr>
          <w:b/>
          <w:bCs/>
          <w:lang w:val="en-US"/>
        </w:rPr>
        <w:t>United Kingdom (Low Power Distance):</w:t>
      </w:r>
      <w:r>
        <w:rPr>
          <w:lang w:val="en-US"/>
        </w:rPr>
        <w:t xml:space="preserve"> </w:t>
      </w:r>
    </w:p>
    <w:p w14:paraId="26D0FFB8" w14:textId="77777777" w:rsidR="004614B3" w:rsidRDefault="004614B3" w:rsidP="004614B3">
      <w:pPr>
        <w:rPr>
          <w:lang w:val="en-US"/>
        </w:rPr>
      </w:pPr>
      <w:r>
        <w:rPr>
          <w:lang w:val="en-US"/>
        </w:rPr>
        <w:t xml:space="preserve">An excellent illustration of a low power distance culture is the United Kingdom as a whole, which is defined by a social expectation of power fairness and an organizational structure that is comparatively horizontal. This implies that choices are usually taken at work in a decentralized manner and that there is a high degree of openness in the dialogue between employees and management. The way Rolex manages in the UK, which prioritizes employee input and participation in decision-making, may be impacted by this cultural factor. Additionally, this aligns </w:t>
      </w:r>
      <w:r>
        <w:rPr>
          <w:lang w:val="en-US"/>
        </w:rPr>
        <w:lastRenderedPageBreak/>
        <w:t>with the exclusivity policy of the luxury business, which sees clients as sentient beings as opposed to rigidly hierarchical members.</w:t>
      </w:r>
    </w:p>
    <w:p w14:paraId="3AEEF78E" w14:textId="77777777" w:rsidR="004614B3" w:rsidRDefault="004614B3" w:rsidP="004614B3">
      <w:pPr>
        <w:pStyle w:val="Heading2"/>
        <w:rPr>
          <w:lang w:val="en-US"/>
        </w:rPr>
      </w:pPr>
      <w:bookmarkStart w:id="8" w:name="_Toc153916133"/>
      <w:r>
        <w:rPr>
          <w:lang w:val="en-US"/>
        </w:rPr>
        <w:t>India (High Power Distance)</w:t>
      </w:r>
      <w:bookmarkEnd w:id="8"/>
    </w:p>
    <w:p w14:paraId="7C9BE7E3" w14:textId="77777777" w:rsidR="004614B3" w:rsidRDefault="004614B3" w:rsidP="004614B3">
      <w:pPr>
        <w:rPr>
          <w:lang w:val="en-US"/>
        </w:rPr>
      </w:pPr>
      <w:r>
        <w:rPr>
          <w:lang w:val="en-US"/>
        </w:rPr>
        <w:t>However, Indian society is highly respectful of individuals in positions of authority and has a tendency towards hierarchy. Giving leaders the truth is a typical approach employed in Indian organizations while making decisions. For Rolex to work in India, it must be cognizant of this cultural aspect. Developing reliable relationships with influential people and executives in the Indian business world is one recommendation that might be made. For Rolex's Indian business, a more structured management structure could also be advantageous.</w:t>
      </w:r>
    </w:p>
    <w:p w14:paraId="041BDF7D" w14:textId="77777777" w:rsidR="004614B3" w:rsidRDefault="004614B3" w:rsidP="004614B3">
      <w:pPr>
        <w:pStyle w:val="Heading2"/>
        <w:rPr>
          <w:lang w:val="en-US"/>
        </w:rPr>
      </w:pPr>
      <w:bookmarkStart w:id="9" w:name="_Toc153916134"/>
      <w:r>
        <w:rPr>
          <w:lang w:val="en-US"/>
        </w:rPr>
        <w:t>Individualism versus collectivism:</w:t>
      </w:r>
      <w:bookmarkEnd w:id="9"/>
      <w:r>
        <w:rPr>
          <w:lang w:val="en-US"/>
        </w:rPr>
        <w:t xml:space="preserve"> </w:t>
      </w:r>
    </w:p>
    <w:p w14:paraId="3C5960CE" w14:textId="77777777" w:rsidR="004614B3" w:rsidRDefault="004614B3" w:rsidP="004614B3">
      <w:pPr>
        <w:pStyle w:val="Heading2"/>
        <w:rPr>
          <w:lang w:val="en-US"/>
        </w:rPr>
      </w:pPr>
      <w:bookmarkStart w:id="10" w:name="_Toc153916135"/>
      <w:r>
        <w:rPr>
          <w:lang w:val="en-US"/>
        </w:rPr>
        <w:t>The United Kingdom (Individualism)</w:t>
      </w:r>
      <w:bookmarkEnd w:id="10"/>
    </w:p>
    <w:p w14:paraId="4BE3809F" w14:textId="77777777" w:rsidR="004614B3" w:rsidRDefault="004614B3" w:rsidP="004614B3">
      <w:pPr>
        <w:rPr>
          <w:lang w:val="en-US"/>
        </w:rPr>
      </w:pPr>
      <w:r>
        <w:rPr>
          <w:lang w:val="en-US"/>
        </w:rPr>
        <w:t>Brits are often thought to live in a self-sufficient culture that encourages aspiration, self-actualization, and personal development. People who live in the United Kingdom usually put their hobbies and artistic abilities first. This individualized approach may have an impact on Rolex's marketing strategy in the premium market by highlighting the unique qualities and sentimental value of each watch. It fits with the company's well-established image of success and elegance.</w:t>
      </w:r>
    </w:p>
    <w:p w14:paraId="71CA4008" w14:textId="77777777" w:rsidR="004614B3" w:rsidRDefault="004614B3" w:rsidP="004614B3">
      <w:pPr>
        <w:pStyle w:val="Heading2"/>
        <w:rPr>
          <w:lang w:val="en-US"/>
        </w:rPr>
      </w:pPr>
      <w:bookmarkStart w:id="11" w:name="_Toc153916136"/>
      <w:r>
        <w:rPr>
          <w:lang w:val="en-US"/>
        </w:rPr>
        <w:t>India (Collectivistic):</w:t>
      </w:r>
      <w:bookmarkEnd w:id="11"/>
      <w:r>
        <w:rPr>
          <w:lang w:val="en-US"/>
        </w:rPr>
        <w:t xml:space="preserve"> </w:t>
      </w:r>
    </w:p>
    <w:p w14:paraId="77075ECD" w14:textId="77777777" w:rsidR="004614B3" w:rsidRDefault="004614B3" w:rsidP="004614B3">
      <w:pPr>
        <w:rPr>
          <w:lang w:val="en-US"/>
        </w:rPr>
      </w:pPr>
      <w:r>
        <w:rPr>
          <w:lang w:val="en-US"/>
        </w:rPr>
        <w:t xml:space="preserve">India is a very collectivist country that values harmony, loyalty, and group consensus. When making decisions, Indian society places the utmost importance on social cohesion and the well-being of the group. This cultural trait can represent the importance of cross-border relations for </w:t>
      </w:r>
      <w:r>
        <w:rPr>
          <w:lang w:val="en-US"/>
        </w:rPr>
        <w:lastRenderedPageBreak/>
        <w:t>Rolex in the Indian market. The brand's advertising may highlight the wealth and success that come with owning a Rolex watch.</w:t>
      </w:r>
    </w:p>
    <w:p w14:paraId="16B65E97" w14:textId="78C50C29" w:rsidR="004614B3" w:rsidRDefault="004614B3" w:rsidP="004614B3">
      <w:pPr>
        <w:rPr>
          <w:lang w:val="en-US"/>
        </w:rPr>
      </w:pPr>
      <w:r>
        <w:rPr>
          <w:noProof/>
        </w:rPr>
        <w:drawing>
          <wp:inline distT="0" distB="0" distL="0" distR="0" wp14:anchorId="3A707E40" wp14:editId="292B1B4A">
            <wp:extent cx="5943600" cy="7069904"/>
            <wp:effectExtent l="0" t="0" r="0" b="0"/>
            <wp:docPr id="102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11" cstate="print"/>
                    <a:srcRect/>
                    <a:stretch/>
                  </pic:blipFill>
                  <pic:spPr>
                    <a:xfrm>
                      <a:off x="0" y="0"/>
                      <a:ext cx="5943600" cy="7069904"/>
                    </a:xfrm>
                    <a:prstGeom prst="rect">
                      <a:avLst/>
                    </a:prstGeom>
                  </pic:spPr>
                </pic:pic>
              </a:graphicData>
            </a:graphic>
          </wp:inline>
        </w:drawing>
      </w:r>
    </w:p>
    <w:p w14:paraId="77678F54" w14:textId="77777777" w:rsidR="004614B3" w:rsidRDefault="004614B3" w:rsidP="004614B3">
      <w:pPr>
        <w:pStyle w:val="Caption"/>
        <w:jc w:val="center"/>
      </w:pPr>
      <w:bookmarkStart w:id="12" w:name="_Toc153531131"/>
      <w:r>
        <w:lastRenderedPageBreak/>
        <w:t xml:space="preserve">Figure </w:t>
      </w:r>
      <w:r>
        <w:fldChar w:fldCharType="begin"/>
      </w:r>
      <w:r>
        <w:instrText xml:space="preserve"> SEQ Figure \* ARABIC </w:instrText>
      </w:r>
      <w:r>
        <w:fldChar w:fldCharType="separate"/>
      </w:r>
      <w:r>
        <w:rPr>
          <w:noProof/>
        </w:rPr>
        <w:t>2</w:t>
      </w:r>
      <w:r>
        <w:fldChar w:fldCharType="end"/>
      </w:r>
      <w:r>
        <w:t xml:space="preserve"> Hofstede Cultural Dimensions (Source: </w:t>
      </w:r>
      <w:bookmarkEnd w:id="12"/>
      <w:r>
        <w:rPr>
          <w:lang w:val="en-US"/>
        </w:rPr>
        <w:t>Hofstede Insights (2023). Country Comparison Tool. [online] Hofstede Insights. Available at: https://www.hofstede-insights.com/country-comparison-tool.)</w:t>
      </w:r>
    </w:p>
    <w:p w14:paraId="1D4E596C" w14:textId="77777777" w:rsidR="00EC43DC" w:rsidRDefault="00B75005">
      <w:pPr>
        <w:rPr>
          <w:rFonts w:eastAsia="Times New Roman"/>
          <w:b/>
          <w:szCs w:val="24"/>
          <w:lang w:eastAsia="en-GB"/>
        </w:rPr>
      </w:pPr>
      <w:r>
        <w:rPr>
          <w:rFonts w:eastAsia="Times New Roman"/>
          <w:b/>
          <w:szCs w:val="24"/>
          <w:lang w:eastAsia="en-GB"/>
        </w:rPr>
        <w:t xml:space="preserve">Technology </w:t>
      </w:r>
    </w:p>
    <w:p w14:paraId="61C942DF" w14:textId="77777777" w:rsidR="00EC43DC" w:rsidRDefault="00B75005">
      <w:pPr>
        <w:rPr>
          <w:rFonts w:eastAsia="Times New Roman"/>
          <w:szCs w:val="24"/>
          <w:lang w:eastAsia="en-GB"/>
        </w:rPr>
      </w:pPr>
      <w:r>
        <w:rPr>
          <w:rFonts w:eastAsia="Times New Roman"/>
          <w:szCs w:val="24"/>
          <w:lang w:eastAsia="en-GB"/>
        </w:rPr>
        <w:t>Modern advertising and product development are both aided by the widespread use of cutting-edge tech in the United Kingdom. Robust online visibility and active participation are essential because consumer behavior is impacted by technological developments and the expansion of e-commerce. By utilizing the tech-savvy populace in the UK, Rolex can improve its technical offerings and engage customers with customized online experiences and digital platforms.</w:t>
      </w:r>
    </w:p>
    <w:p w14:paraId="01175F86" w14:textId="77777777" w:rsidR="00EC43DC" w:rsidRDefault="00B75005">
      <w:pPr>
        <w:rPr>
          <w:rFonts w:eastAsia="Times New Roman"/>
          <w:b/>
          <w:szCs w:val="24"/>
          <w:lang w:eastAsia="en-GB"/>
        </w:rPr>
      </w:pPr>
      <w:r>
        <w:rPr>
          <w:rFonts w:eastAsia="Times New Roman"/>
          <w:b/>
          <w:szCs w:val="24"/>
          <w:lang w:eastAsia="en-GB"/>
        </w:rPr>
        <w:t>Environmental</w:t>
      </w:r>
    </w:p>
    <w:p w14:paraId="78B84A7A" w14:textId="77777777" w:rsidR="00EC43DC" w:rsidRDefault="00B75005">
      <w:pPr>
        <w:rPr>
          <w:rFonts w:eastAsia="Times New Roman"/>
          <w:szCs w:val="24"/>
          <w:lang w:eastAsia="en-GB"/>
        </w:rPr>
      </w:pPr>
      <w:r>
        <w:rPr>
          <w:rFonts w:eastAsia="Times New Roman"/>
          <w:szCs w:val="24"/>
          <w:lang w:eastAsia="en-GB"/>
        </w:rPr>
        <w:t>The UK places a strong emphasis on environmental laws and awareness, which have an impact on sustainable practices. Consumers respond favorably to green initiatives and eco-consciousness, which enhances the company's reputation. Rolex can improve its brand image and attract eco-conscious customers who respect ethical and responsible business practices by integrating with the UK's sustainability trends.</w:t>
      </w:r>
    </w:p>
    <w:p w14:paraId="510E305E" w14:textId="77777777" w:rsidR="00EC43DC" w:rsidRDefault="00B75005">
      <w:pPr>
        <w:rPr>
          <w:rFonts w:eastAsia="Times New Roman"/>
          <w:szCs w:val="24"/>
          <w:lang w:eastAsia="en-GB"/>
        </w:rPr>
      </w:pPr>
      <w:r>
        <w:rPr>
          <w:rFonts w:eastAsia="Times New Roman"/>
          <w:b/>
          <w:szCs w:val="24"/>
          <w:lang w:eastAsia="en-GB"/>
        </w:rPr>
        <w:t>Legal</w:t>
      </w:r>
      <w:r>
        <w:rPr>
          <w:rFonts w:eastAsia="Times New Roman"/>
          <w:b/>
          <w:szCs w:val="24"/>
          <w:lang w:eastAsia="en-GB"/>
        </w:rPr>
        <w:br/>
      </w:r>
      <w:r>
        <w:rPr>
          <w:rFonts w:eastAsia="Times New Roman"/>
          <w:szCs w:val="24"/>
          <w:lang w:eastAsia="en-GB"/>
        </w:rPr>
        <w:t>Rolex's brand integrity is protected by the robust legal framework and IP protection in the UK (Wang et al., 2021). Marketing strategies and operations are shaped by adherence to advertising and consumer protection rules. Although Rolex is subject to consumer protection rules and ethical advertising practices, the company benefits from the strong legal framework in the UK that guarantees brand protection (Thomsen and Kavadis, 2022).</w:t>
      </w:r>
    </w:p>
    <w:p w14:paraId="286269E1" w14:textId="77777777" w:rsidR="00EC43DC" w:rsidRDefault="00B75005">
      <w:r>
        <w:t xml:space="preserve">In both the Indian and British markets, Rolex faces challenges shaped by the macroenvironmental factors known as PESTLE, which stand for political, economic, social, technological, environmental, and legal. Rolex faces a constantly changing regulatory landscape in India due to </w:t>
      </w:r>
      <w:r>
        <w:lastRenderedPageBreak/>
        <w:t>the country's diverse federal democratic structure, which impacts its economic strategies and policies for foreign investment. Even if the economy of the nation, middle class, and consumption are all on the upswing, Rolex would have to be careful with its currency risk management if the value of the Indian Rupee were to fluctuate and impact its import costs. Marketing strategies in India need to be sensitive to regional variations because of the country's diverse cultural landscape and the ways in which urb</w:t>
      </w:r>
      <w:r>
        <w:t xml:space="preserve">anization has altered customer preferences. </w:t>
      </w:r>
    </w:p>
    <w:p w14:paraId="6284AD82" w14:textId="77777777" w:rsidR="00EC43DC" w:rsidRDefault="00B75005">
      <w:r>
        <w:t>The nation's rapidly expanding IT sector and broad adoption of digital technologies provide Rolex with exciting chances to launch creative marketing campaigns and create a web presence. By engaging in eco-friendly projects, Rolex has an additional chance to enhance its brand image in India, where environmental challenges are becoming more widely recognized. But it also emphasizes how difficult it is to follow the nation's intricate legal system, especially when it comes to labor and intellectual property re</w:t>
      </w:r>
      <w:r>
        <w:t>gulations.</w:t>
      </w:r>
    </w:p>
    <w:p w14:paraId="17014D17" w14:textId="77777777" w:rsidR="00EC43DC" w:rsidRDefault="00B75005">
      <w:r>
        <w:t>While the political stability of the UK is excellent for business, Rolex nevertheless has to manage the risks posed by trade agreements and Brexit in order to ensure the smooth operation of its supply chain. Despite the fact that the country's robust economy and wealthy clients are beneficial for Rolex's operations, fluctuations in the value of the British Pound may have an impact on consumers' ability to purchase and consume luxury goods. As such, it is critical that the business continuously monitor forei</w:t>
      </w:r>
      <w:r>
        <w:t>gn exchange rates and adjust its pricing plan as necessary. Marketing strategies must be flexible enough to cater to a wide range of consumer categories, given the shifting demographics and preferences of the UK's customers. Due to the UK's broad adoption of modern technology, Rolex may be able to engage tech-savvy consumers by establishing a strong online presence and employing digital engagement techniques. Rolex benefits from its ability to undertake ecologically conscientious operations since the UK pla</w:t>
      </w:r>
      <w:r>
        <w:t xml:space="preserve">ces a high value on sustainability </w:t>
      </w:r>
      <w:r>
        <w:lastRenderedPageBreak/>
        <w:t>and environmental consciousness. Rolex must abide by consumer protection rules and ethical advertising practices even if the UK's robust legal system and intellectual property protection ensure the brand's integrity. The implementation of practical features such as market research, currency management, localization, and a robust online presence is expected to impact Rolex's success in both countries. Furthermore, legal considerations related to sustainability programs, int</w:t>
      </w:r>
      <w:r>
        <w:t>ellectual property protection, and compliance will be made.</w:t>
      </w:r>
    </w:p>
    <w:p w14:paraId="4E5283F5" w14:textId="59B855D9" w:rsidR="00EC43DC" w:rsidRDefault="00B75005">
      <w:r>
        <w:t>.</w:t>
      </w:r>
    </w:p>
    <w:p w14:paraId="4E9D1DE0" w14:textId="647BDB47" w:rsidR="00EC43DC" w:rsidRDefault="00B75005">
      <w:pPr>
        <w:keepNext/>
      </w:pPr>
      <w:r>
        <w:rPr>
          <w:noProof/>
          <w:lang w:val="en-US"/>
        </w:rPr>
        <w:t xml:space="preserve">                                                </w:t>
      </w:r>
    </w:p>
    <w:p w14:paraId="3D364A03" w14:textId="77777777" w:rsidR="00EC43DC" w:rsidRDefault="00EC43DC"/>
    <w:p w14:paraId="32A3E9D7" w14:textId="39991FAC" w:rsidR="00EC43DC" w:rsidRDefault="00EC43DC">
      <w:pPr>
        <w:keepNext/>
        <w:jc w:val="center"/>
      </w:pPr>
    </w:p>
    <w:p w14:paraId="2459F6D2" w14:textId="77777777" w:rsidR="00EC43DC" w:rsidRDefault="00B75005">
      <w:pPr>
        <w:jc w:val="center"/>
      </w:pPr>
      <w:r>
        <w:rPr>
          <w:lang w:val="en-US"/>
        </w:rPr>
        <w:t>‌</w:t>
      </w:r>
    </w:p>
    <w:p w14:paraId="2A5E9707" w14:textId="77777777" w:rsidR="00EC43DC" w:rsidRDefault="00B75005">
      <w:pPr>
        <w:pStyle w:val="Heading1"/>
      </w:pPr>
      <w:bookmarkStart w:id="13" w:name="_Toc153916137"/>
      <w:r>
        <w:t>Porter's Five Forces Model</w:t>
      </w:r>
      <w:bookmarkEnd w:id="13"/>
    </w:p>
    <w:p w14:paraId="09D4BEFD" w14:textId="77777777" w:rsidR="00EC43DC" w:rsidRDefault="00B75005">
      <w:pPr>
        <w:keepNext/>
      </w:pPr>
      <w:r>
        <w:t xml:space="preserve">                                                  </w:t>
      </w:r>
      <w:r>
        <w:rPr>
          <w:noProof/>
          <w:lang w:val="en-US"/>
        </w:rPr>
        <w:drawing>
          <wp:inline distT="0" distB="0" distL="0" distR="0" wp14:anchorId="4F90A3D1" wp14:editId="7AE96B4E">
            <wp:extent cx="2266950" cy="2112885"/>
            <wp:effectExtent l="0" t="0" r="0" b="0"/>
            <wp:docPr id="1029" name="Picture 5" descr="C:\Users\AA\Downloads\images (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12" cstate="print"/>
                    <a:srcRect/>
                    <a:stretch/>
                  </pic:blipFill>
                  <pic:spPr>
                    <a:xfrm>
                      <a:off x="0" y="0"/>
                      <a:ext cx="2266950" cy="2112885"/>
                    </a:xfrm>
                    <a:prstGeom prst="rect">
                      <a:avLst/>
                    </a:prstGeom>
                    <a:ln>
                      <a:noFill/>
                    </a:ln>
                  </pic:spPr>
                </pic:pic>
              </a:graphicData>
            </a:graphic>
          </wp:inline>
        </w:drawing>
      </w:r>
    </w:p>
    <w:p w14:paraId="41AFA269" w14:textId="77777777" w:rsidR="00EC43DC" w:rsidRDefault="00B75005">
      <w:pPr>
        <w:pStyle w:val="Caption"/>
        <w:jc w:val="center"/>
        <w:rPr>
          <w:lang w:val="en-US"/>
        </w:rPr>
      </w:pPr>
      <w:bookmarkStart w:id="14" w:name="_Toc153531132"/>
      <w:r>
        <w:t xml:space="preserve">Figure </w:t>
      </w:r>
      <w:r>
        <w:fldChar w:fldCharType="begin"/>
      </w:r>
      <w:r>
        <w:instrText xml:space="preserve"> SEQ Figure \* ARABIC </w:instrText>
      </w:r>
      <w:r>
        <w:fldChar w:fldCharType="separate"/>
      </w:r>
      <w:r>
        <w:rPr>
          <w:noProof/>
        </w:rPr>
        <w:t>3</w:t>
      </w:r>
      <w:r>
        <w:fldChar w:fldCharType="end"/>
      </w:r>
      <w:r>
        <w:t>Porter's Five Forces Model(Source:Wondershare, 2023)</w:t>
      </w:r>
      <w:bookmarkEnd w:id="14"/>
      <w:r>
        <w:br/>
      </w:r>
      <w:r>
        <w:br/>
      </w:r>
      <w:r>
        <w:br/>
      </w:r>
      <w:r>
        <w:br/>
      </w:r>
      <w:r>
        <w:br/>
      </w:r>
      <w:r>
        <w:lastRenderedPageBreak/>
        <w:br/>
      </w:r>
      <w:r>
        <w:br/>
      </w:r>
      <w:r>
        <w:br/>
      </w:r>
      <w:r>
        <w:br/>
      </w:r>
      <w:r>
        <w:br/>
      </w:r>
      <w:r>
        <w:br/>
      </w:r>
      <w:r>
        <w:br/>
      </w:r>
      <w:r>
        <w:br/>
      </w:r>
      <w:r>
        <w:br/>
      </w:r>
    </w:p>
    <w:p w14:paraId="09F68052" w14:textId="77777777" w:rsidR="00EC43DC" w:rsidRDefault="00EC43DC">
      <w:pPr>
        <w:rPr>
          <w:lang w:val="en-US"/>
        </w:rPr>
      </w:pPr>
    </w:p>
    <w:p w14:paraId="50A58C06" w14:textId="77777777" w:rsidR="00EC43DC" w:rsidRDefault="00B75005">
      <w:pPr>
        <w:pStyle w:val="Heading2"/>
      </w:pPr>
      <w:bookmarkStart w:id="15" w:name="_Toc153916138"/>
      <w:r>
        <w:t>Targeting and Positioning Segmentation</w:t>
      </w:r>
      <w:bookmarkEnd w:id="15"/>
    </w:p>
    <w:p w14:paraId="79F9B1E5" w14:textId="77777777" w:rsidR="00EC43DC" w:rsidRDefault="00B75005">
      <w:r>
        <w:t>The expanding middle class is made up of several different groups, including aspirational purchasers and those with increasing disposable incomes. Berndt, Fantapié Altobelli, and Sander (2023) claim that Rolex provides a range of high-end watch models to cater to different market segments, including those who value understated or sophisticated styles. The cornerstones of Rolex's UK segmentation strategy are lifestyle and taste. The brand appeals to both younger consumers who are full of ideas and elderly lu</w:t>
      </w:r>
      <w:r>
        <w:t>xury buyers who are respectful of tradition and distinction. Despite this division, Rolex is still able to offer a broad array of services that draw in a sizable customer base.</w:t>
      </w:r>
    </w:p>
    <w:p w14:paraId="7B2A97B9" w14:textId="77777777" w:rsidR="00EC43DC" w:rsidRDefault="00B75005">
      <w:pPr>
        <w:pStyle w:val="Heading2"/>
      </w:pPr>
      <w:bookmarkStart w:id="16" w:name="_Toc142438356"/>
      <w:bookmarkStart w:id="17" w:name="_Toc153916139"/>
      <w:r>
        <w:lastRenderedPageBreak/>
        <w:t>Segmentation</w:t>
      </w:r>
      <w:bookmarkEnd w:id="16"/>
      <w:bookmarkEnd w:id="17"/>
    </w:p>
    <w:p w14:paraId="2C0B8606" w14:textId="77777777" w:rsidR="00EC43DC" w:rsidRDefault="00B75005">
      <w:pPr>
        <w:jc w:val="center"/>
      </w:pPr>
      <w:r>
        <w:rPr>
          <w:noProof/>
          <w:lang w:val="en-US"/>
        </w:rPr>
        <w:drawing>
          <wp:inline distT="0" distB="0" distL="0" distR="0" wp14:anchorId="67C67C21" wp14:editId="4494F44D">
            <wp:extent cx="5150780" cy="2695575"/>
            <wp:effectExtent l="0" t="0" r="0" b="0"/>
            <wp:docPr id="1030" name="Picture 8" descr="Psychographic Segmentation Definition, Variables And Examp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8"/>
                    <pic:cNvPicPr/>
                  </pic:nvPicPr>
                  <pic:blipFill>
                    <a:blip r:embed="rId13" cstate="print"/>
                    <a:srcRect/>
                    <a:stretch/>
                  </pic:blipFill>
                  <pic:spPr>
                    <a:xfrm>
                      <a:off x="0" y="0"/>
                      <a:ext cx="5150780" cy="2695575"/>
                    </a:xfrm>
                    <a:prstGeom prst="rect">
                      <a:avLst/>
                    </a:prstGeom>
                    <a:ln>
                      <a:noFill/>
                    </a:ln>
                  </pic:spPr>
                </pic:pic>
              </a:graphicData>
            </a:graphic>
          </wp:inline>
        </w:drawing>
      </w:r>
    </w:p>
    <w:p w14:paraId="51216AB9" w14:textId="77777777" w:rsidR="00EC43DC" w:rsidRDefault="00B75005">
      <w:pPr>
        <w:ind w:firstLine="720"/>
        <w:jc w:val="center"/>
        <w:rPr>
          <w:i/>
          <w:szCs w:val="24"/>
        </w:rPr>
      </w:pPr>
      <w:r>
        <w:rPr>
          <w:i/>
          <w:szCs w:val="24"/>
        </w:rPr>
        <w:t xml:space="preserve">Figure: Segmentation (Source: </w:t>
      </w:r>
      <w:hyperlink r:id="rId14" w:history="1">
        <w:r>
          <w:rPr>
            <w:rStyle w:val="Hyperlink"/>
            <w:i/>
            <w:szCs w:val="24"/>
          </w:rPr>
          <w:t>https://www.garyfox.co/psychographic-segmentation/</w:t>
        </w:r>
      </w:hyperlink>
      <w:r>
        <w:rPr>
          <w:i/>
          <w:szCs w:val="24"/>
        </w:rPr>
        <w:t xml:space="preserve"> )</w:t>
      </w:r>
    </w:p>
    <w:p w14:paraId="0A080D2F" w14:textId="77777777" w:rsidR="00EC43DC" w:rsidRDefault="00B75005">
      <w:pPr>
        <w:pStyle w:val="Heading2"/>
      </w:pPr>
      <w:bookmarkStart w:id="18" w:name="_Toc142438357"/>
      <w:bookmarkStart w:id="19" w:name="_Toc153916140"/>
      <w:r>
        <w:t>Targeting</w:t>
      </w:r>
      <w:bookmarkEnd w:id="18"/>
      <w:bookmarkEnd w:id="19"/>
    </w:p>
    <w:p w14:paraId="71EE6C9C" w14:textId="77777777" w:rsidR="00EC43DC" w:rsidRDefault="00B75005">
      <w:pPr>
        <w:ind w:firstLine="720"/>
        <w:rPr>
          <w:szCs w:val="24"/>
        </w:rPr>
      </w:pPr>
      <w:r>
        <w:rPr>
          <w:szCs w:val="24"/>
        </w:rPr>
        <w:t>Targeting particular customer groups in both areas is at the heart of Rolex's targeting techniques. In India, Rolex deliberately directs its marketing efforts at the growing middle class and upwardly mobile citizens. Rolex offers a variety of models at different price points to cater to a wide range of budgets. The brand aims to establish itself as a symbol of achievement and prestige in order to attract the growing number of luxury fans in India. In the UK, Rolex appeals to both conventional luxury connois</w:t>
      </w:r>
      <w:r>
        <w:rPr>
          <w:szCs w:val="24"/>
        </w:rPr>
        <w:t>seurs and modern luxury seekers (Khan and Fazili, 2019). While the brand's dedication to innovation draws in younger generations, its historical pedigree appeals to well-established customers looking for timeless elegance. Rolex's targeting approach is to maintain its iconic reputation while taking into account the evolving interests of its customers.</w:t>
      </w:r>
    </w:p>
    <w:p w14:paraId="62C980C6" w14:textId="77777777" w:rsidR="00EC43DC" w:rsidRDefault="00B75005">
      <w:pPr>
        <w:ind w:firstLine="720"/>
        <w:jc w:val="center"/>
        <w:rPr>
          <w:szCs w:val="24"/>
        </w:rPr>
      </w:pPr>
      <w:r>
        <w:rPr>
          <w:noProof/>
          <w:lang w:val="en-US"/>
        </w:rPr>
        <w:lastRenderedPageBreak/>
        <w:drawing>
          <wp:inline distT="0" distB="0" distL="0" distR="0" wp14:anchorId="216D008C" wp14:editId="6DBAB4C7">
            <wp:extent cx="4514850" cy="3800598"/>
            <wp:effectExtent l="0" t="0" r="0" b="9525"/>
            <wp:docPr id="1031" name="Picture 9" descr="Nation of Rolex watch owners - Homeprot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9"/>
                    <pic:cNvPicPr/>
                  </pic:nvPicPr>
                  <pic:blipFill>
                    <a:blip r:embed="rId15" cstate="print"/>
                    <a:srcRect/>
                    <a:stretch/>
                  </pic:blipFill>
                  <pic:spPr>
                    <a:xfrm>
                      <a:off x="0" y="0"/>
                      <a:ext cx="4514850" cy="3800598"/>
                    </a:xfrm>
                    <a:prstGeom prst="rect">
                      <a:avLst/>
                    </a:prstGeom>
                    <a:ln>
                      <a:noFill/>
                    </a:ln>
                  </pic:spPr>
                </pic:pic>
              </a:graphicData>
            </a:graphic>
          </wp:inline>
        </w:drawing>
      </w:r>
    </w:p>
    <w:p w14:paraId="675E1F8B" w14:textId="77777777" w:rsidR="00EC43DC" w:rsidRDefault="00B75005">
      <w:pPr>
        <w:ind w:firstLine="720"/>
        <w:jc w:val="center"/>
        <w:rPr>
          <w:i/>
          <w:szCs w:val="24"/>
        </w:rPr>
      </w:pPr>
      <w:r>
        <w:rPr>
          <w:i/>
          <w:szCs w:val="24"/>
        </w:rPr>
        <w:t>Figure: Target Market (Source:</w:t>
      </w:r>
      <w:r>
        <w:rPr>
          <w:i/>
        </w:rPr>
        <w:t xml:space="preserve"> </w:t>
      </w:r>
      <w:hyperlink r:id="rId16" w:history="1">
        <w:r>
          <w:rPr>
            <w:rStyle w:val="Hyperlink"/>
            <w:i/>
            <w:szCs w:val="24"/>
          </w:rPr>
          <w:t>https://www.homeprotect.co.uk/blog/nation-of-rolex-watch-owners</w:t>
        </w:r>
      </w:hyperlink>
      <w:r>
        <w:rPr>
          <w:i/>
          <w:szCs w:val="24"/>
        </w:rPr>
        <w:t>)</w:t>
      </w:r>
    </w:p>
    <w:p w14:paraId="20ECFBC1" w14:textId="77777777" w:rsidR="00EC43DC" w:rsidRDefault="00B75005">
      <w:pPr>
        <w:pStyle w:val="Heading2"/>
      </w:pPr>
      <w:bookmarkStart w:id="20" w:name="_Toc142438358"/>
      <w:bookmarkStart w:id="21" w:name="_Toc153916141"/>
      <w:r>
        <w:t>Positioning</w:t>
      </w:r>
      <w:bookmarkEnd w:id="20"/>
      <w:bookmarkEnd w:id="21"/>
    </w:p>
    <w:p w14:paraId="3E82CFF0" w14:textId="77777777" w:rsidR="00EC43DC" w:rsidRDefault="00B75005">
      <w:pPr>
        <w:ind w:firstLine="720"/>
        <w:rPr>
          <w:szCs w:val="24"/>
        </w:rPr>
      </w:pPr>
      <w:r>
        <w:rPr>
          <w:szCs w:val="24"/>
        </w:rPr>
        <w:t>In India and the UK, Rolex represents the pinnacle of elegance, precision, and craftsmanship. In India, Rolex presents itself as a sign of achievement and status. Through its widespread recognition, the brand aims to become a byword for prestige and success. With its timepieces symbolizing social standing and accomplishment, Rolex appeals to India's aspirational mindset. With a long history, Rolex is a renowned luxury brand in the UK (Navarro and Jones, 2021). Given its reputation for quality and craftsmans</w:t>
      </w:r>
      <w:r>
        <w:rPr>
          <w:szCs w:val="24"/>
        </w:rPr>
        <w:t>hip, the brand is a clear choice for anyone who values tradition and superior craftsmanship. Rolex's positioning takes advantage of the UK's penchant for luxury and history.</w:t>
      </w:r>
    </w:p>
    <w:p w14:paraId="3B700633" w14:textId="77777777" w:rsidR="00EC43DC" w:rsidRDefault="00EC43DC">
      <w:pPr>
        <w:rPr>
          <w:noProof/>
          <w:szCs w:val="24"/>
          <w:lang w:eastAsia="en-GB"/>
        </w:rPr>
      </w:pPr>
    </w:p>
    <w:p w14:paraId="53AAAE77" w14:textId="77777777" w:rsidR="00EC43DC" w:rsidRDefault="00B75005">
      <w:pPr>
        <w:jc w:val="center"/>
        <w:rPr>
          <w:szCs w:val="24"/>
        </w:rPr>
      </w:pPr>
      <w:r>
        <w:rPr>
          <w:noProof/>
          <w:szCs w:val="24"/>
          <w:lang w:val="en-US"/>
        </w:rPr>
        <w:drawing>
          <wp:inline distT="0" distB="0" distL="0" distR="0" wp14:anchorId="2EB61FCB" wp14:editId="1BEE7EFF">
            <wp:extent cx="4253023" cy="3434079"/>
            <wp:effectExtent l="0" t="0" r="0" b="0"/>
            <wp:docPr id="103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7" cstate="print"/>
                    <a:srcRect l="522" t="-1238" r="29925" b="1238"/>
                    <a:stretch/>
                  </pic:blipFill>
                  <pic:spPr>
                    <a:xfrm>
                      <a:off x="0" y="0"/>
                      <a:ext cx="4253023" cy="3434079"/>
                    </a:xfrm>
                    <a:prstGeom prst="rect">
                      <a:avLst/>
                    </a:prstGeom>
                    <a:ln>
                      <a:noFill/>
                    </a:ln>
                  </pic:spPr>
                </pic:pic>
              </a:graphicData>
            </a:graphic>
          </wp:inline>
        </w:drawing>
      </w:r>
    </w:p>
    <w:p w14:paraId="55F3E033" w14:textId="77777777" w:rsidR="00EC43DC" w:rsidRDefault="00B75005">
      <w:pPr>
        <w:jc w:val="center"/>
        <w:rPr>
          <w:i/>
          <w:szCs w:val="24"/>
        </w:rPr>
      </w:pPr>
      <w:r>
        <w:rPr>
          <w:i/>
          <w:szCs w:val="24"/>
        </w:rPr>
        <w:t>Figure: Perceptual Map (Source: Author)</w:t>
      </w:r>
    </w:p>
    <w:p w14:paraId="07ECDD9F" w14:textId="77777777" w:rsidR="00EC43DC" w:rsidRDefault="00B75005">
      <w:pPr>
        <w:pStyle w:val="Heading1"/>
      </w:pPr>
      <w:bookmarkStart w:id="22" w:name="_Toc153916142"/>
      <w:r>
        <w:t>Marketing Mix Elements</w:t>
      </w:r>
      <w:bookmarkEnd w:id="22"/>
    </w:p>
    <w:p w14:paraId="24FECF1E" w14:textId="77777777" w:rsidR="00EC43DC" w:rsidRDefault="00B75005">
      <w:pPr>
        <w:pStyle w:val="Heading2"/>
        <w:ind w:firstLine="720"/>
      </w:pPr>
      <w:bookmarkStart w:id="23" w:name="_Toc153916143"/>
      <w:r>
        <w:t>Pricing Decision</w:t>
      </w:r>
      <w:bookmarkEnd w:id="23"/>
    </w:p>
    <w:p w14:paraId="5E5C67C5" w14:textId="77777777" w:rsidR="00EC43DC" w:rsidRDefault="00B75005">
      <w:pPr>
        <w:ind w:firstLine="720"/>
        <w:rPr>
          <w:szCs w:val="24"/>
        </w:rPr>
      </w:pPr>
      <w:r>
        <w:rPr>
          <w:szCs w:val="24"/>
        </w:rPr>
        <w:t>A key component of Rolex's global marketing strategy is its price strategy. In order to successfully penetrate the unique markets of India and the UK, the company has to decide whether to standardize, modify, or hybridize its approach to selling its high-end watches.</w:t>
      </w:r>
    </w:p>
    <w:p w14:paraId="1A05E169" w14:textId="77777777" w:rsidR="00EC43DC" w:rsidRDefault="00B75005">
      <w:pPr>
        <w:ind w:firstLine="720"/>
        <w:rPr>
          <w:szCs w:val="24"/>
        </w:rPr>
      </w:pPr>
      <w:r>
        <w:rPr>
          <w:szCs w:val="24"/>
        </w:rPr>
        <w:t xml:space="preserve">In India, Rolex employs a customized pricing approach that is value-driven and tailored to the unique economic conditions of the country. The approach considers the aspirational middle-class demographic with increasing disposable income (Singh, Shukla, and Schlegelmilch, 2022). Rolex presents its watches as approachable, luxurious objects and offers a wide range of models </w:t>
      </w:r>
      <w:r>
        <w:rPr>
          <w:szCs w:val="24"/>
        </w:rPr>
        <w:lastRenderedPageBreak/>
        <w:t>at different price points. According to Rossendo-Rios and Shukla (2023), this tactic maintains Rolex's appeal as a luxury brand while serving customers from a range of socioeconomic backgrounds. Value-oriented pricing successfully caters to the growing middle-class consumer base in India. In order to facilitate accessibility without sacrificing the premium experience, Rolex provides a range of models. This pricing strategy aligns with consumers' goals for elegant yet reasonably-priced luxury and is consiste</w:t>
      </w:r>
      <w:r>
        <w:rPr>
          <w:szCs w:val="24"/>
        </w:rPr>
        <w:t>nt with Rolex's segmentation, targeting, and positioning.</w:t>
      </w:r>
    </w:p>
    <w:p w14:paraId="6EA541BF" w14:textId="77777777" w:rsidR="00EC43DC" w:rsidRDefault="00B75005">
      <w:pPr>
        <w:ind w:firstLine="720"/>
        <w:rPr>
          <w:szCs w:val="24"/>
        </w:rPr>
      </w:pPr>
      <w:r>
        <w:rPr>
          <w:szCs w:val="24"/>
        </w:rPr>
        <w:t>Rolex's prestige-driven pricing strategy in the UK fits in well with the country's well-established luxury market and well-to-do clientele. To attract customers that appreciate authenticity and distinction, the brand markets its legacy, craftsmanship, and exclusivity in its pricing. This strategy is reinforced by Rolex's positioning as an enduring luxury brand. In line with the country's admiration of upscale living and Rolex's standing as an iconic brand, the UK has a prestige-focused pricing strategy (Kim</w:t>
      </w:r>
      <w:r>
        <w:rPr>
          <w:szCs w:val="24"/>
        </w:rPr>
        <w:t>, Moon, and Iacobucci, 2019). Rich consumers who want to invest in luxury and a watch will find that the brand's price points fit their tastes while also reflecting their dedication to outstanding quality and exclusivity.</w:t>
      </w:r>
    </w:p>
    <w:p w14:paraId="54D83CF6" w14:textId="77777777" w:rsidR="00EC43DC" w:rsidRDefault="00B75005">
      <w:pPr>
        <w:ind w:firstLine="720"/>
        <w:rPr>
          <w:szCs w:val="24"/>
        </w:rPr>
      </w:pPr>
      <w:r>
        <w:rPr>
          <w:szCs w:val="24"/>
        </w:rPr>
        <w:t>Value-oriented pricing is consistent with segmentation, targeting, and positioning strategies in India. According to Singh, Shukla, and Schlegelmilch (2022), Rolex increases market coverage and customer loyalty by making sure its pricing is appealing to different consumer groups and understanding socioeconomic differences. Rolex's prestige-oriented pricing approach appeals to a wide range of customers in the UK, from young adults looking for a status symbol to retirees who have always loved luxury goods. In</w:t>
      </w:r>
      <w:r>
        <w:rPr>
          <w:szCs w:val="24"/>
        </w:rPr>
        <w:t xml:space="preserve"> line with the strategy of the luxury brand and appealing to UK consumers' awareness of history and exclusivity, the price is set (Crespo, Crespo, and Curado, 2022). Macroeconomic variables, such as GDP annual and market maturity, are </w:t>
      </w:r>
      <w:r>
        <w:rPr>
          <w:szCs w:val="24"/>
        </w:rPr>
        <w:lastRenderedPageBreak/>
        <w:t>considered by Rolex when setting prices. The microeconomics variables, such as customer tastes and buying power, are crucial for market-specific pricing.</w:t>
      </w:r>
    </w:p>
    <w:p w14:paraId="06A79DE2" w14:textId="77777777" w:rsidR="00EC43DC" w:rsidRDefault="00B75005">
      <w:pPr>
        <w:ind w:firstLine="720"/>
        <w:rPr>
          <w:szCs w:val="24"/>
        </w:rPr>
      </w:pPr>
      <w:r>
        <w:rPr>
          <w:szCs w:val="24"/>
        </w:rPr>
        <w:t>Rolex successfully responds to the different economic conditions, customer tastes, and market dynamics in the UK and India by using different price strategies in each country. In line with Rolex's segmentation, targeting, and positioning goals, these pricing selections enhance the total effectiveness of the company's marketing efforts (Qureshi and Mehraj, 2022). Rolex's strategic approach to serving a range of premium markets while retaining its image as a leading worldwide brand is demonstrated by its abil</w:t>
      </w:r>
      <w:r>
        <w:rPr>
          <w:szCs w:val="24"/>
        </w:rPr>
        <w:t>ity to find a balance between prestige and value pricing.</w:t>
      </w:r>
    </w:p>
    <w:p w14:paraId="6760ABE2" w14:textId="77777777" w:rsidR="00EC43DC" w:rsidRDefault="00B75005">
      <w:pPr>
        <w:pStyle w:val="Heading2"/>
        <w:ind w:firstLine="720"/>
      </w:pPr>
      <w:bookmarkStart w:id="24" w:name="_Toc142438363"/>
      <w:bookmarkStart w:id="25" w:name="_Toc153916144"/>
      <w:r>
        <w:t>Promotion Decision</w:t>
      </w:r>
      <w:bookmarkEnd w:id="24"/>
      <w:bookmarkEnd w:id="25"/>
    </w:p>
    <w:p w14:paraId="02AEF391" w14:textId="77777777" w:rsidR="00EC43DC" w:rsidRDefault="00B75005">
      <w:pPr>
        <w:ind w:firstLine="720"/>
      </w:pPr>
      <w:r>
        <w:t>As Rolex expands into new markets like the UK and India, it will require a solid advertising strategy to solidify its position in the minds of consumers there. The corporation must decide whether to employ a hybrid strategy that combines elements of both traditional and digital advertising across all of these markets or to standardize its approach.</w:t>
      </w:r>
    </w:p>
    <w:p w14:paraId="0CC2BBD3" w14:textId="77777777" w:rsidR="00EC43DC" w:rsidRDefault="00B75005">
      <w:pPr>
        <w:ind w:firstLine="720"/>
      </w:pPr>
      <w:r>
        <w:t>Rolex uses a combination of nostalgia and modernity in its ads targeting the Indian market. Since Indian customers are so driven and the nation has such a rich historical history, Rolex ads frequently feature traditional watches alongside Indian ideals and aspirations (Singh, Shukla, and Schlegelmilch, 2022). The message is all about reaching your goals and being a valued member of a global society. Rolex uses a mix of history and ambition in its ads to reach Indian consumers. According to Kim, Moon, and Ia</w:t>
      </w:r>
      <w:r>
        <w:t>cobucci (2019), Rolex strengthens its customer connection by incorporating components that reflect regional customs and traditions. This strategy enhances brand relevance and fosters emotional affinity since it is in line with the company's strategies for segmentation, targeting, and positioning.</w:t>
      </w:r>
    </w:p>
    <w:p w14:paraId="25AC3F56" w14:textId="77777777" w:rsidR="00EC43DC" w:rsidRDefault="00B75005">
      <w:pPr>
        <w:ind w:firstLine="720"/>
      </w:pPr>
      <w:r>
        <w:lastRenderedPageBreak/>
        <w:t>The marketing effort in the UK highlights the uniqueness and illustrious history of Rolex. The commercials frequently showcase the illustrious history, superb workmanship, and classic beauty of the brand. With a touch of subtle sophistication, the messaging captures the essence of modern and classic preferences in luxury, appealing to the UK's appreciation of such things. According to Nagy, Bennett, and Graham (2020), the exclusivity-driven advertising approach and the storied history of Rolex are well-suit</w:t>
      </w:r>
      <w:r>
        <w:t>ed to the refined tastes of British consumers. The commercials showcase the brand's extensive heritage and commitment to excellence, reinforcing its image as a well-known and timeless luxury. In the UK market, Rolex targets a number of consumer segments, which is enhanced by the advertising approach.</w:t>
      </w:r>
    </w:p>
    <w:p w14:paraId="5C067AC2" w14:textId="77777777" w:rsidR="00EC43DC" w:rsidRDefault="00B75005">
      <w:pPr>
        <w:ind w:firstLine="720"/>
      </w:pPr>
      <w:r>
        <w:t>The tactics of segmentation, targeting, and positioning are in line with the combination of tradition and desire in Indian advertising. The commercial targets customers who like to celebrate and symbolize their achievements with one of Rolex's fine timepieces. Advertising that emphasizes exclusivity and legacy appeals to both classic luxury enthusiasts and modern luxury searchers in the UK (Crespo, Crespo, and Curado, 2022). The advertising highlights Rolex's status as a legendary brand that stands the test</w:t>
      </w:r>
      <w:r>
        <w:t xml:space="preserve"> of time.</w:t>
      </w:r>
    </w:p>
    <w:p w14:paraId="7FA03BBA" w14:textId="77777777" w:rsidR="00EC43DC" w:rsidRDefault="00B75005">
      <w:pPr>
        <w:pStyle w:val="Heading1"/>
      </w:pPr>
      <w:bookmarkStart w:id="26" w:name="_Toc153916145"/>
      <w:r>
        <w:t>Comparison and Explanation of the Market Entry Method (Place)</w:t>
      </w:r>
      <w:bookmarkEnd w:id="26"/>
    </w:p>
    <w:p w14:paraId="41204F99" w14:textId="77777777" w:rsidR="00EC43DC" w:rsidRDefault="00B75005">
      <w:pPr>
        <w:ind w:firstLine="720"/>
        <w:rPr>
          <w:szCs w:val="24"/>
        </w:rPr>
      </w:pPr>
      <w:r>
        <w:rPr>
          <w:szCs w:val="24"/>
        </w:rPr>
        <w:t>The market characteristics and competitive dynamics of India and the UK are the basis for the parallels and variations between Rolex's entry strategy.</w:t>
      </w:r>
    </w:p>
    <w:p w14:paraId="0F9A7255" w14:textId="77777777" w:rsidR="00EC43DC" w:rsidRDefault="00B75005">
      <w:pPr>
        <w:pStyle w:val="ListParagraph"/>
        <w:numPr>
          <w:ilvl w:val="0"/>
          <w:numId w:val="4"/>
        </w:numPr>
        <w:rPr>
          <w:rFonts w:cs="Times New Roman"/>
          <w:b/>
          <w:i/>
          <w:szCs w:val="24"/>
        </w:rPr>
      </w:pPr>
      <w:r>
        <w:rPr>
          <w:rFonts w:cs="Times New Roman"/>
          <w:b/>
          <w:i/>
          <w:szCs w:val="24"/>
        </w:rPr>
        <w:t>India: Direct Exporting and Licensing</w:t>
      </w:r>
    </w:p>
    <w:p w14:paraId="3320E0E0" w14:textId="77777777" w:rsidR="00EC43DC" w:rsidRDefault="00B75005">
      <w:pPr>
        <w:ind w:firstLine="360"/>
        <w:rPr>
          <w:szCs w:val="24"/>
        </w:rPr>
      </w:pPr>
      <w:r>
        <w:rPr>
          <w:szCs w:val="24"/>
        </w:rPr>
        <w:t xml:space="preserve">The two components of Rolex's carefully considered entry plan into India are licensing and direct exporting. India's middle class is predicted to increase to 475 million people by 2030, contributing to the country's expanding demand for luxury goods (Schultz and Seele, 2022). In </w:t>
      </w:r>
      <w:r>
        <w:rPr>
          <w:szCs w:val="24"/>
        </w:rPr>
        <w:lastRenderedPageBreak/>
        <w:t>2020, the average GDP per capita increased to $2,104, indicating a rise in purchasing power. It is also expected that India's urban population will grow significantly, creating opportunities for the luxury sector.</w:t>
      </w:r>
    </w:p>
    <w:p w14:paraId="0F5FBB7B" w14:textId="77777777" w:rsidR="00EC43DC" w:rsidRDefault="00B75005">
      <w:pPr>
        <w:ind w:firstLine="360"/>
        <w:jc w:val="center"/>
        <w:rPr>
          <w:szCs w:val="24"/>
        </w:rPr>
      </w:pPr>
      <w:r>
        <w:rPr>
          <w:noProof/>
          <w:lang w:val="en-US"/>
        </w:rPr>
        <w:drawing>
          <wp:inline distT="0" distB="0" distL="0" distR="0" wp14:anchorId="278AC4B8" wp14:editId="11A996A5">
            <wp:extent cx="5731510" cy="3517265"/>
            <wp:effectExtent l="0" t="0" r="2540" b="6985"/>
            <wp:docPr id="1033"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6"/>
                    <pic:cNvPicPr/>
                  </pic:nvPicPr>
                  <pic:blipFill>
                    <a:blip r:embed="rId18" cstate="print"/>
                    <a:srcRect/>
                    <a:stretch/>
                  </pic:blipFill>
                  <pic:spPr>
                    <a:xfrm>
                      <a:off x="0" y="0"/>
                      <a:ext cx="5731510" cy="3517265"/>
                    </a:xfrm>
                    <a:prstGeom prst="rect">
                      <a:avLst/>
                    </a:prstGeom>
                  </pic:spPr>
                </pic:pic>
              </a:graphicData>
            </a:graphic>
          </wp:inline>
        </w:drawing>
      </w:r>
    </w:p>
    <w:p w14:paraId="66A829CF" w14:textId="77777777" w:rsidR="00EC43DC" w:rsidRDefault="00B75005">
      <w:pPr>
        <w:ind w:firstLine="360"/>
        <w:jc w:val="center"/>
        <w:rPr>
          <w:szCs w:val="24"/>
        </w:rPr>
      </w:pPr>
      <w:r>
        <w:rPr>
          <w:szCs w:val="24"/>
        </w:rPr>
        <w:t>Figure: India watches export and Import</w:t>
      </w:r>
    </w:p>
    <w:p w14:paraId="5C58D904" w14:textId="77777777" w:rsidR="00EC43DC" w:rsidRDefault="00B75005">
      <w:pPr>
        <w:ind w:firstLine="360"/>
        <w:jc w:val="center"/>
        <w:rPr>
          <w:szCs w:val="24"/>
        </w:rPr>
      </w:pPr>
      <w:r>
        <w:rPr>
          <w:szCs w:val="24"/>
        </w:rPr>
        <w:t xml:space="preserve">Source: </w:t>
      </w:r>
      <w:hyperlink r:id="rId19" w:history="1">
        <w:r>
          <w:rPr>
            <w:rStyle w:val="Hyperlink"/>
            <w:szCs w:val="24"/>
          </w:rPr>
          <w:t>https://www.statista.com/statistics/663109/export-and-import-value-of-watch-industry-india/</w:t>
        </w:r>
      </w:hyperlink>
      <w:r>
        <w:rPr>
          <w:szCs w:val="24"/>
        </w:rPr>
        <w:t xml:space="preserve"> </w:t>
      </w:r>
    </w:p>
    <w:p w14:paraId="578A6118" w14:textId="77777777" w:rsidR="00EC43DC" w:rsidRDefault="00B75005">
      <w:pPr>
        <w:ind w:firstLine="360"/>
        <w:rPr>
          <w:szCs w:val="24"/>
        </w:rPr>
      </w:pPr>
      <w:r>
        <w:rPr>
          <w:szCs w:val="24"/>
        </w:rPr>
        <w:t>Rolex can employ its resources to have a direct presence in India because of direct exporting. Furthermore, the licensing approach allows the brand to gain from the connections and knowledge of local partners (Navarro and Jones, 2021). Forming partnerships facilitates the process of navigating India's intricate commercial landscape and subtle cultural milieu. The licensing approach benefits from the dynamic and linked Indian market.</w:t>
      </w:r>
    </w:p>
    <w:p w14:paraId="72BBAC1C" w14:textId="77777777" w:rsidR="00EC43DC" w:rsidRDefault="00B75005">
      <w:pPr>
        <w:pStyle w:val="ListParagraph"/>
        <w:numPr>
          <w:ilvl w:val="0"/>
          <w:numId w:val="4"/>
        </w:numPr>
        <w:rPr>
          <w:rFonts w:cs="Times New Roman"/>
          <w:b/>
          <w:i/>
          <w:szCs w:val="24"/>
        </w:rPr>
      </w:pPr>
      <w:r>
        <w:rPr>
          <w:rFonts w:cs="Times New Roman"/>
          <w:b/>
          <w:i/>
          <w:szCs w:val="24"/>
        </w:rPr>
        <w:lastRenderedPageBreak/>
        <w:t>UK: Direct Exporting and Partnership</w:t>
      </w:r>
    </w:p>
    <w:p w14:paraId="24C69892" w14:textId="77777777" w:rsidR="00EC43DC" w:rsidRDefault="00B75005">
      <w:pPr>
        <w:ind w:firstLine="720"/>
        <w:rPr>
          <w:szCs w:val="24"/>
        </w:rPr>
      </w:pPr>
      <w:r>
        <w:rPr>
          <w:szCs w:val="24"/>
        </w:rPr>
        <w:t>The two main pillars of Rolex's entry strategy into the UK are direct exporting and forming partnerships with local dealers. With a mature luxury market and 14% of households classified as wealthy, the UK presents a solid base for luxury companies. The UK's predicted $42,651 GDP per capita (2020; Sharma, Pradhan, and Srivastava, 2021)) demonstrates its considerable purchasing power. The country's population is aging, yet the demand for luxury items among younger consumers is growing.</w:t>
      </w:r>
    </w:p>
    <w:p w14:paraId="71D7F02E" w14:textId="77777777" w:rsidR="00EC43DC" w:rsidRDefault="00B75005">
      <w:pPr>
        <w:ind w:firstLine="720"/>
        <w:rPr>
          <w:szCs w:val="24"/>
        </w:rPr>
      </w:pPr>
      <w:r>
        <w:rPr>
          <w:szCs w:val="24"/>
        </w:rPr>
        <w:t>Rolex leverages its resources and reputation to enter the UK market through direct exporting. Collaborations with local retailers enhance distribution networks and ensure consumer accessibility across the country. (Iqani, 2023) As of 2020, the UK's luxury goods sector was valued at $51 billion, suggesting significant market potential.</w:t>
      </w:r>
    </w:p>
    <w:p w14:paraId="0425F812" w14:textId="77777777" w:rsidR="00EC43DC" w:rsidRDefault="00B75005">
      <w:pPr>
        <w:jc w:val="center"/>
        <w:rPr>
          <w:szCs w:val="24"/>
        </w:rPr>
      </w:pPr>
      <w:r>
        <w:rPr>
          <w:noProof/>
          <w:lang w:val="en-US"/>
        </w:rPr>
        <w:drawing>
          <wp:inline distT="0" distB="0" distL="0" distR="0" wp14:anchorId="3204FC94" wp14:editId="045A7BEE">
            <wp:extent cx="4622800" cy="2194560"/>
            <wp:effectExtent l="0" t="0" r="0" b="0"/>
            <wp:docPr id="1034" name="Picture 7" descr="Luxury Resale Market Size, Share, Trends, Opportunities And Foreca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20" cstate="print"/>
                    <a:srcRect/>
                    <a:stretch/>
                  </pic:blipFill>
                  <pic:spPr>
                    <a:xfrm>
                      <a:off x="0" y="0"/>
                      <a:ext cx="4622800" cy="2194560"/>
                    </a:xfrm>
                    <a:prstGeom prst="rect">
                      <a:avLst/>
                    </a:prstGeom>
                    <a:ln>
                      <a:noFill/>
                    </a:ln>
                  </pic:spPr>
                </pic:pic>
              </a:graphicData>
            </a:graphic>
          </wp:inline>
        </w:drawing>
      </w:r>
    </w:p>
    <w:p w14:paraId="3FAA789F" w14:textId="77777777" w:rsidR="00EC43DC" w:rsidRDefault="00B75005">
      <w:pPr>
        <w:ind w:firstLine="720"/>
        <w:jc w:val="center"/>
        <w:rPr>
          <w:szCs w:val="24"/>
        </w:rPr>
      </w:pPr>
      <w:r>
        <w:rPr>
          <w:szCs w:val="24"/>
        </w:rPr>
        <w:t xml:space="preserve">Figure: UK Luxury Market (Source: </w:t>
      </w:r>
    </w:p>
    <w:p w14:paraId="09E23A71" w14:textId="77777777" w:rsidR="00EC43DC" w:rsidRDefault="00B75005">
      <w:pPr>
        <w:ind w:firstLine="720"/>
        <w:rPr>
          <w:szCs w:val="24"/>
        </w:rPr>
      </w:pPr>
      <w:r>
        <w:rPr>
          <w:szCs w:val="24"/>
        </w:rPr>
        <w:t>Rolex's entry strategies are in line with the UK and Indian markets. Rising purchasing power, urbanization, and a growing middle class all benefited from</w:t>
      </w:r>
      <w:r>
        <w:rPr>
          <w:szCs w:val="24"/>
        </w:rPr>
        <w:t xml:space="preserve"> India's mix of direct exporting </w:t>
      </w:r>
      <w:r>
        <w:rPr>
          <w:szCs w:val="24"/>
        </w:rPr>
        <w:lastRenderedPageBreak/>
        <w:t xml:space="preserve">and licensing. In the UK, a well-established luxury market with affluent consumers is reached through partnerships and direct exporting. </w:t>
      </w:r>
    </w:p>
    <w:p w14:paraId="46E8A9E3" w14:textId="77777777" w:rsidR="00EC43DC" w:rsidRDefault="00B75005">
      <w:pPr>
        <w:rPr>
          <w:b/>
          <w:szCs w:val="24"/>
        </w:rPr>
      </w:pPr>
      <w:r>
        <w:rPr>
          <w:b/>
          <w:szCs w:val="24"/>
        </w:rPr>
        <w:t>Country Attractiveness/Competitive Strengths Matrix:</w:t>
      </w:r>
    </w:p>
    <w:tbl>
      <w:tblPr>
        <w:tblStyle w:val="TableGrid"/>
        <w:tblW w:w="9795" w:type="dxa"/>
        <w:tblLook w:val="04A0" w:firstRow="1" w:lastRow="0" w:firstColumn="1" w:lastColumn="0" w:noHBand="0" w:noVBand="1"/>
      </w:tblPr>
      <w:tblGrid>
        <w:gridCol w:w="2089"/>
        <w:gridCol w:w="3584"/>
        <w:gridCol w:w="4122"/>
      </w:tblGrid>
      <w:tr w:rsidR="00EC43DC" w14:paraId="741A8BAA" w14:textId="77777777">
        <w:tc>
          <w:tcPr>
            <w:tcW w:w="0" w:type="auto"/>
            <w:hideMark/>
          </w:tcPr>
          <w:p w14:paraId="66CA4314" w14:textId="77777777" w:rsidR="00EC43DC" w:rsidRDefault="00B75005">
            <w:pPr>
              <w:jc w:val="center"/>
              <w:rPr>
                <w:b/>
                <w:szCs w:val="24"/>
                <w:lang w:eastAsia="en-GB"/>
              </w:rPr>
            </w:pPr>
            <w:r>
              <w:rPr>
                <w:b/>
                <w:szCs w:val="24"/>
                <w:lang w:eastAsia="en-GB"/>
              </w:rPr>
              <w:t>Factors</w:t>
            </w:r>
          </w:p>
        </w:tc>
        <w:tc>
          <w:tcPr>
            <w:tcW w:w="0" w:type="auto"/>
            <w:hideMark/>
          </w:tcPr>
          <w:p w14:paraId="787C3965" w14:textId="77777777" w:rsidR="00EC43DC" w:rsidRDefault="00B75005">
            <w:pPr>
              <w:jc w:val="center"/>
              <w:rPr>
                <w:b/>
                <w:szCs w:val="24"/>
                <w:lang w:eastAsia="en-GB"/>
              </w:rPr>
            </w:pPr>
            <w:r>
              <w:rPr>
                <w:b/>
                <w:szCs w:val="24"/>
                <w:lang w:eastAsia="en-GB"/>
              </w:rPr>
              <w:t>India</w:t>
            </w:r>
          </w:p>
        </w:tc>
        <w:tc>
          <w:tcPr>
            <w:tcW w:w="0" w:type="auto"/>
            <w:hideMark/>
          </w:tcPr>
          <w:p w14:paraId="50B2BD71" w14:textId="77777777" w:rsidR="00EC43DC" w:rsidRDefault="00B75005">
            <w:pPr>
              <w:jc w:val="center"/>
              <w:rPr>
                <w:b/>
                <w:szCs w:val="24"/>
                <w:lang w:eastAsia="en-GB"/>
              </w:rPr>
            </w:pPr>
            <w:r>
              <w:rPr>
                <w:b/>
                <w:szCs w:val="24"/>
                <w:lang w:eastAsia="en-GB"/>
              </w:rPr>
              <w:t>UK</w:t>
            </w:r>
          </w:p>
        </w:tc>
      </w:tr>
      <w:tr w:rsidR="00EC43DC" w14:paraId="6BED6E77" w14:textId="77777777">
        <w:tc>
          <w:tcPr>
            <w:tcW w:w="0" w:type="auto"/>
            <w:hideMark/>
          </w:tcPr>
          <w:p w14:paraId="396CDD03" w14:textId="77777777" w:rsidR="00EC43DC" w:rsidRDefault="00B75005">
            <w:pPr>
              <w:jc w:val="left"/>
              <w:rPr>
                <w:b/>
                <w:szCs w:val="24"/>
                <w:lang w:eastAsia="en-GB"/>
              </w:rPr>
            </w:pPr>
            <w:r>
              <w:rPr>
                <w:b/>
                <w:szCs w:val="24"/>
                <w:lang w:eastAsia="en-GB"/>
              </w:rPr>
              <w:t>Country Attractiveness</w:t>
            </w:r>
          </w:p>
        </w:tc>
        <w:tc>
          <w:tcPr>
            <w:tcW w:w="0" w:type="auto"/>
            <w:hideMark/>
          </w:tcPr>
          <w:p w14:paraId="2067976E" w14:textId="77777777" w:rsidR="00EC43DC" w:rsidRDefault="00B75005">
            <w:pPr>
              <w:spacing w:after="0"/>
              <w:jc w:val="left"/>
              <w:rPr>
                <w:szCs w:val="24"/>
                <w:lang w:eastAsia="en-GB"/>
              </w:rPr>
            </w:pPr>
            <w:r>
              <w:rPr>
                <w:szCs w:val="24"/>
                <w:lang w:eastAsia="en-GB"/>
              </w:rPr>
              <w:t>Rising levels of disposable income and middle-class growth</w:t>
            </w:r>
          </w:p>
          <w:p w14:paraId="41291A8C" w14:textId="77777777" w:rsidR="00EC43DC" w:rsidRDefault="00B75005">
            <w:pPr>
              <w:spacing w:after="0"/>
              <w:jc w:val="left"/>
              <w:rPr>
                <w:szCs w:val="24"/>
                <w:lang w:eastAsia="en-GB"/>
              </w:rPr>
            </w:pPr>
            <w:r>
              <w:rPr>
                <w:szCs w:val="24"/>
                <w:lang w:eastAsia="en-GB"/>
              </w:rPr>
              <w:t xml:space="preserve">Potential Clients </w:t>
            </w:r>
          </w:p>
          <w:p w14:paraId="60EC408D" w14:textId="77777777" w:rsidR="00EC43DC" w:rsidRDefault="00B75005">
            <w:pPr>
              <w:spacing w:after="0"/>
              <w:jc w:val="left"/>
              <w:rPr>
                <w:szCs w:val="24"/>
                <w:lang w:eastAsia="en-GB"/>
              </w:rPr>
            </w:pPr>
            <w:r>
              <w:rPr>
                <w:szCs w:val="24"/>
                <w:lang w:eastAsia="en-GB"/>
              </w:rPr>
              <w:t>growing number of urban residents</w:t>
            </w:r>
          </w:p>
          <w:p w14:paraId="62755D4D" w14:textId="77777777" w:rsidR="00EC43DC" w:rsidRDefault="00B75005">
            <w:pPr>
              <w:spacing w:after="0"/>
              <w:jc w:val="left"/>
              <w:rPr>
                <w:szCs w:val="24"/>
                <w:lang w:eastAsia="en-GB"/>
              </w:rPr>
            </w:pPr>
            <w:r>
              <w:rPr>
                <w:szCs w:val="24"/>
                <w:lang w:eastAsia="en-GB"/>
              </w:rPr>
              <w:t>Internet access</w:t>
            </w:r>
          </w:p>
        </w:tc>
        <w:tc>
          <w:tcPr>
            <w:tcW w:w="0" w:type="auto"/>
            <w:hideMark/>
          </w:tcPr>
          <w:p w14:paraId="4B894B62" w14:textId="77777777" w:rsidR="00EC43DC" w:rsidRDefault="00B75005">
            <w:pPr>
              <w:spacing w:after="0"/>
              <w:jc w:val="left"/>
              <w:rPr>
                <w:szCs w:val="24"/>
                <w:lang w:eastAsia="en-GB"/>
              </w:rPr>
            </w:pPr>
            <w:r>
              <w:rPr>
                <w:szCs w:val="24"/>
                <w:lang w:eastAsia="en-GB"/>
              </w:rPr>
              <w:t xml:space="preserve">Established luxury markets </w:t>
            </w:r>
          </w:p>
          <w:p w14:paraId="6D1DC478" w14:textId="77777777" w:rsidR="00EC43DC" w:rsidRDefault="00B75005">
            <w:pPr>
              <w:spacing w:after="0"/>
              <w:jc w:val="left"/>
              <w:rPr>
                <w:szCs w:val="24"/>
                <w:lang w:eastAsia="en-GB"/>
              </w:rPr>
            </w:pPr>
            <w:r>
              <w:rPr>
                <w:szCs w:val="24"/>
                <w:lang w:eastAsia="en-GB"/>
              </w:rPr>
              <w:t>wealthy customers</w:t>
            </w:r>
          </w:p>
          <w:p w14:paraId="2A070F94" w14:textId="77777777" w:rsidR="00EC43DC" w:rsidRDefault="00B75005">
            <w:pPr>
              <w:spacing w:after="0"/>
              <w:jc w:val="left"/>
              <w:rPr>
                <w:szCs w:val="24"/>
                <w:lang w:eastAsia="en-GB"/>
              </w:rPr>
            </w:pPr>
            <w:r>
              <w:rPr>
                <w:szCs w:val="24"/>
                <w:lang w:eastAsia="en-GB"/>
              </w:rPr>
              <w:t>A society that is brand-conscious</w:t>
            </w:r>
          </w:p>
        </w:tc>
      </w:tr>
      <w:tr w:rsidR="00EC43DC" w14:paraId="7D07585B" w14:textId="77777777">
        <w:tc>
          <w:tcPr>
            <w:tcW w:w="0" w:type="auto"/>
            <w:hideMark/>
          </w:tcPr>
          <w:p w14:paraId="0EB3B2EF" w14:textId="77777777" w:rsidR="00EC43DC" w:rsidRDefault="00B75005">
            <w:pPr>
              <w:jc w:val="left"/>
              <w:rPr>
                <w:b/>
                <w:szCs w:val="24"/>
                <w:lang w:eastAsia="en-GB"/>
              </w:rPr>
            </w:pPr>
            <w:r>
              <w:rPr>
                <w:b/>
                <w:szCs w:val="24"/>
                <w:lang w:eastAsia="en-GB"/>
              </w:rPr>
              <w:t>Competitive Strengths</w:t>
            </w:r>
          </w:p>
        </w:tc>
        <w:tc>
          <w:tcPr>
            <w:tcW w:w="0" w:type="auto"/>
            <w:hideMark/>
          </w:tcPr>
          <w:p w14:paraId="1EE43D4A" w14:textId="77777777" w:rsidR="00EC43DC" w:rsidRDefault="00B75005">
            <w:pPr>
              <w:spacing w:after="0"/>
              <w:jc w:val="left"/>
              <w:rPr>
                <w:szCs w:val="24"/>
                <w:lang w:eastAsia="en-GB"/>
              </w:rPr>
            </w:pPr>
            <w:r>
              <w:rPr>
                <w:szCs w:val="24"/>
                <w:lang w:eastAsia="en-GB"/>
              </w:rPr>
              <w:t>a reputation for elegance, accuracy, and tradition around the world</w:t>
            </w:r>
          </w:p>
          <w:p w14:paraId="350FF7C8" w14:textId="77777777" w:rsidR="00EC43DC" w:rsidRDefault="00B75005">
            <w:pPr>
              <w:spacing w:after="0"/>
              <w:jc w:val="left"/>
              <w:rPr>
                <w:szCs w:val="24"/>
                <w:lang w:eastAsia="en-GB"/>
              </w:rPr>
            </w:pPr>
            <w:r>
              <w:rPr>
                <w:szCs w:val="24"/>
                <w:lang w:eastAsia="en-GB"/>
              </w:rPr>
              <w:t>Using local expertise in licensing strategy</w:t>
            </w:r>
          </w:p>
        </w:tc>
        <w:tc>
          <w:tcPr>
            <w:tcW w:w="0" w:type="auto"/>
            <w:hideMark/>
          </w:tcPr>
          <w:p w14:paraId="40A17A77" w14:textId="77777777" w:rsidR="00EC43DC" w:rsidRDefault="00B75005">
            <w:pPr>
              <w:spacing w:after="0"/>
              <w:jc w:val="left"/>
              <w:rPr>
                <w:szCs w:val="24"/>
                <w:lang w:eastAsia="en-GB"/>
              </w:rPr>
            </w:pPr>
            <w:r>
              <w:rPr>
                <w:szCs w:val="24"/>
                <w:lang w:eastAsia="en-GB"/>
              </w:rPr>
              <w:t>Custom design, artistry, and legacy (Sharma, Pradhan, and Srivastava, 2021).</w:t>
            </w:r>
          </w:p>
          <w:p w14:paraId="0DE3F3A9" w14:textId="77777777" w:rsidR="00EC43DC" w:rsidRDefault="00B75005">
            <w:pPr>
              <w:spacing w:after="0"/>
              <w:jc w:val="left"/>
              <w:rPr>
                <w:szCs w:val="24"/>
                <w:lang w:eastAsia="en-GB"/>
              </w:rPr>
            </w:pPr>
            <w:r>
              <w:rPr>
                <w:szCs w:val="24"/>
                <w:lang w:eastAsia="en-GB"/>
              </w:rPr>
              <w:t xml:space="preserve">Using a partnership strategy to improve client engagement and </w:t>
            </w:r>
            <w:r>
              <w:rPr>
                <w:szCs w:val="24"/>
                <w:lang w:eastAsia="en-GB"/>
              </w:rPr>
              <w:t>distribution</w:t>
            </w:r>
          </w:p>
        </w:tc>
      </w:tr>
    </w:tbl>
    <w:p w14:paraId="1DD5A395" w14:textId="77777777" w:rsidR="00EC43DC" w:rsidRDefault="00EC43DC">
      <w:pPr>
        <w:rPr>
          <w:szCs w:val="24"/>
        </w:rPr>
      </w:pPr>
    </w:p>
    <w:p w14:paraId="27F13CCF" w14:textId="77777777" w:rsidR="00EC43DC" w:rsidRDefault="00B75005">
      <w:pPr>
        <w:ind w:firstLine="720"/>
      </w:pPr>
      <w:r>
        <w:t>Rolex has successfully entered the Indian market via direct exporting and licensing. The company can accommodate regional tastes without sacrificing the integrity of the brand. Sharma, Pradhan, and Srivastava (2021) claim that the matrix increases the likelihood of success by coordinating the entry approach with the competitive advantage and appeal of the country. Also, Baumgartner and Weijters (2021) reported that employing a regional service, this strategy aids Rolex in maintaining brand control. Thus, Ro</w:t>
      </w:r>
      <w:r>
        <w:t xml:space="preserve">lex leverages the comparative advantages and </w:t>
      </w:r>
      <w:r>
        <w:lastRenderedPageBreak/>
        <w:t xml:space="preserve">desirability of both nations in their entry strategies into the UK and India, which encompass successful direct exporting and collaborative ventures. By using these techniques, Rolex might be able to accommodate regional differences and keep its reputation as a worldwide brand. </w:t>
      </w:r>
    </w:p>
    <w:p w14:paraId="6CB69515" w14:textId="77777777" w:rsidR="00EC43DC" w:rsidRDefault="00B75005">
      <w:pPr>
        <w:ind w:firstLine="720"/>
      </w:pPr>
      <w:r>
        <w:t xml:space="preserve">SWOT analysis of the two countries is also performed as shown in the table; </w:t>
      </w:r>
    </w:p>
    <w:tbl>
      <w:tblPr>
        <w:tblStyle w:val="TableGrid"/>
        <w:tblW w:w="9576" w:type="dxa"/>
        <w:tblLook w:val="04A0" w:firstRow="1" w:lastRow="0" w:firstColumn="1" w:lastColumn="0" w:noHBand="0" w:noVBand="1"/>
      </w:tblPr>
      <w:tblGrid>
        <w:gridCol w:w="4788"/>
        <w:gridCol w:w="4788"/>
      </w:tblGrid>
      <w:tr w:rsidR="00EC43DC" w14:paraId="256607D7" w14:textId="77777777">
        <w:tc>
          <w:tcPr>
            <w:tcW w:w="9576" w:type="dxa"/>
            <w:gridSpan w:val="2"/>
            <w:vAlign w:val="bottom"/>
          </w:tcPr>
          <w:p w14:paraId="33823633" w14:textId="77777777" w:rsidR="00EC43DC" w:rsidRDefault="00B75005">
            <w:pPr>
              <w:ind w:firstLine="720"/>
              <w:jc w:val="center"/>
              <w:rPr>
                <w:b/>
                <w:bCs/>
                <w:lang w:val="en-US"/>
              </w:rPr>
            </w:pPr>
            <w:r>
              <w:rPr>
                <w:b/>
                <w:bCs/>
                <w:lang w:val="en-US"/>
              </w:rPr>
              <w:t>India</w:t>
            </w:r>
          </w:p>
        </w:tc>
      </w:tr>
      <w:tr w:rsidR="00EC43DC" w14:paraId="192161E1" w14:textId="77777777">
        <w:tc>
          <w:tcPr>
            <w:tcW w:w="4788" w:type="dxa"/>
            <w:vAlign w:val="bottom"/>
          </w:tcPr>
          <w:p w14:paraId="56477741" w14:textId="77777777" w:rsidR="00EC43DC" w:rsidRDefault="00B75005">
            <w:pPr>
              <w:ind w:firstLine="720"/>
              <w:rPr>
                <w:b/>
                <w:bCs/>
                <w:lang w:val="en-US"/>
              </w:rPr>
            </w:pPr>
            <w:r>
              <w:rPr>
                <w:b/>
                <w:bCs/>
                <w:lang w:val="en-US"/>
              </w:rPr>
              <w:t>Strengths</w:t>
            </w:r>
          </w:p>
        </w:tc>
        <w:tc>
          <w:tcPr>
            <w:tcW w:w="4788" w:type="dxa"/>
            <w:vAlign w:val="bottom"/>
          </w:tcPr>
          <w:p w14:paraId="0EB6E2A4" w14:textId="77777777" w:rsidR="00EC43DC" w:rsidRDefault="00B75005">
            <w:pPr>
              <w:ind w:firstLine="720"/>
              <w:rPr>
                <w:b/>
                <w:bCs/>
                <w:lang w:val="en-US"/>
              </w:rPr>
            </w:pPr>
            <w:r>
              <w:rPr>
                <w:b/>
                <w:bCs/>
                <w:lang w:val="en-US"/>
              </w:rPr>
              <w:t>Weaknesses</w:t>
            </w:r>
          </w:p>
        </w:tc>
      </w:tr>
      <w:tr w:rsidR="00EC43DC" w14:paraId="3278831B" w14:textId="77777777">
        <w:tc>
          <w:tcPr>
            <w:tcW w:w="4788" w:type="dxa"/>
            <w:vAlign w:val="bottom"/>
          </w:tcPr>
          <w:p w14:paraId="30B4C656" w14:textId="77777777" w:rsidR="00EC43DC" w:rsidRDefault="00B75005">
            <w:pPr>
              <w:ind w:firstLine="720"/>
              <w:rPr>
                <w:lang w:val="en-US"/>
              </w:rPr>
            </w:pPr>
            <w:r>
              <w:rPr>
                <w:lang w:val="en-US"/>
              </w:rPr>
              <w:t>1. Global brand</w:t>
            </w:r>
          </w:p>
        </w:tc>
        <w:tc>
          <w:tcPr>
            <w:tcW w:w="4788" w:type="dxa"/>
            <w:vAlign w:val="bottom"/>
          </w:tcPr>
          <w:p w14:paraId="2229A3AA" w14:textId="77777777" w:rsidR="00EC43DC" w:rsidRDefault="00B75005">
            <w:pPr>
              <w:ind w:firstLine="720"/>
              <w:rPr>
                <w:lang w:val="en-US"/>
              </w:rPr>
            </w:pPr>
            <w:r>
              <w:rPr>
                <w:lang w:val="en-US"/>
              </w:rPr>
              <w:t>1. Cultural adaptation</w:t>
            </w:r>
          </w:p>
        </w:tc>
      </w:tr>
      <w:tr w:rsidR="00EC43DC" w14:paraId="1D1B2450" w14:textId="77777777">
        <w:tc>
          <w:tcPr>
            <w:tcW w:w="4788" w:type="dxa"/>
            <w:vAlign w:val="bottom"/>
          </w:tcPr>
          <w:p w14:paraId="544A6E2F" w14:textId="77777777" w:rsidR="00EC43DC" w:rsidRDefault="00B75005">
            <w:pPr>
              <w:ind w:firstLine="720"/>
              <w:rPr>
                <w:lang w:val="en-US"/>
              </w:rPr>
            </w:pPr>
            <w:r>
              <w:rPr>
                <w:lang w:val="en-US"/>
              </w:rPr>
              <w:t xml:space="preserve">2. </w:t>
            </w:r>
            <w:r>
              <w:rPr>
                <w:lang w:val="en-US"/>
              </w:rPr>
              <w:t>High-quality craftsmanship</w:t>
            </w:r>
          </w:p>
        </w:tc>
        <w:tc>
          <w:tcPr>
            <w:tcW w:w="4788" w:type="dxa"/>
            <w:vAlign w:val="bottom"/>
          </w:tcPr>
          <w:p w14:paraId="4671F6F0" w14:textId="77777777" w:rsidR="00EC43DC" w:rsidRDefault="00B75005">
            <w:pPr>
              <w:ind w:firstLine="720"/>
              <w:rPr>
                <w:lang w:val="en-US"/>
              </w:rPr>
            </w:pPr>
            <w:r>
              <w:rPr>
                <w:lang w:val="en-US"/>
              </w:rPr>
              <w:t>2. Price sensitivity</w:t>
            </w:r>
          </w:p>
        </w:tc>
      </w:tr>
      <w:tr w:rsidR="00EC43DC" w14:paraId="6396D1BD" w14:textId="77777777">
        <w:tc>
          <w:tcPr>
            <w:tcW w:w="4788" w:type="dxa"/>
            <w:vAlign w:val="bottom"/>
          </w:tcPr>
          <w:p w14:paraId="354CE3B6" w14:textId="77777777" w:rsidR="00EC43DC" w:rsidRDefault="00B75005">
            <w:pPr>
              <w:ind w:firstLine="720"/>
              <w:rPr>
                <w:lang w:val="en-US"/>
              </w:rPr>
            </w:pPr>
            <w:r>
              <w:rPr>
                <w:lang w:val="en-US"/>
              </w:rPr>
              <w:t>3. Heritage and classic designs</w:t>
            </w:r>
          </w:p>
        </w:tc>
        <w:tc>
          <w:tcPr>
            <w:tcW w:w="4788" w:type="dxa"/>
            <w:vAlign w:val="bottom"/>
          </w:tcPr>
          <w:p w14:paraId="61C87E01" w14:textId="77777777" w:rsidR="00EC43DC" w:rsidRDefault="00EC43DC">
            <w:pPr>
              <w:ind w:firstLine="720"/>
              <w:rPr>
                <w:lang w:val="en-US"/>
              </w:rPr>
            </w:pPr>
          </w:p>
        </w:tc>
      </w:tr>
      <w:tr w:rsidR="00EC43DC" w14:paraId="5BBBF9D7" w14:textId="77777777">
        <w:tc>
          <w:tcPr>
            <w:tcW w:w="4788" w:type="dxa"/>
            <w:vAlign w:val="bottom"/>
          </w:tcPr>
          <w:p w14:paraId="2BF936A6" w14:textId="77777777" w:rsidR="00EC43DC" w:rsidRDefault="00B75005">
            <w:pPr>
              <w:ind w:firstLine="720"/>
              <w:rPr>
                <w:b/>
                <w:bCs/>
                <w:lang w:val="en-US"/>
              </w:rPr>
            </w:pPr>
            <w:r>
              <w:rPr>
                <w:b/>
                <w:bCs/>
                <w:lang w:val="en-US"/>
              </w:rPr>
              <w:t>Opportunities</w:t>
            </w:r>
          </w:p>
        </w:tc>
        <w:tc>
          <w:tcPr>
            <w:tcW w:w="4788" w:type="dxa"/>
            <w:vAlign w:val="bottom"/>
          </w:tcPr>
          <w:p w14:paraId="12B242DE" w14:textId="77777777" w:rsidR="00EC43DC" w:rsidRDefault="00B75005">
            <w:pPr>
              <w:ind w:firstLine="720"/>
              <w:rPr>
                <w:b/>
                <w:bCs/>
                <w:lang w:val="en-US"/>
              </w:rPr>
            </w:pPr>
            <w:r>
              <w:rPr>
                <w:b/>
                <w:bCs/>
                <w:lang w:val="en-US"/>
              </w:rPr>
              <w:t>Threats</w:t>
            </w:r>
          </w:p>
        </w:tc>
      </w:tr>
      <w:tr w:rsidR="00EC43DC" w14:paraId="5A163B1C" w14:textId="77777777">
        <w:tc>
          <w:tcPr>
            <w:tcW w:w="4788" w:type="dxa"/>
            <w:vAlign w:val="bottom"/>
          </w:tcPr>
          <w:p w14:paraId="556C99FA" w14:textId="77777777" w:rsidR="00EC43DC" w:rsidRDefault="00B75005">
            <w:pPr>
              <w:ind w:firstLine="720"/>
              <w:rPr>
                <w:lang w:val="en-US"/>
              </w:rPr>
            </w:pPr>
            <w:r>
              <w:rPr>
                <w:lang w:val="en-US"/>
              </w:rPr>
              <w:t>1. Growing middle class in India</w:t>
            </w:r>
          </w:p>
        </w:tc>
        <w:tc>
          <w:tcPr>
            <w:tcW w:w="4788" w:type="dxa"/>
            <w:vAlign w:val="bottom"/>
          </w:tcPr>
          <w:p w14:paraId="425BE2BD" w14:textId="77777777" w:rsidR="00EC43DC" w:rsidRDefault="00B75005">
            <w:pPr>
              <w:ind w:firstLine="720"/>
              <w:rPr>
                <w:lang w:val="en-US"/>
              </w:rPr>
            </w:pPr>
            <w:r>
              <w:rPr>
                <w:lang w:val="en-US"/>
              </w:rPr>
              <w:t>1. Economic fluctuations</w:t>
            </w:r>
          </w:p>
        </w:tc>
      </w:tr>
      <w:tr w:rsidR="00EC43DC" w14:paraId="25E0FD48" w14:textId="77777777">
        <w:tc>
          <w:tcPr>
            <w:tcW w:w="4788" w:type="dxa"/>
            <w:vAlign w:val="bottom"/>
          </w:tcPr>
          <w:p w14:paraId="21E681D5" w14:textId="77777777" w:rsidR="00EC43DC" w:rsidRDefault="00B75005">
            <w:pPr>
              <w:ind w:firstLine="720"/>
              <w:rPr>
                <w:lang w:val="en-US"/>
              </w:rPr>
            </w:pPr>
            <w:r>
              <w:rPr>
                <w:lang w:val="en-US"/>
              </w:rPr>
              <w:t>2. Expanding luxury market</w:t>
            </w:r>
          </w:p>
        </w:tc>
        <w:tc>
          <w:tcPr>
            <w:tcW w:w="4788" w:type="dxa"/>
            <w:vAlign w:val="bottom"/>
          </w:tcPr>
          <w:p w14:paraId="230F87FF" w14:textId="77777777" w:rsidR="00EC43DC" w:rsidRDefault="00B75005">
            <w:pPr>
              <w:ind w:firstLine="720"/>
              <w:rPr>
                <w:lang w:val="en-US"/>
              </w:rPr>
            </w:pPr>
            <w:r>
              <w:rPr>
                <w:lang w:val="en-US"/>
              </w:rPr>
              <w:t>2. Increasing competition</w:t>
            </w:r>
          </w:p>
        </w:tc>
      </w:tr>
      <w:tr w:rsidR="00EC43DC" w14:paraId="1D75D345" w14:textId="77777777">
        <w:tc>
          <w:tcPr>
            <w:tcW w:w="4788" w:type="dxa"/>
            <w:vAlign w:val="bottom"/>
          </w:tcPr>
          <w:p w14:paraId="43617D1C" w14:textId="77777777" w:rsidR="00EC43DC" w:rsidRDefault="00EC43DC">
            <w:pPr>
              <w:ind w:firstLine="720"/>
              <w:rPr>
                <w:lang w:val="en-US"/>
              </w:rPr>
            </w:pPr>
          </w:p>
        </w:tc>
        <w:tc>
          <w:tcPr>
            <w:tcW w:w="4788" w:type="dxa"/>
            <w:vAlign w:val="bottom"/>
          </w:tcPr>
          <w:p w14:paraId="0E097FBB" w14:textId="77777777" w:rsidR="00EC43DC" w:rsidRDefault="00B75005">
            <w:pPr>
              <w:ind w:firstLine="720"/>
              <w:rPr>
                <w:lang w:val="en-US"/>
              </w:rPr>
            </w:pPr>
            <w:r>
              <w:rPr>
                <w:lang w:val="en-US"/>
              </w:rPr>
              <w:t>3. Cultural differences</w:t>
            </w:r>
          </w:p>
        </w:tc>
      </w:tr>
      <w:tr w:rsidR="00EC43DC" w14:paraId="6CE0A9A7" w14:textId="77777777">
        <w:tc>
          <w:tcPr>
            <w:tcW w:w="9576" w:type="dxa"/>
            <w:gridSpan w:val="2"/>
            <w:vAlign w:val="bottom"/>
          </w:tcPr>
          <w:p w14:paraId="4C36C998" w14:textId="77777777" w:rsidR="00EC43DC" w:rsidRDefault="00B75005">
            <w:pPr>
              <w:ind w:firstLine="720"/>
              <w:jc w:val="center"/>
              <w:rPr>
                <w:b/>
                <w:lang w:val="en-US"/>
              </w:rPr>
            </w:pPr>
            <w:r>
              <w:rPr>
                <w:b/>
                <w:lang w:val="en-US"/>
              </w:rPr>
              <w:t>UK</w:t>
            </w:r>
          </w:p>
        </w:tc>
      </w:tr>
      <w:tr w:rsidR="00EC43DC" w14:paraId="28FDFB5F" w14:textId="77777777">
        <w:tc>
          <w:tcPr>
            <w:tcW w:w="4788" w:type="dxa"/>
            <w:vAlign w:val="bottom"/>
          </w:tcPr>
          <w:p w14:paraId="01D958EB" w14:textId="77777777" w:rsidR="00EC43DC" w:rsidRDefault="00B75005">
            <w:pPr>
              <w:ind w:firstLine="720"/>
              <w:rPr>
                <w:lang w:val="en-US"/>
              </w:rPr>
            </w:pPr>
            <w:r>
              <w:rPr>
                <w:lang w:val="en-US"/>
              </w:rPr>
              <w:t xml:space="preserve">1. </w:t>
            </w:r>
            <w:r>
              <w:rPr>
                <w:lang w:val="en-US"/>
              </w:rPr>
              <w:t>Global brand</w:t>
            </w:r>
          </w:p>
        </w:tc>
        <w:tc>
          <w:tcPr>
            <w:tcW w:w="4788" w:type="dxa"/>
            <w:vAlign w:val="bottom"/>
          </w:tcPr>
          <w:p w14:paraId="0A34DC8E" w14:textId="77777777" w:rsidR="00EC43DC" w:rsidRDefault="00B75005">
            <w:pPr>
              <w:ind w:firstLine="720"/>
              <w:rPr>
                <w:lang w:val="en-US"/>
              </w:rPr>
            </w:pPr>
            <w:r>
              <w:rPr>
                <w:lang w:val="en-US"/>
              </w:rPr>
              <w:t>1. Price sensitivity</w:t>
            </w:r>
          </w:p>
        </w:tc>
      </w:tr>
      <w:tr w:rsidR="00EC43DC" w14:paraId="6048B10B" w14:textId="77777777">
        <w:tc>
          <w:tcPr>
            <w:tcW w:w="4788" w:type="dxa"/>
            <w:vAlign w:val="bottom"/>
          </w:tcPr>
          <w:p w14:paraId="32A1366F" w14:textId="77777777" w:rsidR="00EC43DC" w:rsidRDefault="00B75005">
            <w:pPr>
              <w:ind w:firstLine="720"/>
              <w:rPr>
                <w:lang w:val="en-US"/>
              </w:rPr>
            </w:pPr>
            <w:r>
              <w:rPr>
                <w:lang w:val="en-US"/>
              </w:rPr>
              <w:t>2. High-quality craftsmanship</w:t>
            </w:r>
          </w:p>
        </w:tc>
        <w:tc>
          <w:tcPr>
            <w:tcW w:w="4788" w:type="dxa"/>
            <w:vAlign w:val="bottom"/>
          </w:tcPr>
          <w:p w14:paraId="6DB1FD20" w14:textId="77777777" w:rsidR="00EC43DC" w:rsidRDefault="00B75005">
            <w:pPr>
              <w:ind w:firstLine="720"/>
              <w:rPr>
                <w:lang w:val="en-US"/>
              </w:rPr>
            </w:pPr>
            <w:r>
              <w:rPr>
                <w:lang w:val="en-US"/>
              </w:rPr>
              <w:t>2. Saturation in the luxury market</w:t>
            </w:r>
          </w:p>
        </w:tc>
      </w:tr>
      <w:tr w:rsidR="00EC43DC" w14:paraId="3E763056" w14:textId="77777777">
        <w:tc>
          <w:tcPr>
            <w:tcW w:w="4788" w:type="dxa"/>
            <w:vAlign w:val="bottom"/>
          </w:tcPr>
          <w:p w14:paraId="5FBCD154" w14:textId="77777777" w:rsidR="00EC43DC" w:rsidRDefault="00B75005">
            <w:pPr>
              <w:ind w:firstLine="720"/>
              <w:rPr>
                <w:lang w:val="en-US"/>
              </w:rPr>
            </w:pPr>
            <w:r>
              <w:rPr>
                <w:lang w:val="en-US"/>
              </w:rPr>
              <w:t>3. Heritage and classic designs</w:t>
            </w:r>
          </w:p>
        </w:tc>
        <w:tc>
          <w:tcPr>
            <w:tcW w:w="4788" w:type="dxa"/>
            <w:vAlign w:val="bottom"/>
          </w:tcPr>
          <w:p w14:paraId="69B777A7" w14:textId="77777777" w:rsidR="00EC43DC" w:rsidRDefault="00EC43DC">
            <w:pPr>
              <w:ind w:firstLine="720"/>
              <w:rPr>
                <w:lang w:val="en-US"/>
              </w:rPr>
            </w:pPr>
          </w:p>
        </w:tc>
      </w:tr>
      <w:tr w:rsidR="00EC43DC" w14:paraId="2CFE6D82" w14:textId="77777777">
        <w:tc>
          <w:tcPr>
            <w:tcW w:w="4788" w:type="dxa"/>
            <w:vAlign w:val="bottom"/>
          </w:tcPr>
          <w:p w14:paraId="572937F2" w14:textId="77777777" w:rsidR="00EC43DC" w:rsidRDefault="00B75005">
            <w:pPr>
              <w:ind w:firstLine="720"/>
              <w:rPr>
                <w:b/>
                <w:bCs/>
                <w:lang w:val="en-US"/>
              </w:rPr>
            </w:pPr>
            <w:r>
              <w:rPr>
                <w:b/>
                <w:bCs/>
                <w:lang w:val="en-US"/>
              </w:rPr>
              <w:lastRenderedPageBreak/>
              <w:t>Opportunities</w:t>
            </w:r>
          </w:p>
        </w:tc>
        <w:tc>
          <w:tcPr>
            <w:tcW w:w="4788" w:type="dxa"/>
            <w:vAlign w:val="bottom"/>
          </w:tcPr>
          <w:p w14:paraId="63541D8C" w14:textId="77777777" w:rsidR="00EC43DC" w:rsidRDefault="00B75005">
            <w:pPr>
              <w:ind w:firstLine="720"/>
              <w:rPr>
                <w:b/>
                <w:bCs/>
                <w:lang w:val="en-US"/>
              </w:rPr>
            </w:pPr>
            <w:r>
              <w:rPr>
                <w:b/>
                <w:bCs/>
                <w:lang w:val="en-US"/>
              </w:rPr>
              <w:t>Threats</w:t>
            </w:r>
          </w:p>
        </w:tc>
      </w:tr>
      <w:tr w:rsidR="00EC43DC" w14:paraId="46C802E1" w14:textId="77777777">
        <w:tc>
          <w:tcPr>
            <w:tcW w:w="4788" w:type="dxa"/>
            <w:vAlign w:val="bottom"/>
          </w:tcPr>
          <w:p w14:paraId="37BBF26A" w14:textId="77777777" w:rsidR="00EC43DC" w:rsidRDefault="00B75005">
            <w:pPr>
              <w:ind w:firstLine="720"/>
              <w:rPr>
                <w:lang w:val="en-US"/>
              </w:rPr>
            </w:pPr>
            <w:r>
              <w:rPr>
                <w:lang w:val="en-US"/>
              </w:rPr>
              <w:t>1. High demand for luxury items</w:t>
            </w:r>
          </w:p>
        </w:tc>
        <w:tc>
          <w:tcPr>
            <w:tcW w:w="4788" w:type="dxa"/>
            <w:vAlign w:val="bottom"/>
          </w:tcPr>
          <w:p w14:paraId="404F8C59" w14:textId="77777777" w:rsidR="00EC43DC" w:rsidRDefault="00B75005">
            <w:pPr>
              <w:ind w:firstLine="720"/>
              <w:rPr>
                <w:lang w:val="en-US"/>
              </w:rPr>
            </w:pPr>
            <w:r>
              <w:rPr>
                <w:lang w:val="en-US"/>
              </w:rPr>
              <w:t>1. Economic downturn</w:t>
            </w:r>
          </w:p>
        </w:tc>
      </w:tr>
      <w:tr w:rsidR="00EC43DC" w14:paraId="00E4FF53" w14:textId="77777777">
        <w:tc>
          <w:tcPr>
            <w:tcW w:w="4788" w:type="dxa"/>
            <w:vAlign w:val="bottom"/>
          </w:tcPr>
          <w:p w14:paraId="022355B2" w14:textId="77777777" w:rsidR="00EC43DC" w:rsidRDefault="00B75005">
            <w:pPr>
              <w:ind w:firstLine="720"/>
              <w:rPr>
                <w:lang w:val="en-US"/>
              </w:rPr>
            </w:pPr>
            <w:r>
              <w:rPr>
                <w:lang w:val="en-US"/>
              </w:rPr>
              <w:t>2. Established market presence</w:t>
            </w:r>
          </w:p>
        </w:tc>
        <w:tc>
          <w:tcPr>
            <w:tcW w:w="4788" w:type="dxa"/>
            <w:vAlign w:val="bottom"/>
          </w:tcPr>
          <w:p w14:paraId="209B4CFB" w14:textId="77777777" w:rsidR="00EC43DC" w:rsidRDefault="00B75005">
            <w:pPr>
              <w:ind w:firstLine="720"/>
              <w:rPr>
                <w:lang w:val="en-US"/>
              </w:rPr>
            </w:pPr>
            <w:r>
              <w:rPr>
                <w:lang w:val="en-US"/>
              </w:rPr>
              <w:t xml:space="preserve">2. </w:t>
            </w:r>
            <w:r>
              <w:rPr>
                <w:lang w:val="en-US"/>
              </w:rPr>
              <w:t>Evolving consumer preferences</w:t>
            </w:r>
          </w:p>
        </w:tc>
      </w:tr>
    </w:tbl>
    <w:p w14:paraId="6C23B7DD" w14:textId="77777777" w:rsidR="00EC43DC" w:rsidRDefault="00EC43DC"/>
    <w:p w14:paraId="315199A4" w14:textId="77777777" w:rsidR="00EC43DC" w:rsidRDefault="00B75005">
      <w:r>
        <w:t xml:space="preserve">Its simplicity is one of its greatest strengths because it makes the system easy to understand even by untrained people. Its all-inclusive view that covers both internal and external forces assists in understanding the phenomenon from various perspectives. In addition, SWOT analysis is a cost-effective approach, which usually does not involve huge budgets or extensive time frame. Also, it can be applied in many situations like when formulating business strategies or during an individual’s self-development. </w:t>
      </w:r>
      <w:r>
        <w:t>As a result, SWOT analysis supports communication and collaboration that leads to shared understanding within team members or stakeholders.</w:t>
      </w:r>
    </w:p>
    <w:p w14:paraId="227FED70" w14:textId="77777777" w:rsidR="00EC43DC" w:rsidRDefault="00B75005">
      <w:r>
        <w:t>It is straightforward; therefore, it might lead to shallow assessment or missed points out. This subjectiveness can introduce bias, which may influence the way factors are identified and prioritised. While this makes SWOT analysis flexible, it also presents a challenge in that organizations have to decide on which aspects are more important or urgent. Secondly, since analysis is static, it offers an image of a situation at a particular instant and may not entirely reflect on some factors which change quickl</w:t>
      </w:r>
      <w:r>
        <w:t>y. SWOT can identify the things to be improved but not specific strategies of implementation, giving more of a starting point than a comprehensive set of strategy. It can also be viewed as placing too much emphasis on internal factors and ignoring key external elements that may have far-reaching impacts on the organization. While it is limited, this approach should be used selectively and together with other approaches of strategic planning for decision making</w:t>
      </w:r>
    </w:p>
    <w:p w14:paraId="20C4B8C2" w14:textId="77777777" w:rsidR="00EC43DC" w:rsidRDefault="00B75005">
      <w:pPr>
        <w:pStyle w:val="Heading1"/>
      </w:pPr>
      <w:bookmarkStart w:id="27" w:name="_Toc153916146"/>
      <w:r>
        <w:lastRenderedPageBreak/>
        <w:t>Directional Development Strategy with Definition</w:t>
      </w:r>
      <w:bookmarkEnd w:id="27"/>
    </w:p>
    <w:p w14:paraId="35F0A080" w14:textId="77777777" w:rsidR="00EC43DC" w:rsidRDefault="00B75005">
      <w:pPr>
        <w:rPr>
          <w:b/>
        </w:rPr>
      </w:pPr>
      <w:r>
        <w:t>A popular business strategy is a theory called “Directional Development Strategy.” These are top-level strategies that determine how companies operate in their entirety. This is because this helps organizations make decisions about how best to allocate their efforts and resources in the right place. Its advantages include clear focus, resource allocation, competitive advantage and improved decision making. To steer a company's growth, a directional development strategy—often associated with market expansion</w:t>
      </w:r>
      <w:r>
        <w:t>—can be matched with the BCG matrices.</w:t>
      </w:r>
    </w:p>
    <w:p w14:paraId="6B4A26EA" w14:textId="77777777" w:rsidR="00EC43DC" w:rsidRDefault="00B75005">
      <w:pPr>
        <w:keepNext/>
        <w:jc w:val="center"/>
      </w:pPr>
      <w:r>
        <w:rPr>
          <w:noProof/>
          <w:lang w:val="en-US"/>
        </w:rPr>
        <w:drawing>
          <wp:inline distT="0" distB="0" distL="0" distR="0" wp14:anchorId="1E511BDA" wp14:editId="28A62B20">
            <wp:extent cx="3981449" cy="3981449"/>
            <wp:effectExtent l="0" t="0" r="0" b="0"/>
            <wp:docPr id="103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3"/>
                    <pic:cNvPicPr/>
                  </pic:nvPicPr>
                  <pic:blipFill>
                    <a:blip r:embed="rId21" cstate="print"/>
                    <a:srcRect/>
                    <a:stretch/>
                  </pic:blipFill>
                  <pic:spPr>
                    <a:xfrm>
                      <a:off x="0" y="0"/>
                      <a:ext cx="3981449" cy="3981449"/>
                    </a:xfrm>
                    <a:prstGeom prst="rect">
                      <a:avLst/>
                    </a:prstGeom>
                  </pic:spPr>
                </pic:pic>
              </a:graphicData>
            </a:graphic>
          </wp:inline>
        </w:drawing>
      </w:r>
    </w:p>
    <w:p w14:paraId="16C3C5BD" w14:textId="77777777" w:rsidR="00EC43DC" w:rsidRDefault="00B75005">
      <w:pPr>
        <w:pStyle w:val="Caption"/>
        <w:jc w:val="center"/>
      </w:pPr>
      <w:bookmarkStart w:id="28" w:name="_Toc153531133"/>
      <w:r>
        <w:t xml:space="preserve">Figure </w:t>
      </w:r>
      <w:r>
        <w:fldChar w:fldCharType="begin"/>
      </w:r>
      <w:r>
        <w:instrText xml:space="preserve"> SEQ Figure \* ARABIC </w:instrText>
      </w:r>
      <w:r>
        <w:fldChar w:fldCharType="separate"/>
      </w:r>
      <w:r>
        <w:rPr>
          <w:noProof/>
        </w:rPr>
        <w:t>4</w:t>
      </w:r>
      <w:r>
        <w:fldChar w:fldCharType="end"/>
      </w:r>
      <w:r>
        <w:t xml:space="preserve"> BCG  Matrix (Source: Management, n.d.)</w:t>
      </w:r>
      <w:bookmarkEnd w:id="28"/>
    </w:p>
    <w:p w14:paraId="6F859855" w14:textId="77777777" w:rsidR="00EC43DC" w:rsidRDefault="00B75005">
      <w:pPr>
        <w:pStyle w:val="Heading2"/>
      </w:pPr>
      <w:bookmarkStart w:id="29" w:name="_Toc153916147"/>
      <w:r>
        <w:lastRenderedPageBreak/>
        <w:t>Stars (India and UK):</w:t>
      </w:r>
      <w:bookmarkEnd w:id="29"/>
      <w:r>
        <w:t xml:space="preserve"> </w:t>
      </w:r>
    </w:p>
    <w:p w14:paraId="7331E951" w14:textId="77777777" w:rsidR="00EC43DC" w:rsidRDefault="00B75005">
      <w:r>
        <w:t>The classic luxury timepieces from Rolex, such as the Submariner and Daytona, are regarded as stars. These are products with a large market share and significant growth potential. In order to keep these items as stars, Rolex needs to keep spending money on marketing and innovation.</w:t>
      </w:r>
    </w:p>
    <w:p w14:paraId="5CD0ACC1" w14:textId="77777777" w:rsidR="00EC43DC" w:rsidRDefault="00B75005">
      <w:pPr>
        <w:pStyle w:val="Heading2"/>
      </w:pPr>
      <w:bookmarkStart w:id="30" w:name="_Toc153916148"/>
      <w:r>
        <w:t>Question Marks (India and UK):</w:t>
      </w:r>
      <w:bookmarkEnd w:id="30"/>
      <w:r>
        <w:t xml:space="preserve"> </w:t>
      </w:r>
    </w:p>
    <w:p w14:paraId="4C804A58" w14:textId="77777777" w:rsidR="00EC43DC" w:rsidRDefault="00B75005">
      <w:r>
        <w:t>If Rolex chooses to introduce new watch collections or product lines specifically tailored to the needs of Indian or UK consumers, these could first come under the "question mark" category. They may not have a huge market share right now, but they still have space to grow. Rolex must provide the required resources and conduct a thorough evaluation of these potentials.</w:t>
      </w:r>
    </w:p>
    <w:p w14:paraId="70B0F0D3" w14:textId="77777777" w:rsidR="00EC43DC" w:rsidRDefault="00B75005">
      <w:pPr>
        <w:pStyle w:val="Heading2"/>
      </w:pPr>
      <w:bookmarkStart w:id="31" w:name="_Toc153916149"/>
      <w:r>
        <w:t>Profit Centres (UK and India):</w:t>
      </w:r>
      <w:bookmarkEnd w:id="31"/>
      <w:r>
        <w:t xml:space="preserve"> </w:t>
      </w:r>
    </w:p>
    <w:p w14:paraId="4F13CD35" w14:textId="77777777" w:rsidR="00EC43DC" w:rsidRDefault="00B75005">
      <w:r>
        <w:t>Traditional and identifiable Rolex timepieces are regarded as money-makers. Even though they are not expanding rapidly, they are still in control of their market and generate revenue on a regular basis. Rolex must continue to invest in the upkeep and updating of these products.</w:t>
      </w:r>
    </w:p>
    <w:p w14:paraId="45B43C27" w14:textId="77777777" w:rsidR="00EC43DC" w:rsidRDefault="00B75005">
      <w:pPr>
        <w:pStyle w:val="Heading2"/>
      </w:pPr>
      <w:bookmarkStart w:id="32" w:name="_Toc153916150"/>
      <w:r>
        <w:t>Dogs (UK and India):</w:t>
      </w:r>
      <w:bookmarkEnd w:id="32"/>
      <w:r>
        <w:t xml:space="preserve"> </w:t>
      </w:r>
    </w:p>
    <w:p w14:paraId="2E746C1A" w14:textId="77777777" w:rsidR="00EC43DC" w:rsidRDefault="00B75005">
      <w:r>
        <w:t>Rolex needs to cut back on or eliminate any collections or product lines that aren't up to par or do not appeal to UK or Indian consumers.</w:t>
      </w:r>
    </w:p>
    <w:p w14:paraId="4363E34F" w14:textId="77777777" w:rsidR="00EC43DC" w:rsidRDefault="00B75005">
      <w:r>
        <w:t>By matching Rolex's directed development plans with the Ansoff and BCG matrices, the company can strategically plan its market expansion and product development operations in India and the UK to maximize growth and profitability while reducing risks.</w:t>
      </w:r>
    </w:p>
    <w:p w14:paraId="6A141A93" w14:textId="77777777" w:rsidR="00EC43DC" w:rsidRDefault="00B75005">
      <w:pPr>
        <w:pStyle w:val="Heading1"/>
      </w:pPr>
      <w:bookmarkStart w:id="33" w:name="_Toc153916151"/>
      <w:r>
        <w:lastRenderedPageBreak/>
        <w:t>Conclusion and recommendation.</w:t>
      </w:r>
      <w:bookmarkEnd w:id="33"/>
      <w:r>
        <w:t xml:space="preserve"> </w:t>
      </w:r>
    </w:p>
    <w:p w14:paraId="204C612E" w14:textId="77777777" w:rsidR="00EC43DC" w:rsidRDefault="00B75005">
      <w:r>
        <w:t xml:space="preserve">The report shows that the company Rolex exhibits a well-balanced mix of uniformity and adaptation in their deft worldwide marketing approach in the UK and India. The business is completely aware of its distinct market attributes by carefully coordinating choices on distribution, pricing, marketing, and market entry. Through the implementation of methods based on micro and macro evaluations for segmentation, targeting, and positioning, Rolex is able to effectively convey the essence of luxury across diverse </w:t>
      </w:r>
      <w:r>
        <w:t>cultural contexts. Thanks to this harmony, the brand can appeal to both the sophisticated tastes of the UK's well-established luxury market and the aspirations of Indian consumers. As a time-honoured symbol of luxury and excellence, Rolex proves its ability to develop marketing strategies that strike a balance between worldwide brand consistency and local market expertise. It enables Rolex to maintain its reputation as a time-tested symbol of elegance and quality.</w:t>
      </w:r>
    </w:p>
    <w:p w14:paraId="2D38EB24" w14:textId="77777777" w:rsidR="00EC43DC" w:rsidRDefault="00B75005">
      <w:r>
        <w:tab/>
      </w:r>
    </w:p>
    <w:p w14:paraId="7BA19E37" w14:textId="77777777" w:rsidR="00EC43DC" w:rsidRDefault="00B75005">
      <w:pPr>
        <w:rPr>
          <w:rFonts w:eastAsia="SimSun" w:cs="SimSun"/>
          <w:szCs w:val="32"/>
        </w:rPr>
      </w:pPr>
      <w:r>
        <w:br w:type="page"/>
      </w:r>
    </w:p>
    <w:p w14:paraId="023F9188" w14:textId="77777777" w:rsidR="00EC43DC" w:rsidRDefault="00B75005">
      <w:pPr>
        <w:pStyle w:val="Heading1"/>
      </w:pPr>
      <w:bookmarkStart w:id="34" w:name="_Toc153916152"/>
      <w:r>
        <w:lastRenderedPageBreak/>
        <w:t>References</w:t>
      </w:r>
      <w:bookmarkEnd w:id="34"/>
    </w:p>
    <w:p w14:paraId="5BBEB119" w14:textId="77777777" w:rsidR="00EC43DC" w:rsidRDefault="00B75005">
      <w:pPr>
        <w:ind w:left="720" w:hanging="720"/>
      </w:pPr>
      <w:r>
        <w:t xml:space="preserve">Baumgartner, H., and Weijters, B. (2021). Dealing with common </w:t>
      </w:r>
      <w:r>
        <w:t>method variance in international marketing research. </w:t>
      </w:r>
      <w:r>
        <w:rPr>
          <w:i/>
          <w:iCs/>
        </w:rPr>
        <w:t>Journal of International Marketing</w:t>
      </w:r>
      <w:r>
        <w:t>, </w:t>
      </w:r>
      <w:r>
        <w:rPr>
          <w:i/>
          <w:iCs/>
        </w:rPr>
        <w:t>29</w:t>
      </w:r>
      <w:r>
        <w:t>(3), 7-22.</w:t>
      </w:r>
    </w:p>
    <w:p w14:paraId="3D9CE9BF" w14:textId="77777777" w:rsidR="00EC43DC" w:rsidRDefault="00B75005">
      <w:pPr>
        <w:ind w:left="720" w:hanging="720"/>
      </w:pPr>
      <w:r>
        <w:t>Berndt, R., Fantapié Altobelli, C., and Sander, M. (2023). International Product Management. In </w:t>
      </w:r>
      <w:r>
        <w:rPr>
          <w:i/>
          <w:iCs/>
        </w:rPr>
        <w:t>International Marketing Management</w:t>
      </w:r>
      <w:r>
        <w:t> (pp. 245-297). Berlin, Heidelberg: Springer Berlin Heidelberg.</w:t>
      </w:r>
    </w:p>
    <w:p w14:paraId="47C010D0" w14:textId="77777777" w:rsidR="00EC43DC" w:rsidRDefault="00B75005">
      <w:pPr>
        <w:ind w:left="720" w:hanging="720"/>
        <w:jc w:val="left"/>
      </w:pPr>
      <w:r>
        <w:rPr>
          <w:color w:val="auto"/>
        </w:rPr>
        <w:t>CIPD.,2023.</w:t>
      </w:r>
      <w:r>
        <w:rPr>
          <w:rFonts w:ascii="Arial" w:eastAsia="Times New Roman" w:hAnsi="Arial" w:cs="Arial"/>
          <w:b/>
          <w:bCs/>
          <w:color w:val="FFFFFF"/>
          <w:kern w:val="36"/>
          <w:sz w:val="48"/>
          <w:szCs w:val="48"/>
          <w:lang w:val="en-US"/>
        </w:rPr>
        <w:t xml:space="preserve"> </w:t>
      </w:r>
      <w:r>
        <w:rPr>
          <w:color w:val="auto"/>
          <w:lang w:val="en-US"/>
        </w:rPr>
        <w:t>PESTLE analysis. Available at:</w:t>
      </w:r>
      <w:r>
        <w:t xml:space="preserve"> </w:t>
      </w:r>
      <w:hyperlink r:id="rId22" w:history="1">
        <w:r>
          <w:rPr>
            <w:rStyle w:val="Hyperlink"/>
            <w:lang w:val="en-US"/>
          </w:rPr>
          <w:t>https://www.cipd.org/en/knowledge/factsheets/pestle-analysis-factsheet/</w:t>
        </w:r>
      </w:hyperlink>
    </w:p>
    <w:p w14:paraId="2E51DFE5" w14:textId="77777777" w:rsidR="00EC43DC" w:rsidRDefault="00EC43DC">
      <w:pPr>
        <w:ind w:left="720" w:hanging="720"/>
      </w:pPr>
    </w:p>
    <w:p w14:paraId="16070FFD" w14:textId="77777777" w:rsidR="00EC43DC" w:rsidRDefault="00B75005">
      <w:pPr>
        <w:ind w:left="720" w:hanging="720"/>
      </w:pPr>
      <w:r>
        <w:t>Diaz Ruiz, C., and Cruz, A. G. B. (2023). Unconventional luxury brand collaborations: a new form of luxury consumption among young adults in China. </w:t>
      </w:r>
      <w:r>
        <w:rPr>
          <w:i/>
          <w:iCs/>
        </w:rPr>
        <w:t>International Marketing Review</w:t>
      </w:r>
      <w:r>
        <w:t>, </w:t>
      </w:r>
      <w:r>
        <w:rPr>
          <w:i/>
          <w:iCs/>
        </w:rPr>
        <w:t>40</w:t>
      </w:r>
      <w:r>
        <w:t>(7), 1-21.</w:t>
      </w:r>
    </w:p>
    <w:p w14:paraId="27FD0E71" w14:textId="77777777" w:rsidR="00EC43DC" w:rsidRDefault="00B75005">
      <w:pPr>
        <w:jc w:val="left"/>
      </w:pPr>
      <w:r>
        <w:rPr>
          <w:lang w:val="en-US"/>
        </w:rPr>
        <w:t xml:space="preserve">Edrawmind (2022). Porter’s Five Forces Analysis Definition and Examples.   [online]   Available at  </w:t>
      </w:r>
      <w:hyperlink r:id="rId23" w:history="1">
        <w:r>
          <w:rPr>
            <w:rStyle w:val="Hyperlink"/>
            <w:szCs w:val="24"/>
          </w:rPr>
          <w:t>https://www.edrawmind.com/article/porters-five-forces-analysis-definitionand-</w:t>
        </w:r>
        <w:r>
          <w:rPr>
            <w:rStyle w:val="Hyperlink"/>
            <w:szCs w:val="24"/>
            <w:lang w:val="en-US"/>
          </w:rPr>
          <w:t xml:space="preserve">   </w:t>
        </w:r>
        <w:r>
          <w:rPr>
            <w:rStyle w:val="Hyperlink"/>
            <w:szCs w:val="24"/>
          </w:rPr>
          <w:t>examples.html</w:t>
        </w:r>
      </w:hyperlink>
      <w:r>
        <w:rPr>
          <w:lang w:val="en-US"/>
        </w:rPr>
        <w:t>j</w:t>
      </w:r>
    </w:p>
    <w:p w14:paraId="321FBB00" w14:textId="77777777" w:rsidR="00EC43DC" w:rsidRDefault="00B75005">
      <w:pPr>
        <w:ind w:left="720" w:hanging="720"/>
        <w:jc w:val="left"/>
      </w:pPr>
      <w:r>
        <w:rPr>
          <w:color w:val="auto"/>
        </w:rPr>
        <w:t>iEduNote., 2023.</w:t>
      </w:r>
      <w:r>
        <w:t xml:space="preserve"> </w:t>
      </w:r>
      <w:r>
        <w:rPr>
          <w:color w:val="auto"/>
        </w:rPr>
        <w:t>Hofstede’s Cultural Dimensions Theory. Available at:</w:t>
      </w:r>
      <w:r>
        <w:t xml:space="preserve"> </w:t>
      </w:r>
      <w:hyperlink r:id="rId24" w:history="1">
        <w:r>
          <w:rPr>
            <w:rStyle w:val="Hyperlink"/>
          </w:rPr>
          <w:t>https://www.iedunote.com/hofstedes-cultural-dimensions-theory</w:t>
        </w:r>
      </w:hyperlink>
    </w:p>
    <w:p w14:paraId="0655C073" w14:textId="77777777" w:rsidR="00EC43DC" w:rsidRDefault="00B75005">
      <w:pPr>
        <w:ind w:left="720" w:hanging="720"/>
        <w:jc w:val="left"/>
      </w:pPr>
      <w:r>
        <w:t xml:space="preserve">Iqani, M. (2023). "One day you will buy a Rolex from me": reflexivity and researcher decoding positions in luxury research. </w:t>
      </w:r>
      <w:r>
        <w:rPr>
          <w:i/>
          <w:iCs/>
        </w:rPr>
        <w:t>Consumption Markets and Culture</w:t>
      </w:r>
      <w:r>
        <w:t>, </w:t>
      </w:r>
      <w:r>
        <w:rPr>
          <w:i/>
          <w:iCs/>
        </w:rPr>
        <w:t>26</w:t>
      </w:r>
      <w:r>
        <w:t>(2), 155-167.</w:t>
      </w:r>
    </w:p>
    <w:p w14:paraId="22C4C044" w14:textId="77777777" w:rsidR="00EC43DC" w:rsidRDefault="00B75005">
      <w:pPr>
        <w:ind w:left="720" w:hanging="720"/>
      </w:pPr>
      <w:r>
        <w:lastRenderedPageBreak/>
        <w:t xml:space="preserve">Khan, S., and Fazili, A. I. (2019). Does the need for </w:t>
      </w:r>
      <w:r>
        <w:t>social status among price-conscious consumers induce the consumption of counterfeit luxury brands? </w:t>
      </w:r>
      <w:r>
        <w:rPr>
          <w:i/>
          <w:iCs/>
        </w:rPr>
        <w:t>Journal of Business and Management</w:t>
      </w:r>
      <w:r>
        <w:t>, </w:t>
      </w:r>
      <w:r>
        <w:rPr>
          <w:i/>
          <w:iCs/>
        </w:rPr>
        <w:t>25</w:t>
      </w:r>
      <w:r>
        <w:t>(2).</w:t>
      </w:r>
    </w:p>
    <w:p w14:paraId="7110A4ED" w14:textId="77777777" w:rsidR="00EC43DC" w:rsidRDefault="00B75005">
      <w:pPr>
        <w:ind w:left="720" w:hanging="720"/>
      </w:pPr>
      <w:r>
        <w:t>Kim, M. Y., Moon, S., and Iacobucci, D. (2019). The influence of global brand distribution on brand popularity on social media. </w:t>
      </w:r>
      <w:r>
        <w:rPr>
          <w:i/>
          <w:iCs/>
        </w:rPr>
        <w:t>Journal of International Marketing</w:t>
      </w:r>
      <w:r>
        <w:t>, </w:t>
      </w:r>
      <w:r>
        <w:rPr>
          <w:i/>
          <w:iCs/>
        </w:rPr>
        <w:t>27</w:t>
      </w:r>
      <w:r>
        <w:t>(4), 22-38.</w:t>
      </w:r>
    </w:p>
    <w:p w14:paraId="26940917" w14:textId="77777777" w:rsidR="00EC43DC" w:rsidRDefault="00B75005">
      <w:pPr>
        <w:ind w:left="720" w:hanging="720"/>
        <w:jc w:val="left"/>
        <w:rPr>
          <w:lang w:val="en-US"/>
        </w:rPr>
      </w:pPr>
      <w:r>
        <w:t xml:space="preserve">Management. (n.d.). BCG Matrix [Online]. Available at: </w:t>
      </w:r>
      <w:hyperlink r:id="rId25" w:history="1">
        <w:r>
          <w:rPr>
            <w:rStyle w:val="Hyperlink"/>
          </w:rPr>
          <w:t>https://managementconsulted.com/bcg-matrix/</w:t>
        </w:r>
      </w:hyperlink>
    </w:p>
    <w:p w14:paraId="182D8DE7" w14:textId="77777777" w:rsidR="00EC43DC" w:rsidRDefault="00B75005">
      <w:pPr>
        <w:ind w:left="720"/>
      </w:pPr>
      <w:hyperlink r:id="rId26" w:history="1">
        <w:r>
          <w:rPr>
            <w:rStyle w:val="Hyperlink"/>
            <w:szCs w:val="24"/>
          </w:rPr>
          <w:t>https://www.verifiedmarketresearch.com/product/luxury-resale-market/</w:t>
        </w:r>
      </w:hyperlink>
    </w:p>
    <w:p w14:paraId="26A98287" w14:textId="77777777" w:rsidR="00EC43DC" w:rsidRDefault="00B75005">
      <w:pPr>
        <w:ind w:left="720" w:hanging="720"/>
      </w:pPr>
      <w:r>
        <w:t xml:space="preserve">Nagy, M., Bennett, D., and Graham, C. (2020). Why include the BOP in your international marketing strategy? </w:t>
      </w:r>
      <w:r>
        <w:rPr>
          <w:i/>
          <w:iCs/>
        </w:rPr>
        <w:t>International Marketing Review</w:t>
      </w:r>
      <w:r>
        <w:t>, </w:t>
      </w:r>
      <w:r>
        <w:rPr>
          <w:i/>
          <w:iCs/>
        </w:rPr>
        <w:t>37</w:t>
      </w:r>
      <w:r>
        <w:t>(1), 76-97.</w:t>
      </w:r>
    </w:p>
    <w:p w14:paraId="500143F1" w14:textId="77777777" w:rsidR="00EC43DC" w:rsidRDefault="00B75005">
      <w:pPr>
        <w:ind w:left="720" w:hanging="720"/>
      </w:pPr>
      <w:r>
        <w:t>Navarro, C., and Jones, A. (2021). Re-Imaging Malta: The Potential of Sailing and Yacht Events as a Tourism Niche—a Case Study of the Rolex Middle Sea Race RMSR. In </w:t>
      </w:r>
      <w:r>
        <w:rPr>
          <w:i/>
          <w:iCs/>
        </w:rPr>
        <w:t>Luxury Yachting: Perspectives on Tourism, Practice and Context</w:t>
      </w:r>
      <w:r>
        <w:t> (pp. 195-218). Cham: Springer International Publishing.</w:t>
      </w:r>
    </w:p>
    <w:p w14:paraId="5B9858A7" w14:textId="77777777" w:rsidR="00EC43DC" w:rsidRDefault="00B75005">
      <w:pPr>
        <w:ind w:left="720" w:hanging="720"/>
      </w:pPr>
      <w:r>
        <w:t>Paul, J. (2020). Marketing in emerging markets: a review, theoretical synthesis and extension. </w:t>
      </w:r>
      <w:r>
        <w:rPr>
          <w:i/>
          <w:iCs/>
        </w:rPr>
        <w:t>International Journal of Emerging Markets</w:t>
      </w:r>
      <w:r>
        <w:t>, </w:t>
      </w:r>
      <w:r>
        <w:rPr>
          <w:i/>
          <w:iCs/>
        </w:rPr>
        <w:t>15</w:t>
      </w:r>
      <w:r>
        <w:t>(3), 446-468.</w:t>
      </w:r>
    </w:p>
    <w:p w14:paraId="7E8DF247" w14:textId="77777777" w:rsidR="00EC43DC" w:rsidRDefault="00B75005">
      <w:pPr>
        <w:ind w:left="720" w:hanging="720"/>
      </w:pPr>
      <w:r>
        <w:t xml:space="preserve">Qureshi, I. H., and Mehraj, D. (2022). Identifying the factors of internal green marketing: scale development and psychometric evaluation approach. </w:t>
      </w:r>
      <w:r>
        <w:rPr>
          <w:i/>
          <w:iCs/>
        </w:rPr>
        <w:t>International Journal of Manpower</w:t>
      </w:r>
      <w:r>
        <w:t>, </w:t>
      </w:r>
      <w:r>
        <w:rPr>
          <w:i/>
          <w:iCs/>
        </w:rPr>
        <w:t>43</w:t>
      </w:r>
      <w:r>
        <w:t>(3), 786-804.</w:t>
      </w:r>
    </w:p>
    <w:p w14:paraId="2694986A" w14:textId="77777777" w:rsidR="00EC43DC" w:rsidRDefault="00B75005">
      <w:pPr>
        <w:ind w:left="720" w:hanging="720"/>
      </w:pPr>
      <w:r>
        <w:lastRenderedPageBreak/>
        <w:t>Rosendo-Rios, V., and Shukla, P. (2023). When luxury democratizes: Exploring the effects of luxury democratization, hedonic value and instrumental self-presentation on traditional luxury consumers' behavioural intentions. </w:t>
      </w:r>
      <w:r>
        <w:rPr>
          <w:i/>
          <w:iCs/>
        </w:rPr>
        <w:t>Journal of Business Research</w:t>
      </w:r>
      <w:r>
        <w:t>, </w:t>
      </w:r>
      <w:r>
        <w:rPr>
          <w:i/>
          <w:iCs/>
        </w:rPr>
        <w:t>155</w:t>
      </w:r>
      <w:r>
        <w:t>, 113448.</w:t>
      </w:r>
    </w:p>
    <w:p w14:paraId="2DA7CF7C" w14:textId="77777777" w:rsidR="00EC43DC" w:rsidRDefault="00B75005">
      <w:pPr>
        <w:ind w:left="720" w:hanging="720"/>
      </w:pPr>
      <w:r>
        <w:t xml:space="preserve">Schultz, M. D., and Seele, P. (2022). " Some of my Customers […] Take off Their Rolex Before a Client Meeting" Luxury Display at Work and the Social (Re) Construction of the Organizational Image. </w:t>
      </w:r>
      <w:r>
        <w:rPr>
          <w:i/>
          <w:iCs/>
        </w:rPr>
        <w:t>Luxury</w:t>
      </w:r>
      <w:r>
        <w:t>, </w:t>
      </w:r>
      <w:r>
        <w:rPr>
          <w:i/>
          <w:iCs/>
        </w:rPr>
        <w:t>9</w:t>
      </w:r>
      <w:r>
        <w:t>(1), 5-34.</w:t>
      </w:r>
    </w:p>
    <w:p w14:paraId="19CF8BA3" w14:textId="77777777" w:rsidR="00EC43DC" w:rsidRDefault="00B75005">
      <w:pPr>
        <w:ind w:left="720" w:hanging="720"/>
      </w:pPr>
      <w:r>
        <w:t>Sharma, P., Pradhan, S., and Srivastava, A. (2021). Understanding the luxury purchase intentions of young consumers: a qualitative analysis. </w:t>
      </w:r>
      <w:r>
        <w:rPr>
          <w:i/>
          <w:iCs/>
        </w:rPr>
        <w:t>Asia-Pacific Journal of Business Administration</w:t>
      </w:r>
      <w:r>
        <w:t>, </w:t>
      </w:r>
      <w:r>
        <w:rPr>
          <w:i/>
          <w:iCs/>
        </w:rPr>
        <w:t>13</w:t>
      </w:r>
      <w:r>
        <w:t>(4), 452-476.</w:t>
      </w:r>
    </w:p>
    <w:p w14:paraId="4A2C998C" w14:textId="77777777" w:rsidR="00EC43DC" w:rsidRDefault="00B75005">
      <w:pPr>
        <w:ind w:left="720" w:hanging="720"/>
      </w:pPr>
      <w:r>
        <w:t>Singh, J., Shukla, P., and Schlegelmilch, B. B. (2022). Desire, need, and obligation: Examining commitment to luxury brands in emerging markets. </w:t>
      </w:r>
      <w:r>
        <w:rPr>
          <w:i/>
          <w:iCs/>
        </w:rPr>
        <w:t>International Business Review</w:t>
      </w:r>
      <w:r>
        <w:t>, </w:t>
      </w:r>
      <w:r>
        <w:rPr>
          <w:i/>
          <w:iCs/>
        </w:rPr>
        <w:t>31</w:t>
      </w:r>
      <w:r>
        <w:t>(3), 101947.</w:t>
      </w:r>
    </w:p>
    <w:p w14:paraId="2C0B6594" w14:textId="77777777" w:rsidR="00EC43DC" w:rsidRDefault="00B75005">
      <w:pPr>
        <w:ind w:left="720" w:hanging="720"/>
      </w:pPr>
      <w:r>
        <w:t>Thomsen, S., and Kavadis, N. (2022). Enterprise foundations: law, taxation, governance, and performance. </w:t>
      </w:r>
      <w:r>
        <w:rPr>
          <w:i/>
          <w:iCs/>
        </w:rPr>
        <w:t>Annals of Corporate Governance</w:t>
      </w:r>
      <w:r>
        <w:t>, </w:t>
      </w:r>
      <w:r>
        <w:rPr>
          <w:i/>
          <w:iCs/>
        </w:rPr>
        <w:t>6</w:t>
      </w:r>
      <w:r>
        <w:t>(4), 227-333.</w:t>
      </w:r>
    </w:p>
    <w:p w14:paraId="4C44B0D0" w14:textId="77777777" w:rsidR="00EC43DC" w:rsidRDefault="00B75005">
      <w:pPr>
        <w:ind w:left="720" w:hanging="720"/>
      </w:pPr>
      <w:r>
        <w:t>Tien, N. H., Phu, P. P., and Chi, D. T. P. (2019). The role of international marketing in international business strategy. </w:t>
      </w:r>
      <w:r>
        <w:rPr>
          <w:i/>
          <w:iCs/>
        </w:rPr>
        <w:t>International journal of marketing management and sales</w:t>
      </w:r>
      <w:r>
        <w:t xml:space="preserve"> research, </w:t>
      </w:r>
      <w:r>
        <w:rPr>
          <w:i/>
          <w:iCs/>
        </w:rPr>
        <w:t>1</w:t>
      </w:r>
      <w:r>
        <w:t>(2), 134-138.</w:t>
      </w:r>
    </w:p>
    <w:p w14:paraId="023FF16F" w14:textId="77777777" w:rsidR="00EC43DC" w:rsidRDefault="00B75005">
      <w:pPr>
        <w:ind w:left="720" w:hanging="720"/>
      </w:pPr>
      <w:r>
        <w:t>Viswanathan, S. K., and Jha, K. N. (2019). Factors influencing international market selection for Indian construction firms. </w:t>
      </w:r>
      <w:r>
        <w:rPr>
          <w:i/>
          <w:iCs/>
        </w:rPr>
        <w:t>Journal of Management in Engineering</w:t>
      </w:r>
      <w:r>
        <w:t>, </w:t>
      </w:r>
      <w:r>
        <w:rPr>
          <w:i/>
          <w:iCs/>
        </w:rPr>
        <w:t>35</w:t>
      </w:r>
      <w:r>
        <w:t>(5), 05019006.</w:t>
      </w:r>
    </w:p>
    <w:p w14:paraId="6A1DE8F1" w14:textId="77777777" w:rsidR="00EC43DC" w:rsidRDefault="00B75005">
      <w:pPr>
        <w:ind w:left="720" w:hanging="720"/>
      </w:pPr>
      <w:r>
        <w:lastRenderedPageBreak/>
        <w:t xml:space="preserve">Wang, P., Kuah, A. T., Lu, Q., Wong, C., Thirumaran, K., Adegbite, E., and Kendall, W. (2021). The impact of value perceptions on purchase intention of </w:t>
      </w:r>
      <w:r>
        <w:t>sustainable luxury brands in China and the UK. </w:t>
      </w:r>
      <w:r>
        <w:rPr>
          <w:i/>
          <w:iCs/>
        </w:rPr>
        <w:t>Journal of Brand Management</w:t>
      </w:r>
      <w:r>
        <w:t>, </w:t>
      </w:r>
      <w:r>
        <w:rPr>
          <w:i/>
          <w:iCs/>
        </w:rPr>
        <w:t>28</w:t>
      </w:r>
      <w:r>
        <w:t>, 325-346.</w:t>
      </w:r>
    </w:p>
    <w:p w14:paraId="187E598B" w14:textId="77777777" w:rsidR="00EC43DC" w:rsidRDefault="00EC43DC">
      <w:pPr>
        <w:ind w:left="720" w:hanging="720"/>
        <w:jc w:val="left"/>
        <w:rPr>
          <w:rStyle w:val="Hyperlink"/>
          <w:szCs w:val="24"/>
        </w:rPr>
      </w:pPr>
    </w:p>
    <w:p w14:paraId="423DFADE" w14:textId="77777777" w:rsidR="00EC43DC" w:rsidRDefault="00EC43DC">
      <w:pPr>
        <w:ind w:left="480"/>
        <w:jc w:val="left"/>
        <w:rPr>
          <w:rStyle w:val="Hyperlink"/>
          <w:color w:val="auto"/>
          <w:szCs w:val="24"/>
          <w:u w:val="none"/>
        </w:rPr>
      </w:pPr>
    </w:p>
    <w:p w14:paraId="5ECDFA87" w14:textId="77777777" w:rsidR="00EC43DC" w:rsidRDefault="00EC43DC">
      <w:pPr>
        <w:ind w:left="720" w:hanging="720"/>
        <w:jc w:val="left"/>
        <w:rPr>
          <w:color w:val="auto"/>
        </w:rPr>
      </w:pPr>
    </w:p>
    <w:p w14:paraId="1F10EBC1" w14:textId="77777777" w:rsidR="00EC43DC" w:rsidRDefault="00EC43DC">
      <w:pPr>
        <w:ind w:left="720" w:hanging="720"/>
        <w:rPr>
          <w:color w:val="auto"/>
        </w:rPr>
      </w:pPr>
    </w:p>
    <w:sectPr w:rsidR="00EC43DC">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3B8CB" w14:textId="77777777" w:rsidR="00B75005" w:rsidRDefault="00B75005">
      <w:pPr>
        <w:spacing w:after="0" w:line="240" w:lineRule="auto"/>
      </w:pPr>
      <w:r>
        <w:separator/>
      </w:r>
    </w:p>
  </w:endnote>
  <w:endnote w:type="continuationSeparator" w:id="0">
    <w:p w14:paraId="2D8C1879" w14:textId="77777777" w:rsidR="00B75005" w:rsidRDefault="00B7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054A4" w14:textId="77777777" w:rsidR="00B75005" w:rsidRDefault="00B75005">
      <w:pPr>
        <w:spacing w:after="0" w:line="240" w:lineRule="auto"/>
      </w:pPr>
      <w:r>
        <w:separator/>
      </w:r>
    </w:p>
  </w:footnote>
  <w:footnote w:type="continuationSeparator" w:id="0">
    <w:p w14:paraId="76833192" w14:textId="77777777" w:rsidR="00B75005" w:rsidRDefault="00B75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4782D" w14:textId="77777777" w:rsidR="00EC43DC" w:rsidRDefault="00B75005">
    <w:pPr>
      <w:pStyle w:val="Header"/>
      <w:jc w:val="right"/>
    </w:pPr>
    <w:r>
      <w:fldChar w:fldCharType="begin"/>
    </w:r>
    <w:r>
      <w:instrText xml:space="preserve"> PAGE   \* MERGEFORMAT </w:instrText>
    </w:r>
    <w:r>
      <w:fldChar w:fldCharType="separate"/>
    </w:r>
    <w:r>
      <w:rPr>
        <w:noProof/>
      </w:rPr>
      <w:t>2</w:t>
    </w:r>
    <w:r>
      <w:rPr>
        <w:noProof/>
      </w:rPr>
      <w:fldChar w:fldCharType="end"/>
    </w:r>
  </w:p>
  <w:p w14:paraId="4633247F" w14:textId="77777777" w:rsidR="00EC43DC" w:rsidRDefault="00EC4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B1384B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multilevel"/>
    <w:tmpl w:val="B26422C6"/>
    <w:lvl w:ilvl="0">
      <w:start w:val="1"/>
      <w:numFmt w:val="decimal"/>
      <w:pStyle w:val="Heading3"/>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2"/>
    <w:multiLevelType w:val="hybridMultilevel"/>
    <w:tmpl w:val="52249A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3"/>
    <w:multiLevelType w:val="hybridMultilevel"/>
    <w:tmpl w:val="1580587E"/>
    <w:lvl w:ilvl="0" w:tplc="F1643FD8">
      <w:start w:val="1"/>
      <w:numFmt w:val="bullet"/>
      <w:lvlText w:val=""/>
      <w:lvlJc w:val="left"/>
      <w:pPr>
        <w:ind w:left="720" w:hanging="360"/>
      </w:pPr>
      <w:rPr>
        <w:rFonts w:ascii="Wingdings" w:hAnsi="Wingdings" w:hint="default"/>
      </w:rPr>
    </w:lvl>
    <w:lvl w:ilvl="1" w:tplc="CF240E12" w:tentative="1">
      <w:start w:val="1"/>
      <w:numFmt w:val="bullet"/>
      <w:lvlText w:val="o"/>
      <w:lvlJc w:val="left"/>
      <w:pPr>
        <w:ind w:left="1440" w:hanging="360"/>
      </w:pPr>
      <w:rPr>
        <w:rFonts w:ascii="Courier New" w:hAnsi="Courier New" w:cs="Courier New" w:hint="default"/>
      </w:rPr>
    </w:lvl>
    <w:lvl w:ilvl="2" w:tplc="4AE6CF88" w:tentative="1">
      <w:start w:val="1"/>
      <w:numFmt w:val="bullet"/>
      <w:lvlText w:val=""/>
      <w:lvlJc w:val="left"/>
      <w:pPr>
        <w:ind w:left="2160" w:hanging="360"/>
      </w:pPr>
      <w:rPr>
        <w:rFonts w:ascii="Wingdings" w:hAnsi="Wingdings" w:hint="default"/>
      </w:rPr>
    </w:lvl>
    <w:lvl w:ilvl="3" w:tplc="161E037E" w:tentative="1">
      <w:start w:val="1"/>
      <w:numFmt w:val="bullet"/>
      <w:lvlText w:val=""/>
      <w:lvlJc w:val="left"/>
      <w:pPr>
        <w:ind w:left="2880" w:hanging="360"/>
      </w:pPr>
      <w:rPr>
        <w:rFonts w:ascii="Symbol" w:hAnsi="Symbol" w:hint="default"/>
      </w:rPr>
    </w:lvl>
    <w:lvl w:ilvl="4" w:tplc="5E64B77E" w:tentative="1">
      <w:start w:val="1"/>
      <w:numFmt w:val="bullet"/>
      <w:lvlText w:val="o"/>
      <w:lvlJc w:val="left"/>
      <w:pPr>
        <w:ind w:left="3600" w:hanging="360"/>
      </w:pPr>
      <w:rPr>
        <w:rFonts w:ascii="Courier New" w:hAnsi="Courier New" w:cs="Courier New" w:hint="default"/>
      </w:rPr>
    </w:lvl>
    <w:lvl w:ilvl="5" w:tplc="CA2C76E0" w:tentative="1">
      <w:start w:val="1"/>
      <w:numFmt w:val="bullet"/>
      <w:lvlText w:val=""/>
      <w:lvlJc w:val="left"/>
      <w:pPr>
        <w:ind w:left="4320" w:hanging="360"/>
      </w:pPr>
      <w:rPr>
        <w:rFonts w:ascii="Wingdings" w:hAnsi="Wingdings" w:hint="default"/>
      </w:rPr>
    </w:lvl>
    <w:lvl w:ilvl="6" w:tplc="CFB4E28C" w:tentative="1">
      <w:start w:val="1"/>
      <w:numFmt w:val="bullet"/>
      <w:lvlText w:val=""/>
      <w:lvlJc w:val="left"/>
      <w:pPr>
        <w:ind w:left="5040" w:hanging="360"/>
      </w:pPr>
      <w:rPr>
        <w:rFonts w:ascii="Symbol" w:hAnsi="Symbol" w:hint="default"/>
      </w:rPr>
    </w:lvl>
    <w:lvl w:ilvl="7" w:tplc="C5E4431C" w:tentative="1">
      <w:start w:val="1"/>
      <w:numFmt w:val="bullet"/>
      <w:lvlText w:val="o"/>
      <w:lvlJc w:val="left"/>
      <w:pPr>
        <w:ind w:left="5760" w:hanging="360"/>
      </w:pPr>
      <w:rPr>
        <w:rFonts w:ascii="Courier New" w:hAnsi="Courier New" w:cs="Courier New" w:hint="default"/>
      </w:rPr>
    </w:lvl>
    <w:lvl w:ilvl="8" w:tplc="027827D4"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7A966942"/>
    <w:lvl w:ilvl="0" w:tplc="F796E69C">
      <w:start w:val="1"/>
      <w:numFmt w:val="bullet"/>
      <w:lvlText w:val=""/>
      <w:lvlJc w:val="left"/>
      <w:pPr>
        <w:ind w:left="720" w:hanging="360"/>
      </w:pPr>
      <w:rPr>
        <w:rFonts w:ascii="Symbol" w:hAnsi="Symbol" w:hint="default"/>
      </w:rPr>
    </w:lvl>
    <w:lvl w:ilvl="1" w:tplc="74148416" w:tentative="1">
      <w:start w:val="1"/>
      <w:numFmt w:val="bullet"/>
      <w:lvlText w:val="o"/>
      <w:lvlJc w:val="left"/>
      <w:pPr>
        <w:ind w:left="1440" w:hanging="360"/>
      </w:pPr>
      <w:rPr>
        <w:rFonts w:ascii="Courier New" w:hAnsi="Courier New" w:cs="Courier New" w:hint="default"/>
      </w:rPr>
    </w:lvl>
    <w:lvl w:ilvl="2" w:tplc="B546F6E0" w:tentative="1">
      <w:start w:val="1"/>
      <w:numFmt w:val="bullet"/>
      <w:lvlText w:val=""/>
      <w:lvlJc w:val="left"/>
      <w:pPr>
        <w:ind w:left="2160" w:hanging="360"/>
      </w:pPr>
      <w:rPr>
        <w:rFonts w:ascii="Wingdings" w:hAnsi="Wingdings" w:hint="default"/>
      </w:rPr>
    </w:lvl>
    <w:lvl w:ilvl="3" w:tplc="934C318A" w:tentative="1">
      <w:start w:val="1"/>
      <w:numFmt w:val="bullet"/>
      <w:lvlText w:val=""/>
      <w:lvlJc w:val="left"/>
      <w:pPr>
        <w:ind w:left="2880" w:hanging="360"/>
      </w:pPr>
      <w:rPr>
        <w:rFonts w:ascii="Symbol" w:hAnsi="Symbol" w:hint="default"/>
      </w:rPr>
    </w:lvl>
    <w:lvl w:ilvl="4" w:tplc="F06E3FB0" w:tentative="1">
      <w:start w:val="1"/>
      <w:numFmt w:val="bullet"/>
      <w:lvlText w:val="o"/>
      <w:lvlJc w:val="left"/>
      <w:pPr>
        <w:ind w:left="3600" w:hanging="360"/>
      </w:pPr>
      <w:rPr>
        <w:rFonts w:ascii="Courier New" w:hAnsi="Courier New" w:cs="Courier New" w:hint="default"/>
      </w:rPr>
    </w:lvl>
    <w:lvl w:ilvl="5" w:tplc="CA02684C" w:tentative="1">
      <w:start w:val="1"/>
      <w:numFmt w:val="bullet"/>
      <w:lvlText w:val=""/>
      <w:lvlJc w:val="left"/>
      <w:pPr>
        <w:ind w:left="4320" w:hanging="360"/>
      </w:pPr>
      <w:rPr>
        <w:rFonts w:ascii="Wingdings" w:hAnsi="Wingdings" w:hint="default"/>
      </w:rPr>
    </w:lvl>
    <w:lvl w:ilvl="6" w:tplc="BCFED648" w:tentative="1">
      <w:start w:val="1"/>
      <w:numFmt w:val="bullet"/>
      <w:lvlText w:val=""/>
      <w:lvlJc w:val="left"/>
      <w:pPr>
        <w:ind w:left="5040" w:hanging="360"/>
      </w:pPr>
      <w:rPr>
        <w:rFonts w:ascii="Symbol" w:hAnsi="Symbol" w:hint="default"/>
      </w:rPr>
    </w:lvl>
    <w:lvl w:ilvl="7" w:tplc="0F440518" w:tentative="1">
      <w:start w:val="1"/>
      <w:numFmt w:val="bullet"/>
      <w:lvlText w:val="o"/>
      <w:lvlJc w:val="left"/>
      <w:pPr>
        <w:ind w:left="5760" w:hanging="360"/>
      </w:pPr>
      <w:rPr>
        <w:rFonts w:ascii="Courier New" w:hAnsi="Courier New" w:cs="Courier New" w:hint="default"/>
      </w:rPr>
    </w:lvl>
    <w:lvl w:ilvl="8" w:tplc="A32EC880"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multilevel"/>
    <w:tmpl w:val="E140D178"/>
    <w:lvl w:ilvl="0">
      <w:start w:val="1"/>
      <w:numFmt w:val="decimal"/>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639501783">
    <w:abstractNumId w:val="1"/>
  </w:num>
  <w:num w:numId="2" w16cid:durableId="225797265">
    <w:abstractNumId w:val="0"/>
  </w:num>
  <w:num w:numId="3" w16cid:durableId="1210141661">
    <w:abstractNumId w:val="4"/>
  </w:num>
  <w:num w:numId="4" w16cid:durableId="1343511228">
    <w:abstractNumId w:val="3"/>
  </w:num>
  <w:num w:numId="5" w16cid:durableId="435104236">
    <w:abstractNumId w:val="5"/>
  </w:num>
  <w:num w:numId="6" w16cid:durableId="1761557830">
    <w:abstractNumId w:val="2"/>
  </w:num>
  <w:num w:numId="7" w16cid:durableId="777993768">
    <w:abstractNumId w:val="1"/>
  </w:num>
  <w:num w:numId="8" w16cid:durableId="1925332383">
    <w:abstractNumId w:val="1"/>
  </w:num>
  <w:num w:numId="9" w16cid:durableId="290205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3DC"/>
    <w:rsid w:val="002A258F"/>
    <w:rsid w:val="003A5D17"/>
    <w:rsid w:val="004614B3"/>
    <w:rsid w:val="00643814"/>
    <w:rsid w:val="00B75005"/>
    <w:rsid w:val="00EC43DC"/>
    <w:rsid w:val="00EC6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EB853"/>
  <w15:docId w15:val="{C3CFBFFB-1890-4ED5-978E-2569DD3E5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480" w:lineRule="auto"/>
      <w:jc w:val="both"/>
    </w:pPr>
    <w:rPr>
      <w:rFonts w:ascii="Times New Roman" w:hAnsi="Times New Roman" w:cs="Times New Roman"/>
      <w:color w:val="000000"/>
      <w:sz w:val="24"/>
      <w:lang w:val="en-GB"/>
    </w:rPr>
  </w:style>
  <w:style w:type="paragraph" w:styleId="Heading1">
    <w:name w:val="heading 1"/>
    <w:basedOn w:val="Normal"/>
    <w:next w:val="Normal"/>
    <w:link w:val="Heading1Char"/>
    <w:uiPriority w:val="9"/>
    <w:qFormat/>
    <w:pPr>
      <w:keepNext/>
      <w:keepLines/>
      <w:spacing w:before="240" w:line="360" w:lineRule="auto"/>
      <w:outlineLvl w:val="0"/>
    </w:pPr>
    <w:rPr>
      <w:rFonts w:eastAsia="SimSun" w:cs="SimSun"/>
      <w:b/>
      <w:sz w:val="32"/>
      <w:szCs w:val="32"/>
    </w:rPr>
  </w:style>
  <w:style w:type="paragraph" w:styleId="Heading2">
    <w:name w:val="heading 2"/>
    <w:basedOn w:val="Normal"/>
    <w:next w:val="Normal"/>
    <w:link w:val="Heading2Char"/>
    <w:uiPriority w:val="9"/>
    <w:unhideWhenUsed/>
    <w:qFormat/>
    <w:pPr>
      <w:keepNext/>
      <w:keepLines/>
      <w:widowControl w:val="0"/>
      <w:autoSpaceDE w:val="0"/>
      <w:autoSpaceDN w:val="0"/>
      <w:spacing w:before="40"/>
      <w:outlineLvl w:val="1"/>
    </w:pPr>
    <w:rPr>
      <w:rFonts w:eastAsia="SimSun" w:cs="SimSun"/>
      <w:b/>
      <w:i/>
      <w:szCs w:val="26"/>
    </w:rPr>
  </w:style>
  <w:style w:type="paragraph" w:styleId="Heading3">
    <w:name w:val="heading 3"/>
    <w:basedOn w:val="Normal"/>
    <w:next w:val="Normal"/>
    <w:link w:val="Heading3Char"/>
    <w:uiPriority w:val="9"/>
    <w:semiHidden/>
    <w:unhideWhenUsed/>
    <w:qFormat/>
    <w:pPr>
      <w:numPr>
        <w:numId w:val="1"/>
      </w:numPr>
      <w:outlineLvl w:val="2"/>
    </w:pPr>
    <w:rPr>
      <w:bCs/>
      <w:i/>
      <w:lang w:val="en-US"/>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cs="SimSun"/>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32"/>
      <w:szCs w:val="32"/>
      <w:lang w:val="en-GB"/>
    </w:rPr>
  </w:style>
  <w:style w:type="character" w:customStyle="1" w:styleId="Heading2Char">
    <w:name w:val="Heading 2 Char"/>
    <w:basedOn w:val="DefaultParagraphFont"/>
    <w:link w:val="Heading2"/>
    <w:uiPriority w:val="1"/>
    <w:rPr>
      <w:rFonts w:ascii="Times New Roman" w:eastAsia="SimSun" w:hAnsi="Times New Roman" w:cs="SimSun"/>
      <w:b/>
      <w:i/>
      <w:color w:val="000000"/>
      <w:sz w:val="24"/>
      <w:szCs w:val="26"/>
      <w:lang w:val="en-GB"/>
    </w:rPr>
  </w:style>
  <w:style w:type="character" w:customStyle="1" w:styleId="Heading3Char">
    <w:name w:val="Heading 3 Char"/>
    <w:basedOn w:val="DefaultParagraphFont"/>
    <w:link w:val="Heading3"/>
    <w:uiPriority w:val="9"/>
    <w:rPr>
      <w:rFonts w:ascii="Times New Roman" w:hAnsi="Times New Roman" w:cs="Times New Roman"/>
      <w:bCs/>
      <w:i/>
      <w:color w:val="000000"/>
      <w:sz w:val="24"/>
    </w:rPr>
  </w:style>
  <w:style w:type="paragraph" w:styleId="Title">
    <w:name w:val="Title"/>
    <w:basedOn w:val="Normal"/>
    <w:next w:val="Normal"/>
    <w:link w:val="TitleChar"/>
    <w:uiPriority w:val="10"/>
    <w:qFormat/>
    <w:pPr>
      <w:spacing w:line="360" w:lineRule="auto"/>
      <w:contextualSpacing/>
      <w:jc w:val="center"/>
    </w:pPr>
    <w:rPr>
      <w:rFonts w:eastAsia="SimSun" w:cs="SimSun"/>
      <w:b/>
      <w:spacing w:val="-10"/>
      <w:kern w:val="28"/>
      <w:sz w:val="48"/>
      <w:szCs w:val="56"/>
    </w:rPr>
  </w:style>
  <w:style w:type="character" w:customStyle="1" w:styleId="TitleChar">
    <w:name w:val="Title Char"/>
    <w:basedOn w:val="DefaultParagraphFont"/>
    <w:link w:val="Title"/>
    <w:uiPriority w:val="10"/>
    <w:rPr>
      <w:rFonts w:ascii="Times New Roman" w:eastAsia="SimSun" w:hAnsi="Times New Roman" w:cs="SimSun"/>
      <w:b/>
      <w:color w:val="000000"/>
      <w:spacing w:val="-10"/>
      <w:kern w:val="28"/>
      <w:sz w:val="48"/>
      <w:szCs w:val="56"/>
      <w:lang w:val="en-GB"/>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s="Times New Roman"/>
      <w:color w:val="000000"/>
      <w:sz w:val="24"/>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s="Times New Roman"/>
      <w:color w:val="000000"/>
      <w:sz w:val="24"/>
      <w:lang w:val="en-GB"/>
    </w:r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pPr>
      <w:spacing w:after="160"/>
      <w:ind w:left="720"/>
      <w:contextualSpacing/>
    </w:pPr>
    <w:rPr>
      <w:rFonts w:cs="SimSun"/>
    </w:rPr>
  </w:style>
  <w:style w:type="table" w:styleId="TableGrid">
    <w:name w:val="Table Grid"/>
    <w:basedOn w:val="TableNormal"/>
    <w:uiPriority w:val="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qFormat/>
    <w:pPr>
      <w:spacing w:line="240" w:lineRule="auto"/>
    </w:pPr>
    <w:rPr>
      <w:i/>
      <w:iCs/>
      <w:color w:val="44546A"/>
      <w:sz w:val="18"/>
      <w:szCs w:val="18"/>
    </w:rPr>
  </w:style>
  <w:style w:type="paragraph" w:styleId="TOCHeading">
    <w:name w:val="TOC Heading"/>
    <w:basedOn w:val="Heading1"/>
    <w:next w:val="Normal"/>
    <w:uiPriority w:val="39"/>
    <w:qFormat/>
    <w:pPr>
      <w:spacing w:after="0" w:line="259" w:lineRule="auto"/>
      <w:jc w:val="left"/>
      <w:outlineLvl w:val="9"/>
    </w:pPr>
    <w:rPr>
      <w:rFonts w:ascii="Calibri Light" w:hAnsi="Calibri Light"/>
      <w:b w:val="0"/>
      <w:color w:val="2E74B5"/>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customStyle="1" w:styleId="UnresolvedMention1">
    <w:name w:val="Unresolved Mention1"/>
    <w:basedOn w:val="DefaultParagraphFont"/>
    <w:uiPriority w:val="99"/>
    <w:rPr>
      <w:color w:val="605E5C"/>
      <w:shd w:val="clear" w:color="auto" w:fill="E1DFDD"/>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lang w:val="en-GB"/>
    </w:rPr>
  </w:style>
  <w:style w:type="character" w:customStyle="1" w:styleId="UnresolvedMention2">
    <w:name w:val="Unresolved Mention2"/>
    <w:basedOn w:val="DefaultParagraphFont"/>
    <w:uiPriority w:val="99"/>
    <w:rPr>
      <w:color w:val="605E5C"/>
      <w:shd w:val="clear" w:color="auto" w:fill="E1DFDD"/>
    </w:rPr>
  </w:style>
  <w:style w:type="character" w:customStyle="1" w:styleId="Heading4Char">
    <w:name w:val="Heading 4 Char"/>
    <w:basedOn w:val="DefaultParagraphFont"/>
    <w:link w:val="Heading4"/>
    <w:uiPriority w:val="9"/>
    <w:rPr>
      <w:rFonts w:ascii="Calibri Light" w:eastAsia="SimSun" w:hAnsi="Calibri Light" w:cs="SimSun"/>
      <w:i/>
      <w:iCs/>
      <w:color w:val="2E74B5"/>
      <w:sz w:val="24"/>
      <w:lang w:val="en-GB"/>
    </w:rPr>
  </w:style>
  <w:style w:type="paragraph" w:styleId="TableofFigures">
    <w:name w:val="table of figures"/>
    <w:basedOn w:val="Normal"/>
    <w:next w:val="Normal"/>
    <w:uiPriority w:val="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www.verifiedmarketresearch.com/product/luxury-resale-market/"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managementconsulted.com/bcg-matrix/" TargetMode="External"/><Relationship Id="rId2" Type="http://schemas.openxmlformats.org/officeDocument/2006/relationships/numbering" Target="numbering.xml"/><Relationship Id="rId16" Type="http://schemas.openxmlformats.org/officeDocument/2006/relationships/hyperlink" Target="https://www.homeprotect.co.uk/blog/nation-of-rolex-watch-owners" TargetMode="External"/><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iedunote.com/hofstedes-cultural-dimensions-theory"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edrawmind.com/article/porters-five-forces-analysis-definition-and-examples.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663109/export-and-import-value-of-watch-industry-indi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aryfox.co/psychographic-segmentation/" TargetMode="External"/><Relationship Id="rId22" Type="http://schemas.openxmlformats.org/officeDocument/2006/relationships/hyperlink" Target="https://www.cipd.org/en/knowledge/factsheets/pestle-analysis-factshee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63A6F-D176-47F0-AACF-A8D1F8994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6557</Words>
  <Characters>37380</Characters>
  <Application>Microsoft Office Word</Application>
  <DocSecurity>0</DocSecurity>
  <Lines>311</Lines>
  <Paragraphs>87</Paragraphs>
  <ScaleCrop>false</ScaleCrop>
  <Company>Grizli777</Company>
  <LinksUpToDate>false</LinksUpToDate>
  <CharactersWithSpaces>43850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dc:creator>
  <cp:lastModifiedBy>Shreyaben Patel</cp:lastModifiedBy>
  <cp:revision>7</cp:revision>
  <dcterms:created xsi:type="dcterms:W3CDTF">2023-12-20T00:45:00Z</dcterms:created>
  <dcterms:modified xsi:type="dcterms:W3CDTF">2023-12-20T00:49:00Z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56575e784b894c1092fe1308d6e1262b</vt:lpwstr>
  </property>
</Properties>
</file>