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00FD" w:rsidRPr="00E600FD" w:rsidRDefault="00E600FD" w:rsidP="00E600FD">
      <w:pPr>
        <w:rPr>
          <w:rFonts w:ascii="Cambria" w:eastAsia="Calibri" w:hAnsi="Cambria" w:cs="Open Sans"/>
          <w:b/>
          <w:color w:val="373A3C"/>
          <w:sz w:val="24"/>
          <w:szCs w:val="24"/>
          <w:u w:val="single"/>
          <w:shd w:val="clear" w:color="auto" w:fill="FFFFFF"/>
        </w:rPr>
      </w:pPr>
      <w:bookmarkStart w:id="0" w:name="_GoBack"/>
      <w:bookmarkEnd w:id="0"/>
    </w:p>
    <w:p w:rsidR="00E600FD" w:rsidRPr="00E600FD" w:rsidRDefault="00E600FD" w:rsidP="00E600FD">
      <w:pPr>
        <w:spacing w:after="0" w:line="240" w:lineRule="auto"/>
        <w:ind w:left="-180" w:right="-334"/>
        <w:rPr>
          <w:rFonts w:ascii="Trebuchet MS" w:eastAsia="SimSun" w:hAnsi="Trebuchet MS" w:cs="Tahoma"/>
          <w:color w:val="000000"/>
          <w:sz w:val="24"/>
          <w:szCs w:val="24"/>
          <w:lang w:eastAsia="zh-CN"/>
        </w:rPr>
      </w:pPr>
      <w:r w:rsidRPr="00E600FD">
        <w:rPr>
          <w:rFonts w:ascii="Georgia" w:eastAsia="SimSun" w:hAnsi="Georgia" w:cs="Times New Roman"/>
          <w:noProof/>
          <w:color w:val="000000"/>
          <w:sz w:val="21"/>
          <w:szCs w:val="21"/>
          <w:lang w:eastAsia="zh-CN"/>
        </w:rPr>
        <w:drawing>
          <wp:inline distT="0" distB="0" distL="0" distR="0" wp14:anchorId="3B131DE4" wp14:editId="676E9276">
            <wp:extent cx="2880360" cy="1051560"/>
            <wp:effectExtent l="19050" t="19050" r="15240" b="15240"/>
            <wp:docPr id="21" name="Picture 2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cmpd="sng">
                      <a:solidFill>
                        <a:srgbClr val="000000"/>
                      </a:solidFill>
                      <a:miter lim="800000"/>
                      <a:headEnd/>
                      <a:tailEnd/>
                    </a:ln>
                    <a:effectLst/>
                  </pic:spPr>
                </pic:pic>
              </a:graphicData>
            </a:graphic>
          </wp:inline>
        </w:drawing>
      </w:r>
    </w:p>
    <w:p w:rsidR="00E600FD" w:rsidRPr="00E600FD" w:rsidRDefault="00E600FD" w:rsidP="00E600FD">
      <w:pPr>
        <w:keepNext/>
        <w:keepLines/>
        <w:spacing w:before="240" w:after="0"/>
        <w:jc w:val="center"/>
        <w:outlineLvl w:val="0"/>
        <w:rPr>
          <w:rFonts w:ascii="Calibri Light" w:eastAsia="Times New Roman" w:hAnsi="Calibri Light" w:cs="Times New Roman"/>
          <w:color w:val="2F5496"/>
          <w:sz w:val="32"/>
          <w:szCs w:val="32"/>
          <w:lang w:val="cy-GB"/>
        </w:rPr>
      </w:pPr>
      <w:r w:rsidRPr="00E600FD">
        <w:rPr>
          <w:rFonts w:ascii="Calibri Light" w:eastAsia="Times New Roman" w:hAnsi="Calibri Light" w:cs="Times New Roman"/>
          <w:color w:val="2F5496"/>
          <w:sz w:val="32"/>
          <w:szCs w:val="32"/>
          <w:lang w:val="cy-GB"/>
        </w:rPr>
        <w:t>Undergraduate assignment feedback form</w:t>
      </w:r>
    </w:p>
    <w:p w:rsidR="00E600FD" w:rsidRPr="00E600FD" w:rsidRDefault="00E600FD" w:rsidP="00E600FD">
      <w:pPr>
        <w:jc w:val="center"/>
        <w:rPr>
          <w:rFonts w:ascii="Arial" w:eastAsia="Calibri" w:hAnsi="Arial" w:cs="Arial"/>
          <w:b/>
          <w:lang w:val="cy-GB"/>
        </w:rPr>
      </w:pPr>
      <w:r w:rsidRPr="00E600FD">
        <w:rPr>
          <w:rFonts w:ascii="Arial" w:eastAsia="Calibri" w:hAnsi="Arial" w:cs="Arial"/>
          <w:b/>
          <w:lang w:val="cy-GB"/>
        </w:rPr>
        <w:t>(to be completed by marker)</w:t>
      </w:r>
    </w:p>
    <w:p w:rsidR="00E600FD" w:rsidRPr="00E600FD" w:rsidRDefault="00E600FD" w:rsidP="00E600FD">
      <w:pPr>
        <w:jc w:val="center"/>
        <w:rPr>
          <w:rFonts w:ascii="Arial" w:eastAsia="Calibri" w:hAnsi="Arial" w:cs="Arial"/>
          <w:b/>
          <w:lang w:val="cy-GB"/>
        </w:rPr>
      </w:pPr>
    </w:p>
    <w:p w:rsidR="00E600FD" w:rsidRPr="00E600FD" w:rsidRDefault="00E600FD" w:rsidP="00E600FD">
      <w:pPr>
        <w:keepNext/>
        <w:keepLines/>
        <w:spacing w:before="40" w:after="0"/>
        <w:outlineLvl w:val="2"/>
        <w:rPr>
          <w:rFonts w:ascii="Trebuchet MS" w:eastAsia="Times New Roman" w:hAnsi="Trebuchet MS" w:cs="Times New Roman"/>
          <w:color w:val="1F3763"/>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600FD" w:rsidRPr="00E600FD" w:rsidTr="00E52DD6">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E600FD" w:rsidRPr="00E600FD" w:rsidRDefault="00E600FD" w:rsidP="00E600FD">
            <w:pPr>
              <w:spacing w:after="0" w:line="240" w:lineRule="auto"/>
              <w:ind w:right="34"/>
              <w:rPr>
                <w:rFonts w:ascii="Calibri" w:eastAsia="SimSun" w:hAnsi="Calibri" w:cs="Tahoma"/>
                <w:i/>
                <w:color w:val="000000"/>
                <w:sz w:val="24"/>
                <w:szCs w:val="24"/>
                <w:lang w:eastAsia="zh-CN"/>
              </w:rPr>
            </w:pPr>
            <w:r w:rsidRPr="00E600FD">
              <w:rPr>
                <w:rFonts w:ascii="Calibri" w:eastAsia="SimSun" w:hAnsi="Calibri" w:cs="Tahoma"/>
                <w:i/>
                <w:color w:val="000000"/>
                <w:sz w:val="24"/>
                <w:szCs w:val="24"/>
                <w:lang w:eastAsia="zh-CN"/>
              </w:rPr>
              <w:t>Student Name: Samuel Neyland-Evans</w:t>
            </w:r>
          </w:p>
          <w:p w:rsidR="00E600FD" w:rsidRPr="00E600FD" w:rsidRDefault="00E600FD" w:rsidP="00E600FD">
            <w:pPr>
              <w:spacing w:after="0" w:line="240" w:lineRule="auto"/>
              <w:ind w:right="34"/>
              <w:rPr>
                <w:rFonts w:ascii="Calibri" w:eastAsia="SimSun" w:hAnsi="Calibri" w:cs="Tahoma"/>
                <w:i/>
                <w:color w:val="000000"/>
                <w:sz w:val="24"/>
                <w:szCs w:val="24"/>
                <w:lang w:eastAsia="zh-CN"/>
              </w:rPr>
            </w:pPr>
          </w:p>
        </w:tc>
      </w:tr>
      <w:tr w:rsidR="00E600FD" w:rsidRPr="00E600FD" w:rsidTr="00E52DD6">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E600FD" w:rsidRPr="00E600FD" w:rsidRDefault="00E600FD" w:rsidP="00E600FD">
            <w:pPr>
              <w:spacing w:after="0" w:line="240" w:lineRule="auto"/>
              <w:ind w:right="34"/>
              <w:rPr>
                <w:rFonts w:ascii="Calibri" w:eastAsia="SimSun" w:hAnsi="Calibri" w:cs="Tahoma"/>
                <w:i/>
                <w:color w:val="000000"/>
                <w:sz w:val="24"/>
                <w:szCs w:val="24"/>
                <w:lang w:eastAsia="zh-CN"/>
              </w:rPr>
            </w:pPr>
            <w:r w:rsidRPr="00E600FD">
              <w:rPr>
                <w:rFonts w:ascii="Calibri" w:eastAsia="SimSun" w:hAnsi="Calibri" w:cs="Tahoma"/>
                <w:i/>
                <w:color w:val="000000"/>
                <w:sz w:val="24"/>
                <w:szCs w:val="24"/>
                <w:lang w:eastAsia="zh-CN"/>
              </w:rPr>
              <w:t xml:space="preserve">Module title: </w:t>
            </w:r>
            <w:r>
              <w:rPr>
                <w:rFonts w:ascii="Calibri" w:eastAsia="SimSun" w:hAnsi="Calibri" w:cs="Tahoma"/>
                <w:i/>
                <w:color w:val="000000"/>
                <w:sz w:val="24"/>
                <w:szCs w:val="24"/>
                <w:lang w:eastAsia="zh-CN"/>
              </w:rPr>
              <w:t>Meta-Ethics</w:t>
            </w:r>
          </w:p>
        </w:tc>
        <w:tc>
          <w:tcPr>
            <w:tcW w:w="3967" w:type="dxa"/>
            <w:gridSpan w:val="2"/>
            <w:tcBorders>
              <w:top w:val="single" w:sz="4" w:space="0" w:color="auto"/>
              <w:left w:val="single" w:sz="4" w:space="0" w:color="auto"/>
              <w:bottom w:val="single" w:sz="4" w:space="0" w:color="auto"/>
              <w:right w:val="single" w:sz="4" w:space="0" w:color="auto"/>
            </w:tcBorders>
          </w:tcPr>
          <w:p w:rsidR="00E600FD" w:rsidRPr="00E600FD" w:rsidRDefault="00E600FD" w:rsidP="00E600FD">
            <w:pPr>
              <w:spacing w:after="0" w:line="240" w:lineRule="auto"/>
              <w:ind w:right="34"/>
              <w:rPr>
                <w:rFonts w:ascii="Calibri" w:eastAsia="SimSun" w:hAnsi="Calibri" w:cs="Tahoma"/>
                <w:i/>
                <w:color w:val="000000"/>
                <w:sz w:val="24"/>
                <w:szCs w:val="24"/>
                <w:lang w:eastAsia="zh-CN"/>
              </w:rPr>
            </w:pPr>
            <w:r w:rsidRPr="00E600FD">
              <w:rPr>
                <w:rFonts w:ascii="Calibri" w:eastAsia="SimSun" w:hAnsi="Calibri" w:cs="Tahoma"/>
                <w:i/>
                <w:color w:val="000000"/>
                <w:sz w:val="24"/>
                <w:szCs w:val="24"/>
                <w:lang w:eastAsia="zh-CN"/>
              </w:rPr>
              <w:t>Student number: 1601937</w:t>
            </w:r>
          </w:p>
        </w:tc>
      </w:tr>
      <w:tr w:rsidR="00E600FD" w:rsidRPr="00E600FD" w:rsidTr="00E52DD6">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E600FD" w:rsidRPr="00E600FD" w:rsidRDefault="00E600FD" w:rsidP="00E600FD">
            <w:pPr>
              <w:spacing w:after="0" w:line="240" w:lineRule="auto"/>
              <w:rPr>
                <w:rFonts w:ascii="Calibri" w:eastAsia="SimSun" w:hAnsi="Calibri" w:cs="Tahoma"/>
                <w:i/>
                <w:color w:val="000000"/>
                <w:sz w:val="24"/>
                <w:szCs w:val="24"/>
                <w:lang w:eastAsia="zh-CN"/>
              </w:rPr>
            </w:pPr>
            <w:r w:rsidRPr="00E600FD">
              <w:rPr>
                <w:rFonts w:ascii="Calibri" w:eastAsia="SimSun" w:hAnsi="Calibri" w:cs="Tahoma"/>
                <w:i/>
                <w:color w:val="000000"/>
                <w:sz w:val="24"/>
                <w:szCs w:val="24"/>
                <w:lang w:eastAsia="zh-CN"/>
              </w:rPr>
              <w:t>For completion by marker:</w:t>
            </w:r>
          </w:p>
          <w:p w:rsidR="00E600FD" w:rsidRPr="00E600FD" w:rsidRDefault="00E600FD" w:rsidP="00E600FD">
            <w:pPr>
              <w:spacing w:before="100" w:beforeAutospacing="1" w:after="100" w:afterAutospacing="1" w:line="240" w:lineRule="auto"/>
              <w:rPr>
                <w:rFonts w:ascii="Calibri" w:eastAsia="SimSun" w:hAnsi="Calibri" w:cs="Tahoma"/>
                <w:i/>
                <w:color w:val="000000"/>
                <w:sz w:val="24"/>
                <w:szCs w:val="24"/>
                <w:lang w:eastAsia="zh-CN"/>
              </w:rPr>
            </w:pPr>
            <w:r w:rsidRPr="00E600FD">
              <w:rPr>
                <w:rFonts w:ascii="Calibri" w:eastAsia="SimSun" w:hAnsi="Calibri" w:cs="Tahoma"/>
                <w:i/>
                <w:color w:val="000000"/>
                <w:sz w:val="24"/>
                <w:szCs w:val="24"/>
                <w:lang w:eastAsia="zh-CN"/>
              </w:rPr>
              <w:t>Comments:</w:t>
            </w:r>
          </w:p>
          <w:p w:rsidR="00E600FD" w:rsidRPr="00E600FD" w:rsidRDefault="00E600FD" w:rsidP="00E600FD">
            <w:pPr>
              <w:spacing w:before="100" w:beforeAutospacing="1" w:after="100" w:afterAutospacing="1" w:line="240" w:lineRule="auto"/>
              <w:rPr>
                <w:rFonts w:ascii="Calibri" w:eastAsia="SimSun" w:hAnsi="Calibri" w:cs="Tahoma"/>
                <w:i/>
                <w:color w:val="000000"/>
                <w:sz w:val="24"/>
                <w:szCs w:val="24"/>
                <w:lang w:eastAsia="zh-CN"/>
              </w:rPr>
            </w:pPr>
          </w:p>
          <w:p w:rsidR="00E600FD" w:rsidRPr="00E600FD" w:rsidRDefault="00E600FD" w:rsidP="00E600FD">
            <w:pPr>
              <w:spacing w:before="100" w:beforeAutospacing="1" w:after="100" w:afterAutospacing="1" w:line="240" w:lineRule="auto"/>
              <w:rPr>
                <w:rFonts w:ascii="Calibri" w:eastAsia="SimSun" w:hAnsi="Calibri" w:cs="Tahoma"/>
                <w:i/>
                <w:color w:val="000000"/>
                <w:sz w:val="24"/>
                <w:szCs w:val="24"/>
                <w:lang w:eastAsia="zh-CN"/>
              </w:rPr>
            </w:pPr>
          </w:p>
          <w:p w:rsidR="00E600FD" w:rsidRPr="00E600FD" w:rsidRDefault="00E600FD" w:rsidP="00E600FD">
            <w:pPr>
              <w:spacing w:before="100" w:beforeAutospacing="1" w:after="100" w:afterAutospacing="1" w:line="240" w:lineRule="auto"/>
              <w:rPr>
                <w:rFonts w:ascii="Calibri" w:eastAsia="SimSun" w:hAnsi="Calibri" w:cs="Tahoma"/>
                <w:i/>
                <w:color w:val="000000"/>
                <w:sz w:val="24"/>
                <w:szCs w:val="24"/>
                <w:lang w:eastAsia="zh-CN"/>
              </w:rPr>
            </w:pPr>
          </w:p>
          <w:p w:rsidR="00E600FD" w:rsidRPr="00E600FD" w:rsidRDefault="00E600FD" w:rsidP="00E600FD">
            <w:pPr>
              <w:spacing w:before="100" w:beforeAutospacing="1" w:after="100" w:afterAutospacing="1" w:line="240" w:lineRule="auto"/>
              <w:rPr>
                <w:rFonts w:ascii="Calibri" w:eastAsia="SimSun" w:hAnsi="Calibri" w:cs="Tahoma"/>
                <w:i/>
                <w:color w:val="000000"/>
                <w:sz w:val="24"/>
                <w:szCs w:val="24"/>
                <w:lang w:eastAsia="zh-CN"/>
              </w:rPr>
            </w:pPr>
          </w:p>
          <w:p w:rsidR="00E600FD" w:rsidRPr="00E600FD" w:rsidRDefault="00E600FD" w:rsidP="00E600FD">
            <w:pPr>
              <w:spacing w:before="100" w:beforeAutospacing="1" w:after="100" w:afterAutospacing="1" w:line="240" w:lineRule="auto"/>
              <w:rPr>
                <w:rFonts w:ascii="Calibri" w:eastAsia="SimSun" w:hAnsi="Calibri" w:cs="Tahoma"/>
                <w:i/>
                <w:color w:val="000000"/>
                <w:sz w:val="24"/>
                <w:szCs w:val="24"/>
                <w:lang w:eastAsia="zh-CN"/>
              </w:rPr>
            </w:pPr>
          </w:p>
          <w:p w:rsidR="00E600FD" w:rsidRPr="00E600FD" w:rsidRDefault="00E600FD" w:rsidP="00E600FD">
            <w:pPr>
              <w:spacing w:before="100" w:beforeAutospacing="1" w:after="100" w:afterAutospacing="1" w:line="240" w:lineRule="auto"/>
              <w:rPr>
                <w:rFonts w:ascii="Calibri" w:eastAsia="SimSun" w:hAnsi="Calibri" w:cs="Tahoma"/>
                <w:i/>
                <w:color w:val="000000"/>
                <w:sz w:val="24"/>
                <w:szCs w:val="24"/>
                <w:lang w:eastAsia="zh-CN"/>
              </w:rPr>
            </w:pPr>
          </w:p>
          <w:p w:rsidR="00E600FD" w:rsidRPr="00E600FD" w:rsidRDefault="00E600FD" w:rsidP="00E600FD">
            <w:pPr>
              <w:spacing w:before="100" w:beforeAutospacing="1" w:after="100" w:afterAutospacing="1" w:line="240" w:lineRule="auto"/>
              <w:rPr>
                <w:rFonts w:ascii="Calibri" w:eastAsia="SimSun" w:hAnsi="Calibri" w:cs="Tahoma"/>
                <w:i/>
                <w:color w:val="000000"/>
                <w:sz w:val="24"/>
                <w:szCs w:val="24"/>
                <w:lang w:eastAsia="zh-CN"/>
              </w:rPr>
            </w:pPr>
          </w:p>
          <w:p w:rsidR="00E600FD" w:rsidRPr="00E600FD" w:rsidRDefault="00E600FD" w:rsidP="00E600FD">
            <w:pPr>
              <w:spacing w:before="100" w:beforeAutospacing="1" w:after="100" w:afterAutospacing="1" w:line="240" w:lineRule="auto"/>
              <w:rPr>
                <w:rFonts w:ascii="Calibri" w:eastAsia="SimSun" w:hAnsi="Calibri" w:cs="Tahoma"/>
                <w:i/>
                <w:color w:val="000000"/>
                <w:sz w:val="24"/>
                <w:szCs w:val="24"/>
                <w:lang w:eastAsia="zh-CN"/>
              </w:rPr>
            </w:pPr>
          </w:p>
          <w:p w:rsidR="00E600FD" w:rsidRPr="00E600FD" w:rsidRDefault="00E600FD" w:rsidP="00E600FD">
            <w:pPr>
              <w:spacing w:before="100" w:beforeAutospacing="1" w:after="100" w:afterAutospacing="1" w:line="240" w:lineRule="auto"/>
              <w:rPr>
                <w:rFonts w:ascii="Calibri" w:eastAsia="SimSun" w:hAnsi="Calibri" w:cs="Tahoma"/>
                <w:i/>
                <w:color w:val="000000"/>
                <w:sz w:val="24"/>
                <w:szCs w:val="24"/>
                <w:lang w:eastAsia="zh-CN"/>
              </w:rPr>
            </w:pPr>
          </w:p>
          <w:p w:rsidR="00E600FD" w:rsidRPr="00E600FD" w:rsidRDefault="00E600FD" w:rsidP="00E600FD">
            <w:pPr>
              <w:spacing w:before="100" w:beforeAutospacing="1" w:after="100" w:afterAutospacing="1" w:line="240" w:lineRule="auto"/>
              <w:rPr>
                <w:rFonts w:ascii="Calibri" w:eastAsia="SimSun" w:hAnsi="Calibri" w:cs="Tahoma"/>
                <w:i/>
                <w:color w:val="000000"/>
                <w:sz w:val="24"/>
                <w:szCs w:val="24"/>
                <w:lang w:eastAsia="zh-CN"/>
              </w:rPr>
            </w:pPr>
          </w:p>
          <w:p w:rsidR="00E600FD" w:rsidRPr="00E600FD" w:rsidRDefault="00E600FD" w:rsidP="00E600FD">
            <w:pPr>
              <w:spacing w:before="100" w:beforeAutospacing="1" w:after="100" w:afterAutospacing="1" w:line="240" w:lineRule="auto"/>
              <w:rPr>
                <w:rFonts w:ascii="Calibri" w:eastAsia="SimSun" w:hAnsi="Calibri" w:cs="Tahoma"/>
                <w:i/>
                <w:color w:val="000000"/>
                <w:sz w:val="24"/>
                <w:szCs w:val="24"/>
                <w:lang w:eastAsia="zh-CN"/>
              </w:rPr>
            </w:pPr>
          </w:p>
        </w:tc>
      </w:tr>
      <w:tr w:rsidR="00E600FD" w:rsidRPr="00E600FD" w:rsidTr="00E52DD6">
        <w:trPr>
          <w:trHeight w:val="492"/>
        </w:trPr>
        <w:tc>
          <w:tcPr>
            <w:tcW w:w="6768" w:type="dxa"/>
            <w:gridSpan w:val="2"/>
            <w:tcBorders>
              <w:top w:val="single" w:sz="4" w:space="0" w:color="auto"/>
            </w:tcBorders>
            <w:vAlign w:val="center"/>
          </w:tcPr>
          <w:p w:rsidR="00E600FD" w:rsidRPr="00E600FD" w:rsidRDefault="00E600FD" w:rsidP="00E600FD">
            <w:pPr>
              <w:spacing w:before="100" w:beforeAutospacing="1" w:after="100" w:afterAutospacing="1" w:line="240" w:lineRule="auto"/>
              <w:ind w:left="142" w:right="34"/>
              <w:rPr>
                <w:rFonts w:ascii="Calibri" w:eastAsia="SimSun" w:hAnsi="Calibri" w:cs="Tahoma"/>
                <w:i/>
                <w:color w:val="000000"/>
                <w:sz w:val="24"/>
                <w:szCs w:val="24"/>
                <w:lang w:eastAsia="zh-CN"/>
              </w:rPr>
            </w:pPr>
            <w:r w:rsidRPr="00E600FD">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rsidR="00E600FD" w:rsidRPr="00E600FD" w:rsidRDefault="00E600FD" w:rsidP="00E600FD">
            <w:pPr>
              <w:spacing w:before="100" w:beforeAutospacing="1" w:after="0" w:afterAutospacing="1" w:line="240" w:lineRule="auto"/>
              <w:ind w:left="142" w:right="34"/>
              <w:rPr>
                <w:rFonts w:ascii="Calibri" w:eastAsia="SimSun" w:hAnsi="Calibri" w:cs="Tahoma"/>
                <w:i/>
                <w:color w:val="000000"/>
                <w:sz w:val="24"/>
                <w:szCs w:val="24"/>
                <w:lang w:eastAsia="zh-CN"/>
              </w:rPr>
            </w:pPr>
            <w:r w:rsidRPr="00E600FD">
              <w:rPr>
                <w:rFonts w:ascii="Calibri" w:eastAsia="SimSun" w:hAnsi="Calibri" w:cs="Tahoma"/>
                <w:i/>
                <w:color w:val="000000"/>
                <w:sz w:val="24"/>
                <w:szCs w:val="24"/>
                <w:lang w:eastAsia="zh-CN"/>
              </w:rPr>
              <w:t>Date:</w:t>
            </w:r>
          </w:p>
        </w:tc>
      </w:tr>
      <w:tr w:rsidR="00E600FD" w:rsidRPr="00E600FD" w:rsidTr="00E52DD6">
        <w:tc>
          <w:tcPr>
            <w:tcW w:w="8755" w:type="dxa"/>
            <w:gridSpan w:val="3"/>
            <w:vAlign w:val="center"/>
          </w:tcPr>
          <w:p w:rsidR="00E600FD" w:rsidRPr="00E600FD" w:rsidRDefault="00E600FD" w:rsidP="00E600FD">
            <w:pPr>
              <w:spacing w:after="0" w:line="240" w:lineRule="auto"/>
              <w:ind w:left="142" w:right="34"/>
              <w:rPr>
                <w:rFonts w:ascii="Calibri" w:eastAsia="SimSun" w:hAnsi="Calibri" w:cs="Tahoma"/>
                <w:i/>
                <w:color w:val="000000"/>
                <w:sz w:val="24"/>
                <w:szCs w:val="24"/>
                <w:lang w:eastAsia="zh-CN"/>
              </w:rPr>
            </w:pPr>
            <w:r w:rsidRPr="00E600FD">
              <w:rPr>
                <w:rFonts w:ascii="Calibri" w:eastAsia="SimSun" w:hAnsi="Calibri" w:cs="Tahoma"/>
                <w:i/>
                <w:color w:val="000000"/>
                <w:sz w:val="24"/>
                <w:szCs w:val="24"/>
                <w:lang w:eastAsia="zh-CN"/>
              </w:rPr>
              <w:t xml:space="preserve">Provisional mark: </w:t>
            </w:r>
          </w:p>
          <w:p w:rsidR="00E600FD" w:rsidRPr="00E600FD" w:rsidRDefault="00E600FD" w:rsidP="00E600FD">
            <w:pPr>
              <w:spacing w:after="0" w:line="240" w:lineRule="auto"/>
              <w:ind w:left="142" w:right="34"/>
              <w:rPr>
                <w:rFonts w:ascii="Calibri" w:eastAsia="SimSun" w:hAnsi="Calibri" w:cs="Tahoma"/>
                <w:i/>
                <w:color w:val="000000"/>
                <w:sz w:val="24"/>
                <w:szCs w:val="24"/>
                <w:lang w:eastAsia="zh-CN"/>
              </w:rPr>
            </w:pPr>
            <w:r w:rsidRPr="00E600FD">
              <w:rPr>
                <w:rFonts w:ascii="Calibri" w:eastAsia="SimSun" w:hAnsi="Calibri" w:cs="Tahoma"/>
                <w:b/>
                <w:i/>
                <w:color w:val="000000"/>
                <w:sz w:val="24"/>
                <w:szCs w:val="24"/>
                <w:lang w:eastAsia="zh-CN"/>
              </w:rPr>
              <w:t>NB.</w:t>
            </w:r>
            <w:r w:rsidRPr="00E600FD">
              <w:rPr>
                <w:rFonts w:ascii="Calibri" w:eastAsia="SimSun" w:hAnsi="Calibri" w:cs="Tahoma"/>
                <w:i/>
                <w:color w:val="000000"/>
                <w:sz w:val="24"/>
                <w:szCs w:val="24"/>
                <w:lang w:eastAsia="zh-CN"/>
              </w:rPr>
              <w:t xml:space="preserve">  All marks are provisional until confirmed by the final examination board. </w:t>
            </w:r>
          </w:p>
        </w:tc>
      </w:tr>
    </w:tbl>
    <w:p w:rsidR="003F2204" w:rsidRPr="002E7B4D" w:rsidRDefault="003F2204" w:rsidP="00E600FD">
      <w:pPr>
        <w:shd w:val="clear" w:color="auto" w:fill="FFFFFF"/>
        <w:spacing w:before="100" w:beforeAutospacing="1" w:after="100" w:afterAutospacing="1" w:line="240" w:lineRule="auto"/>
        <w:jc w:val="center"/>
        <w:rPr>
          <w:rFonts w:ascii="Open Sans" w:eastAsia="Times New Roman" w:hAnsi="Open Sans" w:cs="Open Sans"/>
          <w:b/>
          <w:color w:val="373A3C"/>
          <w:sz w:val="24"/>
          <w:szCs w:val="21"/>
          <w:u w:val="single"/>
          <w:lang w:eastAsia="en-GB"/>
        </w:rPr>
      </w:pPr>
      <w:r w:rsidRPr="002E7B4D">
        <w:rPr>
          <w:rFonts w:ascii="Open Sans" w:eastAsia="Times New Roman" w:hAnsi="Open Sans" w:cs="Open Sans"/>
          <w:b/>
          <w:color w:val="373A3C"/>
          <w:sz w:val="24"/>
          <w:szCs w:val="21"/>
          <w:u w:val="single"/>
          <w:lang w:eastAsia="en-GB"/>
        </w:rPr>
        <w:lastRenderedPageBreak/>
        <w:t>Does quasi-realism successfully account for the realist-seeming nature of our moral practices?</w:t>
      </w:r>
    </w:p>
    <w:p w:rsidR="004E11D2" w:rsidRPr="0040053D" w:rsidRDefault="0040053D" w:rsidP="00B31E6B">
      <w:pPr>
        <w:ind w:firstLine="720"/>
        <w:rPr>
          <w:rFonts w:ascii="Cambria" w:hAnsi="Cambria"/>
          <w:sz w:val="24"/>
        </w:rPr>
      </w:pPr>
      <w:r>
        <w:rPr>
          <w:rFonts w:ascii="Cambria" w:hAnsi="Cambria"/>
          <w:sz w:val="24"/>
        </w:rPr>
        <w:t>Within this essay I shall be discussing cognitivism, non-cognitivism, Blackburn’s Quasi-realism, and whether or not his theory is ultimately successful.</w:t>
      </w:r>
    </w:p>
    <w:p w:rsidR="0018335B" w:rsidRDefault="0018335B" w:rsidP="00B31E6B">
      <w:pPr>
        <w:ind w:firstLine="720"/>
        <w:rPr>
          <w:rFonts w:ascii="Cambria" w:hAnsi="Cambria"/>
          <w:sz w:val="24"/>
        </w:rPr>
      </w:pPr>
      <w:r>
        <w:rPr>
          <w:rFonts w:ascii="Cambria" w:hAnsi="Cambria"/>
          <w:sz w:val="24"/>
        </w:rPr>
        <w:t xml:space="preserve">Blackburn’s “Quasi-realism” or “anti-realism” (will refer to as “Quasi-realism) is built upon the concept of metaethical “non-cognitivism”. To explain what non-cognitivism is, let me first explain its counter-part cognitivism. Cognitivism is the theory that ethical statements/judgements/propositions are “descriptions” of the world around us, and therefore, can be shown to be “true” or “false”, also known as “truth-aptness”. Cognitivism is a metaethical “Realist” theory, believing moral qualities to exist in the world and encompasses theories such as: Moral Realism, moral subjectivism, error theory etc. </w:t>
      </w:r>
    </w:p>
    <w:p w:rsidR="0018335B" w:rsidRDefault="0018335B" w:rsidP="00B31E6B">
      <w:pPr>
        <w:ind w:firstLine="720"/>
        <w:rPr>
          <w:rFonts w:ascii="Cambria" w:hAnsi="Cambria"/>
          <w:sz w:val="24"/>
        </w:rPr>
      </w:pPr>
      <w:r>
        <w:rPr>
          <w:rFonts w:ascii="Cambria" w:hAnsi="Cambria"/>
          <w:sz w:val="24"/>
        </w:rPr>
        <w:t xml:space="preserve">On the contrast however, moral non-cognitivism states that moral claims are not truth-apt as they do not describe something within the world. Instead they could express: emotions (Ayer), Prescriptions (Hare) or Norm acceptances (Gibbard). What’s important here is that non-cognitivists and cognitivists are both alike in that neither wish to change our everyday use of moral language, instead they are both respectively seeking to resolve the discourse in our moral language, to analyse the “meta-ethics” behind the scene. </w:t>
      </w:r>
    </w:p>
    <w:p w:rsidR="0018335B" w:rsidRDefault="0018335B" w:rsidP="00B31E6B">
      <w:pPr>
        <w:ind w:firstLine="720"/>
        <w:rPr>
          <w:rFonts w:ascii="Cambria" w:hAnsi="Cambria"/>
          <w:sz w:val="24"/>
        </w:rPr>
      </w:pPr>
      <w:r>
        <w:rPr>
          <w:rFonts w:ascii="Cambria" w:hAnsi="Cambria"/>
          <w:sz w:val="24"/>
        </w:rPr>
        <w:t>Before we discuss Blackburn’s (specifically Blackburn) Quasi-realism we must first discuss a predominant issue located within the non-cognitive theory of metaethics known as the “Frege-Geach problem”.</w:t>
      </w:r>
    </w:p>
    <w:p w:rsidR="0018335B" w:rsidRDefault="0018335B" w:rsidP="00B31E6B">
      <w:pPr>
        <w:ind w:firstLine="720"/>
        <w:rPr>
          <w:rFonts w:ascii="Cambria" w:hAnsi="Cambria"/>
          <w:sz w:val="24"/>
        </w:rPr>
      </w:pPr>
      <w:r>
        <w:rPr>
          <w:rFonts w:ascii="Cambria" w:hAnsi="Cambria"/>
          <w:sz w:val="24"/>
        </w:rPr>
        <w:t xml:space="preserve">The Frege-Geach problem can be summarised in two points: Firstly, that the </w:t>
      </w:r>
      <w:r>
        <w:rPr>
          <w:rFonts w:ascii="Cambria" w:hAnsi="Cambria"/>
          <w:i/>
          <w:sz w:val="24"/>
        </w:rPr>
        <w:t>meaning</w:t>
      </w:r>
      <w:r>
        <w:rPr>
          <w:rFonts w:ascii="Cambria" w:hAnsi="Cambria"/>
          <w:sz w:val="24"/>
        </w:rPr>
        <w:t xml:space="preserve"> of moral terms does not vary across “asserted” and “unasserted” contexts. Secondly, in our language, the moral non-cognitivist is committed to meaning varying across “asserted” and “unasserted” contexts (I shall explain “asserted” and “unasserted” contexts in more detail further on). If this is true, then either the non-cognitivist is wrong and meaning does not vary via contexts, or the non-cognitivist is correct but their moral language loses any gravity it had due to its meaning fluctuating depending on the context. </w:t>
      </w:r>
    </w:p>
    <w:p w:rsidR="0018335B" w:rsidRDefault="0018335B" w:rsidP="00B31E6B">
      <w:pPr>
        <w:ind w:firstLine="720"/>
        <w:rPr>
          <w:rFonts w:ascii="Cambria" w:hAnsi="Cambria"/>
          <w:sz w:val="24"/>
        </w:rPr>
      </w:pPr>
      <w:r>
        <w:rPr>
          <w:rFonts w:ascii="Cambria" w:hAnsi="Cambria"/>
          <w:sz w:val="24"/>
        </w:rPr>
        <w:t xml:space="preserve">What is meant here by “asserted” and “unasserted” claims/contexts? An asserted moral claim is simple to understand, “I think killing is wrong” is an asserted moral claim. An “unasserted” moral claim could take the form of: “If child sacrifice is wrong, then Abraham was wrong to sacrifice Isaac” or “Child sacrifice is wrong or killing is wrong”. Herein lies the issue; according to non-cognitivism meanings of claims vary depending on whether we are expressing a “non-cognitive” state or not. An asserted claim is non-cognitive, as we are expressing an idea about something. Whilst unasserted claims are not “non-cognitive”, as they are not expressing anything.  Take the example of the asserted, and non-cognitive, claim: “killing is wrong”, and compare it to the unasserted, not non-cognitive, “if killing is wrong, then…”. The asserted statements </w:t>
      </w:r>
      <w:r w:rsidR="000A0547">
        <w:rPr>
          <w:rFonts w:ascii="Cambria" w:hAnsi="Cambria"/>
          <w:sz w:val="24"/>
        </w:rPr>
        <w:t>are</w:t>
      </w:r>
      <w:r>
        <w:rPr>
          <w:rFonts w:ascii="Cambria" w:hAnsi="Cambria"/>
          <w:sz w:val="24"/>
        </w:rPr>
        <w:t xml:space="preserve"> non-cognitive and therefore meaningful in one way, however, the unasserted statement is not non-cognitive and is meaningful in a different way, if at all. This is the problem </w:t>
      </w:r>
      <w:r>
        <w:rPr>
          <w:rFonts w:ascii="Cambria" w:hAnsi="Cambria"/>
          <w:sz w:val="24"/>
        </w:rPr>
        <w:lastRenderedPageBreak/>
        <w:t xml:space="preserve">non-cognitivism, and subsequently Blackburn’s Quasi-realism, must resolve; as it seems counter-intuitive to follow a metaethical theory which logically suggests </w:t>
      </w:r>
      <w:r>
        <w:rPr>
          <w:rFonts w:ascii="Cambria" w:hAnsi="Cambria"/>
          <w:i/>
          <w:sz w:val="24"/>
        </w:rPr>
        <w:t>meanings</w:t>
      </w:r>
      <w:r>
        <w:rPr>
          <w:rFonts w:ascii="Cambria" w:hAnsi="Cambria"/>
          <w:sz w:val="24"/>
        </w:rPr>
        <w:t xml:space="preserve"> change at the whim of certain contexts. </w:t>
      </w:r>
    </w:p>
    <w:p w:rsidR="0018335B" w:rsidRDefault="0018335B">
      <w:pPr>
        <w:rPr>
          <w:rFonts w:ascii="Cambria" w:hAnsi="Cambria"/>
          <w:sz w:val="24"/>
        </w:rPr>
      </w:pPr>
      <w:r>
        <w:rPr>
          <w:rFonts w:ascii="Cambria" w:hAnsi="Cambria"/>
          <w:sz w:val="24"/>
        </w:rPr>
        <w:t xml:space="preserve">To demonstrate the problem let us look at an example: </w:t>
      </w:r>
    </w:p>
    <w:p w:rsidR="0018335B" w:rsidRDefault="0018335B">
      <w:pPr>
        <w:rPr>
          <w:rFonts w:ascii="Cambria" w:hAnsi="Cambria"/>
          <w:sz w:val="24"/>
        </w:rPr>
      </w:pPr>
      <w:r>
        <w:rPr>
          <w:rFonts w:ascii="Cambria" w:hAnsi="Cambria"/>
          <w:sz w:val="24"/>
        </w:rPr>
        <w:t>1</w:t>
      </w:r>
      <w:r w:rsidR="000A0547">
        <w:rPr>
          <w:rFonts w:ascii="Cambria" w:hAnsi="Cambria"/>
          <w:sz w:val="24"/>
        </w:rPr>
        <w:t>- “</w:t>
      </w:r>
      <w:r>
        <w:rPr>
          <w:rFonts w:ascii="Cambria" w:hAnsi="Cambria"/>
          <w:sz w:val="24"/>
        </w:rPr>
        <w:t>Is killing wrong?” (not non-cognitive)</w:t>
      </w:r>
    </w:p>
    <w:p w:rsidR="0018335B" w:rsidRDefault="0018335B">
      <w:pPr>
        <w:rPr>
          <w:rFonts w:ascii="Cambria" w:hAnsi="Cambria"/>
          <w:sz w:val="24"/>
        </w:rPr>
      </w:pPr>
      <w:r>
        <w:rPr>
          <w:rFonts w:ascii="Cambria" w:hAnsi="Cambria"/>
          <w:sz w:val="24"/>
        </w:rPr>
        <w:t>2</w:t>
      </w:r>
      <w:r w:rsidR="000A0547">
        <w:rPr>
          <w:rFonts w:ascii="Cambria" w:hAnsi="Cambria"/>
          <w:sz w:val="24"/>
        </w:rPr>
        <w:t>- “</w:t>
      </w:r>
      <w:r>
        <w:rPr>
          <w:rFonts w:ascii="Cambria" w:hAnsi="Cambria"/>
          <w:sz w:val="24"/>
        </w:rPr>
        <w:t>Yes, killing is wrong” (non-cognitive)</w:t>
      </w:r>
    </w:p>
    <w:p w:rsidR="0018335B" w:rsidRDefault="0018335B" w:rsidP="00B31E6B">
      <w:pPr>
        <w:ind w:firstLine="720"/>
        <w:rPr>
          <w:rFonts w:ascii="Cambria" w:hAnsi="Cambria"/>
          <w:sz w:val="24"/>
        </w:rPr>
      </w:pPr>
      <w:r>
        <w:rPr>
          <w:rFonts w:ascii="Cambria" w:hAnsi="Cambria"/>
          <w:sz w:val="24"/>
        </w:rPr>
        <w:t>For the non-cognitivist, 2 is not an appropriate answer for 1, as, due to the differing contexts, 1 and 2 are discussing two different meanings behind the word “killing”, and is therefore logically inconsistent. Let us apply this logic to “Modus Ponens” (M.P. for short). M.P. takes the form of:</w:t>
      </w:r>
    </w:p>
    <w:p w:rsidR="0018335B" w:rsidRDefault="0018335B">
      <w:pPr>
        <w:rPr>
          <w:rFonts w:ascii="Cambria" w:hAnsi="Cambria"/>
          <w:sz w:val="24"/>
        </w:rPr>
      </w:pPr>
      <w:r>
        <w:rPr>
          <w:rFonts w:ascii="Cambria" w:hAnsi="Cambria"/>
          <w:sz w:val="24"/>
        </w:rPr>
        <w:t>3-A</w:t>
      </w:r>
    </w:p>
    <w:p w:rsidR="0018335B" w:rsidRDefault="0018335B">
      <w:pPr>
        <w:rPr>
          <w:rFonts w:ascii="Cambria" w:hAnsi="Cambria"/>
          <w:sz w:val="24"/>
        </w:rPr>
      </w:pPr>
      <w:r>
        <w:rPr>
          <w:rFonts w:ascii="Cambria" w:hAnsi="Cambria"/>
          <w:sz w:val="24"/>
        </w:rPr>
        <w:t>4-If A, then B</w:t>
      </w:r>
    </w:p>
    <w:p w:rsidR="0018335B" w:rsidRDefault="0018335B">
      <w:pPr>
        <w:rPr>
          <w:rFonts w:ascii="Cambria" w:hAnsi="Cambria"/>
          <w:sz w:val="24"/>
        </w:rPr>
      </w:pPr>
      <w:r>
        <w:rPr>
          <w:rFonts w:ascii="Cambria" w:hAnsi="Cambria"/>
          <w:sz w:val="24"/>
        </w:rPr>
        <w:t>5-Therefore B</w:t>
      </w:r>
    </w:p>
    <w:p w:rsidR="0018335B" w:rsidRDefault="0018335B">
      <w:pPr>
        <w:rPr>
          <w:rFonts w:ascii="Cambria" w:hAnsi="Cambria"/>
          <w:sz w:val="24"/>
        </w:rPr>
      </w:pPr>
      <w:r>
        <w:rPr>
          <w:rFonts w:ascii="Cambria" w:hAnsi="Cambria"/>
          <w:i/>
          <w:sz w:val="24"/>
        </w:rPr>
        <w:t>OR</w:t>
      </w:r>
    </w:p>
    <w:p w:rsidR="0018335B" w:rsidRDefault="0018335B">
      <w:pPr>
        <w:rPr>
          <w:rFonts w:ascii="Cambria" w:hAnsi="Cambria"/>
          <w:sz w:val="24"/>
        </w:rPr>
      </w:pPr>
      <w:r>
        <w:rPr>
          <w:rFonts w:ascii="Cambria" w:hAnsi="Cambria"/>
          <w:sz w:val="24"/>
        </w:rPr>
        <w:t>6-Torture is wrong</w:t>
      </w:r>
    </w:p>
    <w:p w:rsidR="0018335B" w:rsidRDefault="0018335B">
      <w:pPr>
        <w:rPr>
          <w:rFonts w:ascii="Cambria" w:hAnsi="Cambria"/>
          <w:sz w:val="24"/>
        </w:rPr>
      </w:pPr>
      <w:r>
        <w:rPr>
          <w:rFonts w:ascii="Cambria" w:hAnsi="Cambria"/>
          <w:sz w:val="24"/>
        </w:rPr>
        <w:t>7-If torture is wrong, then the government sanctioning torture is wrong</w:t>
      </w:r>
    </w:p>
    <w:p w:rsidR="0018335B" w:rsidRDefault="0018335B">
      <w:pPr>
        <w:rPr>
          <w:rFonts w:ascii="Cambria" w:hAnsi="Cambria"/>
          <w:sz w:val="24"/>
        </w:rPr>
      </w:pPr>
      <w:r>
        <w:rPr>
          <w:rFonts w:ascii="Cambria" w:hAnsi="Cambria"/>
          <w:sz w:val="24"/>
        </w:rPr>
        <w:t>8-Therefore, the Gov’ sanctioning torture is wrong</w:t>
      </w:r>
    </w:p>
    <w:p w:rsidR="0018335B" w:rsidRDefault="0018335B" w:rsidP="00B31E6B">
      <w:pPr>
        <w:ind w:firstLine="720"/>
        <w:rPr>
          <w:rFonts w:ascii="Cambria" w:hAnsi="Cambria"/>
          <w:sz w:val="24"/>
        </w:rPr>
      </w:pPr>
      <w:r>
        <w:rPr>
          <w:rFonts w:ascii="Cambria" w:hAnsi="Cambria"/>
          <w:sz w:val="24"/>
        </w:rPr>
        <w:t xml:space="preserve">Here we can see that 1 is an asserted claim, but that 2 is unasserted. Using the non-cognitivists own </w:t>
      </w:r>
      <w:r w:rsidR="000A0547">
        <w:rPr>
          <w:rFonts w:ascii="Cambria" w:hAnsi="Cambria"/>
          <w:sz w:val="24"/>
        </w:rPr>
        <w:t>logic,</w:t>
      </w:r>
      <w:r>
        <w:rPr>
          <w:rFonts w:ascii="Cambria" w:hAnsi="Cambria"/>
          <w:sz w:val="24"/>
        </w:rPr>
        <w:t xml:space="preserve"> we can claim that 1 and 2 are both discussing meaningfully distinct ideas of torture and therefore does not logically necessitate 3, which makes the argument invalid. Non-cognitivism disempowers M.P. and therefore disempowers its own metaethical statements. It has committed the “informal fallacy”. </w:t>
      </w:r>
    </w:p>
    <w:p w:rsidR="0018335B" w:rsidRDefault="0018335B">
      <w:pPr>
        <w:rPr>
          <w:rFonts w:ascii="Cambria" w:hAnsi="Cambria"/>
          <w:sz w:val="24"/>
        </w:rPr>
      </w:pPr>
      <w:r>
        <w:rPr>
          <w:rFonts w:ascii="Cambria" w:hAnsi="Cambria"/>
          <w:sz w:val="24"/>
        </w:rPr>
        <w:t>Here is another example of an informal fallacy:</w:t>
      </w:r>
    </w:p>
    <w:p w:rsidR="0018335B" w:rsidRDefault="0018335B">
      <w:pPr>
        <w:rPr>
          <w:rFonts w:ascii="Cambria" w:hAnsi="Cambria"/>
          <w:sz w:val="24"/>
        </w:rPr>
      </w:pPr>
      <w:r>
        <w:rPr>
          <w:rFonts w:ascii="Cambria" w:hAnsi="Cambria"/>
          <w:sz w:val="24"/>
        </w:rPr>
        <w:t>9-My hand is on this mouse</w:t>
      </w:r>
    </w:p>
    <w:p w:rsidR="0018335B" w:rsidRDefault="0018335B">
      <w:pPr>
        <w:rPr>
          <w:rFonts w:ascii="Cambria" w:hAnsi="Cambria"/>
          <w:sz w:val="24"/>
        </w:rPr>
      </w:pPr>
      <w:r>
        <w:rPr>
          <w:rFonts w:ascii="Cambria" w:hAnsi="Cambria"/>
          <w:sz w:val="24"/>
        </w:rPr>
        <w:t>10-If my hand is on this mouse, it will squeak</w:t>
      </w:r>
    </w:p>
    <w:p w:rsidR="0018335B" w:rsidRDefault="0018335B">
      <w:pPr>
        <w:rPr>
          <w:rFonts w:ascii="Cambria" w:hAnsi="Cambria"/>
          <w:sz w:val="24"/>
        </w:rPr>
      </w:pPr>
      <w:r>
        <w:rPr>
          <w:rFonts w:ascii="Cambria" w:hAnsi="Cambria"/>
          <w:sz w:val="24"/>
        </w:rPr>
        <w:t>11-Therefore the mouse squeaks</w:t>
      </w:r>
    </w:p>
    <w:p w:rsidR="0018335B" w:rsidRDefault="0018335B" w:rsidP="00B31E6B">
      <w:pPr>
        <w:ind w:firstLine="720"/>
        <w:rPr>
          <w:rFonts w:ascii="Cambria" w:hAnsi="Cambria"/>
          <w:sz w:val="24"/>
        </w:rPr>
      </w:pPr>
      <w:r>
        <w:rPr>
          <w:rFonts w:ascii="Cambria" w:hAnsi="Cambria"/>
          <w:sz w:val="24"/>
        </w:rPr>
        <w:t xml:space="preserve">The “informal fallacy” becomes apparent once you understand that the mouse discussed in point 1 was a computer mouse, and the mice in points 2 and 3 were describing a </w:t>
      </w:r>
      <w:r w:rsidR="000A0547">
        <w:rPr>
          <w:rFonts w:ascii="Cambria" w:hAnsi="Cambria"/>
          <w:sz w:val="24"/>
        </w:rPr>
        <w:t>real-life</w:t>
      </w:r>
      <w:r>
        <w:rPr>
          <w:rFonts w:ascii="Cambria" w:hAnsi="Cambria"/>
          <w:sz w:val="24"/>
        </w:rPr>
        <w:t xml:space="preserve"> mouse: </w:t>
      </w:r>
    </w:p>
    <w:p w:rsidR="0018335B" w:rsidRDefault="0018335B">
      <w:pPr>
        <w:rPr>
          <w:rFonts w:ascii="Cambria" w:hAnsi="Cambria"/>
          <w:sz w:val="24"/>
        </w:rPr>
      </w:pPr>
      <w:r>
        <w:rPr>
          <w:rFonts w:ascii="Cambria" w:hAnsi="Cambria"/>
          <w:sz w:val="24"/>
        </w:rPr>
        <w:t xml:space="preserve">“The Frege-Geach problem shows that for the non-cognitivist, using morality as the subject of </w:t>
      </w:r>
      <w:r>
        <w:rPr>
          <w:rFonts w:ascii="Cambria" w:hAnsi="Cambria"/>
          <w:i/>
          <w:sz w:val="24"/>
        </w:rPr>
        <w:t>modus ponens</w:t>
      </w:r>
      <w:r>
        <w:rPr>
          <w:rFonts w:ascii="Cambria" w:hAnsi="Cambria"/>
          <w:sz w:val="24"/>
        </w:rPr>
        <w:t xml:space="preserve"> is to commit the fallacy of equivocation.”</w:t>
      </w:r>
      <w:r w:rsidR="00EB78FA">
        <w:rPr>
          <w:rStyle w:val="FootnoteReference"/>
          <w:rFonts w:ascii="Cambria" w:hAnsi="Cambria"/>
          <w:sz w:val="24"/>
        </w:rPr>
        <w:footnoteReference w:id="1"/>
      </w:r>
      <w:r>
        <w:rPr>
          <w:rFonts w:ascii="Cambria" w:hAnsi="Cambria"/>
          <w:sz w:val="24"/>
        </w:rPr>
        <w:t xml:space="preserve"> </w:t>
      </w:r>
    </w:p>
    <w:p w:rsidR="0018335B" w:rsidRDefault="0018335B" w:rsidP="00B31E6B">
      <w:pPr>
        <w:ind w:firstLine="720"/>
        <w:rPr>
          <w:rFonts w:ascii="Cambria" w:hAnsi="Cambria"/>
          <w:sz w:val="24"/>
        </w:rPr>
      </w:pPr>
      <w:r>
        <w:rPr>
          <w:rFonts w:ascii="Cambria" w:hAnsi="Cambria"/>
          <w:sz w:val="24"/>
        </w:rPr>
        <w:t xml:space="preserve">It seems odd to suppose that M.P. is valid unless talking about morality, so non-cognitivism needs to find a solution to the problem the Frege-Geach problem is </w:t>
      </w:r>
      <w:r>
        <w:rPr>
          <w:rFonts w:ascii="Cambria" w:hAnsi="Cambria"/>
          <w:sz w:val="24"/>
        </w:rPr>
        <w:lastRenderedPageBreak/>
        <w:t>supposing. Some thought they could save non-cognitivism by re-writing example 6-8 such as:</w:t>
      </w:r>
    </w:p>
    <w:p w:rsidR="0018335B" w:rsidRDefault="0018335B">
      <w:pPr>
        <w:rPr>
          <w:rFonts w:ascii="Cambria" w:hAnsi="Cambria"/>
          <w:sz w:val="24"/>
        </w:rPr>
      </w:pPr>
      <w:r>
        <w:rPr>
          <w:rFonts w:ascii="Cambria" w:hAnsi="Cambria"/>
          <w:sz w:val="24"/>
        </w:rPr>
        <w:t>12-Boo! Torture</w:t>
      </w:r>
    </w:p>
    <w:p w:rsidR="0018335B" w:rsidRDefault="0018335B">
      <w:pPr>
        <w:rPr>
          <w:rFonts w:ascii="Cambria" w:hAnsi="Cambria"/>
          <w:sz w:val="24"/>
        </w:rPr>
      </w:pPr>
      <w:r>
        <w:rPr>
          <w:rFonts w:ascii="Cambria" w:hAnsi="Cambria"/>
          <w:sz w:val="24"/>
        </w:rPr>
        <w:t xml:space="preserve">13-If Boo! Torture, then boo! Gov’ </w:t>
      </w:r>
    </w:p>
    <w:p w:rsidR="0018335B" w:rsidRDefault="0018335B">
      <w:pPr>
        <w:rPr>
          <w:rFonts w:ascii="Cambria" w:hAnsi="Cambria"/>
          <w:sz w:val="24"/>
        </w:rPr>
      </w:pPr>
      <w:r>
        <w:rPr>
          <w:rFonts w:ascii="Cambria" w:hAnsi="Cambria"/>
          <w:sz w:val="24"/>
        </w:rPr>
        <w:t>14-Therefore, boo! Gov’</w:t>
      </w:r>
    </w:p>
    <w:p w:rsidR="0018335B" w:rsidRDefault="0018335B" w:rsidP="00B31E6B">
      <w:pPr>
        <w:ind w:firstLine="720"/>
        <w:rPr>
          <w:rFonts w:ascii="Cambria" w:hAnsi="Cambria"/>
          <w:sz w:val="24"/>
        </w:rPr>
      </w:pPr>
      <w:r>
        <w:rPr>
          <w:rFonts w:ascii="Cambria" w:hAnsi="Cambria"/>
          <w:sz w:val="24"/>
        </w:rPr>
        <w:t xml:space="preserve">But once again we see issue with points 12 and 13 in terms of the assertion/un-assertion principle. 12 is asserted whilst 13 is not as 13 is a </w:t>
      </w:r>
      <w:r>
        <w:rPr>
          <w:rFonts w:ascii="Cambria" w:hAnsi="Cambria"/>
          <w:i/>
          <w:sz w:val="24"/>
        </w:rPr>
        <w:t xml:space="preserve">conditional, </w:t>
      </w:r>
      <w:r>
        <w:rPr>
          <w:rFonts w:ascii="Cambria" w:hAnsi="Cambria"/>
          <w:sz w:val="24"/>
        </w:rPr>
        <w:t xml:space="preserve">un-asserted, claim. The same problem arises for non-cognitivism. </w:t>
      </w:r>
    </w:p>
    <w:p w:rsidR="0018335B" w:rsidRDefault="0018335B" w:rsidP="00B31E6B">
      <w:pPr>
        <w:ind w:firstLine="720"/>
        <w:rPr>
          <w:rFonts w:ascii="Cambria" w:hAnsi="Cambria"/>
          <w:sz w:val="24"/>
        </w:rPr>
      </w:pPr>
      <w:r>
        <w:rPr>
          <w:rFonts w:ascii="Cambria" w:hAnsi="Cambria"/>
          <w:sz w:val="24"/>
        </w:rPr>
        <w:t xml:space="preserve">Moral cognitivism is a deceptional theory, moral claims are descriptions of the world, and so cognitivism doesn’t have the same problem (Frege-Geach problem) as points 6 and 7, or 12 and 13, are both descriptions of the world, so have no conflict of </w:t>
      </w:r>
      <w:r>
        <w:rPr>
          <w:rFonts w:ascii="Cambria" w:hAnsi="Cambria"/>
          <w:i/>
          <w:sz w:val="24"/>
        </w:rPr>
        <w:t>meaning</w:t>
      </w:r>
      <w:r>
        <w:rPr>
          <w:rFonts w:ascii="Cambria" w:hAnsi="Cambria"/>
          <w:sz w:val="24"/>
        </w:rPr>
        <w:t>. Non-cognitivism has no “attitudinal analogue for the proposition”</w:t>
      </w:r>
      <w:r w:rsidR="00EB78FA">
        <w:rPr>
          <w:rStyle w:val="FootnoteReference"/>
          <w:rFonts w:ascii="Cambria" w:hAnsi="Cambria"/>
          <w:sz w:val="24"/>
        </w:rPr>
        <w:footnoteReference w:id="2"/>
      </w:r>
      <w:r>
        <w:rPr>
          <w:rFonts w:ascii="Cambria" w:hAnsi="Cambria"/>
          <w:sz w:val="24"/>
        </w:rPr>
        <w:t xml:space="preserve"> </w:t>
      </w:r>
    </w:p>
    <w:p w:rsidR="0018335B" w:rsidRDefault="0018335B" w:rsidP="00B31E6B">
      <w:pPr>
        <w:ind w:firstLine="720"/>
        <w:rPr>
          <w:rFonts w:ascii="Cambria" w:hAnsi="Cambria"/>
          <w:sz w:val="24"/>
        </w:rPr>
      </w:pPr>
      <w:r>
        <w:rPr>
          <w:rFonts w:ascii="Cambria" w:hAnsi="Cambria"/>
          <w:sz w:val="24"/>
        </w:rPr>
        <w:t>One philosopher might hold the answer however. Simon Blackburn argues that non-cognitivism is logically compatible and sound with the “Frege-Geach” problem and supposed his theory of “Quasi-realism”. Blackburn wanted to create a theory</w:t>
      </w:r>
      <w:r w:rsidR="000A0547">
        <w:rPr>
          <w:rFonts w:ascii="Cambria" w:hAnsi="Cambria"/>
          <w:sz w:val="24"/>
        </w:rPr>
        <w:t>/ “</w:t>
      </w:r>
      <w:r>
        <w:rPr>
          <w:rFonts w:ascii="Cambria" w:hAnsi="Cambria"/>
          <w:sz w:val="24"/>
        </w:rPr>
        <w:t>explanatory programme” that maintained the “realist rhetoric” of morality of which humans have generated over the last thousands of years, didn’t require mass interpretation of our language, and was at its core antirealist:</w:t>
      </w:r>
    </w:p>
    <w:p w:rsidR="0018335B" w:rsidRDefault="0018335B">
      <w:pPr>
        <w:rPr>
          <w:rFonts w:ascii="Cambria" w:hAnsi="Cambria"/>
          <w:sz w:val="24"/>
        </w:rPr>
      </w:pPr>
      <w:r>
        <w:rPr>
          <w:rFonts w:ascii="Cambria" w:hAnsi="Cambria"/>
          <w:sz w:val="24"/>
        </w:rPr>
        <w:t>“</w:t>
      </w:r>
      <w:r w:rsidR="009266E5">
        <w:rPr>
          <w:rFonts w:ascii="Cambria" w:hAnsi="Cambria"/>
          <w:sz w:val="24"/>
        </w:rPr>
        <w:t>The Quasi-Realist is a “person who, starting from a recognizably antirealist position, finds himself progressively able to mimic the intellectual practices supposedly definitive of realism”</w:t>
      </w:r>
      <w:r w:rsidR="00EB78FA">
        <w:rPr>
          <w:rStyle w:val="FootnoteReference"/>
          <w:rFonts w:ascii="Cambria" w:hAnsi="Cambria"/>
          <w:sz w:val="24"/>
        </w:rPr>
        <w:footnoteReference w:id="3"/>
      </w:r>
      <w:r w:rsidR="009266E5">
        <w:rPr>
          <w:rFonts w:ascii="Cambria" w:hAnsi="Cambria"/>
          <w:sz w:val="24"/>
        </w:rPr>
        <w:t xml:space="preserve"> </w:t>
      </w:r>
    </w:p>
    <w:p w:rsidR="001266B8" w:rsidRDefault="001266B8" w:rsidP="00B31E6B">
      <w:pPr>
        <w:ind w:firstLine="720"/>
        <w:rPr>
          <w:rFonts w:ascii="Cambria" w:hAnsi="Cambria"/>
          <w:sz w:val="24"/>
        </w:rPr>
      </w:pPr>
      <w:r>
        <w:rPr>
          <w:rFonts w:ascii="Cambria" w:hAnsi="Cambria"/>
          <w:sz w:val="24"/>
        </w:rPr>
        <w:t>Is Blackburn able to deal with the Frege-Geach problem (F.G. for short), and more importantly, justify non-cognitivism over cognitivism?</w:t>
      </w:r>
      <w:r w:rsidR="00B31E6B">
        <w:rPr>
          <w:rFonts w:ascii="Cambria" w:hAnsi="Cambria"/>
          <w:sz w:val="24"/>
        </w:rPr>
        <w:t xml:space="preserve"> </w:t>
      </w:r>
      <w:r>
        <w:rPr>
          <w:rFonts w:ascii="Cambria" w:hAnsi="Cambria"/>
          <w:sz w:val="24"/>
        </w:rPr>
        <w:t xml:space="preserve">Blackburn’s response to the F.G. problem mainly focuses around the idea of “sensibilities”. A sensibility is: </w:t>
      </w:r>
    </w:p>
    <w:p w:rsidR="001266B8" w:rsidRDefault="001266B8">
      <w:pPr>
        <w:rPr>
          <w:rFonts w:ascii="Cambria" w:hAnsi="Cambria"/>
          <w:sz w:val="24"/>
        </w:rPr>
      </w:pPr>
      <w:r>
        <w:rPr>
          <w:rFonts w:ascii="Cambria" w:hAnsi="Cambria"/>
          <w:sz w:val="24"/>
        </w:rPr>
        <w:t>“A set of dispositions that ground how they (a person) will react to a certain situation.”</w:t>
      </w:r>
      <w:r w:rsidR="00EB78FA">
        <w:rPr>
          <w:rStyle w:val="FootnoteReference"/>
          <w:rFonts w:ascii="Cambria" w:hAnsi="Cambria"/>
          <w:sz w:val="24"/>
        </w:rPr>
        <w:footnoteReference w:id="4"/>
      </w:r>
      <w:r>
        <w:rPr>
          <w:rFonts w:ascii="Cambria" w:hAnsi="Cambria"/>
          <w:sz w:val="24"/>
        </w:rPr>
        <w:t xml:space="preserve"> </w:t>
      </w:r>
    </w:p>
    <w:p w:rsidR="001266B8" w:rsidRDefault="001266B8" w:rsidP="00B31E6B">
      <w:pPr>
        <w:ind w:firstLine="720"/>
        <w:rPr>
          <w:rFonts w:ascii="Cambria" w:hAnsi="Cambria"/>
          <w:sz w:val="24"/>
        </w:rPr>
      </w:pPr>
      <w:r>
        <w:rPr>
          <w:rFonts w:ascii="Cambria" w:hAnsi="Cambria"/>
          <w:sz w:val="24"/>
        </w:rPr>
        <w:t xml:space="preserve">Examples of dispositions used in this context would be: a disposition to get angry at injustice, to cry at cruelty, or to smile at charity. Blackburn suggests that we approve/disapprove of certain sensibilities over others, and that we prefer “consistent sensibilities” over “inconsistent” or “fractured sensibilities”. Blackburn needs to explain why someone who agrees with points 6 and 7 (torture is wrong, </w:t>
      </w:r>
      <w:r w:rsidR="000A0547">
        <w:rPr>
          <w:rFonts w:ascii="Cambria" w:hAnsi="Cambria"/>
          <w:sz w:val="24"/>
        </w:rPr>
        <w:t>if</w:t>
      </w:r>
      <w:r>
        <w:rPr>
          <w:rFonts w:ascii="Cambria" w:hAnsi="Cambria"/>
          <w:sz w:val="24"/>
        </w:rPr>
        <w:t xml:space="preserve"> torture is wrong then Gov’ is wrong…) should logically agree with point 8, and more importantly demonstrate it non-cognitively (without resorting to validity and truth).</w:t>
      </w:r>
    </w:p>
    <w:p w:rsidR="001266B8" w:rsidRDefault="001266B8">
      <w:pPr>
        <w:rPr>
          <w:rFonts w:ascii="Cambria" w:hAnsi="Cambria"/>
          <w:sz w:val="24"/>
        </w:rPr>
      </w:pPr>
      <w:r>
        <w:rPr>
          <w:rFonts w:ascii="Cambria" w:hAnsi="Cambria"/>
          <w:sz w:val="24"/>
        </w:rPr>
        <w:t>Blackburn thought to rewrite example 6-8 as:</w:t>
      </w:r>
    </w:p>
    <w:p w:rsidR="001266B8" w:rsidRDefault="001266B8">
      <w:pPr>
        <w:rPr>
          <w:rFonts w:ascii="Cambria" w:hAnsi="Cambria"/>
          <w:sz w:val="24"/>
        </w:rPr>
      </w:pPr>
      <w:r>
        <w:rPr>
          <w:rFonts w:ascii="Cambria" w:hAnsi="Cambria"/>
          <w:sz w:val="24"/>
        </w:rPr>
        <w:t>15-Disapproval of torture</w:t>
      </w:r>
    </w:p>
    <w:p w:rsidR="001266B8" w:rsidRDefault="001266B8">
      <w:pPr>
        <w:rPr>
          <w:rFonts w:ascii="Cambria" w:hAnsi="Cambria"/>
          <w:sz w:val="24"/>
        </w:rPr>
      </w:pPr>
      <w:r>
        <w:rPr>
          <w:rFonts w:ascii="Cambria" w:hAnsi="Cambria"/>
          <w:sz w:val="24"/>
        </w:rPr>
        <w:lastRenderedPageBreak/>
        <w:t>16-Disapproval of those with sensibilities that disapprove of torture, but not the government torturing</w:t>
      </w:r>
    </w:p>
    <w:p w:rsidR="001266B8" w:rsidRDefault="001266B8">
      <w:pPr>
        <w:rPr>
          <w:rFonts w:ascii="Cambria" w:hAnsi="Cambria"/>
          <w:sz w:val="24"/>
        </w:rPr>
      </w:pPr>
      <w:r>
        <w:rPr>
          <w:rFonts w:ascii="Cambria" w:hAnsi="Cambria"/>
          <w:sz w:val="24"/>
        </w:rPr>
        <w:t xml:space="preserve">17-Therefore, Disapproval </w:t>
      </w:r>
      <w:r w:rsidR="00D052B3">
        <w:rPr>
          <w:rFonts w:ascii="Cambria" w:hAnsi="Cambria"/>
          <w:sz w:val="24"/>
        </w:rPr>
        <w:t>of government torturing</w:t>
      </w:r>
    </w:p>
    <w:p w:rsidR="00D052B3" w:rsidRDefault="00D052B3" w:rsidP="00B31E6B">
      <w:pPr>
        <w:ind w:firstLine="720"/>
        <w:rPr>
          <w:rFonts w:ascii="Cambria" w:hAnsi="Cambria"/>
          <w:sz w:val="24"/>
        </w:rPr>
      </w:pPr>
      <w:r>
        <w:rPr>
          <w:rFonts w:ascii="Cambria" w:hAnsi="Cambria"/>
          <w:sz w:val="24"/>
        </w:rPr>
        <w:t>To accept 15 is to disapprove of torture. To accept 16 is to disapprove of those who torture, and those who disapprove torture, but do not disapprove the government torturing. To maintain consistent with our views, it is logical to accept 17 without resorting to truth-aptness. It would be illogical to believe in points 15 and 16, but not 17:</w:t>
      </w:r>
    </w:p>
    <w:p w:rsidR="00D052B3" w:rsidRPr="00D052B3" w:rsidRDefault="00D052B3">
      <w:pPr>
        <w:rPr>
          <w:rFonts w:ascii="Cambria" w:hAnsi="Cambria"/>
          <w:sz w:val="24"/>
        </w:rPr>
      </w:pPr>
      <w:r>
        <w:rPr>
          <w:rFonts w:ascii="Cambria" w:hAnsi="Cambria"/>
          <w:sz w:val="24"/>
        </w:rPr>
        <w:t xml:space="preserve">“Anyone holding this pair </w:t>
      </w:r>
      <w:r>
        <w:rPr>
          <w:rFonts w:ascii="Cambria" w:hAnsi="Cambria"/>
          <w:i/>
          <w:sz w:val="24"/>
        </w:rPr>
        <w:t>must</w:t>
      </w:r>
      <w:r>
        <w:rPr>
          <w:rFonts w:ascii="Cambria" w:hAnsi="Cambria"/>
          <w:sz w:val="24"/>
        </w:rPr>
        <w:t xml:space="preserve"> hold the consequential disapproval: he is committed to disapproving of [the government ordering soldiers to torture], for if he does not his attitudes </w:t>
      </w:r>
      <w:r>
        <w:rPr>
          <w:rFonts w:ascii="Cambria" w:hAnsi="Cambria"/>
          <w:i/>
          <w:sz w:val="24"/>
        </w:rPr>
        <w:t>clash</w:t>
      </w:r>
      <w:r>
        <w:rPr>
          <w:rFonts w:ascii="Cambria" w:hAnsi="Cambria"/>
          <w:sz w:val="24"/>
        </w:rPr>
        <w:t>. He has a fractured sensibility which cannot itself be an object of approval.”</w:t>
      </w:r>
      <w:r w:rsidR="00EB78FA">
        <w:rPr>
          <w:rStyle w:val="FootnoteReference"/>
          <w:rFonts w:ascii="Cambria" w:hAnsi="Cambria"/>
          <w:sz w:val="24"/>
        </w:rPr>
        <w:footnoteReference w:id="5"/>
      </w:r>
      <w:r>
        <w:rPr>
          <w:rFonts w:ascii="Cambria" w:hAnsi="Cambria"/>
          <w:sz w:val="24"/>
        </w:rPr>
        <w:t xml:space="preserve"> </w:t>
      </w:r>
    </w:p>
    <w:p w:rsidR="0018335B" w:rsidRDefault="00D052B3" w:rsidP="00B31E6B">
      <w:pPr>
        <w:ind w:firstLine="720"/>
        <w:rPr>
          <w:rFonts w:ascii="Cambria" w:hAnsi="Cambria"/>
          <w:sz w:val="24"/>
        </w:rPr>
      </w:pPr>
      <w:r>
        <w:rPr>
          <w:rFonts w:ascii="Cambria" w:hAnsi="Cambria"/>
          <w:sz w:val="24"/>
        </w:rPr>
        <w:t xml:space="preserve">This demonstrates how 17 follows from 15 and 16, and how not accepting 17 feels illogical. For Blackburn M.P. isn’t about validity as much as it’s about </w:t>
      </w:r>
      <w:r w:rsidR="00003E64">
        <w:rPr>
          <w:rFonts w:ascii="Cambria" w:hAnsi="Cambria"/>
          <w:i/>
          <w:sz w:val="24"/>
        </w:rPr>
        <w:t>consistency</w:t>
      </w:r>
      <w:r w:rsidR="00003E64">
        <w:rPr>
          <w:rFonts w:ascii="Cambria" w:hAnsi="Cambria"/>
          <w:sz w:val="24"/>
        </w:rPr>
        <w:t xml:space="preserve"> (non-fractured moral sensibilities). </w:t>
      </w:r>
    </w:p>
    <w:p w:rsidR="00003E64" w:rsidRDefault="00003E64" w:rsidP="00B31E6B">
      <w:pPr>
        <w:ind w:firstLine="720"/>
        <w:rPr>
          <w:rFonts w:ascii="Cambria" w:hAnsi="Cambria"/>
          <w:sz w:val="24"/>
        </w:rPr>
      </w:pPr>
      <w:r>
        <w:rPr>
          <w:rFonts w:ascii="Cambria" w:hAnsi="Cambria"/>
          <w:sz w:val="24"/>
        </w:rPr>
        <w:t>Now how does/did our language develop from non-cognitive, expressive, content to fully fledged “quasi-realistic” cognitive content? Blackburn suggests that is it necessary for an expressive language to take on the appearance of a descriptive language (realism):</w:t>
      </w:r>
    </w:p>
    <w:p w:rsidR="00003E64" w:rsidRPr="00003E64" w:rsidRDefault="00003E64">
      <w:pPr>
        <w:rPr>
          <w:rFonts w:ascii="Cambria" w:hAnsi="Cambria"/>
          <w:sz w:val="24"/>
        </w:rPr>
      </w:pPr>
      <w:r>
        <w:rPr>
          <w:rFonts w:ascii="Cambria" w:hAnsi="Cambria"/>
          <w:sz w:val="24"/>
        </w:rPr>
        <w:t xml:space="preserve">“We would have to invent a predicate answering to the attitudes, and treat commitments as </w:t>
      </w:r>
      <w:r>
        <w:rPr>
          <w:rFonts w:ascii="Cambria" w:hAnsi="Cambria"/>
          <w:i/>
          <w:sz w:val="24"/>
        </w:rPr>
        <w:t>if they were judgements,</w:t>
      </w:r>
      <w:r>
        <w:rPr>
          <w:rFonts w:ascii="Cambria" w:hAnsi="Cambria"/>
          <w:sz w:val="24"/>
        </w:rPr>
        <w:t xml:space="preserve"> and then use all the natural devices for debating truth. If this is right, then our use of unasserted contexts does not prove that an expressive theory of morality is wrong; it merely proves us to have adopted a form of expression adequate to our needs</w:t>
      </w:r>
      <w:r w:rsidR="00EB78FA">
        <w:rPr>
          <w:rFonts w:ascii="Cambria" w:hAnsi="Cambria"/>
          <w:sz w:val="24"/>
        </w:rPr>
        <w:t>.”</w:t>
      </w:r>
      <w:r w:rsidR="00EB78FA">
        <w:rPr>
          <w:rStyle w:val="FootnoteReference"/>
          <w:rFonts w:ascii="Cambria" w:hAnsi="Cambria"/>
          <w:sz w:val="24"/>
        </w:rPr>
        <w:footnoteReference w:id="6"/>
      </w:r>
      <w:r>
        <w:rPr>
          <w:rFonts w:ascii="Cambria" w:hAnsi="Cambria"/>
          <w:sz w:val="24"/>
        </w:rPr>
        <w:t xml:space="preserve"> </w:t>
      </w:r>
    </w:p>
    <w:p w:rsidR="0018335B" w:rsidRDefault="00003E64">
      <w:pPr>
        <w:rPr>
          <w:rFonts w:ascii="Cambria" w:hAnsi="Cambria"/>
          <w:sz w:val="24"/>
        </w:rPr>
      </w:pPr>
      <w:r>
        <w:rPr>
          <w:rFonts w:ascii="Cambria" w:hAnsi="Cambria"/>
          <w:sz w:val="24"/>
        </w:rPr>
        <w:t>“Blackburn’s explanation is apparently pragmatic. For us to do what we want to be able to do with our moral language it has to be realist</w:t>
      </w:r>
      <w:r w:rsidR="00B31E6B">
        <w:rPr>
          <w:rFonts w:ascii="Cambria" w:hAnsi="Cambria"/>
          <w:sz w:val="24"/>
        </w:rPr>
        <w:t>.</w:t>
      </w:r>
      <w:r>
        <w:rPr>
          <w:rFonts w:ascii="Cambria" w:hAnsi="Cambria"/>
          <w:sz w:val="24"/>
        </w:rPr>
        <w:t>”</w:t>
      </w:r>
      <w:r w:rsidR="00EB78FA">
        <w:rPr>
          <w:rStyle w:val="FootnoteReference"/>
          <w:rFonts w:ascii="Cambria" w:hAnsi="Cambria"/>
          <w:sz w:val="24"/>
        </w:rPr>
        <w:footnoteReference w:id="7"/>
      </w:r>
      <w:r>
        <w:rPr>
          <w:rFonts w:ascii="Cambria" w:hAnsi="Cambria"/>
          <w:sz w:val="24"/>
        </w:rPr>
        <w:t xml:space="preserve"> </w:t>
      </w:r>
    </w:p>
    <w:p w:rsidR="00003E64" w:rsidRDefault="00D705FB" w:rsidP="00B31E6B">
      <w:pPr>
        <w:ind w:firstLine="720"/>
        <w:rPr>
          <w:rFonts w:ascii="Cambria" w:hAnsi="Cambria"/>
          <w:sz w:val="24"/>
        </w:rPr>
      </w:pPr>
      <w:r>
        <w:rPr>
          <w:rFonts w:ascii="Cambria" w:hAnsi="Cambria"/>
          <w:sz w:val="24"/>
        </w:rPr>
        <w:t xml:space="preserve">Blackburn has supposedly solved the F.G. problem, and followed up with three reasons to reject realism, each with their own heading: Economy, practicality, supervenience. </w:t>
      </w:r>
    </w:p>
    <w:p w:rsidR="00D705FB" w:rsidRDefault="00D705FB" w:rsidP="00B31E6B">
      <w:pPr>
        <w:ind w:firstLine="720"/>
        <w:rPr>
          <w:rFonts w:ascii="Cambria" w:hAnsi="Cambria"/>
          <w:sz w:val="24"/>
        </w:rPr>
      </w:pPr>
      <w:r>
        <w:rPr>
          <w:rFonts w:ascii="Cambria" w:hAnsi="Cambria"/>
          <w:sz w:val="24"/>
        </w:rPr>
        <w:t>Firstly, is Economy. According to Blackburn non-cognitivism is more “economical” in terms of what it requires epistemologically. Realism is “more expensive” in terms of knowledge. Just think about how complex of a theory Plato’s forms is, and how rich the study would have to be to prove/disprove it, when compared to a reductionist theory such as Nihilism (think of Economy as Blackburn’s Occam’s razor “the simplest answer is the best/do not multiply entities unnecessarily).</w:t>
      </w:r>
    </w:p>
    <w:p w:rsidR="00D705FB" w:rsidRDefault="00D705FB" w:rsidP="00B31E6B">
      <w:pPr>
        <w:ind w:firstLine="720"/>
        <w:rPr>
          <w:rFonts w:ascii="Cambria" w:hAnsi="Cambria"/>
          <w:sz w:val="24"/>
        </w:rPr>
      </w:pPr>
      <w:r>
        <w:rPr>
          <w:rFonts w:ascii="Cambria" w:hAnsi="Cambria"/>
          <w:sz w:val="24"/>
        </w:rPr>
        <w:t xml:space="preserve">Secondly, is Practicality. Blackburn agreed with the Humeian idea that motivation derives from a combination of certain beliefs and certain desires. What’s </w:t>
      </w:r>
      <w:r>
        <w:rPr>
          <w:rFonts w:ascii="Cambria" w:hAnsi="Cambria"/>
          <w:sz w:val="24"/>
        </w:rPr>
        <w:lastRenderedPageBreak/>
        <w:t>important here is that beliefs cannot entail desires, or vice versa, as they are two mentally distinct concepts. This is known as “motivational internalism” (M.I.), if we make a moral judgment, we shall be motivated by said judgement</w:t>
      </w:r>
      <w:r w:rsidR="000A0547">
        <w:rPr>
          <w:rFonts w:ascii="Cambria" w:hAnsi="Cambria"/>
          <w:sz w:val="24"/>
        </w:rPr>
        <w:t>, but a judgement cannot be a belief, because if they were desire might not be present when we make moral judgements. But this might mean that motivation might not follow on from the moral judgement, which is conceptually impossible if internalism is correct, therefore making cognitivism invalid.</w:t>
      </w:r>
    </w:p>
    <w:p w:rsidR="000A0547" w:rsidRDefault="000A0547" w:rsidP="00B31E6B">
      <w:pPr>
        <w:ind w:firstLine="720"/>
        <w:rPr>
          <w:rFonts w:ascii="Cambria" w:hAnsi="Cambria"/>
          <w:sz w:val="24"/>
        </w:rPr>
      </w:pPr>
      <w:r>
        <w:rPr>
          <w:rFonts w:ascii="Cambria" w:hAnsi="Cambria"/>
          <w:sz w:val="24"/>
        </w:rPr>
        <w:t>Lastly, is Supervenience. Moral supervenience is the idea that if two objects share the same natural properties, they will share the same mo</w:t>
      </w:r>
      <w:r w:rsidR="00242E0B">
        <w:rPr>
          <w:rFonts w:ascii="Cambria" w:hAnsi="Cambria"/>
          <w:sz w:val="24"/>
        </w:rPr>
        <w:t>ral properties, and vice versa. For Blackburn it does not make sense to think of two things having the same natural properties, but following up by having two different moral properties, or vice versa. The issue being how does the realist respect moral supervenience? Perhaps a solution might be to say that they are both and the same, to identify natural properties is to identify moral properties. But Blackburn thought this reply was too powerful, as it could easily allow for a dogmatic rule over natural and moral properties, as without a proper theory to guide us along the way. Blackburn instead believes we should first observe the natural properties, apply it with the proper theory, and</w:t>
      </w:r>
      <w:r w:rsidR="003C7798">
        <w:rPr>
          <w:rFonts w:ascii="Cambria" w:hAnsi="Cambria"/>
          <w:sz w:val="24"/>
        </w:rPr>
        <w:t xml:space="preserve"> based off observations apply the appropriate moral properties. </w:t>
      </w:r>
    </w:p>
    <w:p w:rsidR="003C7798" w:rsidRDefault="003C7798" w:rsidP="00B31E6B">
      <w:pPr>
        <w:ind w:firstLine="720"/>
        <w:rPr>
          <w:rFonts w:ascii="Cambria" w:hAnsi="Cambria"/>
          <w:sz w:val="24"/>
        </w:rPr>
      </w:pPr>
      <w:r>
        <w:rPr>
          <w:rFonts w:ascii="Cambria" w:hAnsi="Cambria"/>
          <w:sz w:val="24"/>
        </w:rPr>
        <w:t>Ultimately, I believe Blackburn paved the way for incredible new-age metaethical theories. Quasi-realism is an inclusive theory, but one that is logical. It accepts the somewhat arbitrary nature of morality, whilst also respecting the thousands of years of ethical language we have cultivated through practice and academia. I think there are definite logical holes within his argument, or to say the least very perplexing logic. Quasi-realism is a beautiful theory despite it’s apparent flaws, such as the reliance of Humeian logic and other “language games” as I’d like to call them.</w:t>
      </w:r>
    </w:p>
    <w:p w:rsidR="003C7798" w:rsidRDefault="003C7798" w:rsidP="00B31E6B">
      <w:pPr>
        <w:ind w:firstLine="720"/>
        <w:rPr>
          <w:rFonts w:ascii="Cambria" w:hAnsi="Cambria"/>
          <w:sz w:val="24"/>
        </w:rPr>
      </w:pPr>
      <w:r>
        <w:rPr>
          <w:rFonts w:ascii="Cambria" w:hAnsi="Cambria"/>
          <w:sz w:val="24"/>
        </w:rPr>
        <w:t xml:space="preserve">For me Ethics/Meta-ethics isn’t about what makes the most logical sense, it’s about what </w:t>
      </w:r>
      <w:r>
        <w:rPr>
          <w:rFonts w:ascii="Cambria" w:hAnsi="Cambria"/>
          <w:i/>
          <w:sz w:val="24"/>
        </w:rPr>
        <w:t xml:space="preserve">feels </w:t>
      </w:r>
      <w:r>
        <w:rPr>
          <w:rFonts w:ascii="Cambria" w:hAnsi="Cambria"/>
          <w:sz w:val="24"/>
        </w:rPr>
        <w:t xml:space="preserve">right. We could go down linguistic analytic rabbit holes, never to see the light of day again. Or we could use our everyday sense of logic to determine what is logically sound whilst at the same time, </w:t>
      </w:r>
      <w:r>
        <w:rPr>
          <w:rFonts w:ascii="Cambria" w:hAnsi="Cambria"/>
          <w:i/>
          <w:sz w:val="24"/>
        </w:rPr>
        <w:t>feeling just right</w:t>
      </w:r>
      <w:r>
        <w:rPr>
          <w:rFonts w:ascii="Cambria" w:hAnsi="Cambria"/>
          <w:sz w:val="24"/>
        </w:rPr>
        <w:t>. I fear otherwise that philosophers will go down the same path as Kant, a man who dedicated his life to ethical philosophy, only to spend every day of his life lecturing the same university class in the same town, following the same pattern day to day, never a smidge off course, how boring.</w:t>
      </w:r>
    </w:p>
    <w:p w:rsidR="003C7798" w:rsidRDefault="003C7798" w:rsidP="00B31E6B">
      <w:pPr>
        <w:ind w:firstLine="720"/>
        <w:rPr>
          <w:rFonts w:ascii="Cambria" w:hAnsi="Cambria"/>
          <w:sz w:val="24"/>
        </w:rPr>
      </w:pPr>
      <w:r>
        <w:rPr>
          <w:rFonts w:ascii="Cambria" w:hAnsi="Cambria"/>
          <w:sz w:val="24"/>
        </w:rPr>
        <w:t xml:space="preserve">Instead let us use our minds appropriately but not excessively. To me there must be balance in all things, even with feelings and reasoning. We shouldn’t take the route of the anarchist for fear of our destruction, but we also shouldn’t take the route of the </w:t>
      </w:r>
      <w:r w:rsidR="00EB78FA">
        <w:rPr>
          <w:rFonts w:ascii="Cambria" w:hAnsi="Cambria"/>
          <w:sz w:val="24"/>
        </w:rPr>
        <w:t>Kantians</w:t>
      </w:r>
      <w:r>
        <w:rPr>
          <w:rFonts w:ascii="Cambria" w:hAnsi="Cambria"/>
          <w:sz w:val="24"/>
        </w:rPr>
        <w:t xml:space="preserve"> for fear of losing our essence, our emotions. </w:t>
      </w:r>
    </w:p>
    <w:p w:rsidR="00E600FD" w:rsidRPr="003C7798" w:rsidRDefault="00EB78FA" w:rsidP="00B31E6B">
      <w:pPr>
        <w:ind w:firstLine="720"/>
        <w:rPr>
          <w:rFonts w:ascii="Cambria" w:hAnsi="Cambria"/>
          <w:sz w:val="24"/>
        </w:rPr>
      </w:pPr>
      <w:r>
        <w:rPr>
          <w:rFonts w:ascii="Cambria" w:hAnsi="Cambria"/>
          <w:sz w:val="24"/>
        </w:rPr>
        <w:t xml:space="preserve">I love how Blackburn tries to explain how descriptive language came about from expressive. It makes total sense to me, and despite the logical holes in his justification for non-cognitivism over cognitivism, I think it is perfectly succinct in its explanation, and followed up eradication of Platonic style metaethical theories. We’ve hit a new age, a cold technological nihilistic era. Currently, Platonic metaethical theories are losing more and more traction and I can see why. We are moving past the ages of our only </w:t>
      </w:r>
      <w:r>
        <w:rPr>
          <w:rFonts w:ascii="Cambria" w:hAnsi="Cambria"/>
          <w:sz w:val="24"/>
        </w:rPr>
        <w:lastRenderedPageBreak/>
        <w:t xml:space="preserve">source of info being the local oracle. We’ve never be so interconnected in terms of information, and I feel excitement in knowing that I live in a time with phosphors such as Blackburn, Wittgenstein, and Camus, with theories more wild and modern than anything we’ve ever seen. Despite its faults I redeem Quasi-realism as a fantastic </w:t>
      </w:r>
      <w:r w:rsidR="00E600FD">
        <w:rPr>
          <w:rFonts w:ascii="Cambria" w:hAnsi="Cambria"/>
          <w:sz w:val="24"/>
        </w:rPr>
        <w:t>attempt to say the least.</w:t>
      </w:r>
    </w:p>
    <w:p w:rsidR="00E600FD" w:rsidRDefault="00E600FD" w:rsidP="00EB78FA">
      <w:pPr>
        <w:rPr>
          <w:rFonts w:ascii="Cambria" w:hAnsi="Cambria"/>
          <w:sz w:val="24"/>
        </w:rPr>
      </w:pPr>
    </w:p>
    <w:p w:rsidR="00E600FD" w:rsidRDefault="00E600FD">
      <w:pPr>
        <w:rPr>
          <w:rFonts w:ascii="Cambria" w:hAnsi="Cambria"/>
          <w:sz w:val="24"/>
        </w:rPr>
      </w:pPr>
      <w:r>
        <w:rPr>
          <w:rFonts w:ascii="Cambria" w:hAnsi="Cambria"/>
          <w:sz w:val="24"/>
        </w:rPr>
        <w:br w:type="page"/>
      </w:r>
    </w:p>
    <w:p w:rsidR="00E600FD" w:rsidRPr="00E600FD" w:rsidRDefault="00E600FD">
      <w:pPr>
        <w:rPr>
          <w:rFonts w:ascii="Cambria" w:hAnsi="Cambria"/>
          <w:b/>
          <w:i/>
          <w:sz w:val="24"/>
          <w:u w:val="single"/>
        </w:rPr>
      </w:pPr>
      <w:r w:rsidRPr="00E600FD">
        <w:rPr>
          <w:rFonts w:ascii="Cambria" w:hAnsi="Cambria"/>
          <w:b/>
          <w:i/>
          <w:sz w:val="24"/>
          <w:u w:val="single"/>
        </w:rPr>
        <w:lastRenderedPageBreak/>
        <w:t>References:</w:t>
      </w:r>
    </w:p>
    <w:p w:rsidR="00E600FD" w:rsidRDefault="00E600FD" w:rsidP="00EB78FA">
      <w:pPr>
        <w:rPr>
          <w:rFonts w:ascii="Cambria" w:hAnsi="Cambria"/>
          <w:sz w:val="24"/>
        </w:rPr>
      </w:pPr>
      <w:r w:rsidRPr="00E600FD">
        <w:rPr>
          <w:rFonts w:ascii="Cambria" w:hAnsi="Cambria"/>
          <w:sz w:val="24"/>
        </w:rPr>
        <w:t>Fisher, A. (2014). </w:t>
      </w:r>
      <w:r w:rsidRPr="00E600FD">
        <w:rPr>
          <w:rFonts w:ascii="Cambria" w:hAnsi="Cambria"/>
          <w:i/>
          <w:iCs/>
          <w:sz w:val="24"/>
        </w:rPr>
        <w:t>Metaethics</w:t>
      </w:r>
      <w:r w:rsidRPr="00E600FD">
        <w:rPr>
          <w:rFonts w:ascii="Cambria" w:hAnsi="Cambria"/>
          <w:sz w:val="24"/>
        </w:rPr>
        <w:t>. Hoboken: Taylor and Francis.</w:t>
      </w:r>
    </w:p>
    <w:p w:rsidR="00E600FD" w:rsidRDefault="00E600FD">
      <w:pPr>
        <w:rPr>
          <w:rFonts w:ascii="Cambria" w:hAnsi="Cambria"/>
          <w:sz w:val="24"/>
        </w:rPr>
      </w:pPr>
      <w:r>
        <w:rPr>
          <w:rFonts w:ascii="Cambria" w:hAnsi="Cambria"/>
          <w:sz w:val="24"/>
        </w:rPr>
        <w:br w:type="page"/>
      </w:r>
    </w:p>
    <w:p w:rsidR="00E600FD" w:rsidRDefault="00E600FD">
      <w:pPr>
        <w:rPr>
          <w:rFonts w:ascii="Cambria" w:hAnsi="Cambria"/>
          <w:b/>
          <w:i/>
          <w:sz w:val="24"/>
          <w:u w:val="single"/>
        </w:rPr>
      </w:pPr>
      <w:r w:rsidRPr="00E600FD">
        <w:rPr>
          <w:rFonts w:ascii="Cambria" w:hAnsi="Cambria"/>
          <w:b/>
          <w:i/>
          <w:sz w:val="24"/>
          <w:u w:val="single"/>
        </w:rPr>
        <w:lastRenderedPageBreak/>
        <w:t>Bibliography:</w:t>
      </w:r>
    </w:p>
    <w:p w:rsidR="00E600FD" w:rsidRDefault="00E600FD">
      <w:pPr>
        <w:rPr>
          <w:rFonts w:ascii="Cambria" w:hAnsi="Cambria"/>
          <w:b/>
          <w:i/>
          <w:sz w:val="24"/>
          <w:u w:val="single"/>
        </w:rPr>
      </w:pPr>
    </w:p>
    <w:p w:rsidR="00E600FD" w:rsidRPr="00E600FD" w:rsidRDefault="00E600FD" w:rsidP="00E600FD">
      <w:pPr>
        <w:rPr>
          <w:rFonts w:ascii="Cambria" w:hAnsi="Cambria"/>
          <w:b/>
          <w:i/>
          <w:sz w:val="24"/>
          <w:u w:val="single"/>
        </w:rPr>
      </w:pPr>
      <w:r>
        <w:rPr>
          <w:rFonts w:ascii="Open Sans" w:hAnsi="Open Sans" w:cs="Open Sans"/>
          <w:color w:val="666666"/>
          <w:sz w:val="20"/>
          <w:szCs w:val="20"/>
          <w:shd w:val="clear" w:color="auto" w:fill="FFF5AA"/>
        </w:rPr>
        <w:t>Fisher, A. (2014). </w:t>
      </w:r>
      <w:r>
        <w:rPr>
          <w:rFonts w:ascii="Open Sans" w:hAnsi="Open Sans" w:cs="Open Sans"/>
          <w:i/>
          <w:iCs/>
          <w:color w:val="666666"/>
          <w:sz w:val="20"/>
          <w:szCs w:val="20"/>
          <w:shd w:val="clear" w:color="auto" w:fill="FFF5AA"/>
        </w:rPr>
        <w:t>Metaethics</w:t>
      </w:r>
      <w:r>
        <w:rPr>
          <w:rFonts w:ascii="Open Sans" w:hAnsi="Open Sans" w:cs="Open Sans"/>
          <w:color w:val="666666"/>
          <w:sz w:val="20"/>
          <w:szCs w:val="20"/>
          <w:shd w:val="clear" w:color="auto" w:fill="FFF5AA"/>
        </w:rPr>
        <w:t>. Hoboken: Taylor and Francis.</w:t>
      </w:r>
    </w:p>
    <w:sectPr w:rsidR="00E600FD" w:rsidRPr="00E600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7FD1" w:rsidRDefault="006F7FD1" w:rsidP="00EB78FA">
      <w:pPr>
        <w:spacing w:after="0" w:line="240" w:lineRule="auto"/>
      </w:pPr>
      <w:r>
        <w:separator/>
      </w:r>
    </w:p>
  </w:endnote>
  <w:endnote w:type="continuationSeparator" w:id="0">
    <w:p w:rsidR="006F7FD1" w:rsidRDefault="006F7FD1" w:rsidP="00EB78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 w:name="Open Sans">
    <w:panose1 w:val="020B0606030504020204"/>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7FD1" w:rsidRDefault="006F7FD1" w:rsidP="00EB78FA">
      <w:pPr>
        <w:spacing w:after="0" w:line="240" w:lineRule="auto"/>
      </w:pPr>
      <w:r>
        <w:separator/>
      </w:r>
    </w:p>
  </w:footnote>
  <w:footnote w:type="continuationSeparator" w:id="0">
    <w:p w:rsidR="006F7FD1" w:rsidRDefault="006F7FD1" w:rsidP="00EB78FA">
      <w:pPr>
        <w:spacing w:after="0" w:line="240" w:lineRule="auto"/>
      </w:pPr>
      <w:r>
        <w:continuationSeparator/>
      </w:r>
    </w:p>
  </w:footnote>
  <w:footnote w:id="1">
    <w:p w:rsidR="00EB78FA" w:rsidRDefault="00EB78FA">
      <w:pPr>
        <w:pStyle w:val="FootnoteText"/>
      </w:pPr>
      <w:r>
        <w:rPr>
          <w:rStyle w:val="FootnoteReference"/>
        </w:rPr>
        <w:footnoteRef/>
      </w:r>
      <w:r>
        <w:t xml:space="preserve"> </w:t>
      </w:r>
      <w:r w:rsidRPr="00EB78FA">
        <w:t>Fisher, A. (2014). </w:t>
      </w:r>
      <w:r w:rsidRPr="00EB78FA">
        <w:rPr>
          <w:i/>
          <w:iCs/>
        </w:rPr>
        <w:t>Metaethics</w:t>
      </w:r>
      <w:r w:rsidRPr="00EB78FA">
        <w:t>. Hoboken: Taylor and Francis.</w:t>
      </w:r>
      <w:r>
        <w:t xml:space="preserve"> P.96</w:t>
      </w:r>
    </w:p>
  </w:footnote>
  <w:footnote w:id="2">
    <w:p w:rsidR="00EB78FA" w:rsidRDefault="00EB78FA">
      <w:pPr>
        <w:pStyle w:val="FootnoteText"/>
      </w:pPr>
      <w:r>
        <w:rPr>
          <w:rStyle w:val="FootnoteReference"/>
        </w:rPr>
        <w:footnoteRef/>
      </w:r>
      <w:r>
        <w:t xml:space="preserve"> </w:t>
      </w:r>
      <w:r w:rsidRPr="00EB78FA">
        <w:t>Fisher, A. (2014). </w:t>
      </w:r>
      <w:r w:rsidRPr="00EB78FA">
        <w:rPr>
          <w:i/>
          <w:iCs/>
        </w:rPr>
        <w:t>Metaethics</w:t>
      </w:r>
      <w:r w:rsidRPr="00EB78FA">
        <w:t>. Hoboken: Taylor and Francis.</w:t>
      </w:r>
      <w:r>
        <w:t xml:space="preserve"> P.97</w:t>
      </w:r>
    </w:p>
  </w:footnote>
  <w:footnote w:id="3">
    <w:p w:rsidR="00EB78FA" w:rsidRDefault="00EB78FA">
      <w:pPr>
        <w:pStyle w:val="FootnoteText"/>
      </w:pPr>
      <w:r>
        <w:rPr>
          <w:rStyle w:val="FootnoteReference"/>
        </w:rPr>
        <w:footnoteRef/>
      </w:r>
      <w:r>
        <w:t xml:space="preserve"> Ibid, p.98</w:t>
      </w:r>
    </w:p>
  </w:footnote>
  <w:footnote w:id="4">
    <w:p w:rsidR="00EB78FA" w:rsidRDefault="00EB78FA">
      <w:pPr>
        <w:pStyle w:val="FootnoteText"/>
      </w:pPr>
      <w:r>
        <w:rPr>
          <w:rStyle w:val="FootnoteReference"/>
        </w:rPr>
        <w:footnoteRef/>
      </w:r>
      <w:r>
        <w:t xml:space="preserve"> Ibid, p.98</w:t>
      </w:r>
    </w:p>
  </w:footnote>
  <w:footnote w:id="5">
    <w:p w:rsidR="00EB78FA" w:rsidRDefault="00EB78FA">
      <w:pPr>
        <w:pStyle w:val="FootnoteText"/>
      </w:pPr>
      <w:r>
        <w:rPr>
          <w:rStyle w:val="FootnoteReference"/>
        </w:rPr>
        <w:footnoteRef/>
      </w:r>
      <w:r>
        <w:t xml:space="preserve"> </w:t>
      </w:r>
      <w:r w:rsidRPr="00EB78FA">
        <w:t>Fisher, A. (2014). </w:t>
      </w:r>
      <w:r w:rsidRPr="00EB78FA">
        <w:rPr>
          <w:i/>
          <w:iCs/>
        </w:rPr>
        <w:t>Metaethics</w:t>
      </w:r>
      <w:r w:rsidRPr="00EB78FA">
        <w:t>. Hoboken: Taylor and Francis.</w:t>
      </w:r>
      <w:r>
        <w:t xml:space="preserve"> P.100</w:t>
      </w:r>
    </w:p>
  </w:footnote>
  <w:footnote w:id="6">
    <w:p w:rsidR="00EB78FA" w:rsidRDefault="00EB78FA">
      <w:pPr>
        <w:pStyle w:val="FootnoteText"/>
      </w:pPr>
      <w:r>
        <w:rPr>
          <w:rStyle w:val="FootnoteReference"/>
        </w:rPr>
        <w:footnoteRef/>
      </w:r>
      <w:r>
        <w:t xml:space="preserve"> Ibid, p.101</w:t>
      </w:r>
    </w:p>
  </w:footnote>
  <w:footnote w:id="7">
    <w:p w:rsidR="00EB78FA" w:rsidRDefault="00EB78FA">
      <w:pPr>
        <w:pStyle w:val="FootnoteText"/>
      </w:pPr>
      <w:r>
        <w:rPr>
          <w:rStyle w:val="FootnoteReference"/>
        </w:rPr>
        <w:footnoteRef/>
      </w:r>
      <w:r>
        <w:t xml:space="preserve"> Ibid, p.101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B7272A"/>
    <w:multiLevelType w:val="multilevel"/>
    <w:tmpl w:val="55F616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2204"/>
    <w:rsid w:val="00003E64"/>
    <w:rsid w:val="0008683B"/>
    <w:rsid w:val="000A0547"/>
    <w:rsid w:val="001266B8"/>
    <w:rsid w:val="0018335B"/>
    <w:rsid w:val="001A0291"/>
    <w:rsid w:val="001C4E86"/>
    <w:rsid w:val="00242E0B"/>
    <w:rsid w:val="002D4158"/>
    <w:rsid w:val="002E7B4D"/>
    <w:rsid w:val="0037620D"/>
    <w:rsid w:val="003C7798"/>
    <w:rsid w:val="003F2204"/>
    <w:rsid w:val="0040053D"/>
    <w:rsid w:val="004E11D2"/>
    <w:rsid w:val="006A1B7A"/>
    <w:rsid w:val="006B38E0"/>
    <w:rsid w:val="006F7FD1"/>
    <w:rsid w:val="009266E5"/>
    <w:rsid w:val="00A9601B"/>
    <w:rsid w:val="00B31E6B"/>
    <w:rsid w:val="00B606C4"/>
    <w:rsid w:val="00D052B3"/>
    <w:rsid w:val="00D705FB"/>
    <w:rsid w:val="00E600FD"/>
    <w:rsid w:val="00EB78FA"/>
    <w:rsid w:val="00F01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8A186A-1471-412F-A51C-90E4559E3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22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03E64"/>
    <w:rPr>
      <w:sz w:val="16"/>
      <w:szCs w:val="16"/>
    </w:rPr>
  </w:style>
  <w:style w:type="paragraph" w:styleId="CommentText">
    <w:name w:val="annotation text"/>
    <w:basedOn w:val="Normal"/>
    <w:link w:val="CommentTextChar"/>
    <w:uiPriority w:val="99"/>
    <w:semiHidden/>
    <w:unhideWhenUsed/>
    <w:rsid w:val="00003E64"/>
    <w:pPr>
      <w:spacing w:line="240" w:lineRule="auto"/>
    </w:pPr>
    <w:rPr>
      <w:sz w:val="20"/>
      <w:szCs w:val="20"/>
    </w:rPr>
  </w:style>
  <w:style w:type="character" w:customStyle="1" w:styleId="CommentTextChar">
    <w:name w:val="Comment Text Char"/>
    <w:basedOn w:val="DefaultParagraphFont"/>
    <w:link w:val="CommentText"/>
    <w:uiPriority w:val="99"/>
    <w:semiHidden/>
    <w:rsid w:val="00003E64"/>
    <w:rPr>
      <w:sz w:val="20"/>
      <w:szCs w:val="20"/>
    </w:rPr>
  </w:style>
  <w:style w:type="paragraph" w:styleId="CommentSubject">
    <w:name w:val="annotation subject"/>
    <w:basedOn w:val="CommentText"/>
    <w:next w:val="CommentText"/>
    <w:link w:val="CommentSubjectChar"/>
    <w:uiPriority w:val="99"/>
    <w:semiHidden/>
    <w:unhideWhenUsed/>
    <w:rsid w:val="00003E64"/>
    <w:rPr>
      <w:b/>
      <w:bCs/>
    </w:rPr>
  </w:style>
  <w:style w:type="character" w:customStyle="1" w:styleId="CommentSubjectChar">
    <w:name w:val="Comment Subject Char"/>
    <w:basedOn w:val="CommentTextChar"/>
    <w:link w:val="CommentSubject"/>
    <w:uiPriority w:val="99"/>
    <w:semiHidden/>
    <w:rsid w:val="00003E64"/>
    <w:rPr>
      <w:b/>
      <w:bCs/>
      <w:sz w:val="20"/>
      <w:szCs w:val="20"/>
    </w:rPr>
  </w:style>
  <w:style w:type="paragraph" w:styleId="BalloonText">
    <w:name w:val="Balloon Text"/>
    <w:basedOn w:val="Normal"/>
    <w:link w:val="BalloonTextChar"/>
    <w:uiPriority w:val="99"/>
    <w:semiHidden/>
    <w:unhideWhenUsed/>
    <w:rsid w:val="00003E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3E64"/>
    <w:rPr>
      <w:rFonts w:ascii="Segoe UI" w:hAnsi="Segoe UI" w:cs="Segoe UI"/>
      <w:sz w:val="18"/>
      <w:szCs w:val="18"/>
    </w:rPr>
  </w:style>
  <w:style w:type="paragraph" w:styleId="FootnoteText">
    <w:name w:val="footnote text"/>
    <w:basedOn w:val="Normal"/>
    <w:link w:val="FootnoteTextChar"/>
    <w:uiPriority w:val="99"/>
    <w:semiHidden/>
    <w:unhideWhenUsed/>
    <w:rsid w:val="00EB78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78FA"/>
    <w:rPr>
      <w:sz w:val="20"/>
      <w:szCs w:val="20"/>
    </w:rPr>
  </w:style>
  <w:style w:type="character" w:styleId="FootnoteReference">
    <w:name w:val="footnote reference"/>
    <w:basedOn w:val="DefaultParagraphFont"/>
    <w:uiPriority w:val="99"/>
    <w:semiHidden/>
    <w:unhideWhenUsed/>
    <w:rsid w:val="00EB78F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5A1D20-52E5-4F6F-8FF7-00F9CC51F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2138</Words>
  <Characters>12193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dc:creator>
  <cp:keywords/>
  <dc:description/>
  <cp:lastModifiedBy>Samuel</cp:lastModifiedBy>
  <cp:revision>2</cp:revision>
  <dcterms:created xsi:type="dcterms:W3CDTF">2018-01-25T00:55:00Z</dcterms:created>
  <dcterms:modified xsi:type="dcterms:W3CDTF">2018-01-25T00:55:00Z</dcterms:modified>
</cp:coreProperties>
</file>