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E86AE6" w14:textId="77777777" w:rsidR="00E23CAB" w:rsidRPr="00EA1AB8" w:rsidRDefault="00E23CAB" w:rsidP="00E23CAB">
      <w:pPr>
        <w:spacing w:line="259" w:lineRule="auto"/>
        <w:jc w:val="center"/>
        <w:rPr>
          <w:rFonts w:ascii="Arial" w:hAnsi="Arial" w:cs="Arial"/>
          <w:b/>
          <w:bCs/>
          <w:sz w:val="22"/>
          <w:lang w:val="en-GB"/>
        </w:rPr>
      </w:pPr>
    </w:p>
    <w:p w14:paraId="1620254E" w14:textId="47E81D41" w:rsidR="007428F6" w:rsidRPr="00EA1AB8" w:rsidRDefault="007428F6" w:rsidP="00E23CAB">
      <w:pPr>
        <w:spacing w:line="259" w:lineRule="auto"/>
        <w:jc w:val="center"/>
        <w:rPr>
          <w:rFonts w:ascii="Arial" w:hAnsi="Arial" w:cs="Arial"/>
          <w:b/>
          <w:bCs/>
          <w:sz w:val="22"/>
          <w:lang w:val="en-GB"/>
        </w:rPr>
      </w:pPr>
      <w:r w:rsidRPr="00EA1AB8">
        <w:rPr>
          <w:rFonts w:ascii="Arial" w:hAnsi="Arial" w:cs="Arial"/>
          <w:b/>
          <w:bCs/>
          <w:noProof/>
          <w:sz w:val="22"/>
          <w:lang w:val="en-GB"/>
        </w:rPr>
        <w:drawing>
          <wp:inline distT="0" distB="0" distL="0" distR="0" wp14:anchorId="2EB71A9C" wp14:editId="7F770E0C">
            <wp:extent cx="4829175" cy="3219450"/>
            <wp:effectExtent l="0" t="0" r="0" b="0"/>
            <wp:docPr id="599885042" name="Picture 1" descr="A person holding a tablet with gears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9885042" name="Picture 1" descr="A person holding a tablet with gears on it&#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829175" cy="3219450"/>
                    </a:xfrm>
                    <a:prstGeom prst="rect">
                      <a:avLst/>
                    </a:prstGeom>
                    <a:noFill/>
                  </pic:spPr>
                </pic:pic>
              </a:graphicData>
            </a:graphic>
          </wp:inline>
        </w:drawing>
      </w:r>
    </w:p>
    <w:p w14:paraId="4869BC6A" w14:textId="1979C49B" w:rsidR="00E23CAB" w:rsidRPr="00EA1AB8" w:rsidRDefault="00E23CAB" w:rsidP="007428F6">
      <w:pPr>
        <w:spacing w:line="259" w:lineRule="auto"/>
        <w:rPr>
          <w:rFonts w:ascii="Arial" w:hAnsi="Arial" w:cs="Arial"/>
          <w:b/>
          <w:bCs/>
          <w:sz w:val="22"/>
          <w:lang w:val="en-GB"/>
        </w:rPr>
      </w:pPr>
    </w:p>
    <w:p w14:paraId="6762AE94" w14:textId="77777777" w:rsidR="00E23CAB" w:rsidRPr="00EA1AB8" w:rsidRDefault="00E23CAB" w:rsidP="00E23CAB">
      <w:pPr>
        <w:spacing w:line="259" w:lineRule="auto"/>
        <w:jc w:val="center"/>
        <w:rPr>
          <w:rFonts w:ascii="Arial" w:hAnsi="Arial" w:cs="Arial"/>
          <w:b/>
          <w:bCs/>
          <w:sz w:val="22"/>
          <w:lang w:val="en-GB"/>
        </w:rPr>
      </w:pPr>
    </w:p>
    <w:p w14:paraId="41F61131" w14:textId="77777777" w:rsidR="007428F6" w:rsidRPr="00EA1AB8" w:rsidRDefault="007428F6" w:rsidP="00E23CAB">
      <w:pPr>
        <w:spacing w:line="259" w:lineRule="auto"/>
        <w:jc w:val="center"/>
        <w:rPr>
          <w:rFonts w:ascii="Arial" w:hAnsi="Arial" w:cs="Arial"/>
          <w:b/>
          <w:bCs/>
          <w:sz w:val="22"/>
          <w:lang w:val="en-GB"/>
        </w:rPr>
      </w:pPr>
    </w:p>
    <w:p w14:paraId="07538285" w14:textId="77777777" w:rsidR="007428F6" w:rsidRPr="00EA1AB8" w:rsidRDefault="007428F6" w:rsidP="00ED1CA7">
      <w:pPr>
        <w:spacing w:line="259" w:lineRule="auto"/>
        <w:rPr>
          <w:rFonts w:ascii="Arial" w:hAnsi="Arial" w:cs="Arial"/>
          <w:b/>
          <w:bCs/>
          <w:sz w:val="22"/>
          <w:lang w:val="en-GB"/>
        </w:rPr>
      </w:pPr>
    </w:p>
    <w:p w14:paraId="35C13209" w14:textId="06A9F155" w:rsidR="007428F6" w:rsidRPr="00EA1AB8" w:rsidRDefault="007428F6" w:rsidP="00E23CAB">
      <w:pPr>
        <w:spacing w:line="259" w:lineRule="auto"/>
        <w:jc w:val="center"/>
        <w:rPr>
          <w:rFonts w:ascii="Arial" w:hAnsi="Arial" w:cs="Arial"/>
          <w:b/>
          <w:bCs/>
          <w:i/>
          <w:iCs/>
          <w:sz w:val="32"/>
          <w:szCs w:val="32"/>
          <w:lang w:val="en-GB"/>
        </w:rPr>
      </w:pPr>
      <w:r w:rsidRPr="00EA1AB8">
        <w:rPr>
          <w:rFonts w:ascii="Arial" w:hAnsi="Arial" w:cs="Arial"/>
          <w:b/>
          <w:bCs/>
          <w:i/>
          <w:iCs/>
          <w:sz w:val="32"/>
          <w:szCs w:val="32"/>
          <w:lang w:val="en-GB"/>
        </w:rPr>
        <w:t>Strategic Management for SMEs</w:t>
      </w:r>
    </w:p>
    <w:p w14:paraId="2FD307EE" w14:textId="77777777" w:rsidR="007428F6" w:rsidRPr="00EA1AB8" w:rsidRDefault="007428F6" w:rsidP="00E23CAB">
      <w:pPr>
        <w:spacing w:line="259" w:lineRule="auto"/>
        <w:jc w:val="center"/>
        <w:rPr>
          <w:rFonts w:ascii="Arial" w:hAnsi="Arial" w:cs="Arial"/>
          <w:b/>
          <w:bCs/>
          <w:sz w:val="32"/>
          <w:szCs w:val="32"/>
          <w:lang w:val="en-GB"/>
        </w:rPr>
      </w:pPr>
    </w:p>
    <w:p w14:paraId="40A1D4DA" w14:textId="77777777" w:rsidR="007428F6" w:rsidRPr="00EA1AB8" w:rsidRDefault="007428F6" w:rsidP="00E23CAB">
      <w:pPr>
        <w:spacing w:line="259" w:lineRule="auto"/>
        <w:jc w:val="center"/>
        <w:rPr>
          <w:rFonts w:ascii="Arial" w:hAnsi="Arial" w:cs="Arial"/>
          <w:b/>
          <w:bCs/>
          <w:sz w:val="22"/>
          <w:lang w:val="en-GB"/>
        </w:rPr>
      </w:pPr>
    </w:p>
    <w:p w14:paraId="077B5F93" w14:textId="77777777" w:rsidR="00E23CAB" w:rsidRPr="00EA1AB8" w:rsidRDefault="00E23CAB" w:rsidP="007428F6">
      <w:pPr>
        <w:spacing w:line="259" w:lineRule="auto"/>
        <w:rPr>
          <w:rFonts w:ascii="Arial" w:hAnsi="Arial" w:cs="Arial"/>
          <w:b/>
          <w:bCs/>
          <w:sz w:val="22"/>
          <w:lang w:val="en-GB"/>
        </w:rPr>
      </w:pPr>
    </w:p>
    <w:p w14:paraId="723DEB5E" w14:textId="77777777" w:rsidR="00E23CAB" w:rsidRPr="00EA1AB8" w:rsidRDefault="00E23CAB" w:rsidP="00E23CAB">
      <w:pPr>
        <w:spacing w:line="259" w:lineRule="auto"/>
        <w:jc w:val="center"/>
        <w:rPr>
          <w:rFonts w:ascii="Arial" w:hAnsi="Arial" w:cs="Arial"/>
          <w:b/>
          <w:bCs/>
          <w:sz w:val="22"/>
          <w:lang w:val="en-GB"/>
        </w:rPr>
      </w:pPr>
    </w:p>
    <w:p w14:paraId="0A67B495" w14:textId="09E8A9E2" w:rsidR="007428F6" w:rsidRPr="00EA1AB8" w:rsidRDefault="007428F6" w:rsidP="007428F6">
      <w:pPr>
        <w:rPr>
          <w:rFonts w:ascii="Arial" w:hAnsi="Arial" w:cs="Arial"/>
          <w:sz w:val="28"/>
          <w:szCs w:val="28"/>
        </w:rPr>
      </w:pPr>
      <w:r w:rsidRPr="00EA1AB8">
        <w:rPr>
          <w:rFonts w:ascii="Arial" w:hAnsi="Arial" w:cs="Arial"/>
          <w:sz w:val="28"/>
          <w:szCs w:val="28"/>
        </w:rPr>
        <w:t>Module: Strategic SMEs Management</w:t>
      </w:r>
      <w:r w:rsidRPr="00EA1AB8">
        <w:rPr>
          <w:rFonts w:ascii="Arial" w:hAnsi="Arial" w:cs="Arial"/>
          <w:sz w:val="28"/>
          <w:szCs w:val="28"/>
        </w:rPr>
        <w:tab/>
      </w:r>
    </w:p>
    <w:p w14:paraId="47877BB7" w14:textId="0BFF45C3" w:rsidR="007428F6" w:rsidRPr="00EA1AB8" w:rsidRDefault="007428F6" w:rsidP="007428F6">
      <w:pPr>
        <w:rPr>
          <w:rFonts w:ascii="Arial" w:hAnsi="Arial" w:cs="Arial"/>
          <w:sz w:val="28"/>
          <w:szCs w:val="28"/>
        </w:rPr>
      </w:pPr>
      <w:r w:rsidRPr="00EA1AB8">
        <w:rPr>
          <w:rFonts w:ascii="Arial" w:hAnsi="Arial" w:cs="Arial"/>
          <w:sz w:val="28"/>
          <w:szCs w:val="28"/>
        </w:rPr>
        <w:t>Module code: BMSW6104</w:t>
      </w:r>
    </w:p>
    <w:p w14:paraId="33A1EF2D" w14:textId="77777777" w:rsidR="007428F6" w:rsidRPr="00EA1AB8" w:rsidRDefault="007428F6" w:rsidP="007428F6">
      <w:pPr>
        <w:rPr>
          <w:rFonts w:ascii="Arial" w:hAnsi="Arial" w:cs="Arial"/>
          <w:sz w:val="28"/>
          <w:szCs w:val="28"/>
        </w:rPr>
      </w:pPr>
      <w:r w:rsidRPr="00EA1AB8">
        <w:rPr>
          <w:rFonts w:ascii="Arial" w:hAnsi="Arial" w:cs="Arial"/>
          <w:sz w:val="28"/>
          <w:szCs w:val="28"/>
        </w:rPr>
        <w:t>Student Name: Vasilica-Madalin Iliuta</w:t>
      </w:r>
    </w:p>
    <w:p w14:paraId="66616710" w14:textId="77777777" w:rsidR="007428F6" w:rsidRPr="00EA1AB8" w:rsidRDefault="007428F6" w:rsidP="007428F6">
      <w:pPr>
        <w:rPr>
          <w:rFonts w:ascii="Arial" w:hAnsi="Arial" w:cs="Arial"/>
          <w:sz w:val="28"/>
          <w:szCs w:val="28"/>
        </w:rPr>
      </w:pPr>
      <w:r w:rsidRPr="00EA1AB8">
        <w:rPr>
          <w:rFonts w:ascii="Arial" w:hAnsi="Arial" w:cs="Arial"/>
          <w:sz w:val="28"/>
          <w:szCs w:val="28"/>
        </w:rPr>
        <w:t>Student ID: 2007277</w:t>
      </w:r>
    </w:p>
    <w:p w14:paraId="709F7A81" w14:textId="1562DA9F" w:rsidR="00E23CAB" w:rsidRPr="00EA1AB8" w:rsidRDefault="007428F6" w:rsidP="007428F6">
      <w:pPr>
        <w:rPr>
          <w:rFonts w:ascii="Arial" w:hAnsi="Arial" w:cs="Arial"/>
          <w:b/>
          <w:bCs/>
          <w:sz w:val="28"/>
          <w:szCs w:val="28"/>
          <w:lang w:val="en-GB"/>
        </w:rPr>
      </w:pPr>
      <w:r w:rsidRPr="00EA1AB8">
        <w:rPr>
          <w:rFonts w:ascii="Arial" w:hAnsi="Arial" w:cs="Arial"/>
          <w:sz w:val="28"/>
          <w:szCs w:val="28"/>
        </w:rPr>
        <w:t>Lecturer’s name: Dr Oluwaseun Adegbite</w:t>
      </w:r>
    </w:p>
    <w:p w14:paraId="36C997D3" w14:textId="77777777" w:rsidR="00E23CAB" w:rsidRDefault="00E23CAB" w:rsidP="007428F6">
      <w:pPr>
        <w:spacing w:line="259" w:lineRule="auto"/>
        <w:rPr>
          <w:rFonts w:ascii="Arial" w:hAnsi="Arial" w:cs="Arial"/>
          <w:b/>
          <w:bCs/>
          <w:sz w:val="22"/>
          <w:lang w:val="en-GB"/>
        </w:rPr>
      </w:pPr>
    </w:p>
    <w:p w14:paraId="16DC00E3" w14:textId="77777777" w:rsidR="00EA1AB8" w:rsidRDefault="00EA1AB8" w:rsidP="007428F6">
      <w:pPr>
        <w:spacing w:line="259" w:lineRule="auto"/>
        <w:rPr>
          <w:rFonts w:ascii="Arial" w:hAnsi="Arial" w:cs="Arial"/>
          <w:b/>
          <w:bCs/>
          <w:sz w:val="22"/>
          <w:lang w:val="en-GB"/>
        </w:rPr>
      </w:pPr>
    </w:p>
    <w:p w14:paraId="4A291D8C" w14:textId="77777777" w:rsidR="00EA1AB8" w:rsidRPr="00EA1AB8" w:rsidRDefault="00EA1AB8" w:rsidP="007428F6">
      <w:pPr>
        <w:spacing w:line="259" w:lineRule="auto"/>
        <w:rPr>
          <w:rFonts w:ascii="Arial" w:hAnsi="Arial" w:cs="Arial"/>
          <w:b/>
          <w:bCs/>
          <w:sz w:val="22"/>
          <w:lang w:val="en-GB"/>
        </w:rPr>
      </w:pPr>
    </w:p>
    <w:p w14:paraId="15640B37" w14:textId="77777777" w:rsidR="00E23CAB" w:rsidRPr="00EA1AB8" w:rsidRDefault="00E23CAB" w:rsidP="00E23CAB">
      <w:pPr>
        <w:spacing w:line="259" w:lineRule="auto"/>
        <w:jc w:val="center"/>
        <w:rPr>
          <w:rFonts w:ascii="Arial" w:hAnsi="Arial" w:cs="Arial"/>
          <w:b/>
          <w:bCs/>
          <w:sz w:val="22"/>
          <w:lang w:val="en-GB"/>
        </w:rPr>
      </w:pPr>
    </w:p>
    <w:p w14:paraId="060FBEB0" w14:textId="6ED2506B" w:rsidR="00E23CAB" w:rsidRPr="00EA1AB8" w:rsidRDefault="00E23CAB" w:rsidP="00E23CAB">
      <w:pPr>
        <w:spacing w:line="259" w:lineRule="auto"/>
        <w:jc w:val="center"/>
        <w:rPr>
          <w:rFonts w:ascii="Arial" w:hAnsi="Arial" w:cs="Arial"/>
          <w:b/>
          <w:bCs/>
          <w:szCs w:val="24"/>
          <w:lang w:val="en-GB"/>
        </w:rPr>
      </w:pPr>
      <w:r w:rsidRPr="00EA1AB8">
        <w:rPr>
          <w:rFonts w:ascii="Arial" w:hAnsi="Arial" w:cs="Arial"/>
          <w:b/>
          <w:bCs/>
          <w:szCs w:val="24"/>
          <w:lang w:val="en-GB"/>
        </w:rPr>
        <w:t>Executive Summary</w:t>
      </w:r>
    </w:p>
    <w:p w14:paraId="3640CF2E" w14:textId="77777777" w:rsidR="00EA1AB8" w:rsidRPr="00EA1AB8" w:rsidRDefault="00EA1AB8" w:rsidP="00E23CAB">
      <w:pPr>
        <w:spacing w:line="259" w:lineRule="auto"/>
        <w:jc w:val="center"/>
        <w:rPr>
          <w:rFonts w:ascii="Arial" w:hAnsi="Arial" w:cs="Arial"/>
          <w:b/>
          <w:bCs/>
          <w:sz w:val="22"/>
          <w:lang w:val="en-GB"/>
        </w:rPr>
      </w:pPr>
    </w:p>
    <w:p w14:paraId="25132302" w14:textId="77777777" w:rsidR="00E23CAB" w:rsidRPr="00EA1AB8" w:rsidRDefault="00E23CAB" w:rsidP="00E23CAB">
      <w:pPr>
        <w:rPr>
          <w:rFonts w:ascii="Arial" w:hAnsi="Arial" w:cs="Arial"/>
          <w:sz w:val="22"/>
          <w:lang w:val="en-GB"/>
        </w:rPr>
      </w:pPr>
      <w:r w:rsidRPr="00EA1AB8">
        <w:rPr>
          <w:rFonts w:ascii="Arial" w:hAnsi="Arial" w:cs="Arial"/>
          <w:kern w:val="0"/>
          <w:sz w:val="22"/>
          <w:lang w:val="en-GB"/>
          <w14:ligatures w14:val="none"/>
        </w:rPr>
        <w:t xml:space="preserve">The report has made use of business environment scanning tools like SWOT, PESTLE, and Porter’s Five Forces to analyse the chosen organisation’s internal and external business environment. It also aims to identify the opportunities and threats in the context of the business’s business activities. the report has offered a greater insight into the current strategic management of Milton Sandford Wines Ltd and a stakeholder analysis. It has been identified that a market penetration strategy will be effective for the company to expand its business. </w:t>
      </w:r>
      <w:r w:rsidRPr="00EA1AB8">
        <w:rPr>
          <w:rFonts w:ascii="Arial" w:hAnsi="Arial" w:cs="Arial"/>
          <w:sz w:val="22"/>
          <w:lang w:val="en-GB"/>
        </w:rPr>
        <w:t>In the following report, the strategic recommendations concerning employee training targeted marketing, investment in sustainable practices, and technological integration have been outlined. All these will contribute towards the future development of Milton Sandford Wines Ltd.</w:t>
      </w:r>
    </w:p>
    <w:p w14:paraId="6A32B8A0" w14:textId="77777777" w:rsidR="00E23CAB" w:rsidRPr="00EA1AB8" w:rsidRDefault="00E23CAB" w:rsidP="00E23CAB">
      <w:pPr>
        <w:spacing w:line="259" w:lineRule="auto"/>
        <w:jc w:val="left"/>
        <w:rPr>
          <w:rFonts w:ascii="Arial" w:hAnsi="Arial" w:cs="Arial"/>
          <w:sz w:val="22"/>
          <w:lang w:val="en-GB"/>
        </w:rPr>
      </w:pPr>
      <w:r w:rsidRPr="00EA1AB8">
        <w:rPr>
          <w:rFonts w:ascii="Arial" w:hAnsi="Arial" w:cs="Arial"/>
          <w:sz w:val="22"/>
          <w:lang w:val="en-GB"/>
        </w:rPr>
        <w:br w:type="page"/>
      </w:r>
    </w:p>
    <w:sdt>
      <w:sdtPr>
        <w:rPr>
          <w:rFonts w:ascii="Arial" w:eastAsiaTheme="minorHAnsi" w:hAnsi="Arial" w:cs="Arial"/>
          <w:color w:val="auto"/>
          <w:kern w:val="2"/>
          <w:sz w:val="22"/>
          <w:szCs w:val="22"/>
          <w:lang w:val="en-GB"/>
        </w:rPr>
        <w:id w:val="1333137"/>
        <w:docPartObj>
          <w:docPartGallery w:val="Table of Contents"/>
          <w:docPartUnique/>
        </w:docPartObj>
      </w:sdtPr>
      <w:sdtEndPr>
        <w:rPr>
          <w:b/>
          <w:bCs/>
          <w:noProof/>
        </w:rPr>
      </w:sdtEndPr>
      <w:sdtContent>
        <w:p w14:paraId="36E1B51B" w14:textId="77777777" w:rsidR="00E23CAB" w:rsidRPr="00EA1AB8" w:rsidRDefault="00E23CAB" w:rsidP="00E23CAB">
          <w:pPr>
            <w:pStyle w:val="TOCHeading"/>
            <w:jc w:val="center"/>
            <w:rPr>
              <w:rFonts w:ascii="Arial" w:hAnsi="Arial" w:cs="Arial"/>
              <w:b/>
              <w:bCs/>
              <w:color w:val="auto"/>
              <w:sz w:val="22"/>
              <w:szCs w:val="22"/>
              <w:lang w:val="en-GB"/>
            </w:rPr>
          </w:pPr>
          <w:r w:rsidRPr="00EA1AB8">
            <w:rPr>
              <w:rFonts w:ascii="Arial" w:hAnsi="Arial" w:cs="Arial"/>
              <w:b/>
              <w:bCs/>
              <w:color w:val="auto"/>
              <w:sz w:val="22"/>
              <w:szCs w:val="22"/>
              <w:lang w:val="en-GB"/>
            </w:rPr>
            <w:t>Table of Contents</w:t>
          </w:r>
        </w:p>
        <w:p w14:paraId="5926F4D0" w14:textId="787A8A22" w:rsidR="00221F4E" w:rsidRPr="00EA1AB8" w:rsidRDefault="00E23CAB">
          <w:pPr>
            <w:pStyle w:val="TOC2"/>
            <w:tabs>
              <w:tab w:val="right" w:leader="dot" w:pos="9016"/>
            </w:tabs>
            <w:rPr>
              <w:rFonts w:ascii="Arial" w:eastAsiaTheme="minorEastAsia" w:hAnsi="Arial" w:cs="Arial"/>
              <w:noProof/>
              <w:sz w:val="22"/>
              <w:lang w:val="en-GB" w:eastAsia="en-GB"/>
            </w:rPr>
          </w:pPr>
          <w:r w:rsidRPr="00EA1AB8">
            <w:rPr>
              <w:rFonts w:ascii="Arial" w:hAnsi="Arial" w:cs="Arial"/>
              <w:sz w:val="22"/>
              <w:lang w:val="en-GB"/>
            </w:rPr>
            <w:fldChar w:fldCharType="begin"/>
          </w:r>
          <w:r w:rsidRPr="00EA1AB8">
            <w:rPr>
              <w:rFonts w:ascii="Arial" w:hAnsi="Arial" w:cs="Arial"/>
              <w:sz w:val="22"/>
              <w:lang w:val="en-GB"/>
            </w:rPr>
            <w:instrText xml:space="preserve"> TOC \o "1-3" \h \z \u </w:instrText>
          </w:r>
          <w:r w:rsidRPr="00EA1AB8">
            <w:rPr>
              <w:rFonts w:ascii="Arial" w:hAnsi="Arial" w:cs="Arial"/>
              <w:sz w:val="22"/>
              <w:lang w:val="en-GB"/>
            </w:rPr>
            <w:fldChar w:fldCharType="separate"/>
          </w:r>
          <w:hyperlink w:anchor="_Toc160186137" w:history="1">
            <w:r w:rsidR="00221F4E" w:rsidRPr="00EA1AB8">
              <w:rPr>
                <w:rStyle w:val="Hyperlink"/>
                <w:rFonts w:ascii="Arial" w:hAnsi="Arial" w:cs="Arial"/>
                <w:noProof/>
                <w:sz w:val="22"/>
                <w:lang w:val="en-GB"/>
              </w:rPr>
              <w:t>Introduction.</w:t>
            </w:r>
            <w:r w:rsidR="00221F4E" w:rsidRPr="00EA1AB8">
              <w:rPr>
                <w:rFonts w:ascii="Arial" w:hAnsi="Arial" w:cs="Arial"/>
                <w:noProof/>
                <w:webHidden/>
                <w:sz w:val="22"/>
              </w:rPr>
              <w:tab/>
            </w:r>
            <w:r w:rsidR="00221F4E" w:rsidRPr="00EA1AB8">
              <w:rPr>
                <w:rFonts w:ascii="Arial" w:hAnsi="Arial" w:cs="Arial"/>
                <w:noProof/>
                <w:webHidden/>
                <w:sz w:val="22"/>
              </w:rPr>
              <w:fldChar w:fldCharType="begin"/>
            </w:r>
            <w:r w:rsidR="00221F4E" w:rsidRPr="00EA1AB8">
              <w:rPr>
                <w:rFonts w:ascii="Arial" w:hAnsi="Arial" w:cs="Arial"/>
                <w:noProof/>
                <w:webHidden/>
                <w:sz w:val="22"/>
              </w:rPr>
              <w:instrText xml:space="preserve"> PAGEREF _Toc160186137 \h </w:instrText>
            </w:r>
            <w:r w:rsidR="00221F4E" w:rsidRPr="00EA1AB8">
              <w:rPr>
                <w:rFonts w:ascii="Arial" w:hAnsi="Arial" w:cs="Arial"/>
                <w:noProof/>
                <w:webHidden/>
                <w:sz w:val="22"/>
              </w:rPr>
            </w:r>
            <w:r w:rsidR="00221F4E" w:rsidRPr="00EA1AB8">
              <w:rPr>
                <w:rFonts w:ascii="Arial" w:hAnsi="Arial" w:cs="Arial"/>
                <w:noProof/>
                <w:webHidden/>
                <w:sz w:val="22"/>
              </w:rPr>
              <w:fldChar w:fldCharType="separate"/>
            </w:r>
            <w:r w:rsidR="00221F4E" w:rsidRPr="00EA1AB8">
              <w:rPr>
                <w:rFonts w:ascii="Arial" w:hAnsi="Arial" w:cs="Arial"/>
                <w:noProof/>
                <w:webHidden/>
                <w:sz w:val="22"/>
              </w:rPr>
              <w:t>4</w:t>
            </w:r>
            <w:r w:rsidR="00221F4E" w:rsidRPr="00EA1AB8">
              <w:rPr>
                <w:rFonts w:ascii="Arial" w:hAnsi="Arial" w:cs="Arial"/>
                <w:noProof/>
                <w:webHidden/>
                <w:sz w:val="22"/>
              </w:rPr>
              <w:fldChar w:fldCharType="end"/>
            </w:r>
          </w:hyperlink>
        </w:p>
        <w:p w14:paraId="468AAAE6" w14:textId="1C3BABEE" w:rsidR="00221F4E" w:rsidRPr="00EA1AB8" w:rsidRDefault="00000000">
          <w:pPr>
            <w:pStyle w:val="TOC2"/>
            <w:tabs>
              <w:tab w:val="right" w:leader="dot" w:pos="9016"/>
            </w:tabs>
            <w:rPr>
              <w:rFonts w:ascii="Arial" w:eastAsiaTheme="minorEastAsia" w:hAnsi="Arial" w:cs="Arial"/>
              <w:noProof/>
              <w:sz w:val="22"/>
              <w:lang w:val="en-GB" w:eastAsia="en-GB"/>
            </w:rPr>
          </w:pPr>
          <w:hyperlink w:anchor="_Toc160186138" w:history="1">
            <w:r w:rsidR="00221F4E" w:rsidRPr="00EA1AB8">
              <w:rPr>
                <w:rStyle w:val="Hyperlink"/>
                <w:rFonts w:ascii="Arial" w:hAnsi="Arial" w:cs="Arial"/>
                <w:noProof/>
                <w:sz w:val="22"/>
                <w:lang w:val="en-GB"/>
              </w:rPr>
              <w:t>Organization’s current strategic direction.</w:t>
            </w:r>
            <w:r w:rsidR="00221F4E" w:rsidRPr="00EA1AB8">
              <w:rPr>
                <w:rFonts w:ascii="Arial" w:hAnsi="Arial" w:cs="Arial"/>
                <w:noProof/>
                <w:webHidden/>
                <w:sz w:val="22"/>
              </w:rPr>
              <w:tab/>
            </w:r>
            <w:r w:rsidR="00221F4E" w:rsidRPr="00EA1AB8">
              <w:rPr>
                <w:rFonts w:ascii="Arial" w:hAnsi="Arial" w:cs="Arial"/>
                <w:noProof/>
                <w:webHidden/>
                <w:sz w:val="22"/>
              </w:rPr>
              <w:fldChar w:fldCharType="begin"/>
            </w:r>
            <w:r w:rsidR="00221F4E" w:rsidRPr="00EA1AB8">
              <w:rPr>
                <w:rFonts w:ascii="Arial" w:hAnsi="Arial" w:cs="Arial"/>
                <w:noProof/>
                <w:webHidden/>
                <w:sz w:val="22"/>
              </w:rPr>
              <w:instrText xml:space="preserve"> PAGEREF _Toc160186138 \h </w:instrText>
            </w:r>
            <w:r w:rsidR="00221F4E" w:rsidRPr="00EA1AB8">
              <w:rPr>
                <w:rFonts w:ascii="Arial" w:hAnsi="Arial" w:cs="Arial"/>
                <w:noProof/>
                <w:webHidden/>
                <w:sz w:val="22"/>
              </w:rPr>
            </w:r>
            <w:r w:rsidR="00221F4E" w:rsidRPr="00EA1AB8">
              <w:rPr>
                <w:rFonts w:ascii="Arial" w:hAnsi="Arial" w:cs="Arial"/>
                <w:noProof/>
                <w:webHidden/>
                <w:sz w:val="22"/>
              </w:rPr>
              <w:fldChar w:fldCharType="separate"/>
            </w:r>
            <w:r w:rsidR="00221F4E" w:rsidRPr="00EA1AB8">
              <w:rPr>
                <w:rFonts w:ascii="Arial" w:hAnsi="Arial" w:cs="Arial"/>
                <w:noProof/>
                <w:webHidden/>
                <w:sz w:val="22"/>
              </w:rPr>
              <w:t>4</w:t>
            </w:r>
            <w:r w:rsidR="00221F4E" w:rsidRPr="00EA1AB8">
              <w:rPr>
                <w:rFonts w:ascii="Arial" w:hAnsi="Arial" w:cs="Arial"/>
                <w:noProof/>
                <w:webHidden/>
                <w:sz w:val="22"/>
              </w:rPr>
              <w:fldChar w:fldCharType="end"/>
            </w:r>
          </w:hyperlink>
        </w:p>
        <w:p w14:paraId="50CB2381" w14:textId="00BD26BA" w:rsidR="00221F4E" w:rsidRPr="00EA1AB8" w:rsidRDefault="00000000">
          <w:pPr>
            <w:pStyle w:val="TOC2"/>
            <w:tabs>
              <w:tab w:val="right" w:leader="dot" w:pos="9016"/>
            </w:tabs>
            <w:rPr>
              <w:rFonts w:ascii="Arial" w:eastAsiaTheme="minorEastAsia" w:hAnsi="Arial" w:cs="Arial"/>
              <w:noProof/>
              <w:sz w:val="22"/>
              <w:lang w:val="en-GB" w:eastAsia="en-GB"/>
            </w:rPr>
          </w:pPr>
          <w:hyperlink w:anchor="_Toc160186139" w:history="1">
            <w:r w:rsidR="00221F4E" w:rsidRPr="00EA1AB8">
              <w:rPr>
                <w:rStyle w:val="Hyperlink"/>
                <w:rFonts w:ascii="Arial" w:hAnsi="Arial" w:cs="Arial"/>
                <w:noProof/>
                <w:sz w:val="22"/>
                <w:lang w:val="en-GB"/>
              </w:rPr>
              <w:t>Organisation's external analysis</w:t>
            </w:r>
            <w:r w:rsidR="00221F4E" w:rsidRPr="00EA1AB8">
              <w:rPr>
                <w:rFonts w:ascii="Arial" w:hAnsi="Arial" w:cs="Arial"/>
                <w:noProof/>
                <w:webHidden/>
                <w:sz w:val="22"/>
              </w:rPr>
              <w:tab/>
            </w:r>
            <w:r w:rsidR="00221F4E" w:rsidRPr="00EA1AB8">
              <w:rPr>
                <w:rFonts w:ascii="Arial" w:hAnsi="Arial" w:cs="Arial"/>
                <w:noProof/>
                <w:webHidden/>
                <w:sz w:val="22"/>
              </w:rPr>
              <w:fldChar w:fldCharType="begin"/>
            </w:r>
            <w:r w:rsidR="00221F4E" w:rsidRPr="00EA1AB8">
              <w:rPr>
                <w:rFonts w:ascii="Arial" w:hAnsi="Arial" w:cs="Arial"/>
                <w:noProof/>
                <w:webHidden/>
                <w:sz w:val="22"/>
              </w:rPr>
              <w:instrText xml:space="preserve"> PAGEREF _Toc160186139 \h </w:instrText>
            </w:r>
            <w:r w:rsidR="00221F4E" w:rsidRPr="00EA1AB8">
              <w:rPr>
                <w:rFonts w:ascii="Arial" w:hAnsi="Arial" w:cs="Arial"/>
                <w:noProof/>
                <w:webHidden/>
                <w:sz w:val="22"/>
              </w:rPr>
            </w:r>
            <w:r w:rsidR="00221F4E" w:rsidRPr="00EA1AB8">
              <w:rPr>
                <w:rFonts w:ascii="Arial" w:hAnsi="Arial" w:cs="Arial"/>
                <w:noProof/>
                <w:webHidden/>
                <w:sz w:val="22"/>
              </w:rPr>
              <w:fldChar w:fldCharType="separate"/>
            </w:r>
            <w:r w:rsidR="00221F4E" w:rsidRPr="00EA1AB8">
              <w:rPr>
                <w:rFonts w:ascii="Arial" w:hAnsi="Arial" w:cs="Arial"/>
                <w:noProof/>
                <w:webHidden/>
                <w:sz w:val="22"/>
              </w:rPr>
              <w:t>5</w:t>
            </w:r>
            <w:r w:rsidR="00221F4E" w:rsidRPr="00EA1AB8">
              <w:rPr>
                <w:rFonts w:ascii="Arial" w:hAnsi="Arial" w:cs="Arial"/>
                <w:noProof/>
                <w:webHidden/>
                <w:sz w:val="22"/>
              </w:rPr>
              <w:fldChar w:fldCharType="end"/>
            </w:r>
          </w:hyperlink>
        </w:p>
        <w:p w14:paraId="1C1DDF90" w14:textId="6D31C2B7" w:rsidR="00221F4E" w:rsidRPr="00EA1AB8" w:rsidRDefault="00000000">
          <w:pPr>
            <w:pStyle w:val="TOC2"/>
            <w:tabs>
              <w:tab w:val="right" w:leader="dot" w:pos="9016"/>
            </w:tabs>
            <w:rPr>
              <w:rFonts w:ascii="Arial" w:eastAsiaTheme="minorEastAsia" w:hAnsi="Arial" w:cs="Arial"/>
              <w:noProof/>
              <w:sz w:val="22"/>
              <w:lang w:val="en-GB" w:eastAsia="en-GB"/>
            </w:rPr>
          </w:pPr>
          <w:hyperlink w:anchor="_Toc160186140" w:history="1">
            <w:r w:rsidR="00221F4E" w:rsidRPr="00EA1AB8">
              <w:rPr>
                <w:rStyle w:val="Hyperlink"/>
                <w:rFonts w:ascii="Arial" w:hAnsi="Arial" w:cs="Arial"/>
                <w:noProof/>
                <w:sz w:val="22"/>
                <w:lang w:val="en-GB"/>
              </w:rPr>
              <w:t>Organisation's internal analysis</w:t>
            </w:r>
            <w:r w:rsidR="00221F4E" w:rsidRPr="00EA1AB8">
              <w:rPr>
                <w:rFonts w:ascii="Arial" w:hAnsi="Arial" w:cs="Arial"/>
                <w:noProof/>
                <w:webHidden/>
                <w:sz w:val="22"/>
              </w:rPr>
              <w:tab/>
            </w:r>
            <w:r w:rsidR="00221F4E" w:rsidRPr="00EA1AB8">
              <w:rPr>
                <w:rFonts w:ascii="Arial" w:hAnsi="Arial" w:cs="Arial"/>
                <w:noProof/>
                <w:webHidden/>
                <w:sz w:val="22"/>
              </w:rPr>
              <w:fldChar w:fldCharType="begin"/>
            </w:r>
            <w:r w:rsidR="00221F4E" w:rsidRPr="00EA1AB8">
              <w:rPr>
                <w:rFonts w:ascii="Arial" w:hAnsi="Arial" w:cs="Arial"/>
                <w:noProof/>
                <w:webHidden/>
                <w:sz w:val="22"/>
              </w:rPr>
              <w:instrText xml:space="preserve"> PAGEREF _Toc160186140 \h </w:instrText>
            </w:r>
            <w:r w:rsidR="00221F4E" w:rsidRPr="00EA1AB8">
              <w:rPr>
                <w:rFonts w:ascii="Arial" w:hAnsi="Arial" w:cs="Arial"/>
                <w:noProof/>
                <w:webHidden/>
                <w:sz w:val="22"/>
              </w:rPr>
            </w:r>
            <w:r w:rsidR="00221F4E" w:rsidRPr="00EA1AB8">
              <w:rPr>
                <w:rFonts w:ascii="Arial" w:hAnsi="Arial" w:cs="Arial"/>
                <w:noProof/>
                <w:webHidden/>
                <w:sz w:val="22"/>
              </w:rPr>
              <w:fldChar w:fldCharType="separate"/>
            </w:r>
            <w:r w:rsidR="00221F4E" w:rsidRPr="00EA1AB8">
              <w:rPr>
                <w:rFonts w:ascii="Arial" w:hAnsi="Arial" w:cs="Arial"/>
                <w:noProof/>
                <w:webHidden/>
                <w:sz w:val="22"/>
              </w:rPr>
              <w:t>8</w:t>
            </w:r>
            <w:r w:rsidR="00221F4E" w:rsidRPr="00EA1AB8">
              <w:rPr>
                <w:rFonts w:ascii="Arial" w:hAnsi="Arial" w:cs="Arial"/>
                <w:noProof/>
                <w:webHidden/>
                <w:sz w:val="22"/>
              </w:rPr>
              <w:fldChar w:fldCharType="end"/>
            </w:r>
          </w:hyperlink>
        </w:p>
        <w:p w14:paraId="411646AB" w14:textId="50D7B2DE" w:rsidR="00221F4E" w:rsidRPr="00EA1AB8" w:rsidRDefault="00000000">
          <w:pPr>
            <w:pStyle w:val="TOC2"/>
            <w:tabs>
              <w:tab w:val="right" w:leader="dot" w:pos="9016"/>
            </w:tabs>
            <w:rPr>
              <w:rFonts w:ascii="Arial" w:eastAsiaTheme="minorEastAsia" w:hAnsi="Arial" w:cs="Arial"/>
              <w:noProof/>
              <w:sz w:val="22"/>
              <w:lang w:val="en-GB" w:eastAsia="en-GB"/>
            </w:rPr>
          </w:pPr>
          <w:hyperlink w:anchor="_Toc160186141" w:history="1">
            <w:r w:rsidR="00221F4E" w:rsidRPr="00EA1AB8">
              <w:rPr>
                <w:rStyle w:val="Hyperlink"/>
                <w:rFonts w:ascii="Arial" w:hAnsi="Arial" w:cs="Arial"/>
                <w:noProof/>
                <w:sz w:val="22"/>
                <w:lang w:val="en-GB"/>
              </w:rPr>
              <w:t>Stakeholder analysis.</w:t>
            </w:r>
            <w:r w:rsidR="00221F4E" w:rsidRPr="00EA1AB8">
              <w:rPr>
                <w:rFonts w:ascii="Arial" w:hAnsi="Arial" w:cs="Arial"/>
                <w:noProof/>
                <w:webHidden/>
                <w:sz w:val="22"/>
              </w:rPr>
              <w:tab/>
            </w:r>
            <w:r w:rsidR="00221F4E" w:rsidRPr="00EA1AB8">
              <w:rPr>
                <w:rFonts w:ascii="Arial" w:hAnsi="Arial" w:cs="Arial"/>
                <w:noProof/>
                <w:webHidden/>
                <w:sz w:val="22"/>
              </w:rPr>
              <w:fldChar w:fldCharType="begin"/>
            </w:r>
            <w:r w:rsidR="00221F4E" w:rsidRPr="00EA1AB8">
              <w:rPr>
                <w:rFonts w:ascii="Arial" w:hAnsi="Arial" w:cs="Arial"/>
                <w:noProof/>
                <w:webHidden/>
                <w:sz w:val="22"/>
              </w:rPr>
              <w:instrText xml:space="preserve"> PAGEREF _Toc160186141 \h </w:instrText>
            </w:r>
            <w:r w:rsidR="00221F4E" w:rsidRPr="00EA1AB8">
              <w:rPr>
                <w:rFonts w:ascii="Arial" w:hAnsi="Arial" w:cs="Arial"/>
                <w:noProof/>
                <w:webHidden/>
                <w:sz w:val="22"/>
              </w:rPr>
            </w:r>
            <w:r w:rsidR="00221F4E" w:rsidRPr="00EA1AB8">
              <w:rPr>
                <w:rFonts w:ascii="Arial" w:hAnsi="Arial" w:cs="Arial"/>
                <w:noProof/>
                <w:webHidden/>
                <w:sz w:val="22"/>
              </w:rPr>
              <w:fldChar w:fldCharType="separate"/>
            </w:r>
            <w:r w:rsidR="00221F4E" w:rsidRPr="00EA1AB8">
              <w:rPr>
                <w:rFonts w:ascii="Arial" w:hAnsi="Arial" w:cs="Arial"/>
                <w:noProof/>
                <w:webHidden/>
                <w:sz w:val="22"/>
              </w:rPr>
              <w:t>9</w:t>
            </w:r>
            <w:r w:rsidR="00221F4E" w:rsidRPr="00EA1AB8">
              <w:rPr>
                <w:rFonts w:ascii="Arial" w:hAnsi="Arial" w:cs="Arial"/>
                <w:noProof/>
                <w:webHidden/>
                <w:sz w:val="22"/>
              </w:rPr>
              <w:fldChar w:fldCharType="end"/>
            </w:r>
          </w:hyperlink>
        </w:p>
        <w:p w14:paraId="0EA1E02C" w14:textId="393B5E4C" w:rsidR="00221F4E" w:rsidRPr="00EA1AB8" w:rsidRDefault="00000000">
          <w:pPr>
            <w:pStyle w:val="TOC2"/>
            <w:tabs>
              <w:tab w:val="right" w:leader="dot" w:pos="9016"/>
            </w:tabs>
            <w:rPr>
              <w:rFonts w:ascii="Arial" w:eastAsiaTheme="minorEastAsia" w:hAnsi="Arial" w:cs="Arial"/>
              <w:noProof/>
              <w:sz w:val="22"/>
              <w:lang w:val="en-GB" w:eastAsia="en-GB"/>
            </w:rPr>
          </w:pPr>
          <w:hyperlink w:anchor="_Toc160186142" w:history="1">
            <w:r w:rsidR="00221F4E" w:rsidRPr="00EA1AB8">
              <w:rPr>
                <w:rStyle w:val="Hyperlink"/>
                <w:rFonts w:ascii="Arial" w:hAnsi="Arial" w:cs="Arial"/>
                <w:noProof/>
                <w:sz w:val="22"/>
                <w:lang w:val="en-GB"/>
              </w:rPr>
              <w:t>The strategic growth choices for SMEs in markets and a new strategy.</w:t>
            </w:r>
            <w:r w:rsidR="00221F4E" w:rsidRPr="00EA1AB8">
              <w:rPr>
                <w:rFonts w:ascii="Arial" w:hAnsi="Arial" w:cs="Arial"/>
                <w:noProof/>
                <w:webHidden/>
                <w:sz w:val="22"/>
              </w:rPr>
              <w:tab/>
            </w:r>
            <w:r w:rsidR="00221F4E" w:rsidRPr="00EA1AB8">
              <w:rPr>
                <w:rFonts w:ascii="Arial" w:hAnsi="Arial" w:cs="Arial"/>
                <w:noProof/>
                <w:webHidden/>
                <w:sz w:val="22"/>
              </w:rPr>
              <w:fldChar w:fldCharType="begin"/>
            </w:r>
            <w:r w:rsidR="00221F4E" w:rsidRPr="00EA1AB8">
              <w:rPr>
                <w:rFonts w:ascii="Arial" w:hAnsi="Arial" w:cs="Arial"/>
                <w:noProof/>
                <w:webHidden/>
                <w:sz w:val="22"/>
              </w:rPr>
              <w:instrText xml:space="preserve"> PAGEREF _Toc160186142 \h </w:instrText>
            </w:r>
            <w:r w:rsidR="00221F4E" w:rsidRPr="00EA1AB8">
              <w:rPr>
                <w:rFonts w:ascii="Arial" w:hAnsi="Arial" w:cs="Arial"/>
                <w:noProof/>
                <w:webHidden/>
                <w:sz w:val="22"/>
              </w:rPr>
            </w:r>
            <w:r w:rsidR="00221F4E" w:rsidRPr="00EA1AB8">
              <w:rPr>
                <w:rFonts w:ascii="Arial" w:hAnsi="Arial" w:cs="Arial"/>
                <w:noProof/>
                <w:webHidden/>
                <w:sz w:val="22"/>
              </w:rPr>
              <w:fldChar w:fldCharType="separate"/>
            </w:r>
            <w:r w:rsidR="00221F4E" w:rsidRPr="00EA1AB8">
              <w:rPr>
                <w:rFonts w:ascii="Arial" w:hAnsi="Arial" w:cs="Arial"/>
                <w:noProof/>
                <w:webHidden/>
                <w:sz w:val="22"/>
              </w:rPr>
              <w:t>12</w:t>
            </w:r>
            <w:r w:rsidR="00221F4E" w:rsidRPr="00EA1AB8">
              <w:rPr>
                <w:rFonts w:ascii="Arial" w:hAnsi="Arial" w:cs="Arial"/>
                <w:noProof/>
                <w:webHidden/>
                <w:sz w:val="22"/>
              </w:rPr>
              <w:fldChar w:fldCharType="end"/>
            </w:r>
          </w:hyperlink>
        </w:p>
        <w:p w14:paraId="7321A77C" w14:textId="658BCB85" w:rsidR="00221F4E" w:rsidRPr="00EA1AB8" w:rsidRDefault="00000000">
          <w:pPr>
            <w:pStyle w:val="TOC2"/>
            <w:tabs>
              <w:tab w:val="right" w:leader="dot" w:pos="9016"/>
            </w:tabs>
            <w:rPr>
              <w:rFonts w:ascii="Arial" w:eastAsiaTheme="minorEastAsia" w:hAnsi="Arial" w:cs="Arial"/>
              <w:noProof/>
              <w:sz w:val="22"/>
              <w:lang w:val="en-GB" w:eastAsia="en-GB"/>
            </w:rPr>
          </w:pPr>
          <w:hyperlink w:anchor="_Toc160186143" w:history="1">
            <w:r w:rsidR="00221F4E" w:rsidRPr="00EA1AB8">
              <w:rPr>
                <w:rStyle w:val="Hyperlink"/>
                <w:rFonts w:ascii="Arial" w:hAnsi="Arial" w:cs="Arial"/>
                <w:noProof/>
                <w:sz w:val="22"/>
                <w:lang w:val="en-GB"/>
              </w:rPr>
              <w:t>Recommendations.</w:t>
            </w:r>
            <w:r w:rsidR="00221F4E" w:rsidRPr="00EA1AB8">
              <w:rPr>
                <w:rFonts w:ascii="Arial" w:hAnsi="Arial" w:cs="Arial"/>
                <w:noProof/>
                <w:webHidden/>
                <w:sz w:val="22"/>
              </w:rPr>
              <w:tab/>
            </w:r>
            <w:r w:rsidR="00221F4E" w:rsidRPr="00EA1AB8">
              <w:rPr>
                <w:rFonts w:ascii="Arial" w:hAnsi="Arial" w:cs="Arial"/>
                <w:noProof/>
                <w:webHidden/>
                <w:sz w:val="22"/>
              </w:rPr>
              <w:fldChar w:fldCharType="begin"/>
            </w:r>
            <w:r w:rsidR="00221F4E" w:rsidRPr="00EA1AB8">
              <w:rPr>
                <w:rFonts w:ascii="Arial" w:hAnsi="Arial" w:cs="Arial"/>
                <w:noProof/>
                <w:webHidden/>
                <w:sz w:val="22"/>
              </w:rPr>
              <w:instrText xml:space="preserve"> PAGEREF _Toc160186143 \h </w:instrText>
            </w:r>
            <w:r w:rsidR="00221F4E" w:rsidRPr="00EA1AB8">
              <w:rPr>
                <w:rFonts w:ascii="Arial" w:hAnsi="Arial" w:cs="Arial"/>
                <w:noProof/>
                <w:webHidden/>
                <w:sz w:val="22"/>
              </w:rPr>
            </w:r>
            <w:r w:rsidR="00221F4E" w:rsidRPr="00EA1AB8">
              <w:rPr>
                <w:rFonts w:ascii="Arial" w:hAnsi="Arial" w:cs="Arial"/>
                <w:noProof/>
                <w:webHidden/>
                <w:sz w:val="22"/>
              </w:rPr>
              <w:fldChar w:fldCharType="separate"/>
            </w:r>
            <w:r w:rsidR="00221F4E" w:rsidRPr="00EA1AB8">
              <w:rPr>
                <w:rFonts w:ascii="Arial" w:hAnsi="Arial" w:cs="Arial"/>
                <w:noProof/>
                <w:webHidden/>
                <w:sz w:val="22"/>
              </w:rPr>
              <w:t>13</w:t>
            </w:r>
            <w:r w:rsidR="00221F4E" w:rsidRPr="00EA1AB8">
              <w:rPr>
                <w:rFonts w:ascii="Arial" w:hAnsi="Arial" w:cs="Arial"/>
                <w:noProof/>
                <w:webHidden/>
                <w:sz w:val="22"/>
              </w:rPr>
              <w:fldChar w:fldCharType="end"/>
            </w:r>
          </w:hyperlink>
        </w:p>
        <w:p w14:paraId="6D234664" w14:textId="6B1FF20A" w:rsidR="00221F4E" w:rsidRPr="00EA1AB8" w:rsidRDefault="00000000">
          <w:pPr>
            <w:pStyle w:val="TOC2"/>
            <w:tabs>
              <w:tab w:val="right" w:leader="dot" w:pos="9016"/>
            </w:tabs>
            <w:rPr>
              <w:rFonts w:ascii="Arial" w:eastAsiaTheme="minorEastAsia" w:hAnsi="Arial" w:cs="Arial"/>
              <w:noProof/>
              <w:sz w:val="22"/>
              <w:lang w:val="en-GB" w:eastAsia="en-GB"/>
            </w:rPr>
          </w:pPr>
          <w:hyperlink w:anchor="_Toc160186144" w:history="1">
            <w:r w:rsidR="00221F4E" w:rsidRPr="00EA1AB8">
              <w:rPr>
                <w:rStyle w:val="Hyperlink"/>
                <w:rFonts w:ascii="Arial" w:hAnsi="Arial" w:cs="Arial"/>
                <w:noProof/>
                <w:sz w:val="22"/>
                <w:lang w:val="en-GB"/>
              </w:rPr>
              <w:t>Challenges SMEs encounter in implementing strategic direction.</w:t>
            </w:r>
            <w:r w:rsidR="00221F4E" w:rsidRPr="00EA1AB8">
              <w:rPr>
                <w:rFonts w:ascii="Arial" w:hAnsi="Arial" w:cs="Arial"/>
                <w:noProof/>
                <w:webHidden/>
                <w:sz w:val="22"/>
              </w:rPr>
              <w:tab/>
            </w:r>
            <w:r w:rsidR="00221F4E" w:rsidRPr="00EA1AB8">
              <w:rPr>
                <w:rFonts w:ascii="Arial" w:hAnsi="Arial" w:cs="Arial"/>
                <w:noProof/>
                <w:webHidden/>
                <w:sz w:val="22"/>
              </w:rPr>
              <w:fldChar w:fldCharType="begin"/>
            </w:r>
            <w:r w:rsidR="00221F4E" w:rsidRPr="00EA1AB8">
              <w:rPr>
                <w:rFonts w:ascii="Arial" w:hAnsi="Arial" w:cs="Arial"/>
                <w:noProof/>
                <w:webHidden/>
                <w:sz w:val="22"/>
              </w:rPr>
              <w:instrText xml:space="preserve"> PAGEREF _Toc160186144 \h </w:instrText>
            </w:r>
            <w:r w:rsidR="00221F4E" w:rsidRPr="00EA1AB8">
              <w:rPr>
                <w:rFonts w:ascii="Arial" w:hAnsi="Arial" w:cs="Arial"/>
                <w:noProof/>
                <w:webHidden/>
                <w:sz w:val="22"/>
              </w:rPr>
            </w:r>
            <w:r w:rsidR="00221F4E" w:rsidRPr="00EA1AB8">
              <w:rPr>
                <w:rFonts w:ascii="Arial" w:hAnsi="Arial" w:cs="Arial"/>
                <w:noProof/>
                <w:webHidden/>
                <w:sz w:val="22"/>
              </w:rPr>
              <w:fldChar w:fldCharType="separate"/>
            </w:r>
            <w:r w:rsidR="00221F4E" w:rsidRPr="00EA1AB8">
              <w:rPr>
                <w:rFonts w:ascii="Arial" w:hAnsi="Arial" w:cs="Arial"/>
                <w:noProof/>
                <w:webHidden/>
                <w:sz w:val="22"/>
              </w:rPr>
              <w:t>13</w:t>
            </w:r>
            <w:r w:rsidR="00221F4E" w:rsidRPr="00EA1AB8">
              <w:rPr>
                <w:rFonts w:ascii="Arial" w:hAnsi="Arial" w:cs="Arial"/>
                <w:noProof/>
                <w:webHidden/>
                <w:sz w:val="22"/>
              </w:rPr>
              <w:fldChar w:fldCharType="end"/>
            </w:r>
          </w:hyperlink>
        </w:p>
        <w:p w14:paraId="7D505E63" w14:textId="30E8E898" w:rsidR="00221F4E" w:rsidRPr="00EA1AB8" w:rsidRDefault="00000000">
          <w:pPr>
            <w:pStyle w:val="TOC2"/>
            <w:tabs>
              <w:tab w:val="right" w:leader="dot" w:pos="9016"/>
            </w:tabs>
            <w:rPr>
              <w:rFonts w:ascii="Arial" w:eastAsiaTheme="minorEastAsia" w:hAnsi="Arial" w:cs="Arial"/>
              <w:noProof/>
              <w:sz w:val="22"/>
              <w:lang w:val="en-GB" w:eastAsia="en-GB"/>
            </w:rPr>
          </w:pPr>
          <w:hyperlink w:anchor="_Toc160186145" w:history="1">
            <w:r w:rsidR="00221F4E" w:rsidRPr="00EA1AB8">
              <w:rPr>
                <w:rStyle w:val="Hyperlink"/>
                <w:rFonts w:ascii="Arial" w:hAnsi="Arial" w:cs="Arial"/>
                <w:noProof/>
                <w:sz w:val="22"/>
                <w:lang w:val="en-GB"/>
              </w:rPr>
              <w:t>Conclusion.</w:t>
            </w:r>
            <w:r w:rsidR="00221F4E" w:rsidRPr="00EA1AB8">
              <w:rPr>
                <w:rFonts w:ascii="Arial" w:hAnsi="Arial" w:cs="Arial"/>
                <w:noProof/>
                <w:webHidden/>
                <w:sz w:val="22"/>
              </w:rPr>
              <w:tab/>
            </w:r>
            <w:r w:rsidR="00221F4E" w:rsidRPr="00EA1AB8">
              <w:rPr>
                <w:rFonts w:ascii="Arial" w:hAnsi="Arial" w:cs="Arial"/>
                <w:noProof/>
                <w:webHidden/>
                <w:sz w:val="22"/>
              </w:rPr>
              <w:fldChar w:fldCharType="begin"/>
            </w:r>
            <w:r w:rsidR="00221F4E" w:rsidRPr="00EA1AB8">
              <w:rPr>
                <w:rFonts w:ascii="Arial" w:hAnsi="Arial" w:cs="Arial"/>
                <w:noProof/>
                <w:webHidden/>
                <w:sz w:val="22"/>
              </w:rPr>
              <w:instrText xml:space="preserve"> PAGEREF _Toc160186145 \h </w:instrText>
            </w:r>
            <w:r w:rsidR="00221F4E" w:rsidRPr="00EA1AB8">
              <w:rPr>
                <w:rFonts w:ascii="Arial" w:hAnsi="Arial" w:cs="Arial"/>
                <w:noProof/>
                <w:webHidden/>
                <w:sz w:val="22"/>
              </w:rPr>
            </w:r>
            <w:r w:rsidR="00221F4E" w:rsidRPr="00EA1AB8">
              <w:rPr>
                <w:rFonts w:ascii="Arial" w:hAnsi="Arial" w:cs="Arial"/>
                <w:noProof/>
                <w:webHidden/>
                <w:sz w:val="22"/>
              </w:rPr>
              <w:fldChar w:fldCharType="separate"/>
            </w:r>
            <w:r w:rsidR="00221F4E" w:rsidRPr="00EA1AB8">
              <w:rPr>
                <w:rFonts w:ascii="Arial" w:hAnsi="Arial" w:cs="Arial"/>
                <w:noProof/>
                <w:webHidden/>
                <w:sz w:val="22"/>
              </w:rPr>
              <w:t>14</w:t>
            </w:r>
            <w:r w:rsidR="00221F4E" w:rsidRPr="00EA1AB8">
              <w:rPr>
                <w:rFonts w:ascii="Arial" w:hAnsi="Arial" w:cs="Arial"/>
                <w:noProof/>
                <w:webHidden/>
                <w:sz w:val="22"/>
              </w:rPr>
              <w:fldChar w:fldCharType="end"/>
            </w:r>
          </w:hyperlink>
        </w:p>
        <w:p w14:paraId="0F420A1B" w14:textId="118D6720" w:rsidR="00221F4E" w:rsidRPr="00EA1AB8" w:rsidRDefault="00000000">
          <w:pPr>
            <w:pStyle w:val="TOC2"/>
            <w:tabs>
              <w:tab w:val="right" w:leader="dot" w:pos="9016"/>
            </w:tabs>
            <w:rPr>
              <w:rFonts w:ascii="Arial" w:eastAsiaTheme="minorEastAsia" w:hAnsi="Arial" w:cs="Arial"/>
              <w:noProof/>
              <w:sz w:val="22"/>
              <w:lang w:val="en-GB" w:eastAsia="en-GB"/>
            </w:rPr>
          </w:pPr>
          <w:hyperlink w:anchor="_Toc160186146" w:history="1">
            <w:r w:rsidR="00221F4E" w:rsidRPr="00EA1AB8">
              <w:rPr>
                <w:rStyle w:val="Hyperlink"/>
                <w:rFonts w:ascii="Arial" w:hAnsi="Arial" w:cs="Arial"/>
                <w:noProof/>
                <w:sz w:val="22"/>
                <w:lang w:val="en-GB"/>
              </w:rPr>
              <w:t>References</w:t>
            </w:r>
            <w:r w:rsidR="00221F4E" w:rsidRPr="00EA1AB8">
              <w:rPr>
                <w:rFonts w:ascii="Arial" w:hAnsi="Arial" w:cs="Arial"/>
                <w:noProof/>
                <w:webHidden/>
                <w:sz w:val="22"/>
              </w:rPr>
              <w:tab/>
            </w:r>
            <w:r w:rsidR="00221F4E" w:rsidRPr="00EA1AB8">
              <w:rPr>
                <w:rFonts w:ascii="Arial" w:hAnsi="Arial" w:cs="Arial"/>
                <w:noProof/>
                <w:webHidden/>
                <w:sz w:val="22"/>
              </w:rPr>
              <w:fldChar w:fldCharType="begin"/>
            </w:r>
            <w:r w:rsidR="00221F4E" w:rsidRPr="00EA1AB8">
              <w:rPr>
                <w:rFonts w:ascii="Arial" w:hAnsi="Arial" w:cs="Arial"/>
                <w:noProof/>
                <w:webHidden/>
                <w:sz w:val="22"/>
              </w:rPr>
              <w:instrText xml:space="preserve"> PAGEREF _Toc160186146 \h </w:instrText>
            </w:r>
            <w:r w:rsidR="00221F4E" w:rsidRPr="00EA1AB8">
              <w:rPr>
                <w:rFonts w:ascii="Arial" w:hAnsi="Arial" w:cs="Arial"/>
                <w:noProof/>
                <w:webHidden/>
                <w:sz w:val="22"/>
              </w:rPr>
            </w:r>
            <w:r w:rsidR="00221F4E" w:rsidRPr="00EA1AB8">
              <w:rPr>
                <w:rFonts w:ascii="Arial" w:hAnsi="Arial" w:cs="Arial"/>
                <w:noProof/>
                <w:webHidden/>
                <w:sz w:val="22"/>
              </w:rPr>
              <w:fldChar w:fldCharType="separate"/>
            </w:r>
            <w:r w:rsidR="00221F4E" w:rsidRPr="00EA1AB8">
              <w:rPr>
                <w:rFonts w:ascii="Arial" w:hAnsi="Arial" w:cs="Arial"/>
                <w:noProof/>
                <w:webHidden/>
                <w:sz w:val="22"/>
              </w:rPr>
              <w:t>16</w:t>
            </w:r>
            <w:r w:rsidR="00221F4E" w:rsidRPr="00EA1AB8">
              <w:rPr>
                <w:rFonts w:ascii="Arial" w:hAnsi="Arial" w:cs="Arial"/>
                <w:noProof/>
                <w:webHidden/>
                <w:sz w:val="22"/>
              </w:rPr>
              <w:fldChar w:fldCharType="end"/>
            </w:r>
          </w:hyperlink>
        </w:p>
        <w:p w14:paraId="132075AB" w14:textId="738A774F" w:rsidR="00E23CAB" w:rsidRPr="00EA1AB8" w:rsidRDefault="00E23CAB" w:rsidP="00E23CAB">
          <w:pPr>
            <w:rPr>
              <w:rFonts w:ascii="Arial" w:hAnsi="Arial" w:cs="Arial"/>
              <w:sz w:val="22"/>
              <w:lang w:val="en-GB"/>
            </w:rPr>
          </w:pPr>
          <w:r w:rsidRPr="00EA1AB8">
            <w:rPr>
              <w:rFonts w:ascii="Arial" w:hAnsi="Arial" w:cs="Arial"/>
              <w:b/>
              <w:bCs/>
              <w:noProof/>
              <w:sz w:val="22"/>
              <w:lang w:val="en-GB"/>
            </w:rPr>
            <w:fldChar w:fldCharType="end"/>
          </w:r>
        </w:p>
      </w:sdtContent>
    </w:sdt>
    <w:p w14:paraId="5F4EEC59" w14:textId="77777777" w:rsidR="00E23CAB" w:rsidRPr="00EA1AB8" w:rsidRDefault="00E23CAB" w:rsidP="00E23CAB">
      <w:pPr>
        <w:rPr>
          <w:rFonts w:ascii="Arial" w:hAnsi="Arial" w:cs="Arial"/>
          <w:sz w:val="22"/>
          <w:lang w:val="en-GB"/>
        </w:rPr>
      </w:pPr>
      <w:r w:rsidRPr="00EA1AB8">
        <w:rPr>
          <w:rFonts w:ascii="Arial" w:hAnsi="Arial" w:cs="Arial"/>
          <w:sz w:val="22"/>
          <w:lang w:val="en-GB"/>
        </w:rPr>
        <w:br w:type="page"/>
      </w:r>
    </w:p>
    <w:p w14:paraId="06068D59" w14:textId="22C01587" w:rsidR="00E23CAB" w:rsidRPr="00351762" w:rsidRDefault="00EC43B7" w:rsidP="00351762">
      <w:pPr>
        <w:pStyle w:val="Heading2"/>
      </w:pPr>
      <w:bookmarkStart w:id="0" w:name="_Toc160186137"/>
      <w:r w:rsidRPr="00351762">
        <w:lastRenderedPageBreak/>
        <w:t>I</w:t>
      </w:r>
      <w:r w:rsidR="00E23CAB" w:rsidRPr="00351762">
        <w:t>ntroduction.</w:t>
      </w:r>
      <w:bookmarkEnd w:id="0"/>
      <w:r w:rsidR="00E23CAB" w:rsidRPr="00351762">
        <w:t xml:space="preserve"> </w:t>
      </w:r>
    </w:p>
    <w:p w14:paraId="44693B04" w14:textId="77777777" w:rsidR="00E23CAB" w:rsidRPr="00EA1AB8" w:rsidRDefault="00E23CAB" w:rsidP="00E23CAB">
      <w:pPr>
        <w:rPr>
          <w:rFonts w:ascii="Arial" w:hAnsi="Arial" w:cs="Arial"/>
          <w:sz w:val="22"/>
          <w:lang w:val="en-GB"/>
        </w:rPr>
      </w:pPr>
      <w:r w:rsidRPr="00EA1AB8">
        <w:rPr>
          <w:rFonts w:ascii="Arial" w:hAnsi="Arial" w:cs="Arial"/>
          <w:sz w:val="22"/>
          <w:lang w:val="en-GB"/>
        </w:rPr>
        <w:t>According to Tucci and Roy (2024), strategic management refers to the ongoing process of planning, assessing, and monitoring the required necessities of a company to meet its objectives and goals. The ever-evolving business world requires companies to constantly assess their strategies and modify them to adapt to the external world. This allows companies to assess their present situation and chalk out strategies that can be beneficial for their management. This report will analyse the current strategic direction of Milford Sandford Wines Ltd along with assessing the external and internal factors that can affect the company’s strategic management. Based on the analysis, a stakeholder analysis of the company will be conducted and determine the strategic growth opportunities available for the company. Lastly, it will offer some suitable recommendations that can be useful for the company in its strategic growth. John Winchester founded Milton Sandford Wines Ltd in 1990 and it has its headquarters in Reading, Berkshire (Milford Sandford Wines, 2024). The company is known for its high-quality boutique wines which it offers to restaurants, gastropubs, and hotels across the UK. Its main operation is based in the UK and the number of employees ranges from 11-50 (LinkedIn, 2024). In the financial year of 2022, the company’s revenue amounted to less than $5 million (</w:t>
      </w:r>
      <w:proofErr w:type="spellStart"/>
      <w:r w:rsidRPr="00EA1AB8">
        <w:rPr>
          <w:rFonts w:ascii="Arial" w:hAnsi="Arial" w:cs="Arial"/>
          <w:sz w:val="22"/>
          <w:lang w:val="en-GB"/>
        </w:rPr>
        <w:t>Endole</w:t>
      </w:r>
      <w:proofErr w:type="spellEnd"/>
      <w:r w:rsidRPr="00EA1AB8">
        <w:rPr>
          <w:rFonts w:ascii="Arial" w:hAnsi="Arial" w:cs="Arial"/>
          <w:sz w:val="22"/>
          <w:lang w:val="en-GB"/>
        </w:rPr>
        <w:t xml:space="preserve">, 2024). </w:t>
      </w:r>
    </w:p>
    <w:p w14:paraId="1409DE53" w14:textId="6638E23E" w:rsidR="00E23CAB" w:rsidRPr="00351762" w:rsidRDefault="00B521F1" w:rsidP="00351762">
      <w:pPr>
        <w:pStyle w:val="Heading2"/>
        <w:numPr>
          <w:ilvl w:val="0"/>
          <w:numId w:val="7"/>
        </w:numPr>
      </w:pPr>
      <w:bookmarkStart w:id="1" w:name="_Toc160186138"/>
      <w:r w:rsidRPr="00351762">
        <w:t>O</w:t>
      </w:r>
      <w:r w:rsidR="00E23CAB" w:rsidRPr="00351762">
        <w:t>rganization’s current strategic direction.</w:t>
      </w:r>
      <w:bookmarkEnd w:id="1"/>
    </w:p>
    <w:p w14:paraId="59A2CFC5" w14:textId="798C5287" w:rsidR="00E23CAB" w:rsidRPr="00EA1AB8" w:rsidRDefault="00E23CAB" w:rsidP="00E23CAB">
      <w:pPr>
        <w:rPr>
          <w:rFonts w:ascii="Arial" w:hAnsi="Arial" w:cs="Arial"/>
          <w:sz w:val="22"/>
          <w:lang w:val="en-GB"/>
        </w:rPr>
      </w:pPr>
      <w:r w:rsidRPr="00EA1AB8">
        <w:rPr>
          <w:rFonts w:ascii="Arial" w:hAnsi="Arial" w:cs="Arial"/>
          <w:sz w:val="22"/>
          <w:lang w:val="en-GB"/>
        </w:rPr>
        <w:t xml:space="preserve">The vision of Milton Sandford Wines Ltd is to offer the highest quality boutique wine through its exclusive and extensive range of wines to maximise the satisfaction of customers (LinkedIn, 2024). It aims to deliver value, availability, quality, and profitability through its wine offerings. </w:t>
      </w:r>
      <w:r w:rsidR="00351762" w:rsidRPr="00EA1AB8">
        <w:rPr>
          <w:rFonts w:ascii="Arial" w:hAnsi="Arial" w:cs="Arial"/>
          <w:sz w:val="22"/>
          <w:lang w:val="en-GB"/>
        </w:rPr>
        <w:t>To</w:t>
      </w:r>
      <w:r w:rsidRPr="00EA1AB8">
        <w:rPr>
          <w:rFonts w:ascii="Arial" w:hAnsi="Arial" w:cs="Arial"/>
          <w:sz w:val="22"/>
          <w:lang w:val="en-GB"/>
        </w:rPr>
        <w:t xml:space="preserve"> maintain the top quality of its products, the leaders of the company have taken some specific steps that allow them to achieve this </w:t>
      </w:r>
      <w:proofErr w:type="gramStart"/>
      <w:r w:rsidRPr="00EA1AB8">
        <w:rPr>
          <w:rFonts w:ascii="Arial" w:hAnsi="Arial" w:cs="Arial"/>
          <w:sz w:val="22"/>
          <w:lang w:val="en-GB"/>
        </w:rPr>
        <w:t>particular objective</w:t>
      </w:r>
      <w:proofErr w:type="gramEnd"/>
      <w:r w:rsidRPr="00EA1AB8">
        <w:rPr>
          <w:rFonts w:ascii="Arial" w:hAnsi="Arial" w:cs="Arial"/>
          <w:sz w:val="22"/>
          <w:lang w:val="en-GB"/>
        </w:rPr>
        <w:t xml:space="preserve">. For instance, the company works with selected family-run wineries that produce wine for the company (Milford Sandford Wines, 2024). Through regular travels, the leaders discover new wines and expand their carefully selected portfolio enabling Milton Sandford Wines to stay ahead of its competitors and market trends. Careful selection of wine producers has led the company to attain its vision of meeting customer satisfaction through high-quality products. </w:t>
      </w:r>
    </w:p>
    <w:p w14:paraId="5609AC8E" w14:textId="2EC69586" w:rsidR="00E23CAB" w:rsidRPr="00EA1AB8" w:rsidRDefault="00E23CAB" w:rsidP="00E23CAB">
      <w:pPr>
        <w:rPr>
          <w:rFonts w:ascii="Arial" w:hAnsi="Arial" w:cs="Arial"/>
          <w:sz w:val="22"/>
          <w:lang w:val="en-GB"/>
        </w:rPr>
      </w:pPr>
      <w:r w:rsidRPr="00EA1AB8">
        <w:rPr>
          <w:rFonts w:ascii="Arial" w:hAnsi="Arial" w:cs="Arial"/>
          <w:sz w:val="22"/>
          <w:lang w:val="en-GB"/>
        </w:rPr>
        <w:t>In addition to this, the company has also ensured careful consideration to store its products. For instance, its wine cellars maintain a constant temperature of 12</w:t>
      </w:r>
      <w:r w:rsidRPr="00EA1AB8">
        <w:rPr>
          <w:rFonts w:ascii="Arial" w:hAnsi="Arial" w:cs="Arial"/>
          <w:sz w:val="22"/>
          <w:vertAlign w:val="superscript"/>
          <w:lang w:val="en-GB"/>
        </w:rPr>
        <w:t>0</w:t>
      </w:r>
      <w:r w:rsidRPr="00EA1AB8">
        <w:rPr>
          <w:rFonts w:ascii="Arial" w:hAnsi="Arial" w:cs="Arial"/>
          <w:sz w:val="22"/>
          <w:lang w:val="en-GB"/>
        </w:rPr>
        <w:t xml:space="preserve">C which </w:t>
      </w:r>
      <w:r w:rsidR="00B521F1" w:rsidRPr="00EA1AB8">
        <w:rPr>
          <w:rFonts w:ascii="Arial" w:hAnsi="Arial" w:cs="Arial"/>
          <w:sz w:val="22"/>
          <w:lang w:val="en-GB"/>
        </w:rPr>
        <w:t>is</w:t>
      </w:r>
      <w:r w:rsidRPr="00EA1AB8">
        <w:rPr>
          <w:rFonts w:ascii="Arial" w:hAnsi="Arial" w:cs="Arial"/>
          <w:sz w:val="22"/>
          <w:lang w:val="en-GB"/>
        </w:rPr>
        <w:t xml:space="preserve"> the best for wine storage. The wine cellars are also natural making them eco-friendly. As part of its strategic operations, the company also takes greater care to deliver its wines to its clients. The company mainly operates in a B2B business environment where the company sells its products to hotels and restaurants instead of directly selling them to customers. Thus, for the </w:t>
      </w:r>
      <w:r w:rsidRPr="00EA1AB8">
        <w:rPr>
          <w:rFonts w:ascii="Arial" w:hAnsi="Arial" w:cs="Arial"/>
          <w:sz w:val="22"/>
          <w:lang w:val="en-GB"/>
        </w:rPr>
        <w:lastRenderedPageBreak/>
        <w:t>delivery of its products, greater precautionary measures are taken. Through scheduled delivery and carefully coordinated routes, Milton Sandford Wines Ltd ensure</w:t>
      </w:r>
      <w:r w:rsidR="008832B3">
        <w:rPr>
          <w:rFonts w:ascii="Arial" w:hAnsi="Arial" w:cs="Arial"/>
          <w:sz w:val="22"/>
          <w:lang w:val="en-GB"/>
        </w:rPr>
        <w:t>s</w:t>
      </w:r>
      <w:r w:rsidRPr="00EA1AB8">
        <w:rPr>
          <w:rFonts w:ascii="Arial" w:hAnsi="Arial" w:cs="Arial"/>
          <w:sz w:val="22"/>
          <w:lang w:val="en-GB"/>
        </w:rPr>
        <w:t xml:space="preserve"> optimal efficiency in its product delivery (Milton Sandford Wine, 2024). Furthermore, the company uses a locally recognised quality carrier </w:t>
      </w:r>
      <w:r w:rsidR="003567FE">
        <w:rPr>
          <w:rFonts w:ascii="Arial" w:hAnsi="Arial" w:cs="Arial"/>
          <w:sz w:val="22"/>
          <w:lang w:val="en-GB"/>
        </w:rPr>
        <w:t>that</w:t>
      </w:r>
      <w:r w:rsidRPr="00EA1AB8">
        <w:rPr>
          <w:rFonts w:ascii="Arial" w:hAnsi="Arial" w:cs="Arial"/>
          <w:sz w:val="22"/>
          <w:lang w:val="en-GB"/>
        </w:rPr>
        <w:t xml:space="preserve"> is flexible, reliable, and efficient and can easily accommodate the delivery services according to the requirements of its clients. This way, the company meet</w:t>
      </w:r>
      <w:r w:rsidR="003567FE">
        <w:rPr>
          <w:rFonts w:ascii="Arial" w:hAnsi="Arial" w:cs="Arial"/>
          <w:sz w:val="22"/>
          <w:lang w:val="en-GB"/>
        </w:rPr>
        <w:t>s</w:t>
      </w:r>
      <w:r w:rsidRPr="00EA1AB8">
        <w:rPr>
          <w:rFonts w:ascii="Arial" w:hAnsi="Arial" w:cs="Arial"/>
          <w:sz w:val="22"/>
          <w:lang w:val="en-GB"/>
        </w:rPr>
        <w:t xml:space="preserve"> its values and visions. </w:t>
      </w:r>
    </w:p>
    <w:p w14:paraId="4C2DA451" w14:textId="06225EFA" w:rsidR="00E23CAB" w:rsidRPr="00EA1AB8" w:rsidRDefault="00E23CAB" w:rsidP="00E23CAB">
      <w:pPr>
        <w:rPr>
          <w:rFonts w:ascii="Arial" w:hAnsi="Arial" w:cs="Arial"/>
          <w:sz w:val="22"/>
          <w:lang w:val="en-GB"/>
        </w:rPr>
      </w:pPr>
      <w:r w:rsidRPr="00EA1AB8">
        <w:rPr>
          <w:rFonts w:ascii="Arial" w:hAnsi="Arial" w:cs="Arial"/>
          <w:sz w:val="22"/>
          <w:lang w:val="en-GB"/>
        </w:rPr>
        <w:t>In terms of human resources, the company’s number of employees is significantly fewer as currently</w:t>
      </w:r>
      <w:r w:rsidR="008C20D8">
        <w:rPr>
          <w:rFonts w:ascii="Arial" w:hAnsi="Arial" w:cs="Arial"/>
          <w:sz w:val="22"/>
          <w:lang w:val="en-GB"/>
        </w:rPr>
        <w:t>,</w:t>
      </w:r>
      <w:r w:rsidRPr="00EA1AB8">
        <w:rPr>
          <w:rFonts w:ascii="Arial" w:hAnsi="Arial" w:cs="Arial"/>
          <w:sz w:val="22"/>
          <w:lang w:val="en-GB"/>
        </w:rPr>
        <w:t xml:space="preserve"> only 11-50 employees work in the organisation. However, this workforce has enabled Milton Sandford Wines Ltd to attain higher performance. Additionally, it offers training sessions to employees to enhance their skills and knowledge in this regard, thus, offering efficient services (Milton Sandford Wine, 2024). On the other hand, the company does not invest heavily in its marketing. As the company is a B2B firm with its clients being the top gastropubs, hotels, and restaurants in the UK, it generally focuses on ensuring higher performance through its operations and services. However, Guenther and Guenther (2022) have presented the view that the payoff of a B2B firm is dependent on competitive dynamics which are not considered directly in general. Thus, it can be beneficial for the company to invest in marketing to create a stronger image in the country.  </w:t>
      </w:r>
    </w:p>
    <w:p w14:paraId="4F28965C" w14:textId="7D71D33D" w:rsidR="00954F0F" w:rsidRPr="00351762" w:rsidRDefault="00954F0F" w:rsidP="00351762">
      <w:pPr>
        <w:pStyle w:val="Heading2"/>
        <w:numPr>
          <w:ilvl w:val="0"/>
          <w:numId w:val="7"/>
        </w:numPr>
      </w:pPr>
      <w:bookmarkStart w:id="2" w:name="_Toc160186139"/>
      <w:r w:rsidRPr="00351762">
        <w:t>Organisation's external analysis</w:t>
      </w:r>
      <w:bookmarkEnd w:id="2"/>
      <w:r w:rsidRPr="00351762">
        <w:t xml:space="preserve"> </w:t>
      </w:r>
    </w:p>
    <w:p w14:paraId="097FAE67" w14:textId="0D74A77D" w:rsidR="00E23CAB" w:rsidRPr="00EA1AB8" w:rsidRDefault="00351762" w:rsidP="00351762">
      <w:pPr>
        <w:pStyle w:val="Heading2"/>
        <w:rPr>
          <w:lang w:val="en-GB"/>
        </w:rPr>
      </w:pPr>
      <w:r>
        <w:rPr>
          <w:lang w:val="en-GB"/>
        </w:rPr>
        <w:t xml:space="preserve">2.1 </w:t>
      </w:r>
      <w:r w:rsidR="00E23CAB" w:rsidRPr="00EA1AB8">
        <w:rPr>
          <w:lang w:val="en-GB"/>
        </w:rPr>
        <w:t>PESTLE Analysis</w:t>
      </w:r>
    </w:p>
    <w:p w14:paraId="02524963" w14:textId="77777777" w:rsidR="00E23CAB" w:rsidRPr="00EA1AB8" w:rsidRDefault="00E23CAB" w:rsidP="00954F0F">
      <w:pPr>
        <w:pStyle w:val="ListParagraph"/>
        <w:numPr>
          <w:ilvl w:val="0"/>
          <w:numId w:val="6"/>
        </w:numPr>
        <w:rPr>
          <w:rFonts w:ascii="Arial" w:hAnsi="Arial" w:cs="Arial"/>
          <w:b/>
          <w:bCs/>
          <w:i/>
          <w:iCs/>
          <w:sz w:val="22"/>
          <w:lang w:val="en-GB"/>
        </w:rPr>
      </w:pPr>
      <w:r w:rsidRPr="00EA1AB8">
        <w:rPr>
          <w:rFonts w:ascii="Arial" w:hAnsi="Arial" w:cs="Arial"/>
          <w:b/>
          <w:bCs/>
          <w:i/>
          <w:iCs/>
          <w:sz w:val="22"/>
          <w:lang w:val="en-GB"/>
        </w:rPr>
        <w:t xml:space="preserve">Political </w:t>
      </w:r>
    </w:p>
    <w:p w14:paraId="29D615A3" w14:textId="5B150113" w:rsidR="00E23CAB" w:rsidRPr="00EA1AB8" w:rsidRDefault="00E23CAB" w:rsidP="00E23CAB">
      <w:pPr>
        <w:rPr>
          <w:rFonts w:ascii="Arial" w:hAnsi="Arial" w:cs="Arial"/>
          <w:sz w:val="22"/>
          <w:lang w:val="en-GB"/>
        </w:rPr>
      </w:pPr>
      <w:r w:rsidRPr="00EA1AB8">
        <w:rPr>
          <w:rFonts w:ascii="Arial" w:hAnsi="Arial" w:cs="Arial"/>
          <w:sz w:val="22"/>
          <w:lang w:val="en-GB"/>
        </w:rPr>
        <w:t xml:space="preserve">As per the alcohol duty rates in the UK, when a business sells alcohol </w:t>
      </w:r>
      <w:r w:rsidR="008C20D8">
        <w:rPr>
          <w:rFonts w:ascii="Arial" w:hAnsi="Arial" w:cs="Arial"/>
          <w:sz w:val="22"/>
          <w:lang w:val="en-GB"/>
        </w:rPr>
        <w:t>that</w:t>
      </w:r>
      <w:r w:rsidRPr="00EA1AB8">
        <w:rPr>
          <w:rFonts w:ascii="Arial" w:hAnsi="Arial" w:cs="Arial"/>
          <w:sz w:val="22"/>
          <w:lang w:val="en-GB"/>
        </w:rPr>
        <w:t xml:space="preserve"> contains an alcohol percentage of more than 22%, the tax rate is 31.64 Pounds per litre, which </w:t>
      </w:r>
      <w:r w:rsidR="005C6D36" w:rsidRPr="00EA1AB8">
        <w:rPr>
          <w:rFonts w:ascii="Arial" w:hAnsi="Arial" w:cs="Arial"/>
          <w:sz w:val="22"/>
          <w:lang w:val="en-GB"/>
        </w:rPr>
        <w:t>must</w:t>
      </w:r>
      <w:r w:rsidRPr="00EA1AB8">
        <w:rPr>
          <w:rFonts w:ascii="Arial" w:hAnsi="Arial" w:cs="Arial"/>
          <w:sz w:val="22"/>
          <w:lang w:val="en-GB"/>
        </w:rPr>
        <w:t xml:space="preserve"> be paid by the business to the government (GOV.UK, 2024). Therefore, Milton Sandford Wines Ltd. </w:t>
      </w:r>
      <w:r w:rsidR="005C6D36" w:rsidRPr="00EA1AB8">
        <w:rPr>
          <w:rFonts w:ascii="Arial" w:hAnsi="Arial" w:cs="Arial"/>
          <w:sz w:val="22"/>
          <w:lang w:val="en-GB"/>
        </w:rPr>
        <w:t>to</w:t>
      </w:r>
      <w:r w:rsidRPr="00EA1AB8">
        <w:rPr>
          <w:rFonts w:ascii="Arial" w:hAnsi="Arial" w:cs="Arial"/>
          <w:sz w:val="22"/>
          <w:lang w:val="en-GB"/>
        </w:rPr>
        <w:t xml:space="preserve"> adjust the alcohol duty rate </w:t>
      </w:r>
      <w:r w:rsidR="008832B3" w:rsidRPr="00EA1AB8">
        <w:rPr>
          <w:rFonts w:ascii="Arial" w:hAnsi="Arial" w:cs="Arial"/>
          <w:sz w:val="22"/>
          <w:lang w:val="en-GB"/>
        </w:rPr>
        <w:t>and</w:t>
      </w:r>
      <w:r w:rsidRPr="00EA1AB8">
        <w:rPr>
          <w:rFonts w:ascii="Arial" w:hAnsi="Arial" w:cs="Arial"/>
          <w:sz w:val="22"/>
          <w:lang w:val="en-GB"/>
        </w:rPr>
        <w:t xml:space="preserve"> maintain their profit margins will need to increase the price of their wines.  Paying a higher alcohol tax rate to the government will require the brand to try otherwise of raising funds for expanding its business channels in the country. However, surging the prices may also upset its customers, which will not make it affordable for many customers in the UK with the rising expenses of the standard of living in the UK. Thus, the company can lose customers if they surge their price or get sued by the government if they do not pay the taxes timely. </w:t>
      </w:r>
    </w:p>
    <w:p w14:paraId="1508CA50" w14:textId="77777777" w:rsidR="00E23CAB" w:rsidRPr="00EA1AB8" w:rsidRDefault="00E23CAB" w:rsidP="00954F0F">
      <w:pPr>
        <w:pStyle w:val="ListParagraph"/>
        <w:numPr>
          <w:ilvl w:val="0"/>
          <w:numId w:val="6"/>
        </w:numPr>
        <w:rPr>
          <w:rFonts w:ascii="Arial" w:hAnsi="Arial" w:cs="Arial"/>
          <w:b/>
          <w:bCs/>
          <w:i/>
          <w:iCs/>
          <w:sz w:val="22"/>
          <w:lang w:val="en-GB"/>
        </w:rPr>
      </w:pPr>
      <w:r w:rsidRPr="00EA1AB8">
        <w:rPr>
          <w:rFonts w:ascii="Arial" w:hAnsi="Arial" w:cs="Arial"/>
          <w:b/>
          <w:bCs/>
          <w:i/>
          <w:iCs/>
          <w:sz w:val="22"/>
          <w:lang w:val="en-GB"/>
        </w:rPr>
        <w:t>Economical</w:t>
      </w:r>
    </w:p>
    <w:p w14:paraId="0D461D1B" w14:textId="77777777" w:rsidR="00E23CAB" w:rsidRPr="00EA1AB8" w:rsidRDefault="00E23CAB" w:rsidP="00E23CAB">
      <w:pPr>
        <w:rPr>
          <w:rFonts w:ascii="Arial" w:hAnsi="Arial" w:cs="Arial"/>
          <w:sz w:val="22"/>
          <w:lang w:val="en-GB"/>
        </w:rPr>
      </w:pPr>
      <w:r w:rsidRPr="00EA1AB8">
        <w:rPr>
          <w:rFonts w:ascii="Arial" w:hAnsi="Arial" w:cs="Arial"/>
          <w:sz w:val="22"/>
          <w:lang w:val="en-GB"/>
        </w:rPr>
        <w:t xml:space="preserve">The inflation rate in the UK further dropped to 4% in January 2024 after peaking at an all-time high of 11.1% in October 2022 (Statista, 2024). This data signifies that the inflation rate </w:t>
      </w:r>
      <w:r w:rsidRPr="00EA1AB8">
        <w:rPr>
          <w:rFonts w:ascii="Arial" w:hAnsi="Arial" w:cs="Arial"/>
          <w:sz w:val="22"/>
          <w:lang w:val="en-GB"/>
        </w:rPr>
        <w:lastRenderedPageBreak/>
        <w:t>has been going down and is quite low in the country which creates opportunities for Milton Sandford Wines Ltd to source its raw materials at a reasonable and affordable rate in the country and also introduce new variants of its products as the power of expenditure of customers have also increased which will leverage more number of sales for the company helping them earn more profitability and also have savings to further invest in the growth and development of the business in the future.</w:t>
      </w:r>
    </w:p>
    <w:p w14:paraId="55D75792" w14:textId="77777777" w:rsidR="00E23CAB" w:rsidRPr="00EA1AB8" w:rsidRDefault="00E23CAB" w:rsidP="000E2AA8">
      <w:pPr>
        <w:pStyle w:val="ListParagraph"/>
        <w:numPr>
          <w:ilvl w:val="0"/>
          <w:numId w:val="6"/>
        </w:numPr>
        <w:rPr>
          <w:rFonts w:ascii="Arial" w:hAnsi="Arial" w:cs="Arial"/>
          <w:b/>
          <w:bCs/>
          <w:i/>
          <w:iCs/>
          <w:sz w:val="22"/>
          <w:lang w:val="en-GB"/>
        </w:rPr>
      </w:pPr>
      <w:r w:rsidRPr="00EA1AB8">
        <w:rPr>
          <w:rFonts w:ascii="Arial" w:hAnsi="Arial" w:cs="Arial"/>
          <w:b/>
          <w:bCs/>
          <w:i/>
          <w:iCs/>
          <w:sz w:val="22"/>
          <w:lang w:val="en-GB"/>
        </w:rPr>
        <w:t>Social</w:t>
      </w:r>
    </w:p>
    <w:p w14:paraId="41474FCF" w14:textId="2A4F271D" w:rsidR="00E23CAB" w:rsidRPr="00EA1AB8" w:rsidRDefault="00E23CAB" w:rsidP="00E23CAB">
      <w:pPr>
        <w:rPr>
          <w:rFonts w:ascii="Arial" w:hAnsi="Arial" w:cs="Arial"/>
          <w:sz w:val="22"/>
          <w:lang w:val="en-GB"/>
        </w:rPr>
      </w:pPr>
      <w:r w:rsidRPr="00EA1AB8">
        <w:rPr>
          <w:rFonts w:ascii="Arial" w:hAnsi="Arial" w:cs="Arial"/>
          <w:sz w:val="22"/>
          <w:lang w:val="en-GB"/>
        </w:rPr>
        <w:t xml:space="preserve">It is estimated that nearly about 108 bottles of wine are consumed by an average drinker in the UK in a single year (Wilson, 2019). This data signifies that British People are one of the heaviest drinkers in the world, thus it serves as an excellent opportunity for Milton Sandford Wines Ltd to get potential customers as their prime product is Wine. It will allow the business to leverage more sales in the country </w:t>
      </w:r>
      <w:r w:rsidR="005C6D36" w:rsidRPr="00EA1AB8">
        <w:rPr>
          <w:rFonts w:ascii="Arial" w:hAnsi="Arial" w:cs="Arial"/>
          <w:sz w:val="22"/>
          <w:lang w:val="en-GB"/>
        </w:rPr>
        <w:t>and</w:t>
      </w:r>
      <w:r w:rsidRPr="00EA1AB8">
        <w:rPr>
          <w:rFonts w:ascii="Arial" w:hAnsi="Arial" w:cs="Arial"/>
          <w:sz w:val="22"/>
          <w:lang w:val="en-GB"/>
        </w:rPr>
        <w:t xml:space="preserve"> earn more profits favouring it gathering funds for expanding its business in the country. </w:t>
      </w:r>
    </w:p>
    <w:p w14:paraId="67CD94E2" w14:textId="77777777" w:rsidR="00E23CAB" w:rsidRPr="00EA1AB8" w:rsidRDefault="00E23CAB" w:rsidP="000E2AA8">
      <w:pPr>
        <w:pStyle w:val="ListParagraph"/>
        <w:numPr>
          <w:ilvl w:val="0"/>
          <w:numId w:val="6"/>
        </w:numPr>
        <w:rPr>
          <w:rFonts w:ascii="Arial" w:hAnsi="Arial" w:cs="Arial"/>
          <w:b/>
          <w:bCs/>
          <w:i/>
          <w:iCs/>
          <w:sz w:val="22"/>
          <w:lang w:val="en-GB"/>
        </w:rPr>
      </w:pPr>
      <w:r w:rsidRPr="00EA1AB8">
        <w:rPr>
          <w:rFonts w:ascii="Arial" w:hAnsi="Arial" w:cs="Arial"/>
          <w:b/>
          <w:bCs/>
          <w:i/>
          <w:iCs/>
          <w:sz w:val="22"/>
          <w:lang w:val="en-GB"/>
        </w:rPr>
        <w:t>Technological</w:t>
      </w:r>
    </w:p>
    <w:p w14:paraId="54D59664" w14:textId="4374476F" w:rsidR="00E23CAB" w:rsidRPr="00EA1AB8" w:rsidRDefault="00E23CAB" w:rsidP="00E23CAB">
      <w:pPr>
        <w:rPr>
          <w:rFonts w:ascii="Arial" w:hAnsi="Arial" w:cs="Arial"/>
          <w:sz w:val="22"/>
          <w:lang w:val="en-GB"/>
        </w:rPr>
      </w:pPr>
      <w:r w:rsidRPr="00EA1AB8">
        <w:rPr>
          <w:rFonts w:ascii="Arial" w:hAnsi="Arial" w:cs="Arial"/>
          <w:sz w:val="22"/>
          <w:lang w:val="en-GB"/>
        </w:rPr>
        <w:t xml:space="preserve">The UK ranked 16 in 2021 for its digital infrastructures and has been performing quite well in numerous areas of the technological field (CATAPULT Digital, 2021). Thus, the UK </w:t>
      </w:r>
      <w:r w:rsidR="005C6D36" w:rsidRPr="00EA1AB8">
        <w:rPr>
          <w:rFonts w:ascii="Arial" w:hAnsi="Arial" w:cs="Arial"/>
          <w:sz w:val="22"/>
          <w:lang w:val="en-GB"/>
        </w:rPr>
        <w:t>is</w:t>
      </w:r>
      <w:r w:rsidRPr="00EA1AB8">
        <w:rPr>
          <w:rFonts w:ascii="Arial" w:hAnsi="Arial" w:cs="Arial"/>
          <w:sz w:val="22"/>
          <w:lang w:val="en-GB"/>
        </w:rPr>
        <w:t xml:space="preserve"> technologically advancement, and conducting business in such a country will leave Milton Sandford Wines Ltd exposed to many new emerging technologies in the market. Thus, by implementing such latest forms of technology, the brand can increase efficiency to raise its productivity </w:t>
      </w:r>
      <w:r w:rsidR="005C6D36" w:rsidRPr="00EA1AB8">
        <w:rPr>
          <w:rFonts w:ascii="Arial" w:hAnsi="Arial" w:cs="Arial"/>
          <w:sz w:val="22"/>
          <w:lang w:val="en-GB"/>
        </w:rPr>
        <w:t>and</w:t>
      </w:r>
      <w:r w:rsidRPr="00EA1AB8">
        <w:rPr>
          <w:rFonts w:ascii="Arial" w:hAnsi="Arial" w:cs="Arial"/>
          <w:sz w:val="22"/>
          <w:lang w:val="en-GB"/>
        </w:rPr>
        <w:t xml:space="preserve"> try new digital ways of promoting its products to reach out to a wider target audience in the country raising its brand awareness. It also helps them manage their inventory and finances efficiently with the incorporation of AI then will reduce risks and errors </w:t>
      </w:r>
      <w:r w:rsidR="005C6D36" w:rsidRPr="00EA1AB8">
        <w:rPr>
          <w:rFonts w:ascii="Arial" w:hAnsi="Arial" w:cs="Arial"/>
          <w:sz w:val="22"/>
          <w:lang w:val="en-GB"/>
        </w:rPr>
        <w:t>and</w:t>
      </w:r>
      <w:r w:rsidRPr="00EA1AB8">
        <w:rPr>
          <w:rFonts w:ascii="Arial" w:hAnsi="Arial" w:cs="Arial"/>
          <w:sz w:val="22"/>
          <w:lang w:val="en-GB"/>
        </w:rPr>
        <w:t xml:space="preserve"> educate the company about future risks.</w:t>
      </w:r>
    </w:p>
    <w:p w14:paraId="20F75093" w14:textId="77777777" w:rsidR="00E23CAB" w:rsidRPr="00EA1AB8" w:rsidRDefault="00E23CAB" w:rsidP="000E2AA8">
      <w:pPr>
        <w:pStyle w:val="ListParagraph"/>
        <w:numPr>
          <w:ilvl w:val="0"/>
          <w:numId w:val="6"/>
        </w:numPr>
        <w:rPr>
          <w:rFonts w:ascii="Arial" w:hAnsi="Arial" w:cs="Arial"/>
          <w:b/>
          <w:bCs/>
          <w:i/>
          <w:iCs/>
          <w:sz w:val="22"/>
          <w:lang w:val="en-GB"/>
        </w:rPr>
      </w:pPr>
      <w:r w:rsidRPr="00EA1AB8">
        <w:rPr>
          <w:rFonts w:ascii="Arial" w:hAnsi="Arial" w:cs="Arial"/>
          <w:b/>
          <w:bCs/>
          <w:i/>
          <w:iCs/>
          <w:sz w:val="22"/>
          <w:lang w:val="en-GB"/>
        </w:rPr>
        <w:t>Legal</w:t>
      </w:r>
    </w:p>
    <w:p w14:paraId="4ADACD80" w14:textId="13F4329C" w:rsidR="00E23CAB" w:rsidRPr="00EA1AB8" w:rsidRDefault="00E23CAB" w:rsidP="00E23CAB">
      <w:pPr>
        <w:rPr>
          <w:rFonts w:ascii="Arial" w:hAnsi="Arial" w:cs="Arial"/>
          <w:sz w:val="22"/>
          <w:lang w:val="en-GB"/>
        </w:rPr>
      </w:pPr>
      <w:r w:rsidRPr="00EA1AB8">
        <w:rPr>
          <w:rFonts w:ascii="Arial" w:hAnsi="Arial" w:cs="Arial"/>
          <w:sz w:val="22"/>
          <w:lang w:val="en-GB"/>
        </w:rPr>
        <w:t xml:space="preserve">The National Minimum Wage Act of 1998 states that every employer in the industry operating in the UK is entitled to pay a fair minimum salary to their employees and can only persuade them to work for not more than 48 hours a week (Legislation.GOV.UK, 2024). Thus, Milton Sandford Wines Ltd must abide by this employment law in the UK by offering fair wages and flexibility in the working hours to their employees </w:t>
      </w:r>
      <w:r w:rsidR="00547733" w:rsidRPr="00EA1AB8">
        <w:rPr>
          <w:rFonts w:ascii="Arial" w:hAnsi="Arial" w:cs="Arial"/>
          <w:sz w:val="22"/>
          <w:lang w:val="en-GB"/>
        </w:rPr>
        <w:t>do not avoid</w:t>
      </w:r>
      <w:r w:rsidRPr="00EA1AB8">
        <w:rPr>
          <w:rFonts w:ascii="Arial" w:hAnsi="Arial" w:cs="Arial"/>
          <w:sz w:val="22"/>
          <w:lang w:val="en-GB"/>
        </w:rPr>
        <w:t xml:space="preserve"> violating their fundamental rights, which otherwise will lead to negative accusations against the company and the company might have to face consequences like paying a huge penalty to the employee or the government. </w:t>
      </w:r>
    </w:p>
    <w:p w14:paraId="470A86E2" w14:textId="77777777" w:rsidR="00E23CAB" w:rsidRPr="00EA1AB8" w:rsidRDefault="00E23CAB" w:rsidP="000E2AA8">
      <w:pPr>
        <w:pStyle w:val="ListParagraph"/>
        <w:numPr>
          <w:ilvl w:val="0"/>
          <w:numId w:val="6"/>
        </w:numPr>
        <w:rPr>
          <w:rFonts w:ascii="Arial" w:hAnsi="Arial" w:cs="Arial"/>
          <w:b/>
          <w:bCs/>
          <w:i/>
          <w:iCs/>
          <w:sz w:val="22"/>
          <w:lang w:val="en-GB"/>
        </w:rPr>
      </w:pPr>
      <w:r w:rsidRPr="00EA1AB8">
        <w:rPr>
          <w:rFonts w:ascii="Arial" w:hAnsi="Arial" w:cs="Arial"/>
          <w:b/>
          <w:bCs/>
          <w:i/>
          <w:iCs/>
          <w:sz w:val="22"/>
          <w:lang w:val="en-GB"/>
        </w:rPr>
        <w:t xml:space="preserve">Environmental </w:t>
      </w:r>
    </w:p>
    <w:p w14:paraId="79E56EB4" w14:textId="77777777" w:rsidR="00E23CAB" w:rsidRPr="00EA1AB8" w:rsidRDefault="00E23CAB" w:rsidP="00E23CAB">
      <w:pPr>
        <w:rPr>
          <w:rFonts w:ascii="Arial" w:hAnsi="Arial" w:cs="Arial"/>
          <w:sz w:val="22"/>
          <w:lang w:val="en-GB"/>
        </w:rPr>
      </w:pPr>
      <w:r w:rsidRPr="00EA1AB8">
        <w:rPr>
          <w:rFonts w:ascii="Arial" w:hAnsi="Arial" w:cs="Arial"/>
          <w:sz w:val="22"/>
          <w:lang w:val="en-GB"/>
        </w:rPr>
        <w:lastRenderedPageBreak/>
        <w:t xml:space="preserve">The Environmental Act 2021 of the UK states that every company operating in the business must ensure that the business operations of their business do not harm the natural environment severely (Legislation.GOV.UK, 2021). It can be done by incorporating sustainable means of sustainable business activities reducing waste discharge and harmful pollutants into the environment (Legislation.GOV.UK, 2021). Therefore, Milton Sandford Wines Ltd must adopt sustainable measures for producing wine and packaging it to reduce waste generation and lower its carbon footprints to stay in the loop with the Act and maintain a sustainable brand reputation in the country. </w:t>
      </w:r>
    </w:p>
    <w:p w14:paraId="2E01FFDC" w14:textId="79B8E65A" w:rsidR="003434AC" w:rsidRPr="002C13CB" w:rsidRDefault="003434AC" w:rsidP="002C13CB">
      <w:pPr>
        <w:pStyle w:val="Heading2"/>
        <w:numPr>
          <w:ilvl w:val="1"/>
          <w:numId w:val="7"/>
        </w:numPr>
        <w:rPr>
          <w:lang w:val="en-GB"/>
        </w:rPr>
      </w:pPr>
      <w:r w:rsidRPr="00EA1AB8">
        <w:rPr>
          <w:noProof/>
          <w:lang w:val="en-GB"/>
        </w:rPr>
        <w:drawing>
          <wp:anchor distT="0" distB="0" distL="114300" distR="114300" simplePos="0" relativeHeight="251663872" behindDoc="1" locked="0" layoutInCell="1" allowOverlap="1" wp14:anchorId="306101B5" wp14:editId="148B5519">
            <wp:simplePos x="0" y="0"/>
            <wp:positionH relativeFrom="column">
              <wp:posOffset>2552246</wp:posOffset>
            </wp:positionH>
            <wp:positionV relativeFrom="page">
              <wp:posOffset>5747113</wp:posOffset>
            </wp:positionV>
            <wp:extent cx="3178800" cy="2901600"/>
            <wp:effectExtent l="0" t="0" r="0" b="0"/>
            <wp:wrapSquare wrapText="bothSides"/>
            <wp:docPr id="873767737" name="Picture 1" descr="A diagram of competitive rivalr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3767737" name="Picture 1" descr="A diagram of competitive rivalry&#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78800" cy="2901600"/>
                    </a:xfrm>
                    <a:prstGeom prst="rect">
                      <a:avLst/>
                    </a:prstGeom>
                    <a:noFill/>
                  </pic:spPr>
                </pic:pic>
              </a:graphicData>
            </a:graphic>
            <wp14:sizeRelH relativeFrom="margin">
              <wp14:pctWidth>0</wp14:pctWidth>
            </wp14:sizeRelH>
            <wp14:sizeRelV relativeFrom="margin">
              <wp14:pctHeight>0</wp14:pctHeight>
            </wp14:sizeRelV>
          </wp:anchor>
        </w:drawing>
      </w:r>
      <w:r w:rsidRPr="002C13CB">
        <w:rPr>
          <w:lang w:val="en-GB"/>
        </w:rPr>
        <w:t>Porter’s Five Forces</w:t>
      </w:r>
    </w:p>
    <w:p w14:paraId="1DC16FD1" w14:textId="77777777" w:rsidR="003434AC" w:rsidRPr="00EA1AB8" w:rsidRDefault="003434AC" w:rsidP="003434AC">
      <w:pPr>
        <w:rPr>
          <w:rFonts w:ascii="Arial" w:hAnsi="Arial" w:cs="Arial"/>
          <w:sz w:val="22"/>
          <w:lang w:val="en-GB"/>
        </w:rPr>
      </w:pPr>
      <w:r w:rsidRPr="00EA1AB8">
        <w:rPr>
          <w:rFonts w:ascii="Arial" w:hAnsi="Arial" w:cs="Arial"/>
          <w:b/>
          <w:bCs/>
          <w:i/>
          <w:iCs/>
          <w:sz w:val="22"/>
          <w:lang w:val="en-GB"/>
        </w:rPr>
        <w:t xml:space="preserve">Competition in the Industry [High]: </w:t>
      </w:r>
      <w:r w:rsidRPr="00EA1AB8">
        <w:rPr>
          <w:rFonts w:ascii="Arial" w:hAnsi="Arial" w:cs="Arial"/>
          <w:sz w:val="22"/>
          <w:lang w:val="en-GB"/>
        </w:rPr>
        <w:t>The presence of other companies like Vitamin Well Limited, Clarion Wines Limited, and Veg &amp; City Drinks Limited which also offer similar products as those offered by Milton Sandford Wines Limited. It makes the competition in the industry high which the brand needs to sustain by incorporating effective pricing and marketing strategies (</w:t>
      </w:r>
      <w:proofErr w:type="spellStart"/>
      <w:r w:rsidRPr="00EA1AB8">
        <w:rPr>
          <w:rFonts w:ascii="Arial" w:hAnsi="Arial" w:cs="Arial"/>
          <w:sz w:val="22"/>
          <w:lang w:val="en-GB"/>
        </w:rPr>
        <w:t>Popmanda</w:t>
      </w:r>
      <w:proofErr w:type="spellEnd"/>
      <w:r w:rsidRPr="00EA1AB8">
        <w:rPr>
          <w:rFonts w:ascii="Arial" w:hAnsi="Arial" w:cs="Arial"/>
          <w:sz w:val="22"/>
          <w:lang w:val="en-GB"/>
        </w:rPr>
        <w:t xml:space="preserve">, 2024). </w:t>
      </w:r>
    </w:p>
    <w:p w14:paraId="20EB770D" w14:textId="77777777" w:rsidR="003434AC" w:rsidRPr="00EA1AB8" w:rsidRDefault="003434AC" w:rsidP="003434AC">
      <w:pPr>
        <w:rPr>
          <w:rFonts w:ascii="Arial" w:hAnsi="Arial" w:cs="Arial"/>
          <w:sz w:val="22"/>
          <w:lang w:val="en-GB"/>
        </w:rPr>
      </w:pPr>
      <w:r w:rsidRPr="00EA1AB8">
        <w:rPr>
          <w:rFonts w:ascii="Arial" w:hAnsi="Arial" w:cs="Arial"/>
          <w:b/>
          <w:bCs/>
          <w:i/>
          <w:iCs/>
          <w:sz w:val="22"/>
          <w:lang w:val="en-GB"/>
        </w:rPr>
        <w:t xml:space="preserve">Threat of New Entrants in the Industry (Moderate): </w:t>
      </w:r>
      <w:r w:rsidRPr="00EA1AB8">
        <w:rPr>
          <w:rFonts w:ascii="Arial" w:hAnsi="Arial" w:cs="Arial"/>
          <w:sz w:val="22"/>
          <w:lang w:val="en-GB"/>
        </w:rPr>
        <w:t xml:space="preserve">Getting a license for selling alcohol requires heavy investments and the licensing required is hard to get and is also a very time-consuming process. However, the industry is very profitable which attracts entrepreneurs to try and start a business in this sector. Thus, the barriers to establishment are also quite high. This makes the threat of entrants to be moderate. </w:t>
      </w:r>
    </w:p>
    <w:p w14:paraId="0442E433" w14:textId="3C215340" w:rsidR="003434AC" w:rsidRPr="00EA1AB8" w:rsidRDefault="00000000" w:rsidP="003434AC">
      <w:pPr>
        <w:rPr>
          <w:rFonts w:ascii="Arial" w:hAnsi="Arial" w:cs="Arial"/>
          <w:sz w:val="22"/>
          <w:lang w:val="en-GB"/>
        </w:rPr>
      </w:pPr>
      <w:r>
        <w:rPr>
          <w:noProof/>
        </w:rPr>
        <w:pict w14:anchorId="1FAFD737">
          <v:shapetype id="_x0000_t202" coordsize="21600,21600" o:spt="202" path="m,l,21600r21600,l21600,xe">
            <v:stroke joinstyle="miter"/>
            <v:path gradientshapeok="t" o:connecttype="rect"/>
          </v:shapetype>
          <v:shape id="_x0000_s1045" type="#_x0000_t202" style="position:absolute;left:0;text-align:left;margin-left:200.95pt;margin-top:201.15pt;width:250.25pt;height:20.35pt;z-index:251658240;mso-position-horizontal-relative:text;mso-position-vertical-relative:text" stroked="f">
            <v:textbox style="mso-fit-shape-to-text:t" inset="0,0,0,0">
              <w:txbxContent>
                <w:p w14:paraId="37E02BED" w14:textId="77777777" w:rsidR="003434AC" w:rsidRPr="00266D52" w:rsidRDefault="003434AC" w:rsidP="003434AC">
                  <w:pPr>
                    <w:pStyle w:val="Caption"/>
                    <w:rPr>
                      <w:b/>
                      <w:bCs/>
                      <w:noProof/>
                      <w:szCs w:val="22"/>
                    </w:rPr>
                  </w:pPr>
                  <w:r>
                    <w:t xml:space="preserve">Figure </w:t>
                  </w:r>
                  <w:r>
                    <w:fldChar w:fldCharType="begin"/>
                  </w:r>
                  <w:r>
                    <w:instrText xml:space="preserve"> SEQ Figure \* ARABIC </w:instrText>
                  </w:r>
                  <w:r>
                    <w:fldChar w:fldCharType="separate"/>
                  </w:r>
                  <w:r>
                    <w:rPr>
                      <w:noProof/>
                    </w:rPr>
                    <w:t>1</w:t>
                  </w:r>
                  <w:r>
                    <w:fldChar w:fldCharType="end"/>
                  </w:r>
                  <w:r>
                    <w:t xml:space="preserve">: </w:t>
                  </w:r>
                  <w:r w:rsidRPr="0021061B">
                    <w:t>https://www.mindtools.com/at7k8my/porter-s-five-forces</w:t>
                  </w:r>
                </w:p>
              </w:txbxContent>
            </v:textbox>
            <w10:wrap type="square"/>
          </v:shape>
        </w:pict>
      </w:r>
      <w:r w:rsidR="003434AC" w:rsidRPr="00EA1AB8">
        <w:rPr>
          <w:rFonts w:ascii="Arial" w:hAnsi="Arial" w:cs="Arial"/>
          <w:b/>
          <w:bCs/>
          <w:i/>
          <w:iCs/>
          <w:sz w:val="22"/>
          <w:lang w:val="en-GB"/>
        </w:rPr>
        <w:t xml:space="preserve">Power of Suppliers in the Industry (High): </w:t>
      </w:r>
      <w:r w:rsidR="003434AC" w:rsidRPr="00EA1AB8">
        <w:rPr>
          <w:rFonts w:ascii="Arial" w:hAnsi="Arial" w:cs="Arial"/>
          <w:sz w:val="22"/>
          <w:lang w:val="en-GB"/>
        </w:rPr>
        <w:t>There are about 209 wineries in the UK (Statista, 2023). However, there are 10,954 wine companies in the country (</w:t>
      </w:r>
      <w:proofErr w:type="spellStart"/>
      <w:r w:rsidR="003434AC" w:rsidRPr="00EA1AB8">
        <w:rPr>
          <w:rFonts w:ascii="Arial" w:hAnsi="Arial" w:cs="Arial"/>
          <w:sz w:val="22"/>
          <w:lang w:val="en-GB"/>
        </w:rPr>
        <w:t>BoldData</w:t>
      </w:r>
      <w:proofErr w:type="spellEnd"/>
      <w:r w:rsidR="003434AC" w:rsidRPr="00EA1AB8">
        <w:rPr>
          <w:rFonts w:ascii="Arial" w:hAnsi="Arial" w:cs="Arial"/>
          <w:sz w:val="22"/>
          <w:lang w:val="en-GB"/>
        </w:rPr>
        <w:t>, 2023). As the ratio suggests the number of suppliers is low with more companies operating in the industry. Thus, it becomes non-negotiable for Milton Sandford Wines Limited to adjust the prices as per their preferences as suppliers are bound to tie up a partnership with the company that offers them a better deal. Therefore, the bargaining power of suppliers in the country is high.</w:t>
      </w:r>
    </w:p>
    <w:p w14:paraId="15392E07" w14:textId="404A8057" w:rsidR="003434AC" w:rsidRPr="00EA1AB8" w:rsidRDefault="003434AC" w:rsidP="003434AC">
      <w:pPr>
        <w:rPr>
          <w:rFonts w:ascii="Arial" w:hAnsi="Arial" w:cs="Arial"/>
          <w:sz w:val="22"/>
          <w:lang w:val="en-GB"/>
        </w:rPr>
      </w:pPr>
      <w:r w:rsidRPr="00EA1AB8">
        <w:rPr>
          <w:rFonts w:ascii="Arial" w:hAnsi="Arial" w:cs="Arial"/>
          <w:b/>
          <w:bCs/>
          <w:i/>
          <w:iCs/>
          <w:sz w:val="22"/>
          <w:lang w:val="en-GB"/>
        </w:rPr>
        <w:lastRenderedPageBreak/>
        <w:t xml:space="preserve">Power of Customers (Moderate): </w:t>
      </w:r>
      <w:r w:rsidRPr="00EA1AB8">
        <w:rPr>
          <w:rFonts w:ascii="Arial" w:hAnsi="Arial" w:cs="Arial"/>
          <w:sz w:val="22"/>
          <w:lang w:val="en-GB"/>
        </w:rPr>
        <w:t xml:space="preserve">The customers purchasing wine have a higher power of bargaining in the country </w:t>
      </w:r>
      <w:r w:rsidR="008C20D8" w:rsidRPr="008C20D8">
        <w:rPr>
          <w:rFonts w:ascii="Arial" w:hAnsi="Arial" w:cs="Arial"/>
          <w:sz w:val="22"/>
          <w:lang w:val="en-GB"/>
        </w:rPr>
        <w:t xml:space="preserve">because several companies sell </w:t>
      </w:r>
      <w:r w:rsidRPr="00EA1AB8">
        <w:rPr>
          <w:rFonts w:ascii="Arial" w:hAnsi="Arial" w:cs="Arial"/>
          <w:sz w:val="22"/>
          <w:lang w:val="en-GB"/>
        </w:rPr>
        <w:t xml:space="preserve">wines apart from Milton Sandford Wines Limited. However, Milton Sandford Wines Limited </w:t>
      </w:r>
      <w:r w:rsidR="008C20D8">
        <w:rPr>
          <w:rFonts w:ascii="Arial" w:hAnsi="Arial" w:cs="Arial"/>
          <w:sz w:val="22"/>
          <w:lang w:val="en-GB"/>
        </w:rPr>
        <w:t>is</w:t>
      </w:r>
      <w:r w:rsidRPr="00EA1AB8">
        <w:rPr>
          <w:rFonts w:ascii="Arial" w:hAnsi="Arial" w:cs="Arial"/>
          <w:sz w:val="22"/>
          <w:lang w:val="en-GB"/>
        </w:rPr>
        <w:t xml:space="preserve"> known for producing high-quality boutique wines that offer a unique and royal taste which could make it a unique selling point for the brand to stand out among its competitors as it may lead to a higher switching cost for the customers. Thus, it makes the overall power of customers to be modern in this case.</w:t>
      </w:r>
    </w:p>
    <w:p w14:paraId="5EF1FF83" w14:textId="073A9431" w:rsidR="003434AC" w:rsidRPr="00EA1AB8" w:rsidRDefault="003434AC" w:rsidP="00E23CAB">
      <w:pPr>
        <w:rPr>
          <w:rFonts w:ascii="Arial" w:hAnsi="Arial" w:cs="Arial"/>
          <w:sz w:val="22"/>
          <w:lang w:val="en-GB"/>
        </w:rPr>
      </w:pPr>
      <w:r w:rsidRPr="00EA1AB8">
        <w:rPr>
          <w:rFonts w:ascii="Arial" w:hAnsi="Arial" w:cs="Arial"/>
          <w:b/>
          <w:bCs/>
          <w:i/>
          <w:iCs/>
          <w:sz w:val="22"/>
          <w:lang w:val="en-GB"/>
        </w:rPr>
        <w:t xml:space="preserve">Threat of Substitute Products in the Industry (High): </w:t>
      </w:r>
      <w:r w:rsidRPr="00EA1AB8">
        <w:rPr>
          <w:rFonts w:ascii="Arial" w:hAnsi="Arial" w:cs="Arial"/>
          <w:sz w:val="22"/>
          <w:lang w:val="en-GB"/>
        </w:rPr>
        <w:t>There can be a lot of substitute products of wine in the market. There are energy drinks and other forms of alcohol like beer, rum, vodka, tequila, and whiskey which can easily substitute the product of Milton Sandford Wines Ltd. This creates an urgency for the brand to diversify its product portfolio so that it continues to grow in the industry.</w:t>
      </w:r>
    </w:p>
    <w:p w14:paraId="703EC499" w14:textId="3239DC46" w:rsidR="000E2AA8" w:rsidRPr="00EA1AB8" w:rsidRDefault="000E2AA8" w:rsidP="002C13CB">
      <w:pPr>
        <w:pStyle w:val="Heading2"/>
        <w:numPr>
          <w:ilvl w:val="0"/>
          <w:numId w:val="7"/>
        </w:numPr>
        <w:rPr>
          <w:lang w:val="en-GB"/>
        </w:rPr>
      </w:pPr>
      <w:bookmarkStart w:id="3" w:name="_Toc160186140"/>
      <w:r w:rsidRPr="00EA1AB8">
        <w:rPr>
          <w:lang w:val="en-GB"/>
        </w:rPr>
        <w:t>Organisation's internal analysis</w:t>
      </w:r>
      <w:bookmarkEnd w:id="3"/>
      <w:r w:rsidRPr="00EA1AB8">
        <w:rPr>
          <w:lang w:val="en-GB"/>
        </w:rPr>
        <w:t xml:space="preserve"> </w:t>
      </w:r>
    </w:p>
    <w:p w14:paraId="71D4F117" w14:textId="62EF1916" w:rsidR="00E23CAB" w:rsidRPr="00EA1AB8" w:rsidRDefault="002C13CB" w:rsidP="002C13CB">
      <w:pPr>
        <w:pStyle w:val="Heading2"/>
        <w:rPr>
          <w:lang w:val="en-GB"/>
        </w:rPr>
      </w:pPr>
      <w:r>
        <w:rPr>
          <w:lang w:val="en-GB"/>
        </w:rPr>
        <w:t xml:space="preserve">3.1. </w:t>
      </w:r>
      <w:r w:rsidR="00E23CAB" w:rsidRPr="00EA1AB8">
        <w:rPr>
          <w:lang w:val="en-GB"/>
        </w:rPr>
        <w:t>SWOT Analysis</w:t>
      </w:r>
    </w:p>
    <w:p w14:paraId="1131E962" w14:textId="77777777" w:rsidR="00E23CAB" w:rsidRPr="00EA1AB8" w:rsidRDefault="00E23CAB" w:rsidP="000E2AA8">
      <w:pPr>
        <w:pStyle w:val="ListParagraph"/>
        <w:numPr>
          <w:ilvl w:val="0"/>
          <w:numId w:val="6"/>
        </w:numPr>
        <w:rPr>
          <w:rFonts w:ascii="Arial" w:hAnsi="Arial" w:cs="Arial"/>
          <w:b/>
          <w:bCs/>
          <w:i/>
          <w:iCs/>
          <w:sz w:val="22"/>
          <w:lang w:val="en-GB"/>
        </w:rPr>
      </w:pPr>
      <w:r w:rsidRPr="00EA1AB8">
        <w:rPr>
          <w:rFonts w:ascii="Arial" w:hAnsi="Arial" w:cs="Arial"/>
          <w:b/>
          <w:bCs/>
          <w:i/>
          <w:iCs/>
          <w:sz w:val="22"/>
          <w:lang w:val="en-GB"/>
        </w:rPr>
        <w:t>Strengths</w:t>
      </w:r>
    </w:p>
    <w:p w14:paraId="42D308FA" w14:textId="1CC8495B" w:rsidR="00E23CAB" w:rsidRPr="00EA1AB8" w:rsidRDefault="00E23CAB" w:rsidP="00E23CAB">
      <w:pPr>
        <w:rPr>
          <w:rFonts w:ascii="Arial" w:hAnsi="Arial" w:cs="Arial"/>
          <w:sz w:val="22"/>
          <w:lang w:val="en-GB"/>
        </w:rPr>
      </w:pPr>
      <w:r w:rsidRPr="00EA1AB8">
        <w:rPr>
          <w:rFonts w:ascii="Arial" w:hAnsi="Arial" w:cs="Arial"/>
          <w:sz w:val="22"/>
          <w:lang w:val="en-GB"/>
        </w:rPr>
        <w:t xml:space="preserve">Milton Sandford Wines Ltd is known for sourcing the highest quality boutique wines from </w:t>
      </w:r>
      <w:r w:rsidR="005C6D36" w:rsidRPr="00EA1AB8">
        <w:rPr>
          <w:rFonts w:ascii="Arial" w:hAnsi="Arial" w:cs="Arial"/>
          <w:sz w:val="22"/>
          <w:lang w:val="en-GB"/>
        </w:rPr>
        <w:t>across</w:t>
      </w:r>
      <w:r w:rsidRPr="00EA1AB8">
        <w:rPr>
          <w:rFonts w:ascii="Arial" w:hAnsi="Arial" w:cs="Arial"/>
          <w:sz w:val="22"/>
          <w:lang w:val="en-GB"/>
        </w:rPr>
        <w:t xml:space="preserve"> the world that serve to fill the cellars of some top hotels in the UK like Vintage Inns, Original Patty Men, The George, and Sticks and Sushi. Their wine collection is an exclusive one handcrafted and selected by experts that offers royal taste along with a wide portfolio of wines to choose from (MILTON SANDFORD WINES, 2024). Thus, the brand’s operational style and brand reputation are some of the key strengths that help it attract its customers. </w:t>
      </w:r>
    </w:p>
    <w:p w14:paraId="350C3763" w14:textId="77777777" w:rsidR="00E23CAB" w:rsidRPr="00EA1AB8" w:rsidRDefault="00E23CAB" w:rsidP="000E2AA8">
      <w:pPr>
        <w:pStyle w:val="ListParagraph"/>
        <w:numPr>
          <w:ilvl w:val="0"/>
          <w:numId w:val="6"/>
        </w:numPr>
        <w:rPr>
          <w:rFonts w:ascii="Arial" w:hAnsi="Arial" w:cs="Arial"/>
          <w:b/>
          <w:bCs/>
          <w:i/>
          <w:iCs/>
          <w:sz w:val="22"/>
          <w:lang w:val="en-GB"/>
        </w:rPr>
      </w:pPr>
      <w:r w:rsidRPr="00EA1AB8">
        <w:rPr>
          <w:rFonts w:ascii="Arial" w:hAnsi="Arial" w:cs="Arial"/>
          <w:b/>
          <w:bCs/>
          <w:i/>
          <w:iCs/>
          <w:sz w:val="22"/>
          <w:lang w:val="en-GB"/>
        </w:rPr>
        <w:t>Weaknesses</w:t>
      </w:r>
    </w:p>
    <w:p w14:paraId="30B59F44" w14:textId="0C8B6524" w:rsidR="00E23CAB" w:rsidRPr="00EA1AB8" w:rsidRDefault="00E23CAB" w:rsidP="00E23CAB">
      <w:pPr>
        <w:rPr>
          <w:rFonts w:ascii="Arial" w:hAnsi="Arial" w:cs="Arial"/>
          <w:sz w:val="22"/>
          <w:lang w:val="en-GB"/>
        </w:rPr>
      </w:pPr>
      <w:r w:rsidRPr="00EA1AB8">
        <w:rPr>
          <w:rFonts w:ascii="Arial" w:hAnsi="Arial" w:cs="Arial"/>
          <w:sz w:val="22"/>
          <w:lang w:val="en-GB"/>
        </w:rPr>
        <w:t xml:space="preserve">As of 2022, the latest turnover for Milton Sandford has been 2.8 million which is below average compared to many companies where the average turnover </w:t>
      </w:r>
      <w:r w:rsidR="005C6D36" w:rsidRPr="00EA1AB8">
        <w:rPr>
          <w:rFonts w:ascii="Arial" w:hAnsi="Arial" w:cs="Arial"/>
          <w:sz w:val="22"/>
          <w:lang w:val="en-GB"/>
        </w:rPr>
        <w:t>is</w:t>
      </w:r>
      <w:r w:rsidRPr="00EA1AB8">
        <w:rPr>
          <w:rFonts w:ascii="Arial" w:hAnsi="Arial" w:cs="Arial"/>
          <w:sz w:val="22"/>
          <w:lang w:val="en-GB"/>
        </w:rPr>
        <w:t xml:space="preserve"> around £10 </w:t>
      </w:r>
      <w:r w:rsidR="000E2AA8" w:rsidRPr="00EA1AB8">
        <w:rPr>
          <w:rFonts w:ascii="Arial" w:hAnsi="Arial" w:cs="Arial"/>
          <w:sz w:val="22"/>
          <w:lang w:val="en-GB"/>
        </w:rPr>
        <w:t>million,</w:t>
      </w:r>
      <w:r w:rsidRPr="00EA1AB8">
        <w:rPr>
          <w:rFonts w:ascii="Arial" w:hAnsi="Arial" w:cs="Arial"/>
          <w:sz w:val="22"/>
          <w:lang w:val="en-GB"/>
        </w:rPr>
        <w:t xml:space="preserve"> </w:t>
      </w:r>
      <w:r w:rsidR="005C6D36" w:rsidRPr="00EA1AB8">
        <w:rPr>
          <w:rFonts w:ascii="Arial" w:hAnsi="Arial" w:cs="Arial"/>
          <w:sz w:val="22"/>
          <w:lang w:val="en-GB"/>
        </w:rPr>
        <w:t>and</w:t>
      </w:r>
      <w:r w:rsidRPr="00EA1AB8">
        <w:rPr>
          <w:rFonts w:ascii="Arial" w:hAnsi="Arial" w:cs="Arial"/>
          <w:sz w:val="22"/>
          <w:lang w:val="en-GB"/>
        </w:rPr>
        <w:t xml:space="preserve"> their turnover growth has been in a declining stage as well (Pomanda, 2023). Thus, the lack of financial assets is one of the major weaknesses of the company which will not enable the company to gather any significant funds to improve its business in the country. The company also has a smaller number of employees working for them which is another weakness of it.</w:t>
      </w:r>
    </w:p>
    <w:p w14:paraId="42ABC66D" w14:textId="77777777" w:rsidR="00E23CAB" w:rsidRPr="00EA1AB8" w:rsidRDefault="00E23CAB" w:rsidP="000E2AA8">
      <w:pPr>
        <w:pStyle w:val="ListParagraph"/>
        <w:numPr>
          <w:ilvl w:val="0"/>
          <w:numId w:val="6"/>
        </w:numPr>
        <w:rPr>
          <w:rFonts w:ascii="Arial" w:hAnsi="Arial" w:cs="Arial"/>
          <w:b/>
          <w:bCs/>
          <w:i/>
          <w:iCs/>
          <w:sz w:val="22"/>
          <w:lang w:val="en-GB"/>
        </w:rPr>
      </w:pPr>
      <w:r w:rsidRPr="00EA1AB8">
        <w:rPr>
          <w:rFonts w:ascii="Arial" w:hAnsi="Arial" w:cs="Arial"/>
          <w:b/>
          <w:bCs/>
          <w:i/>
          <w:iCs/>
          <w:sz w:val="22"/>
          <w:lang w:val="en-GB"/>
        </w:rPr>
        <w:t>Opportunities</w:t>
      </w:r>
    </w:p>
    <w:p w14:paraId="52E80B74" w14:textId="0408CEEC" w:rsidR="00E23CAB" w:rsidRPr="00EA1AB8" w:rsidRDefault="00E23CAB" w:rsidP="00E23CAB">
      <w:pPr>
        <w:rPr>
          <w:rFonts w:ascii="Arial" w:hAnsi="Arial" w:cs="Arial"/>
          <w:sz w:val="22"/>
          <w:lang w:val="en-GB"/>
        </w:rPr>
      </w:pPr>
      <w:r w:rsidRPr="00EA1AB8">
        <w:rPr>
          <w:rFonts w:ascii="Arial" w:hAnsi="Arial" w:cs="Arial"/>
          <w:sz w:val="22"/>
          <w:lang w:val="en-GB"/>
        </w:rPr>
        <w:t xml:space="preserve">The technological advancement in the country will serve as an opportunity for Milton Sandford Wines Ltd, to invest and incorporate new technologies. It will help the brand </w:t>
      </w:r>
      <w:r w:rsidRPr="00EA1AB8">
        <w:rPr>
          <w:rFonts w:ascii="Arial" w:hAnsi="Arial" w:cs="Arial"/>
          <w:sz w:val="22"/>
          <w:lang w:val="en-GB"/>
        </w:rPr>
        <w:lastRenderedPageBreak/>
        <w:t xml:space="preserve">increase its productivity levels </w:t>
      </w:r>
      <w:r w:rsidR="005C6D36" w:rsidRPr="00EA1AB8">
        <w:rPr>
          <w:rFonts w:ascii="Arial" w:hAnsi="Arial" w:cs="Arial"/>
          <w:sz w:val="22"/>
          <w:lang w:val="en-GB"/>
        </w:rPr>
        <w:t>and</w:t>
      </w:r>
      <w:r w:rsidRPr="00EA1AB8">
        <w:rPr>
          <w:rFonts w:ascii="Arial" w:hAnsi="Arial" w:cs="Arial"/>
          <w:sz w:val="22"/>
          <w:lang w:val="en-GB"/>
        </w:rPr>
        <w:t xml:space="preserve"> help it attract more customers through digital means of marketing to raise its brand reputation and awareness in the country.</w:t>
      </w:r>
    </w:p>
    <w:p w14:paraId="2B0C4266" w14:textId="77777777" w:rsidR="00E23CAB" w:rsidRPr="00EA1AB8" w:rsidRDefault="00E23CAB" w:rsidP="000E2AA8">
      <w:pPr>
        <w:pStyle w:val="ListParagraph"/>
        <w:numPr>
          <w:ilvl w:val="0"/>
          <w:numId w:val="6"/>
        </w:numPr>
        <w:rPr>
          <w:rFonts w:ascii="Arial" w:hAnsi="Arial" w:cs="Arial"/>
          <w:b/>
          <w:bCs/>
          <w:i/>
          <w:iCs/>
          <w:sz w:val="22"/>
          <w:lang w:val="en-GB"/>
        </w:rPr>
      </w:pPr>
      <w:r w:rsidRPr="00EA1AB8">
        <w:rPr>
          <w:rFonts w:ascii="Arial" w:hAnsi="Arial" w:cs="Arial"/>
          <w:b/>
          <w:bCs/>
          <w:i/>
          <w:iCs/>
          <w:sz w:val="22"/>
          <w:lang w:val="en-GB"/>
        </w:rPr>
        <w:t>Threats</w:t>
      </w:r>
    </w:p>
    <w:p w14:paraId="105C140E" w14:textId="2FF0AE08" w:rsidR="00E23CAB" w:rsidRPr="00EA1AB8" w:rsidRDefault="008C20D8" w:rsidP="00E23CAB">
      <w:pPr>
        <w:rPr>
          <w:rFonts w:ascii="Arial" w:hAnsi="Arial" w:cs="Arial"/>
          <w:sz w:val="22"/>
          <w:lang w:val="en-GB"/>
        </w:rPr>
      </w:pPr>
      <w:r>
        <w:rPr>
          <w:rFonts w:ascii="Arial" w:hAnsi="Arial" w:cs="Arial"/>
          <w:sz w:val="22"/>
          <w:lang w:val="en-GB"/>
        </w:rPr>
        <w:t>S</w:t>
      </w:r>
      <w:r w:rsidR="00547733" w:rsidRPr="00EA1AB8">
        <w:rPr>
          <w:rFonts w:ascii="Arial" w:hAnsi="Arial" w:cs="Arial"/>
          <w:sz w:val="22"/>
          <w:lang w:val="en-GB"/>
        </w:rPr>
        <w:t>everal</w:t>
      </w:r>
      <w:r w:rsidR="00E23CAB" w:rsidRPr="00EA1AB8">
        <w:rPr>
          <w:rFonts w:ascii="Arial" w:hAnsi="Arial" w:cs="Arial"/>
          <w:sz w:val="22"/>
          <w:lang w:val="en-GB"/>
        </w:rPr>
        <w:t xml:space="preserve"> companies also sell wines to customers in the country</w:t>
      </w:r>
      <w:r>
        <w:rPr>
          <w:rFonts w:ascii="Arial" w:hAnsi="Arial" w:cs="Arial"/>
          <w:sz w:val="22"/>
          <w:lang w:val="en-GB"/>
        </w:rPr>
        <w:t>,</w:t>
      </w:r>
      <w:r w:rsidR="00E23CAB" w:rsidRPr="00EA1AB8">
        <w:rPr>
          <w:rFonts w:ascii="Arial" w:hAnsi="Arial" w:cs="Arial"/>
          <w:sz w:val="22"/>
          <w:lang w:val="en-GB"/>
        </w:rPr>
        <w:t xml:space="preserve"> like </w:t>
      </w:r>
      <w:proofErr w:type="spellStart"/>
      <w:r w:rsidR="00E23CAB" w:rsidRPr="00EA1AB8">
        <w:rPr>
          <w:rFonts w:ascii="Arial" w:hAnsi="Arial" w:cs="Arial"/>
          <w:sz w:val="22"/>
          <w:lang w:val="en-GB"/>
        </w:rPr>
        <w:t>Gft</w:t>
      </w:r>
      <w:proofErr w:type="spellEnd"/>
      <w:r w:rsidR="00E23CAB" w:rsidRPr="00EA1AB8">
        <w:rPr>
          <w:rFonts w:ascii="Arial" w:hAnsi="Arial" w:cs="Arial"/>
          <w:sz w:val="22"/>
          <w:lang w:val="en-GB"/>
        </w:rPr>
        <w:t xml:space="preserve"> Retail UK Limited, Vitamin Well Limited, Clarion Wines Limited, and Veg &amp; City Drinks Limited (Pomanda, 2024). Therefore, the competition in the industry is high which can be a major risk for the brand if it incorporates effective strategies to overcome those challenges. </w:t>
      </w:r>
    </w:p>
    <w:p w14:paraId="24AF8244" w14:textId="21E2C42A" w:rsidR="00E23CAB" w:rsidRPr="00EA1AB8" w:rsidRDefault="003F0C42" w:rsidP="00E23CAB">
      <w:pPr>
        <w:pStyle w:val="Heading2"/>
        <w:rPr>
          <w:rFonts w:ascii="Arial" w:hAnsi="Arial" w:cs="Arial"/>
          <w:sz w:val="22"/>
          <w:szCs w:val="22"/>
          <w:lang w:val="en-GB"/>
        </w:rPr>
      </w:pPr>
      <w:bookmarkStart w:id="4" w:name="_Toc160186141"/>
      <w:r w:rsidRPr="00EA1AB8">
        <w:rPr>
          <w:rFonts w:ascii="Arial" w:hAnsi="Arial" w:cs="Arial"/>
          <w:sz w:val="22"/>
          <w:szCs w:val="22"/>
          <w:lang w:val="en-GB"/>
        </w:rPr>
        <w:t>S</w:t>
      </w:r>
      <w:r w:rsidR="00E23CAB" w:rsidRPr="00EA1AB8">
        <w:rPr>
          <w:rFonts w:ascii="Arial" w:hAnsi="Arial" w:cs="Arial"/>
          <w:sz w:val="22"/>
          <w:szCs w:val="22"/>
          <w:lang w:val="en-GB"/>
        </w:rPr>
        <w:t>takeholder analysis</w:t>
      </w:r>
      <w:r w:rsidR="00C33DE4" w:rsidRPr="00EA1AB8">
        <w:rPr>
          <w:rFonts w:ascii="Arial" w:hAnsi="Arial" w:cs="Arial"/>
          <w:sz w:val="22"/>
          <w:szCs w:val="22"/>
          <w:lang w:val="en-GB"/>
        </w:rPr>
        <w:t>.</w:t>
      </w:r>
      <w:bookmarkEnd w:id="4"/>
    </w:p>
    <w:p w14:paraId="7C253C4C" w14:textId="77777777" w:rsidR="00E23CAB" w:rsidRPr="00EA1AB8" w:rsidRDefault="00000000" w:rsidP="00E23CAB">
      <w:pPr>
        <w:rPr>
          <w:rFonts w:ascii="Arial" w:hAnsi="Arial" w:cs="Arial"/>
          <w:bCs/>
          <w:sz w:val="22"/>
          <w:lang w:val="en-GB"/>
        </w:rPr>
      </w:pPr>
      <w:r>
        <w:rPr>
          <w:rFonts w:ascii="Arial" w:hAnsi="Arial" w:cs="Arial"/>
          <w:sz w:val="22"/>
          <w:lang w:val="en-GB"/>
        </w:rPr>
      </w:r>
      <w:r>
        <w:rPr>
          <w:rFonts w:ascii="Arial" w:hAnsi="Arial" w:cs="Arial"/>
          <w:sz w:val="22"/>
          <w:lang w:val="en-GB"/>
        </w:rPr>
        <w:pict w14:anchorId="1D032135">
          <v:group id="Canvas 17" o:spid="_x0000_s1026" editas="canvas" style="width:451.3pt;height:270.8pt;mso-position-horizontal-relative:char;mso-position-vertical-relative:line" coordsize="57315,3439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7315;height:34391;visibility:visible;mso-wrap-style:square">
              <v:fill o:detectmouseclick="t"/>
              <v:path o:connecttype="none"/>
            </v:shape>
            <v:shapetype id="_x0000_t32" coordsize="21600,21600" o:spt="32" o:oned="t" path="m,l21600,21600e" filled="f">
              <v:path arrowok="t" fillok="f" o:connecttype="none"/>
              <o:lock v:ext="edit" shapetype="t"/>
            </v:shapetype>
            <v:shape id="AutoShape 4" o:spid="_x0000_s1028" type="#_x0000_t32" style="position:absolute;left:5635;top:2826;width:231;height:2743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">
              <v:stroke endarrow="block"/>
            </v:shape>
            <v:shape id="AutoShape 5" o:spid="_x0000_s1029" type="#_x0000_t32" style="position:absolute;left:5866;top:30028;width:42979;height:8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">
              <v:stroke endarrow="block"/>
            </v:shape>
            <v:shape id="AutoShape 6" o:spid="_x0000_s1030" type="#_x0000_t32" style="position:absolute;left:5787;top:15173;width:4122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"/>
            <v:shape id="AutoShape 7" o:spid="_x0000_s1031" type="#_x0000_t32" style="position:absolute;left:26062;top:3662;width:302;height:2666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"/>
            <v:roundrect id="AutoShape 8" o:spid="_x0000_s1032" style="position:absolute;left:29102;top:16167;width:15684;height:10242;visibility:visibl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">
              <v:textbox style="mso-next-textbox:#AutoShape 8">
                <w:txbxContent>
                  <w:p w14:paraId="1C1DBD3B" w14:textId="77777777" w:rsidR="00E23CAB" w:rsidRPr="00C13852" w:rsidRDefault="00E23CAB" w:rsidP="00E23CAB">
                    <w:pPr>
                      <w:rPr>
                        <w:sz w:val="18"/>
                        <w:szCs w:val="16"/>
                      </w:rPr>
                    </w:pPr>
                    <w:r w:rsidRPr="00C13852">
                      <w:rPr>
                        <w:sz w:val="18"/>
                        <w:szCs w:val="16"/>
                      </w:rPr>
                      <w:t xml:space="preserve">Keep </w:t>
                    </w:r>
                    <w:proofErr w:type="gramStart"/>
                    <w:r w:rsidRPr="00C13852">
                      <w:rPr>
                        <w:sz w:val="18"/>
                        <w:szCs w:val="16"/>
                      </w:rPr>
                      <w:t>informed</w:t>
                    </w:r>
                    <w:proofErr w:type="gramEnd"/>
                  </w:p>
                  <w:p w14:paraId="3BF14525" w14:textId="77777777" w:rsidR="00E23CAB" w:rsidRPr="00C13852" w:rsidRDefault="00E23CAB" w:rsidP="00E23CAB">
                    <w:pPr>
                      <w:pStyle w:val="ListParagraph"/>
                      <w:numPr>
                        <w:ilvl w:val="0"/>
                        <w:numId w:val="1"/>
                      </w:numPr>
                      <w:rPr>
                        <w:sz w:val="18"/>
                        <w:szCs w:val="16"/>
                      </w:rPr>
                    </w:pPr>
                    <w:r w:rsidRPr="00C13852">
                      <w:rPr>
                        <w:sz w:val="18"/>
                        <w:szCs w:val="16"/>
                      </w:rPr>
                      <w:t>Stakeholders</w:t>
                    </w:r>
                  </w:p>
                  <w:p w14:paraId="31F66593" w14:textId="77777777" w:rsidR="00E23CAB" w:rsidRPr="00C13852" w:rsidRDefault="00E23CAB" w:rsidP="00E23CAB">
                    <w:pPr>
                      <w:pStyle w:val="ListParagraph"/>
                      <w:numPr>
                        <w:ilvl w:val="0"/>
                        <w:numId w:val="1"/>
                      </w:numPr>
                      <w:rPr>
                        <w:sz w:val="18"/>
                        <w:szCs w:val="16"/>
                      </w:rPr>
                    </w:pPr>
                    <w:r w:rsidRPr="00C13852">
                      <w:rPr>
                        <w:sz w:val="18"/>
                        <w:szCs w:val="16"/>
                      </w:rPr>
                      <w:t>Investors</w:t>
                    </w:r>
                  </w:p>
                </w:txbxContent>
              </v:textbox>
            </v:roundrect>
            <v:roundrect id="AutoShape 9" o:spid="_x0000_s1033" style="position:absolute;left:29870;top:3289;width:13983;height:11189;visibility:visibl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">
              <v:textbox style="mso-next-textbox:#AutoShape 9">
                <w:txbxContent>
                  <w:p w14:paraId="1E0C55CA" w14:textId="77777777" w:rsidR="00E23CAB" w:rsidRPr="00C13852" w:rsidRDefault="00E23CAB" w:rsidP="00E23CAB">
                    <w:pPr>
                      <w:rPr>
                        <w:sz w:val="18"/>
                        <w:szCs w:val="16"/>
                      </w:rPr>
                    </w:pPr>
                    <w:r w:rsidRPr="00C13852">
                      <w:rPr>
                        <w:sz w:val="18"/>
                        <w:szCs w:val="16"/>
                      </w:rPr>
                      <w:t xml:space="preserve">Manage </w:t>
                    </w:r>
                    <w:proofErr w:type="gramStart"/>
                    <w:r w:rsidRPr="00C13852">
                      <w:rPr>
                        <w:sz w:val="18"/>
                        <w:szCs w:val="16"/>
                      </w:rPr>
                      <w:t>closely</w:t>
                    </w:r>
                    <w:proofErr w:type="gramEnd"/>
                    <w:r w:rsidRPr="00C13852">
                      <w:rPr>
                        <w:sz w:val="18"/>
                        <w:szCs w:val="16"/>
                      </w:rPr>
                      <w:t xml:space="preserve"> </w:t>
                    </w:r>
                  </w:p>
                  <w:p w14:paraId="5A43EDCA" w14:textId="77777777" w:rsidR="00E23CAB" w:rsidRPr="00C13852" w:rsidRDefault="00E23CAB" w:rsidP="00E23CAB">
                    <w:pPr>
                      <w:pStyle w:val="ListParagraph"/>
                      <w:numPr>
                        <w:ilvl w:val="0"/>
                        <w:numId w:val="2"/>
                      </w:numPr>
                      <w:rPr>
                        <w:sz w:val="18"/>
                        <w:szCs w:val="16"/>
                      </w:rPr>
                    </w:pPr>
                    <w:r w:rsidRPr="00C13852">
                      <w:rPr>
                        <w:sz w:val="18"/>
                        <w:szCs w:val="16"/>
                      </w:rPr>
                      <w:t xml:space="preserve">Board of directors </w:t>
                    </w:r>
                  </w:p>
                  <w:p w14:paraId="7B063C31" w14:textId="77777777" w:rsidR="00E23CAB" w:rsidRPr="00C13852" w:rsidRDefault="00E23CAB" w:rsidP="00E23CAB">
                    <w:pPr>
                      <w:pStyle w:val="ListParagraph"/>
                      <w:numPr>
                        <w:ilvl w:val="0"/>
                        <w:numId w:val="2"/>
                      </w:numPr>
                      <w:rPr>
                        <w:sz w:val="18"/>
                        <w:szCs w:val="16"/>
                      </w:rPr>
                    </w:pPr>
                    <w:r w:rsidRPr="00C13852">
                      <w:rPr>
                        <w:sz w:val="18"/>
                        <w:szCs w:val="16"/>
                      </w:rPr>
                      <w:t>Customers</w:t>
                    </w:r>
                  </w:p>
                  <w:p w14:paraId="39400D86" w14:textId="77777777" w:rsidR="00E23CAB" w:rsidRPr="00C13852" w:rsidRDefault="00E23CAB" w:rsidP="00E23CAB">
                    <w:pPr>
                      <w:rPr>
                        <w:sz w:val="18"/>
                        <w:szCs w:val="16"/>
                        <w:lang w:val="en-US"/>
                      </w:rPr>
                    </w:pPr>
                  </w:p>
                </w:txbxContent>
              </v:textbox>
            </v:roundrect>
            <v:roundrect id="AutoShape 10" o:spid="_x0000_s1034" style="position:absolute;left:11430;top:3981;width:13773;height:9436;visibility:visibl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">
              <v:textbox style="mso-next-textbox:#AutoShape 10">
                <w:txbxContent>
                  <w:p w14:paraId="4B035755" w14:textId="77777777" w:rsidR="00E23CAB" w:rsidRPr="00C13852" w:rsidRDefault="00E23CAB" w:rsidP="00E23CAB">
                    <w:pPr>
                      <w:rPr>
                        <w:sz w:val="18"/>
                        <w:szCs w:val="16"/>
                      </w:rPr>
                    </w:pPr>
                    <w:r w:rsidRPr="00C13852">
                      <w:rPr>
                        <w:sz w:val="18"/>
                        <w:szCs w:val="16"/>
                      </w:rPr>
                      <w:t xml:space="preserve">Keep </w:t>
                    </w:r>
                    <w:proofErr w:type="gramStart"/>
                    <w:r w:rsidRPr="00C13852">
                      <w:rPr>
                        <w:sz w:val="18"/>
                        <w:szCs w:val="16"/>
                      </w:rPr>
                      <w:t>satisfied</w:t>
                    </w:r>
                    <w:proofErr w:type="gramEnd"/>
                  </w:p>
                  <w:p w14:paraId="5A3A24AE" w14:textId="77777777" w:rsidR="00E23CAB" w:rsidRPr="00C13852" w:rsidRDefault="00E23CAB" w:rsidP="00E23CAB">
                    <w:pPr>
                      <w:pStyle w:val="ListParagraph"/>
                      <w:numPr>
                        <w:ilvl w:val="0"/>
                        <w:numId w:val="3"/>
                      </w:numPr>
                      <w:rPr>
                        <w:sz w:val="18"/>
                        <w:szCs w:val="16"/>
                      </w:rPr>
                    </w:pPr>
                    <w:r w:rsidRPr="00C13852">
                      <w:rPr>
                        <w:sz w:val="18"/>
                        <w:szCs w:val="16"/>
                      </w:rPr>
                      <w:t>Shareholders</w:t>
                    </w:r>
                  </w:p>
                  <w:p w14:paraId="039E0806" w14:textId="77777777" w:rsidR="00E23CAB" w:rsidRPr="00C13852" w:rsidRDefault="00E23CAB" w:rsidP="00E23CAB">
                    <w:pPr>
                      <w:pStyle w:val="ListParagraph"/>
                      <w:numPr>
                        <w:ilvl w:val="0"/>
                        <w:numId w:val="3"/>
                      </w:numPr>
                      <w:rPr>
                        <w:sz w:val="18"/>
                        <w:szCs w:val="16"/>
                      </w:rPr>
                    </w:pPr>
                    <w:r w:rsidRPr="00C13852">
                      <w:rPr>
                        <w:sz w:val="18"/>
                        <w:szCs w:val="16"/>
                      </w:rPr>
                      <w:t xml:space="preserve">Investors </w:t>
                    </w:r>
                  </w:p>
                  <w:p w14:paraId="60A6755E" w14:textId="77777777" w:rsidR="00E23CAB" w:rsidRPr="00C13852" w:rsidRDefault="00E23CAB" w:rsidP="00E23CAB">
                    <w:pPr>
                      <w:rPr>
                        <w:sz w:val="18"/>
                        <w:szCs w:val="16"/>
                        <w:lang w:val="en-US"/>
                      </w:rPr>
                    </w:pPr>
                  </w:p>
                </w:txbxContent>
              </v:textbox>
            </v:roundrect>
            <v:roundrect id="AutoShape 11" o:spid="_x0000_s1035" style="position:absolute;left:12186;top:18827;width:10598;height:824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">
              <v:textbox style="mso-next-textbox:#AutoShape 11">
                <w:txbxContent>
                  <w:p w14:paraId="05858BB7" w14:textId="77777777" w:rsidR="00E23CAB" w:rsidRPr="00C13852" w:rsidRDefault="00E23CAB" w:rsidP="00E23CAB">
                    <w:pPr>
                      <w:rPr>
                        <w:sz w:val="18"/>
                        <w:szCs w:val="16"/>
                      </w:rPr>
                    </w:pPr>
                    <w:r w:rsidRPr="00C13852">
                      <w:rPr>
                        <w:sz w:val="18"/>
                        <w:szCs w:val="16"/>
                      </w:rPr>
                      <w:t xml:space="preserve">Monitor </w:t>
                    </w:r>
                  </w:p>
                  <w:p w14:paraId="6F4DA2B3" w14:textId="77777777" w:rsidR="00E23CAB" w:rsidRPr="00C13852" w:rsidRDefault="00E23CAB" w:rsidP="00E23CAB">
                    <w:pPr>
                      <w:pStyle w:val="ListParagraph"/>
                      <w:numPr>
                        <w:ilvl w:val="0"/>
                        <w:numId w:val="4"/>
                      </w:numPr>
                      <w:rPr>
                        <w:sz w:val="18"/>
                        <w:szCs w:val="16"/>
                        <w:lang w:val="en-US"/>
                      </w:rPr>
                    </w:pPr>
                    <w:r w:rsidRPr="00C13852">
                      <w:rPr>
                        <w:sz w:val="18"/>
                        <w:szCs w:val="16"/>
                      </w:rPr>
                      <w:t>Employees</w:t>
                    </w:r>
                  </w:p>
                </w:txbxContent>
              </v:textbox>
            </v:roundrect>
            <v:rect id="Rectangle 12" o:spid="_x0000_s1036" style="position:absolute;left:6097;top:30634;width:5254;height:28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">
              <v:textbox style="mso-next-textbox:#Rectangle 12">
                <w:txbxContent>
                  <w:p w14:paraId="73ACEAC4" w14:textId="77777777" w:rsidR="00E23CAB" w:rsidRDefault="00E23CAB" w:rsidP="00E23CAB">
                    <w:pPr>
                      <w:rPr>
                        <w:lang w:val="en-US"/>
                      </w:rPr>
                    </w:pPr>
                    <w:r>
                      <w:rPr>
                        <w:lang w:val="en-US"/>
                      </w:rPr>
                      <w:t>Low</w:t>
                    </w:r>
                  </w:p>
                </w:txbxContent>
              </v:textbox>
            </v:rect>
            <v:rect id="Rectangle 13" o:spid="_x0000_s1037" style="position:absolute;left:43360;top:30864;width:5182;height:28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">
              <v:textbox style="mso-next-textbox:#Rectangle 13">
                <w:txbxContent>
                  <w:p w14:paraId="5631B851" w14:textId="77777777" w:rsidR="00E23CAB" w:rsidRDefault="00E23CAB" w:rsidP="00E23CAB">
                    <w:pPr>
                      <w:rPr>
                        <w:lang w:val="en-US"/>
                      </w:rPr>
                    </w:pPr>
                    <w:r>
                      <w:rPr>
                        <w:lang w:val="en-US"/>
                      </w:rPr>
                      <w:t>High</w:t>
                    </w:r>
                  </w:p>
                </w:txbxContent>
              </v:textbox>
            </v:rect>
            <v:rect id="Rectangle 14" o:spid="_x0000_s1038" style="position:absolute;top:3980;width:5492;height:31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">
              <v:textbox style="mso-next-textbox:#Rectangle 14">
                <w:txbxContent>
                  <w:p w14:paraId="5371F9AD" w14:textId="77777777" w:rsidR="00E23CAB" w:rsidRDefault="00E23CAB" w:rsidP="00E23CAB">
                    <w:pPr>
                      <w:rPr>
                        <w:lang w:val="en-US"/>
                      </w:rPr>
                    </w:pPr>
                    <w:r>
                      <w:rPr>
                        <w:lang w:val="en-US"/>
                      </w:rPr>
                      <w:t>High</w:t>
                    </w:r>
                  </w:p>
                </w:txbxContent>
              </v:textbox>
            </v:rect>
            <v:rect id="Rectangle 15" o:spid="_x0000_s1039" style="position:absolute;top:27075;width:5492;height:30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">
              <v:textbox style="mso-next-textbox:#Rectangle 15">
                <w:txbxContent>
                  <w:p w14:paraId="298E0523" w14:textId="77777777" w:rsidR="00E23CAB" w:rsidRDefault="00E23CAB" w:rsidP="00E23CAB">
                    <w:pPr>
                      <w:rPr>
                        <w:lang w:val="en-US"/>
                      </w:rPr>
                    </w:pPr>
                    <w:r>
                      <w:rPr>
                        <w:lang w:val="en-US"/>
                      </w:rPr>
                      <w:t>Low</w:t>
                    </w:r>
                  </w:p>
                </w:txbxContent>
              </v:textbox>
            </v:rect>
            <v:rect id="Rectangle 16" o:spid="_x0000_s1040" style="position:absolute;left:23093;top:30634;width:7618;height:33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">
              <v:textbox style="mso-next-textbox:#Rectangle 16">
                <w:txbxContent>
                  <w:p w14:paraId="5404EEF1" w14:textId="77777777" w:rsidR="00E23CAB" w:rsidRDefault="00E23CAB" w:rsidP="00E23CAB">
                    <w:pPr>
                      <w:rPr>
                        <w:lang w:val="en-US"/>
                      </w:rPr>
                    </w:pPr>
                    <w:r>
                      <w:rPr>
                        <w:lang w:val="en-US"/>
                      </w:rPr>
                      <w:t xml:space="preserve">Interest </w:t>
                    </w:r>
                  </w:p>
                </w:txbxContent>
              </v:textbox>
            </v:rect>
            <v:rect id="Rectangle 17" o:spid="_x0000_s1041" style="position:absolute;top:15850;width:6328;height:34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">
              <v:textbox style="mso-next-textbox:#Rectangle 17">
                <w:txbxContent>
                  <w:p w14:paraId="6D415137" w14:textId="77777777" w:rsidR="00E23CAB" w:rsidRDefault="00E23CAB" w:rsidP="00E23CAB">
                    <w:pPr>
                      <w:rPr>
                        <w:lang w:val="en-US"/>
                      </w:rPr>
                    </w:pPr>
                    <w:r>
                      <w:rPr>
                        <w:lang w:val="en-US"/>
                      </w:rPr>
                      <w:t>Power</w:t>
                    </w:r>
                  </w:p>
                </w:txbxContent>
              </v:textbox>
            </v:rect>
            <w10:anchorlock/>
          </v:group>
        </w:pict>
      </w:r>
    </w:p>
    <w:p w14:paraId="3B872865" w14:textId="77777777" w:rsidR="00E23CAB" w:rsidRPr="00EA1AB8" w:rsidRDefault="00E23CAB" w:rsidP="00E23CAB">
      <w:pPr>
        <w:spacing w:line="256" w:lineRule="auto"/>
        <w:jc w:val="center"/>
        <w:rPr>
          <w:rFonts w:ascii="Arial" w:hAnsi="Arial" w:cs="Arial"/>
          <w:b/>
          <w:sz w:val="22"/>
          <w:lang w:val="en-GB"/>
        </w:rPr>
      </w:pPr>
      <w:r w:rsidRPr="00EA1AB8">
        <w:rPr>
          <w:rFonts w:ascii="Arial" w:hAnsi="Arial" w:cs="Arial"/>
          <w:b/>
          <w:sz w:val="22"/>
          <w:lang w:val="en-GB"/>
        </w:rPr>
        <w:t xml:space="preserve">Figure 1: Stakeholder analysis of Milton Sandford Wines </w:t>
      </w:r>
    </w:p>
    <w:p w14:paraId="4B257D0A" w14:textId="77777777" w:rsidR="00E23CAB" w:rsidRPr="00EA1AB8" w:rsidRDefault="00E23CAB" w:rsidP="00E23CAB">
      <w:pPr>
        <w:spacing w:line="256" w:lineRule="auto"/>
        <w:jc w:val="center"/>
        <w:rPr>
          <w:rFonts w:ascii="Arial" w:hAnsi="Arial" w:cs="Arial"/>
          <w:bCs/>
          <w:sz w:val="22"/>
          <w:lang w:val="en-GB"/>
        </w:rPr>
      </w:pPr>
      <w:r w:rsidRPr="00EA1AB8">
        <w:rPr>
          <w:rFonts w:ascii="Arial" w:hAnsi="Arial" w:cs="Arial"/>
          <w:bCs/>
          <w:sz w:val="22"/>
          <w:lang w:val="en-GB"/>
        </w:rPr>
        <w:t>(Source: Created by the learner)</w:t>
      </w:r>
    </w:p>
    <w:tbl>
      <w:tblPr>
        <w:tblStyle w:val="GridTable5Dark-Accent5"/>
        <w:tblW w:w="11058" w:type="dxa"/>
        <w:tblInd w:w="-885" w:type="dxa"/>
        <w:tblLayout w:type="fixed"/>
        <w:tblLook w:val="04A0" w:firstRow="1" w:lastRow="0" w:firstColumn="1" w:lastColumn="0" w:noHBand="0" w:noVBand="1"/>
      </w:tblPr>
      <w:tblGrid>
        <w:gridCol w:w="1702"/>
        <w:gridCol w:w="1843"/>
        <w:gridCol w:w="992"/>
        <w:gridCol w:w="1276"/>
        <w:gridCol w:w="142"/>
        <w:gridCol w:w="1417"/>
        <w:gridCol w:w="1418"/>
        <w:gridCol w:w="2268"/>
      </w:tblGrid>
      <w:tr w:rsidR="00E23CAB" w:rsidRPr="00EA1AB8" w14:paraId="31C784A7" w14:textId="77777777" w:rsidTr="0035058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2" w:type="dxa"/>
          </w:tcPr>
          <w:p w14:paraId="783AB402" w14:textId="77777777" w:rsidR="00E23CAB" w:rsidRPr="00EA1AB8" w:rsidRDefault="00E23CAB" w:rsidP="00BB1CD7">
            <w:pPr>
              <w:rPr>
                <w:rFonts w:ascii="Arial" w:hAnsi="Arial" w:cs="Arial"/>
                <w:i/>
                <w:iCs/>
                <w:lang w:val="en-GB"/>
              </w:rPr>
            </w:pPr>
            <w:bookmarkStart w:id="5" w:name="_Hlk148103617"/>
            <w:r w:rsidRPr="00EA1AB8">
              <w:rPr>
                <w:rFonts w:ascii="Arial" w:hAnsi="Arial" w:cs="Arial"/>
                <w:i/>
                <w:iCs/>
                <w:lang w:val="en-GB"/>
              </w:rPr>
              <w:t xml:space="preserve">Stakeholder’s name </w:t>
            </w:r>
          </w:p>
        </w:tc>
        <w:tc>
          <w:tcPr>
            <w:tcW w:w="1843" w:type="dxa"/>
          </w:tcPr>
          <w:p w14:paraId="7F18A696" w14:textId="77777777" w:rsidR="00E23CAB" w:rsidRPr="00EA1AB8" w:rsidRDefault="00E23CAB" w:rsidP="00BB1CD7">
            <w:pPr>
              <w:cnfStyle w:val="100000000000" w:firstRow="1" w:lastRow="0" w:firstColumn="0" w:lastColumn="0" w:oddVBand="0" w:evenVBand="0" w:oddHBand="0" w:evenHBand="0" w:firstRowFirstColumn="0" w:firstRowLastColumn="0" w:lastRowFirstColumn="0" w:lastRowLastColumn="0"/>
              <w:rPr>
                <w:rFonts w:ascii="Arial" w:hAnsi="Arial" w:cs="Arial"/>
                <w:i/>
                <w:iCs/>
                <w:lang w:val="en-GB"/>
              </w:rPr>
            </w:pPr>
            <w:r w:rsidRPr="00EA1AB8">
              <w:rPr>
                <w:rFonts w:ascii="Arial" w:hAnsi="Arial" w:cs="Arial"/>
                <w:i/>
                <w:iCs/>
                <w:lang w:val="en-GB"/>
              </w:rPr>
              <w:t xml:space="preserve">Classification of stakeholders </w:t>
            </w:r>
          </w:p>
        </w:tc>
        <w:tc>
          <w:tcPr>
            <w:tcW w:w="992" w:type="dxa"/>
          </w:tcPr>
          <w:p w14:paraId="6FBBBE0D" w14:textId="77777777" w:rsidR="00E23CAB" w:rsidRPr="00EA1AB8" w:rsidRDefault="00E23CAB" w:rsidP="00BB1CD7">
            <w:pPr>
              <w:cnfStyle w:val="100000000000" w:firstRow="1" w:lastRow="0" w:firstColumn="0" w:lastColumn="0" w:oddVBand="0" w:evenVBand="0" w:oddHBand="0" w:evenHBand="0" w:firstRowFirstColumn="0" w:firstRowLastColumn="0" w:lastRowFirstColumn="0" w:lastRowLastColumn="0"/>
              <w:rPr>
                <w:rFonts w:ascii="Arial" w:hAnsi="Arial" w:cs="Arial"/>
                <w:i/>
                <w:iCs/>
                <w:lang w:val="en-GB"/>
              </w:rPr>
            </w:pPr>
            <w:r w:rsidRPr="00EA1AB8">
              <w:rPr>
                <w:rFonts w:ascii="Arial" w:hAnsi="Arial" w:cs="Arial"/>
                <w:i/>
                <w:iCs/>
                <w:lang w:val="en-GB"/>
              </w:rPr>
              <w:t xml:space="preserve">Impact </w:t>
            </w:r>
          </w:p>
        </w:tc>
        <w:tc>
          <w:tcPr>
            <w:tcW w:w="1276" w:type="dxa"/>
          </w:tcPr>
          <w:p w14:paraId="1076F8C7" w14:textId="77777777" w:rsidR="00E23CAB" w:rsidRPr="00EA1AB8" w:rsidRDefault="00E23CAB" w:rsidP="00BB1CD7">
            <w:pPr>
              <w:cnfStyle w:val="100000000000" w:firstRow="1" w:lastRow="0" w:firstColumn="0" w:lastColumn="0" w:oddVBand="0" w:evenVBand="0" w:oddHBand="0" w:evenHBand="0" w:firstRowFirstColumn="0" w:firstRowLastColumn="0" w:lastRowFirstColumn="0" w:lastRowLastColumn="0"/>
              <w:rPr>
                <w:rFonts w:ascii="Arial" w:hAnsi="Arial" w:cs="Arial"/>
                <w:i/>
                <w:iCs/>
                <w:lang w:val="en-GB"/>
              </w:rPr>
            </w:pPr>
            <w:r w:rsidRPr="00EA1AB8">
              <w:rPr>
                <w:rFonts w:ascii="Arial" w:hAnsi="Arial" w:cs="Arial"/>
                <w:i/>
                <w:iCs/>
                <w:lang w:val="en-GB"/>
              </w:rPr>
              <w:t>Influence</w:t>
            </w:r>
          </w:p>
        </w:tc>
        <w:tc>
          <w:tcPr>
            <w:tcW w:w="1559" w:type="dxa"/>
            <w:gridSpan w:val="2"/>
          </w:tcPr>
          <w:p w14:paraId="3F32AE1A" w14:textId="77777777" w:rsidR="00E23CAB" w:rsidRPr="00EA1AB8" w:rsidRDefault="00E23CAB" w:rsidP="00BB1CD7">
            <w:pPr>
              <w:cnfStyle w:val="100000000000" w:firstRow="1" w:lastRow="0" w:firstColumn="0" w:lastColumn="0" w:oddVBand="0" w:evenVBand="0" w:oddHBand="0" w:evenHBand="0" w:firstRowFirstColumn="0" w:firstRowLastColumn="0" w:lastRowFirstColumn="0" w:lastRowLastColumn="0"/>
              <w:rPr>
                <w:rFonts w:ascii="Arial" w:hAnsi="Arial" w:cs="Arial"/>
                <w:i/>
                <w:iCs/>
                <w:lang w:val="en-GB"/>
              </w:rPr>
            </w:pPr>
            <w:r w:rsidRPr="00EA1AB8">
              <w:rPr>
                <w:rFonts w:ascii="Arial" w:hAnsi="Arial" w:cs="Arial"/>
                <w:i/>
                <w:iCs/>
                <w:lang w:val="en-GB"/>
              </w:rPr>
              <w:t xml:space="preserve">Role </w:t>
            </w:r>
          </w:p>
        </w:tc>
        <w:tc>
          <w:tcPr>
            <w:tcW w:w="1418" w:type="dxa"/>
          </w:tcPr>
          <w:p w14:paraId="164E040C" w14:textId="77777777" w:rsidR="00E23CAB" w:rsidRPr="00EA1AB8" w:rsidRDefault="00E23CAB" w:rsidP="00BB1CD7">
            <w:pPr>
              <w:cnfStyle w:val="100000000000" w:firstRow="1" w:lastRow="0" w:firstColumn="0" w:lastColumn="0" w:oddVBand="0" w:evenVBand="0" w:oddHBand="0" w:evenHBand="0" w:firstRowFirstColumn="0" w:firstRowLastColumn="0" w:lastRowFirstColumn="0" w:lastRowLastColumn="0"/>
              <w:rPr>
                <w:rFonts w:ascii="Arial" w:hAnsi="Arial" w:cs="Arial"/>
                <w:i/>
                <w:iCs/>
                <w:lang w:val="en-GB"/>
              </w:rPr>
            </w:pPr>
            <w:r w:rsidRPr="00EA1AB8">
              <w:rPr>
                <w:rFonts w:ascii="Arial" w:hAnsi="Arial" w:cs="Arial"/>
                <w:i/>
                <w:iCs/>
                <w:lang w:val="en-GB"/>
              </w:rPr>
              <w:t xml:space="preserve">Barriers </w:t>
            </w:r>
          </w:p>
        </w:tc>
        <w:tc>
          <w:tcPr>
            <w:tcW w:w="2268" w:type="dxa"/>
          </w:tcPr>
          <w:p w14:paraId="49FE09B7" w14:textId="77777777" w:rsidR="00E23CAB" w:rsidRPr="00EA1AB8" w:rsidRDefault="00E23CAB" w:rsidP="00BB1CD7">
            <w:pPr>
              <w:cnfStyle w:val="100000000000" w:firstRow="1" w:lastRow="0" w:firstColumn="0" w:lastColumn="0" w:oddVBand="0" w:evenVBand="0" w:oddHBand="0" w:evenHBand="0" w:firstRowFirstColumn="0" w:firstRowLastColumn="0" w:lastRowFirstColumn="0" w:lastRowLastColumn="0"/>
              <w:rPr>
                <w:rFonts w:ascii="Arial" w:hAnsi="Arial" w:cs="Arial"/>
                <w:i/>
                <w:iCs/>
                <w:lang w:val="en-GB"/>
              </w:rPr>
            </w:pPr>
            <w:r w:rsidRPr="00EA1AB8">
              <w:rPr>
                <w:rFonts w:ascii="Arial" w:hAnsi="Arial" w:cs="Arial"/>
                <w:i/>
                <w:iCs/>
                <w:lang w:val="en-GB"/>
              </w:rPr>
              <w:t xml:space="preserve">Engagement </w:t>
            </w:r>
          </w:p>
        </w:tc>
      </w:tr>
      <w:tr w:rsidR="00E23CAB" w:rsidRPr="00EA1AB8" w14:paraId="095FFEA8" w14:textId="77777777" w:rsidTr="0035058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2" w:type="dxa"/>
          </w:tcPr>
          <w:p w14:paraId="4E38C5F8" w14:textId="77777777" w:rsidR="00E23CAB" w:rsidRPr="00EA1AB8" w:rsidRDefault="00E23CAB" w:rsidP="00BB1CD7">
            <w:pPr>
              <w:rPr>
                <w:rFonts w:ascii="Arial" w:hAnsi="Arial" w:cs="Arial"/>
                <w:lang w:val="en-GB"/>
              </w:rPr>
            </w:pPr>
            <w:r w:rsidRPr="00EA1AB8">
              <w:rPr>
                <w:rFonts w:ascii="Arial" w:hAnsi="Arial" w:cs="Arial"/>
                <w:lang w:val="en-GB"/>
              </w:rPr>
              <w:t>Shareholders</w:t>
            </w:r>
          </w:p>
        </w:tc>
        <w:tc>
          <w:tcPr>
            <w:tcW w:w="1843" w:type="dxa"/>
          </w:tcPr>
          <w:p w14:paraId="730FA9FC" w14:textId="77777777" w:rsidR="00E23CAB" w:rsidRPr="00EA1AB8" w:rsidRDefault="00E23CAB" w:rsidP="00BB1CD7">
            <w:pPr>
              <w:cnfStyle w:val="000000100000" w:firstRow="0" w:lastRow="0" w:firstColumn="0" w:lastColumn="0" w:oddVBand="0" w:evenVBand="0" w:oddHBand="1" w:evenHBand="0" w:firstRowFirstColumn="0" w:firstRowLastColumn="0" w:lastRowFirstColumn="0" w:lastRowLastColumn="0"/>
              <w:rPr>
                <w:rFonts w:ascii="Arial" w:hAnsi="Arial" w:cs="Arial"/>
                <w:lang w:val="en-GB"/>
              </w:rPr>
            </w:pPr>
            <w:r w:rsidRPr="00EA1AB8">
              <w:rPr>
                <w:rFonts w:ascii="Arial" w:hAnsi="Arial" w:cs="Arial"/>
                <w:lang w:val="en-GB"/>
              </w:rPr>
              <w:t xml:space="preserve">Internal </w:t>
            </w:r>
          </w:p>
        </w:tc>
        <w:tc>
          <w:tcPr>
            <w:tcW w:w="992" w:type="dxa"/>
          </w:tcPr>
          <w:p w14:paraId="3AF92228" w14:textId="77777777" w:rsidR="00E23CAB" w:rsidRPr="00EA1AB8" w:rsidRDefault="00E23CAB" w:rsidP="00BB1CD7">
            <w:pPr>
              <w:cnfStyle w:val="000000100000" w:firstRow="0" w:lastRow="0" w:firstColumn="0" w:lastColumn="0" w:oddVBand="0" w:evenVBand="0" w:oddHBand="1" w:evenHBand="0" w:firstRowFirstColumn="0" w:firstRowLastColumn="0" w:lastRowFirstColumn="0" w:lastRowLastColumn="0"/>
              <w:rPr>
                <w:rFonts w:ascii="Arial" w:hAnsi="Arial" w:cs="Arial"/>
                <w:lang w:val="en-GB"/>
              </w:rPr>
            </w:pPr>
            <w:r w:rsidRPr="00EA1AB8">
              <w:rPr>
                <w:rFonts w:ascii="Arial" w:hAnsi="Arial" w:cs="Arial"/>
                <w:lang w:val="en-GB"/>
              </w:rPr>
              <w:t xml:space="preserve">High </w:t>
            </w:r>
          </w:p>
        </w:tc>
        <w:tc>
          <w:tcPr>
            <w:tcW w:w="1418" w:type="dxa"/>
            <w:gridSpan w:val="2"/>
          </w:tcPr>
          <w:p w14:paraId="02A02AE2" w14:textId="77777777" w:rsidR="00E23CAB" w:rsidRPr="00EA1AB8" w:rsidRDefault="00E23CAB" w:rsidP="00BB1CD7">
            <w:pPr>
              <w:cnfStyle w:val="000000100000" w:firstRow="0" w:lastRow="0" w:firstColumn="0" w:lastColumn="0" w:oddVBand="0" w:evenVBand="0" w:oddHBand="1" w:evenHBand="0" w:firstRowFirstColumn="0" w:firstRowLastColumn="0" w:lastRowFirstColumn="0" w:lastRowLastColumn="0"/>
              <w:rPr>
                <w:rFonts w:ascii="Arial" w:hAnsi="Arial" w:cs="Arial"/>
                <w:lang w:val="en-GB"/>
              </w:rPr>
            </w:pPr>
            <w:r w:rsidRPr="00EA1AB8">
              <w:rPr>
                <w:rFonts w:ascii="Arial" w:hAnsi="Arial" w:cs="Arial"/>
                <w:lang w:val="en-GB"/>
              </w:rPr>
              <w:t xml:space="preserve">High </w:t>
            </w:r>
          </w:p>
        </w:tc>
        <w:tc>
          <w:tcPr>
            <w:tcW w:w="1417" w:type="dxa"/>
          </w:tcPr>
          <w:p w14:paraId="5599C51D" w14:textId="77777777" w:rsidR="00E23CAB" w:rsidRPr="00EA1AB8" w:rsidRDefault="00E23CAB" w:rsidP="00BB1CD7">
            <w:pPr>
              <w:cnfStyle w:val="000000100000" w:firstRow="0" w:lastRow="0" w:firstColumn="0" w:lastColumn="0" w:oddVBand="0" w:evenVBand="0" w:oddHBand="1" w:evenHBand="0" w:firstRowFirstColumn="0" w:firstRowLastColumn="0" w:lastRowFirstColumn="0" w:lastRowLastColumn="0"/>
              <w:rPr>
                <w:rFonts w:ascii="Arial" w:hAnsi="Arial" w:cs="Arial"/>
                <w:lang w:val="en-GB"/>
              </w:rPr>
            </w:pPr>
            <w:r w:rsidRPr="00EA1AB8">
              <w:rPr>
                <w:rFonts w:ascii="Arial" w:hAnsi="Arial" w:cs="Arial"/>
                <w:lang w:val="en-GB"/>
              </w:rPr>
              <w:t xml:space="preserve">Invest money into an organisation providing financial security </w:t>
            </w:r>
          </w:p>
        </w:tc>
        <w:tc>
          <w:tcPr>
            <w:tcW w:w="1418" w:type="dxa"/>
          </w:tcPr>
          <w:p w14:paraId="072BDF67" w14:textId="77777777" w:rsidR="00E23CAB" w:rsidRPr="00EA1AB8" w:rsidRDefault="00E23CAB" w:rsidP="00BB1CD7">
            <w:pPr>
              <w:cnfStyle w:val="000000100000" w:firstRow="0" w:lastRow="0" w:firstColumn="0" w:lastColumn="0" w:oddVBand="0" w:evenVBand="0" w:oddHBand="1" w:evenHBand="0" w:firstRowFirstColumn="0" w:firstRowLastColumn="0" w:lastRowFirstColumn="0" w:lastRowLastColumn="0"/>
              <w:rPr>
                <w:rFonts w:ascii="Arial" w:hAnsi="Arial" w:cs="Arial"/>
                <w:lang w:val="en-GB"/>
              </w:rPr>
            </w:pPr>
            <w:r w:rsidRPr="00EA1AB8">
              <w:rPr>
                <w:rFonts w:ascii="Arial" w:hAnsi="Arial" w:cs="Arial"/>
                <w:lang w:val="en-GB"/>
              </w:rPr>
              <w:t xml:space="preserve">Lack of transparency in the decision-making process can create </w:t>
            </w:r>
            <w:r w:rsidRPr="00EA1AB8">
              <w:rPr>
                <w:rFonts w:ascii="Arial" w:hAnsi="Arial" w:cs="Arial"/>
                <w:lang w:val="en-GB"/>
              </w:rPr>
              <w:lastRenderedPageBreak/>
              <w:t>conflicts of interest leading to withdrawing investment</w:t>
            </w:r>
          </w:p>
        </w:tc>
        <w:tc>
          <w:tcPr>
            <w:tcW w:w="2268" w:type="dxa"/>
          </w:tcPr>
          <w:p w14:paraId="3926322F" w14:textId="77777777" w:rsidR="00E23CAB" w:rsidRPr="00EA1AB8" w:rsidRDefault="00E23CAB" w:rsidP="00BB1CD7">
            <w:pPr>
              <w:cnfStyle w:val="000000100000" w:firstRow="0" w:lastRow="0" w:firstColumn="0" w:lastColumn="0" w:oddVBand="0" w:evenVBand="0" w:oddHBand="1" w:evenHBand="0" w:firstRowFirstColumn="0" w:firstRowLastColumn="0" w:lastRowFirstColumn="0" w:lastRowLastColumn="0"/>
              <w:rPr>
                <w:rFonts w:ascii="Arial" w:hAnsi="Arial" w:cs="Arial"/>
                <w:lang w:val="en-GB"/>
              </w:rPr>
            </w:pPr>
            <w:r w:rsidRPr="00EA1AB8">
              <w:rPr>
                <w:rFonts w:ascii="Arial" w:hAnsi="Arial" w:cs="Arial"/>
                <w:lang w:val="en-GB"/>
              </w:rPr>
              <w:lastRenderedPageBreak/>
              <w:t xml:space="preserve">Conducting regular meetings and ensuring transparency in policies and operations. </w:t>
            </w:r>
          </w:p>
        </w:tc>
      </w:tr>
      <w:tr w:rsidR="00E23CAB" w:rsidRPr="00EA1AB8" w14:paraId="3EA4CB76" w14:textId="77777777" w:rsidTr="00350587">
        <w:tc>
          <w:tcPr>
            <w:cnfStyle w:val="001000000000" w:firstRow="0" w:lastRow="0" w:firstColumn="1" w:lastColumn="0" w:oddVBand="0" w:evenVBand="0" w:oddHBand="0" w:evenHBand="0" w:firstRowFirstColumn="0" w:firstRowLastColumn="0" w:lastRowFirstColumn="0" w:lastRowLastColumn="0"/>
            <w:tcW w:w="1702" w:type="dxa"/>
          </w:tcPr>
          <w:p w14:paraId="42B934BE" w14:textId="77777777" w:rsidR="00E23CAB" w:rsidRPr="00EA1AB8" w:rsidRDefault="00E23CAB" w:rsidP="00BB1CD7">
            <w:pPr>
              <w:rPr>
                <w:rFonts w:ascii="Arial" w:hAnsi="Arial" w:cs="Arial"/>
                <w:lang w:val="en-GB"/>
              </w:rPr>
            </w:pPr>
            <w:r w:rsidRPr="00EA1AB8">
              <w:rPr>
                <w:rFonts w:ascii="Arial" w:hAnsi="Arial" w:cs="Arial"/>
                <w:lang w:val="en-GB"/>
              </w:rPr>
              <w:t>Customers</w:t>
            </w:r>
          </w:p>
        </w:tc>
        <w:tc>
          <w:tcPr>
            <w:tcW w:w="1843" w:type="dxa"/>
          </w:tcPr>
          <w:p w14:paraId="56294253" w14:textId="77777777" w:rsidR="00E23CAB" w:rsidRPr="00EA1AB8" w:rsidRDefault="00E23CAB" w:rsidP="00BB1CD7">
            <w:pPr>
              <w:cnfStyle w:val="000000000000" w:firstRow="0" w:lastRow="0" w:firstColumn="0" w:lastColumn="0" w:oddVBand="0" w:evenVBand="0" w:oddHBand="0" w:evenHBand="0" w:firstRowFirstColumn="0" w:firstRowLastColumn="0" w:lastRowFirstColumn="0" w:lastRowLastColumn="0"/>
              <w:rPr>
                <w:rFonts w:ascii="Arial" w:hAnsi="Arial" w:cs="Arial"/>
                <w:lang w:val="en-GB"/>
              </w:rPr>
            </w:pPr>
            <w:r w:rsidRPr="00EA1AB8">
              <w:rPr>
                <w:rFonts w:ascii="Arial" w:hAnsi="Arial" w:cs="Arial"/>
                <w:lang w:val="en-GB"/>
              </w:rPr>
              <w:t xml:space="preserve">External </w:t>
            </w:r>
          </w:p>
        </w:tc>
        <w:tc>
          <w:tcPr>
            <w:tcW w:w="992" w:type="dxa"/>
          </w:tcPr>
          <w:p w14:paraId="07E25A2D" w14:textId="77777777" w:rsidR="00E23CAB" w:rsidRPr="00EA1AB8" w:rsidRDefault="00E23CAB" w:rsidP="00BB1CD7">
            <w:pPr>
              <w:cnfStyle w:val="000000000000" w:firstRow="0" w:lastRow="0" w:firstColumn="0" w:lastColumn="0" w:oddVBand="0" w:evenVBand="0" w:oddHBand="0" w:evenHBand="0" w:firstRowFirstColumn="0" w:firstRowLastColumn="0" w:lastRowFirstColumn="0" w:lastRowLastColumn="0"/>
              <w:rPr>
                <w:rFonts w:ascii="Arial" w:hAnsi="Arial" w:cs="Arial"/>
                <w:lang w:val="en-GB"/>
              </w:rPr>
            </w:pPr>
            <w:r w:rsidRPr="00EA1AB8">
              <w:rPr>
                <w:rFonts w:ascii="Arial" w:hAnsi="Arial" w:cs="Arial"/>
                <w:lang w:val="en-GB"/>
              </w:rPr>
              <w:t xml:space="preserve">High </w:t>
            </w:r>
          </w:p>
        </w:tc>
        <w:tc>
          <w:tcPr>
            <w:tcW w:w="1276" w:type="dxa"/>
          </w:tcPr>
          <w:p w14:paraId="11AA12AB" w14:textId="77777777" w:rsidR="00E23CAB" w:rsidRPr="00EA1AB8" w:rsidRDefault="00E23CAB" w:rsidP="00BB1CD7">
            <w:pPr>
              <w:cnfStyle w:val="000000000000" w:firstRow="0" w:lastRow="0" w:firstColumn="0" w:lastColumn="0" w:oddVBand="0" w:evenVBand="0" w:oddHBand="0" w:evenHBand="0" w:firstRowFirstColumn="0" w:firstRowLastColumn="0" w:lastRowFirstColumn="0" w:lastRowLastColumn="0"/>
              <w:rPr>
                <w:rFonts w:ascii="Arial" w:hAnsi="Arial" w:cs="Arial"/>
                <w:lang w:val="en-GB"/>
              </w:rPr>
            </w:pPr>
            <w:r w:rsidRPr="00EA1AB8">
              <w:rPr>
                <w:rFonts w:ascii="Arial" w:hAnsi="Arial" w:cs="Arial"/>
                <w:lang w:val="en-GB"/>
              </w:rPr>
              <w:t>High</w:t>
            </w:r>
          </w:p>
        </w:tc>
        <w:tc>
          <w:tcPr>
            <w:tcW w:w="1559" w:type="dxa"/>
            <w:gridSpan w:val="2"/>
          </w:tcPr>
          <w:p w14:paraId="449AE4F1" w14:textId="77777777" w:rsidR="00E23CAB" w:rsidRPr="00EA1AB8" w:rsidRDefault="00E23CAB" w:rsidP="00BB1CD7">
            <w:pPr>
              <w:cnfStyle w:val="000000000000" w:firstRow="0" w:lastRow="0" w:firstColumn="0" w:lastColumn="0" w:oddVBand="0" w:evenVBand="0" w:oddHBand="0" w:evenHBand="0" w:firstRowFirstColumn="0" w:firstRowLastColumn="0" w:lastRowFirstColumn="0" w:lastRowLastColumn="0"/>
              <w:rPr>
                <w:rFonts w:ascii="Arial" w:hAnsi="Arial" w:cs="Arial"/>
                <w:lang w:val="en-GB"/>
              </w:rPr>
            </w:pPr>
            <w:r w:rsidRPr="00EA1AB8">
              <w:rPr>
                <w:rFonts w:ascii="Arial" w:hAnsi="Arial" w:cs="Arial"/>
                <w:lang w:val="en-GB"/>
              </w:rPr>
              <w:t>Customers generate revenue and profit for the company. they also create positive word-of-mouth promoting the company.</w:t>
            </w:r>
          </w:p>
        </w:tc>
        <w:tc>
          <w:tcPr>
            <w:tcW w:w="1418" w:type="dxa"/>
          </w:tcPr>
          <w:p w14:paraId="054DBB95" w14:textId="77777777" w:rsidR="00E23CAB" w:rsidRPr="00EA1AB8" w:rsidRDefault="00E23CAB" w:rsidP="00BB1CD7">
            <w:pPr>
              <w:cnfStyle w:val="000000000000" w:firstRow="0" w:lastRow="0" w:firstColumn="0" w:lastColumn="0" w:oddVBand="0" w:evenVBand="0" w:oddHBand="0" w:evenHBand="0" w:firstRowFirstColumn="0" w:firstRowLastColumn="0" w:lastRowFirstColumn="0" w:lastRowLastColumn="0"/>
              <w:rPr>
                <w:rFonts w:ascii="Arial" w:hAnsi="Arial" w:cs="Arial"/>
                <w:lang w:val="en-GB"/>
              </w:rPr>
            </w:pPr>
            <w:r w:rsidRPr="00EA1AB8">
              <w:rPr>
                <w:rFonts w:ascii="Arial" w:hAnsi="Arial" w:cs="Arial"/>
                <w:lang w:val="en-GB"/>
              </w:rPr>
              <w:t xml:space="preserve">Increasing prices of the products of Milton Sandford Wines and decreasing product quality can create dissatisfaction among customers. </w:t>
            </w:r>
          </w:p>
        </w:tc>
        <w:tc>
          <w:tcPr>
            <w:tcW w:w="2268" w:type="dxa"/>
          </w:tcPr>
          <w:p w14:paraId="1222084A" w14:textId="77777777" w:rsidR="00E23CAB" w:rsidRPr="00EA1AB8" w:rsidRDefault="00E23CAB" w:rsidP="00BB1CD7">
            <w:pPr>
              <w:cnfStyle w:val="000000000000" w:firstRow="0" w:lastRow="0" w:firstColumn="0" w:lastColumn="0" w:oddVBand="0" w:evenVBand="0" w:oddHBand="0" w:evenHBand="0" w:firstRowFirstColumn="0" w:firstRowLastColumn="0" w:lastRowFirstColumn="0" w:lastRowLastColumn="0"/>
              <w:rPr>
                <w:rFonts w:ascii="Arial" w:hAnsi="Arial" w:cs="Arial"/>
                <w:lang w:val="en-GB"/>
              </w:rPr>
            </w:pPr>
            <w:r w:rsidRPr="00EA1AB8">
              <w:rPr>
                <w:rFonts w:ascii="Arial" w:hAnsi="Arial" w:cs="Arial"/>
                <w:lang w:val="en-GB"/>
              </w:rPr>
              <w:t xml:space="preserve">The company can continue to maintain the highest standards for its products and collect feedback from customers to mitigate their issues. </w:t>
            </w:r>
          </w:p>
        </w:tc>
      </w:tr>
      <w:tr w:rsidR="00E23CAB" w:rsidRPr="00EA1AB8" w14:paraId="51A9468E" w14:textId="77777777" w:rsidTr="0035058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2" w:type="dxa"/>
          </w:tcPr>
          <w:p w14:paraId="531E39C5" w14:textId="77777777" w:rsidR="00E23CAB" w:rsidRPr="00EA1AB8" w:rsidRDefault="00E23CAB" w:rsidP="00BB1CD7">
            <w:pPr>
              <w:rPr>
                <w:rFonts w:ascii="Arial" w:hAnsi="Arial" w:cs="Arial"/>
                <w:lang w:val="en-GB"/>
              </w:rPr>
            </w:pPr>
            <w:r w:rsidRPr="00EA1AB8">
              <w:rPr>
                <w:rFonts w:ascii="Arial" w:hAnsi="Arial" w:cs="Arial"/>
                <w:lang w:val="en-GB"/>
              </w:rPr>
              <w:t xml:space="preserve">Investors </w:t>
            </w:r>
          </w:p>
        </w:tc>
        <w:tc>
          <w:tcPr>
            <w:tcW w:w="1843" w:type="dxa"/>
          </w:tcPr>
          <w:p w14:paraId="499B147B" w14:textId="77777777" w:rsidR="00E23CAB" w:rsidRPr="00EA1AB8" w:rsidRDefault="00E23CAB" w:rsidP="00BB1CD7">
            <w:pPr>
              <w:cnfStyle w:val="000000100000" w:firstRow="0" w:lastRow="0" w:firstColumn="0" w:lastColumn="0" w:oddVBand="0" w:evenVBand="0" w:oddHBand="1" w:evenHBand="0" w:firstRowFirstColumn="0" w:firstRowLastColumn="0" w:lastRowFirstColumn="0" w:lastRowLastColumn="0"/>
              <w:rPr>
                <w:rFonts w:ascii="Arial" w:hAnsi="Arial" w:cs="Arial"/>
                <w:lang w:val="en-GB"/>
              </w:rPr>
            </w:pPr>
            <w:r w:rsidRPr="00EA1AB8">
              <w:rPr>
                <w:rFonts w:ascii="Arial" w:hAnsi="Arial" w:cs="Arial"/>
                <w:lang w:val="en-GB"/>
              </w:rPr>
              <w:t>Internal and External</w:t>
            </w:r>
          </w:p>
        </w:tc>
        <w:tc>
          <w:tcPr>
            <w:tcW w:w="992" w:type="dxa"/>
          </w:tcPr>
          <w:p w14:paraId="5D6D8B53" w14:textId="77777777" w:rsidR="00E23CAB" w:rsidRPr="00EA1AB8" w:rsidRDefault="00E23CAB" w:rsidP="00BB1CD7">
            <w:pPr>
              <w:cnfStyle w:val="000000100000" w:firstRow="0" w:lastRow="0" w:firstColumn="0" w:lastColumn="0" w:oddVBand="0" w:evenVBand="0" w:oddHBand="1" w:evenHBand="0" w:firstRowFirstColumn="0" w:firstRowLastColumn="0" w:lastRowFirstColumn="0" w:lastRowLastColumn="0"/>
              <w:rPr>
                <w:rFonts w:ascii="Arial" w:hAnsi="Arial" w:cs="Arial"/>
                <w:lang w:val="en-GB"/>
              </w:rPr>
            </w:pPr>
            <w:r w:rsidRPr="00EA1AB8">
              <w:rPr>
                <w:rFonts w:ascii="Arial" w:hAnsi="Arial" w:cs="Arial"/>
                <w:lang w:val="en-GB"/>
              </w:rPr>
              <w:t>High</w:t>
            </w:r>
          </w:p>
        </w:tc>
        <w:tc>
          <w:tcPr>
            <w:tcW w:w="1276" w:type="dxa"/>
          </w:tcPr>
          <w:p w14:paraId="4E86C46C" w14:textId="77777777" w:rsidR="00E23CAB" w:rsidRPr="00EA1AB8" w:rsidRDefault="00E23CAB" w:rsidP="00BB1CD7">
            <w:pPr>
              <w:cnfStyle w:val="000000100000" w:firstRow="0" w:lastRow="0" w:firstColumn="0" w:lastColumn="0" w:oddVBand="0" w:evenVBand="0" w:oddHBand="1" w:evenHBand="0" w:firstRowFirstColumn="0" w:firstRowLastColumn="0" w:lastRowFirstColumn="0" w:lastRowLastColumn="0"/>
              <w:rPr>
                <w:rFonts w:ascii="Arial" w:hAnsi="Arial" w:cs="Arial"/>
                <w:lang w:val="en-GB"/>
              </w:rPr>
            </w:pPr>
            <w:r w:rsidRPr="00EA1AB8">
              <w:rPr>
                <w:rFonts w:ascii="Arial" w:hAnsi="Arial" w:cs="Arial"/>
                <w:lang w:val="en-GB"/>
              </w:rPr>
              <w:t xml:space="preserve">High </w:t>
            </w:r>
          </w:p>
        </w:tc>
        <w:tc>
          <w:tcPr>
            <w:tcW w:w="1559" w:type="dxa"/>
            <w:gridSpan w:val="2"/>
          </w:tcPr>
          <w:p w14:paraId="232A31D6" w14:textId="77777777" w:rsidR="00E23CAB" w:rsidRPr="00EA1AB8" w:rsidRDefault="00E23CAB" w:rsidP="00BB1CD7">
            <w:pPr>
              <w:cnfStyle w:val="000000100000" w:firstRow="0" w:lastRow="0" w:firstColumn="0" w:lastColumn="0" w:oddVBand="0" w:evenVBand="0" w:oddHBand="1" w:evenHBand="0" w:firstRowFirstColumn="0" w:firstRowLastColumn="0" w:lastRowFirstColumn="0" w:lastRowLastColumn="0"/>
              <w:rPr>
                <w:rFonts w:ascii="Arial" w:hAnsi="Arial" w:cs="Arial"/>
                <w:lang w:val="en-GB"/>
              </w:rPr>
            </w:pPr>
            <w:r w:rsidRPr="00EA1AB8">
              <w:rPr>
                <w:rFonts w:ascii="Arial" w:hAnsi="Arial" w:cs="Arial"/>
                <w:lang w:val="en-GB"/>
              </w:rPr>
              <w:t xml:space="preserve">They support the company through financial assistance, connections, and valuable insight. </w:t>
            </w:r>
          </w:p>
        </w:tc>
        <w:tc>
          <w:tcPr>
            <w:tcW w:w="1418" w:type="dxa"/>
          </w:tcPr>
          <w:p w14:paraId="24C6A6FA" w14:textId="77777777" w:rsidR="00E23CAB" w:rsidRPr="00EA1AB8" w:rsidRDefault="00E23CAB" w:rsidP="00BB1CD7">
            <w:pPr>
              <w:cnfStyle w:val="000000100000" w:firstRow="0" w:lastRow="0" w:firstColumn="0" w:lastColumn="0" w:oddVBand="0" w:evenVBand="0" w:oddHBand="1" w:evenHBand="0" w:firstRowFirstColumn="0" w:firstRowLastColumn="0" w:lastRowFirstColumn="0" w:lastRowLastColumn="0"/>
              <w:rPr>
                <w:rFonts w:ascii="Arial" w:hAnsi="Arial" w:cs="Arial"/>
                <w:lang w:val="en-GB"/>
              </w:rPr>
            </w:pPr>
            <w:r w:rsidRPr="00EA1AB8">
              <w:rPr>
                <w:rFonts w:ascii="Arial" w:hAnsi="Arial" w:cs="Arial"/>
                <w:lang w:val="en-GB"/>
              </w:rPr>
              <w:t>Low return on investment (ROI), absence of trust in the company, and more can create barriers.</w:t>
            </w:r>
          </w:p>
        </w:tc>
        <w:tc>
          <w:tcPr>
            <w:tcW w:w="2268" w:type="dxa"/>
          </w:tcPr>
          <w:p w14:paraId="74007C31" w14:textId="77777777" w:rsidR="00E23CAB" w:rsidRPr="00EA1AB8" w:rsidRDefault="00E23CAB" w:rsidP="00BB1CD7">
            <w:pPr>
              <w:cnfStyle w:val="000000100000" w:firstRow="0" w:lastRow="0" w:firstColumn="0" w:lastColumn="0" w:oddVBand="0" w:evenVBand="0" w:oddHBand="1" w:evenHBand="0" w:firstRowFirstColumn="0" w:firstRowLastColumn="0" w:lastRowFirstColumn="0" w:lastRowLastColumn="0"/>
              <w:rPr>
                <w:rFonts w:ascii="Arial" w:hAnsi="Arial" w:cs="Arial"/>
                <w:lang w:val="en-GB"/>
              </w:rPr>
            </w:pPr>
            <w:r w:rsidRPr="00EA1AB8">
              <w:rPr>
                <w:rFonts w:ascii="Arial" w:hAnsi="Arial" w:cs="Arial"/>
                <w:lang w:val="en-GB"/>
              </w:rPr>
              <w:t xml:space="preserve">Through regular meetings, ensuring high ROI, and effective communication, investors can be satisfied. </w:t>
            </w:r>
          </w:p>
        </w:tc>
      </w:tr>
      <w:tr w:rsidR="00E23CAB" w:rsidRPr="00EA1AB8" w14:paraId="48D4D418" w14:textId="77777777" w:rsidTr="00350587">
        <w:tc>
          <w:tcPr>
            <w:cnfStyle w:val="001000000000" w:firstRow="0" w:lastRow="0" w:firstColumn="1" w:lastColumn="0" w:oddVBand="0" w:evenVBand="0" w:oddHBand="0" w:evenHBand="0" w:firstRowFirstColumn="0" w:firstRowLastColumn="0" w:lastRowFirstColumn="0" w:lastRowLastColumn="0"/>
            <w:tcW w:w="1702" w:type="dxa"/>
          </w:tcPr>
          <w:p w14:paraId="66049F02" w14:textId="77777777" w:rsidR="00E23CAB" w:rsidRPr="00EA1AB8" w:rsidRDefault="00E23CAB" w:rsidP="00BB1CD7">
            <w:pPr>
              <w:rPr>
                <w:rFonts w:ascii="Arial" w:hAnsi="Arial" w:cs="Arial"/>
                <w:lang w:val="en-GB"/>
              </w:rPr>
            </w:pPr>
            <w:r w:rsidRPr="00EA1AB8">
              <w:rPr>
                <w:rFonts w:ascii="Arial" w:hAnsi="Arial" w:cs="Arial"/>
                <w:lang w:val="en-GB"/>
              </w:rPr>
              <w:t xml:space="preserve">Board of directors </w:t>
            </w:r>
          </w:p>
        </w:tc>
        <w:tc>
          <w:tcPr>
            <w:tcW w:w="1843" w:type="dxa"/>
          </w:tcPr>
          <w:p w14:paraId="5A54FF5E" w14:textId="77777777" w:rsidR="00E23CAB" w:rsidRPr="00EA1AB8" w:rsidRDefault="00E23CAB" w:rsidP="00BB1CD7">
            <w:pPr>
              <w:cnfStyle w:val="000000000000" w:firstRow="0" w:lastRow="0" w:firstColumn="0" w:lastColumn="0" w:oddVBand="0" w:evenVBand="0" w:oddHBand="0" w:evenHBand="0" w:firstRowFirstColumn="0" w:firstRowLastColumn="0" w:lastRowFirstColumn="0" w:lastRowLastColumn="0"/>
              <w:rPr>
                <w:rFonts w:ascii="Arial" w:hAnsi="Arial" w:cs="Arial"/>
                <w:lang w:val="en-GB"/>
              </w:rPr>
            </w:pPr>
            <w:r w:rsidRPr="00EA1AB8">
              <w:rPr>
                <w:rFonts w:ascii="Arial" w:hAnsi="Arial" w:cs="Arial"/>
                <w:lang w:val="en-GB"/>
              </w:rPr>
              <w:t xml:space="preserve">Internal </w:t>
            </w:r>
          </w:p>
        </w:tc>
        <w:tc>
          <w:tcPr>
            <w:tcW w:w="992" w:type="dxa"/>
          </w:tcPr>
          <w:p w14:paraId="09D5ABB8" w14:textId="77777777" w:rsidR="00E23CAB" w:rsidRPr="00EA1AB8" w:rsidRDefault="00E23CAB" w:rsidP="00BB1CD7">
            <w:pPr>
              <w:cnfStyle w:val="000000000000" w:firstRow="0" w:lastRow="0" w:firstColumn="0" w:lastColumn="0" w:oddVBand="0" w:evenVBand="0" w:oddHBand="0" w:evenHBand="0" w:firstRowFirstColumn="0" w:firstRowLastColumn="0" w:lastRowFirstColumn="0" w:lastRowLastColumn="0"/>
              <w:rPr>
                <w:rFonts w:ascii="Arial" w:hAnsi="Arial" w:cs="Arial"/>
                <w:lang w:val="en-GB"/>
              </w:rPr>
            </w:pPr>
            <w:r w:rsidRPr="00EA1AB8">
              <w:rPr>
                <w:rFonts w:ascii="Arial" w:hAnsi="Arial" w:cs="Arial"/>
                <w:lang w:val="en-GB"/>
              </w:rPr>
              <w:t xml:space="preserve">High </w:t>
            </w:r>
          </w:p>
        </w:tc>
        <w:tc>
          <w:tcPr>
            <w:tcW w:w="1276" w:type="dxa"/>
          </w:tcPr>
          <w:p w14:paraId="65295AE7" w14:textId="77777777" w:rsidR="00E23CAB" w:rsidRPr="00EA1AB8" w:rsidRDefault="00E23CAB" w:rsidP="00BB1CD7">
            <w:pPr>
              <w:cnfStyle w:val="000000000000" w:firstRow="0" w:lastRow="0" w:firstColumn="0" w:lastColumn="0" w:oddVBand="0" w:evenVBand="0" w:oddHBand="0" w:evenHBand="0" w:firstRowFirstColumn="0" w:firstRowLastColumn="0" w:lastRowFirstColumn="0" w:lastRowLastColumn="0"/>
              <w:rPr>
                <w:rFonts w:ascii="Arial" w:hAnsi="Arial" w:cs="Arial"/>
                <w:lang w:val="en-GB"/>
              </w:rPr>
            </w:pPr>
            <w:r w:rsidRPr="00EA1AB8">
              <w:rPr>
                <w:rFonts w:ascii="Arial" w:hAnsi="Arial" w:cs="Arial"/>
                <w:lang w:val="en-GB"/>
              </w:rPr>
              <w:t xml:space="preserve">High </w:t>
            </w:r>
          </w:p>
        </w:tc>
        <w:tc>
          <w:tcPr>
            <w:tcW w:w="1559" w:type="dxa"/>
            <w:gridSpan w:val="2"/>
          </w:tcPr>
          <w:p w14:paraId="7E913E6F" w14:textId="77777777" w:rsidR="00E23CAB" w:rsidRPr="00EA1AB8" w:rsidRDefault="00E23CAB" w:rsidP="00BB1CD7">
            <w:pPr>
              <w:cnfStyle w:val="000000000000" w:firstRow="0" w:lastRow="0" w:firstColumn="0" w:lastColumn="0" w:oddVBand="0" w:evenVBand="0" w:oddHBand="0" w:evenHBand="0" w:firstRowFirstColumn="0" w:firstRowLastColumn="0" w:lastRowFirstColumn="0" w:lastRowLastColumn="0"/>
              <w:rPr>
                <w:rFonts w:ascii="Arial" w:hAnsi="Arial" w:cs="Arial"/>
                <w:lang w:val="en-GB"/>
              </w:rPr>
            </w:pPr>
            <w:r w:rsidRPr="00EA1AB8">
              <w:rPr>
                <w:rFonts w:ascii="Arial" w:hAnsi="Arial" w:cs="Arial"/>
                <w:lang w:val="en-GB"/>
              </w:rPr>
              <w:t xml:space="preserve">They offer valuable insights and guidance to attain the organisational goals. </w:t>
            </w:r>
          </w:p>
        </w:tc>
        <w:tc>
          <w:tcPr>
            <w:tcW w:w="1418" w:type="dxa"/>
          </w:tcPr>
          <w:p w14:paraId="25152575" w14:textId="77777777" w:rsidR="00E23CAB" w:rsidRPr="00EA1AB8" w:rsidRDefault="00E23CAB" w:rsidP="00BB1CD7">
            <w:pPr>
              <w:cnfStyle w:val="000000000000" w:firstRow="0" w:lastRow="0" w:firstColumn="0" w:lastColumn="0" w:oddVBand="0" w:evenVBand="0" w:oddHBand="0" w:evenHBand="0" w:firstRowFirstColumn="0" w:firstRowLastColumn="0" w:lastRowFirstColumn="0" w:lastRowLastColumn="0"/>
              <w:rPr>
                <w:rFonts w:ascii="Arial" w:hAnsi="Arial" w:cs="Arial"/>
                <w:lang w:val="en-GB"/>
              </w:rPr>
            </w:pPr>
            <w:r w:rsidRPr="00EA1AB8">
              <w:rPr>
                <w:rFonts w:ascii="Arial" w:hAnsi="Arial" w:cs="Arial"/>
                <w:lang w:val="en-GB"/>
              </w:rPr>
              <w:t xml:space="preserve">Lack of competency in managing the organisation, and conflicts among the </w:t>
            </w:r>
            <w:r w:rsidRPr="00EA1AB8">
              <w:rPr>
                <w:rFonts w:ascii="Arial" w:hAnsi="Arial" w:cs="Arial"/>
                <w:lang w:val="en-GB"/>
              </w:rPr>
              <w:lastRenderedPageBreak/>
              <w:t xml:space="preserve">members be major barriers. </w:t>
            </w:r>
          </w:p>
        </w:tc>
        <w:tc>
          <w:tcPr>
            <w:tcW w:w="2268" w:type="dxa"/>
          </w:tcPr>
          <w:p w14:paraId="374ABA2B" w14:textId="77777777" w:rsidR="00E23CAB" w:rsidRPr="00EA1AB8" w:rsidRDefault="00E23CAB" w:rsidP="00BB1CD7">
            <w:pPr>
              <w:cnfStyle w:val="000000000000" w:firstRow="0" w:lastRow="0" w:firstColumn="0" w:lastColumn="0" w:oddVBand="0" w:evenVBand="0" w:oddHBand="0" w:evenHBand="0" w:firstRowFirstColumn="0" w:firstRowLastColumn="0" w:lastRowFirstColumn="0" w:lastRowLastColumn="0"/>
              <w:rPr>
                <w:rFonts w:ascii="Arial" w:hAnsi="Arial" w:cs="Arial"/>
                <w:lang w:val="en-GB"/>
              </w:rPr>
            </w:pPr>
            <w:r w:rsidRPr="00EA1AB8">
              <w:rPr>
                <w:rFonts w:ascii="Arial" w:hAnsi="Arial" w:cs="Arial"/>
                <w:lang w:val="en-GB"/>
              </w:rPr>
              <w:lastRenderedPageBreak/>
              <w:t>Efficient and transparent communication, regular meetings, assessment of organisational performance</w:t>
            </w:r>
          </w:p>
        </w:tc>
      </w:tr>
      <w:tr w:rsidR="00E23CAB" w:rsidRPr="00EA1AB8" w14:paraId="27B5D0CD" w14:textId="77777777" w:rsidTr="0035058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2" w:type="dxa"/>
          </w:tcPr>
          <w:p w14:paraId="27D979B5" w14:textId="77777777" w:rsidR="00E23CAB" w:rsidRPr="00EA1AB8" w:rsidRDefault="00E23CAB" w:rsidP="00BB1CD7">
            <w:pPr>
              <w:rPr>
                <w:rFonts w:ascii="Arial" w:hAnsi="Arial" w:cs="Arial"/>
                <w:lang w:val="en-GB"/>
              </w:rPr>
            </w:pPr>
            <w:r w:rsidRPr="00EA1AB8">
              <w:rPr>
                <w:rFonts w:ascii="Arial" w:hAnsi="Arial" w:cs="Arial"/>
                <w:lang w:val="en-GB"/>
              </w:rPr>
              <w:t xml:space="preserve">Employees </w:t>
            </w:r>
          </w:p>
        </w:tc>
        <w:tc>
          <w:tcPr>
            <w:tcW w:w="1843" w:type="dxa"/>
          </w:tcPr>
          <w:p w14:paraId="5D1ED830" w14:textId="77777777" w:rsidR="00E23CAB" w:rsidRPr="00EA1AB8" w:rsidRDefault="00E23CAB" w:rsidP="00BB1CD7">
            <w:pPr>
              <w:cnfStyle w:val="000000100000" w:firstRow="0" w:lastRow="0" w:firstColumn="0" w:lastColumn="0" w:oddVBand="0" w:evenVBand="0" w:oddHBand="1" w:evenHBand="0" w:firstRowFirstColumn="0" w:firstRowLastColumn="0" w:lastRowFirstColumn="0" w:lastRowLastColumn="0"/>
              <w:rPr>
                <w:rFonts w:ascii="Arial" w:hAnsi="Arial" w:cs="Arial"/>
                <w:lang w:val="en-GB"/>
              </w:rPr>
            </w:pPr>
            <w:r w:rsidRPr="00EA1AB8">
              <w:rPr>
                <w:rFonts w:ascii="Arial" w:hAnsi="Arial" w:cs="Arial"/>
                <w:lang w:val="en-GB"/>
              </w:rPr>
              <w:t xml:space="preserve">Internal </w:t>
            </w:r>
          </w:p>
        </w:tc>
        <w:tc>
          <w:tcPr>
            <w:tcW w:w="992" w:type="dxa"/>
          </w:tcPr>
          <w:p w14:paraId="03589590" w14:textId="77777777" w:rsidR="00E23CAB" w:rsidRPr="00EA1AB8" w:rsidRDefault="00E23CAB" w:rsidP="00BB1CD7">
            <w:pPr>
              <w:cnfStyle w:val="000000100000" w:firstRow="0" w:lastRow="0" w:firstColumn="0" w:lastColumn="0" w:oddVBand="0" w:evenVBand="0" w:oddHBand="1" w:evenHBand="0" w:firstRowFirstColumn="0" w:firstRowLastColumn="0" w:lastRowFirstColumn="0" w:lastRowLastColumn="0"/>
              <w:rPr>
                <w:rFonts w:ascii="Arial" w:hAnsi="Arial" w:cs="Arial"/>
                <w:lang w:val="en-GB"/>
              </w:rPr>
            </w:pPr>
            <w:r w:rsidRPr="00EA1AB8">
              <w:rPr>
                <w:rFonts w:ascii="Arial" w:hAnsi="Arial" w:cs="Arial"/>
                <w:lang w:val="en-GB"/>
              </w:rPr>
              <w:t xml:space="preserve">High </w:t>
            </w:r>
          </w:p>
        </w:tc>
        <w:tc>
          <w:tcPr>
            <w:tcW w:w="1276" w:type="dxa"/>
          </w:tcPr>
          <w:p w14:paraId="786E6CE8" w14:textId="77777777" w:rsidR="00E23CAB" w:rsidRPr="00EA1AB8" w:rsidRDefault="00E23CAB" w:rsidP="00BB1CD7">
            <w:pPr>
              <w:cnfStyle w:val="000000100000" w:firstRow="0" w:lastRow="0" w:firstColumn="0" w:lastColumn="0" w:oddVBand="0" w:evenVBand="0" w:oddHBand="1" w:evenHBand="0" w:firstRowFirstColumn="0" w:firstRowLastColumn="0" w:lastRowFirstColumn="0" w:lastRowLastColumn="0"/>
              <w:rPr>
                <w:rFonts w:ascii="Arial" w:hAnsi="Arial" w:cs="Arial"/>
                <w:lang w:val="en-GB"/>
              </w:rPr>
            </w:pPr>
            <w:r w:rsidRPr="00EA1AB8">
              <w:rPr>
                <w:rFonts w:ascii="Arial" w:hAnsi="Arial" w:cs="Arial"/>
                <w:lang w:val="en-GB"/>
              </w:rPr>
              <w:t xml:space="preserve">Moderate  </w:t>
            </w:r>
          </w:p>
        </w:tc>
        <w:tc>
          <w:tcPr>
            <w:tcW w:w="1559" w:type="dxa"/>
            <w:gridSpan w:val="2"/>
          </w:tcPr>
          <w:p w14:paraId="3F54F7F1" w14:textId="77777777" w:rsidR="00E23CAB" w:rsidRPr="00EA1AB8" w:rsidRDefault="00E23CAB" w:rsidP="00BB1CD7">
            <w:pPr>
              <w:cnfStyle w:val="000000100000" w:firstRow="0" w:lastRow="0" w:firstColumn="0" w:lastColumn="0" w:oddVBand="0" w:evenVBand="0" w:oddHBand="1" w:evenHBand="0" w:firstRowFirstColumn="0" w:firstRowLastColumn="0" w:lastRowFirstColumn="0" w:lastRowLastColumn="0"/>
              <w:rPr>
                <w:rFonts w:ascii="Arial" w:hAnsi="Arial" w:cs="Arial"/>
                <w:lang w:val="en-GB"/>
              </w:rPr>
            </w:pPr>
            <w:r w:rsidRPr="00EA1AB8">
              <w:rPr>
                <w:rFonts w:ascii="Arial" w:hAnsi="Arial" w:cs="Arial"/>
                <w:lang w:val="en-GB"/>
              </w:rPr>
              <w:t xml:space="preserve">Managing the day-to-day operations of the company </w:t>
            </w:r>
          </w:p>
        </w:tc>
        <w:tc>
          <w:tcPr>
            <w:tcW w:w="1418" w:type="dxa"/>
          </w:tcPr>
          <w:p w14:paraId="39B8B58A" w14:textId="77777777" w:rsidR="00E23CAB" w:rsidRPr="00EA1AB8" w:rsidRDefault="00E23CAB" w:rsidP="00BB1CD7">
            <w:pPr>
              <w:cnfStyle w:val="000000100000" w:firstRow="0" w:lastRow="0" w:firstColumn="0" w:lastColumn="0" w:oddVBand="0" w:evenVBand="0" w:oddHBand="1" w:evenHBand="0" w:firstRowFirstColumn="0" w:firstRowLastColumn="0" w:lastRowFirstColumn="0" w:lastRowLastColumn="0"/>
              <w:rPr>
                <w:rFonts w:ascii="Arial" w:hAnsi="Arial" w:cs="Arial"/>
                <w:lang w:val="en-GB"/>
              </w:rPr>
            </w:pPr>
            <w:r w:rsidRPr="00EA1AB8">
              <w:rPr>
                <w:rFonts w:ascii="Arial" w:hAnsi="Arial" w:cs="Arial"/>
                <w:lang w:val="en-GB"/>
              </w:rPr>
              <w:t xml:space="preserve">Lack of skills and knowledge, conflicts among them, and such can be barriers. </w:t>
            </w:r>
          </w:p>
        </w:tc>
        <w:tc>
          <w:tcPr>
            <w:tcW w:w="2268" w:type="dxa"/>
          </w:tcPr>
          <w:p w14:paraId="7E193291" w14:textId="77777777" w:rsidR="00E23CAB" w:rsidRPr="00EA1AB8" w:rsidRDefault="00E23CAB" w:rsidP="00BB1CD7">
            <w:pPr>
              <w:cnfStyle w:val="000000100000" w:firstRow="0" w:lastRow="0" w:firstColumn="0" w:lastColumn="0" w:oddVBand="0" w:evenVBand="0" w:oddHBand="1" w:evenHBand="0" w:firstRowFirstColumn="0" w:firstRowLastColumn="0" w:lastRowFirstColumn="0" w:lastRowLastColumn="0"/>
              <w:rPr>
                <w:rFonts w:ascii="Arial" w:hAnsi="Arial" w:cs="Arial"/>
                <w:lang w:val="en-GB"/>
              </w:rPr>
            </w:pPr>
            <w:r w:rsidRPr="00EA1AB8">
              <w:rPr>
                <w:rFonts w:ascii="Arial" w:hAnsi="Arial" w:cs="Arial"/>
                <w:lang w:val="en-GB"/>
              </w:rPr>
              <w:t xml:space="preserve">Employee training and recruitment of skilled employees can be useful for the company. </w:t>
            </w:r>
          </w:p>
        </w:tc>
      </w:tr>
    </w:tbl>
    <w:bookmarkEnd w:id="5"/>
    <w:p w14:paraId="05180026" w14:textId="77777777" w:rsidR="00E23CAB" w:rsidRPr="00EA1AB8" w:rsidRDefault="00E23CAB" w:rsidP="00E23CAB">
      <w:pPr>
        <w:jc w:val="center"/>
        <w:rPr>
          <w:rFonts w:ascii="Arial" w:hAnsi="Arial" w:cs="Arial"/>
          <w:b/>
          <w:bCs/>
          <w:sz w:val="22"/>
          <w:lang w:val="en-GB"/>
        </w:rPr>
      </w:pPr>
      <w:r w:rsidRPr="00EA1AB8">
        <w:rPr>
          <w:rFonts w:ascii="Arial" w:hAnsi="Arial" w:cs="Arial"/>
          <w:b/>
          <w:bCs/>
          <w:sz w:val="22"/>
          <w:lang w:val="en-GB"/>
        </w:rPr>
        <w:t>Table 1: Stakeholder Analysis of Milton Sandford Wines Ltd</w:t>
      </w:r>
    </w:p>
    <w:p w14:paraId="04CA63B6" w14:textId="77777777" w:rsidR="00E23CAB" w:rsidRPr="00EA1AB8" w:rsidRDefault="00E23CAB" w:rsidP="00E23CAB">
      <w:pPr>
        <w:jc w:val="center"/>
        <w:rPr>
          <w:rFonts w:ascii="Arial" w:hAnsi="Arial" w:cs="Arial"/>
          <w:b/>
          <w:bCs/>
          <w:sz w:val="22"/>
          <w:lang w:val="en-GB"/>
        </w:rPr>
      </w:pPr>
      <w:r w:rsidRPr="00EA1AB8">
        <w:rPr>
          <w:rFonts w:ascii="Arial" w:hAnsi="Arial" w:cs="Arial"/>
          <w:b/>
          <w:bCs/>
          <w:sz w:val="22"/>
          <w:lang w:val="en-GB"/>
        </w:rPr>
        <w:t>(</w:t>
      </w:r>
      <w:r w:rsidRPr="00EA1AB8">
        <w:rPr>
          <w:rFonts w:ascii="Arial" w:hAnsi="Arial" w:cs="Arial"/>
          <w:sz w:val="22"/>
          <w:lang w:val="en-GB"/>
        </w:rPr>
        <w:t>Source: Created by the learner</w:t>
      </w:r>
      <w:r w:rsidRPr="00EA1AB8">
        <w:rPr>
          <w:rFonts w:ascii="Arial" w:hAnsi="Arial" w:cs="Arial"/>
          <w:b/>
          <w:bCs/>
          <w:sz w:val="22"/>
          <w:lang w:val="en-GB"/>
        </w:rPr>
        <w:t>)</w:t>
      </w:r>
    </w:p>
    <w:p w14:paraId="635FEF8B" w14:textId="77777777" w:rsidR="00E23CAB" w:rsidRPr="00EA1AB8" w:rsidRDefault="00E23CAB" w:rsidP="00E23CAB">
      <w:pPr>
        <w:rPr>
          <w:rFonts w:ascii="Arial" w:hAnsi="Arial" w:cs="Arial"/>
          <w:sz w:val="22"/>
          <w:lang w:val="en-GB"/>
        </w:rPr>
      </w:pPr>
      <w:r w:rsidRPr="00EA1AB8">
        <w:rPr>
          <w:rFonts w:ascii="Arial" w:hAnsi="Arial" w:cs="Arial"/>
          <w:sz w:val="22"/>
          <w:lang w:val="en-GB"/>
        </w:rPr>
        <w:t xml:space="preserve">Analysis- based on the above table, the major stakeholders of Milton Sandford Wine Ltd include its investors, shareholders, employees, customers, and board of directors. After the assessment of the external and internal environment of the company, it can be derived that market expansion will be the most effective strategy for its growth. In terms of employees, the workforce strength of the organisation is quite limited and to ensure success in its growth strategy, the employees will need to enhance their productivity. In this context, offering training and recruiting skilled employees can be effective. On the other hand, the customers of the company are businesses like restaurants, hotels, and gastropubs (Milton Sandford Wines, 2024). Thus, to apply the proposed strategy, the company will need to establish connections with more restaurants and pubs where it can sell its products. </w:t>
      </w:r>
    </w:p>
    <w:p w14:paraId="72758AB3" w14:textId="3F5137BB" w:rsidR="00E23CAB" w:rsidRPr="00EA1AB8" w:rsidRDefault="00E23CAB" w:rsidP="00E23CAB">
      <w:pPr>
        <w:rPr>
          <w:rFonts w:ascii="Arial" w:hAnsi="Arial" w:cs="Arial"/>
          <w:sz w:val="22"/>
          <w:lang w:val="en-GB"/>
        </w:rPr>
      </w:pPr>
      <w:r w:rsidRPr="00EA1AB8">
        <w:rPr>
          <w:rFonts w:ascii="Arial" w:hAnsi="Arial" w:cs="Arial"/>
          <w:sz w:val="22"/>
          <w:lang w:val="en-GB"/>
        </w:rPr>
        <w:t>Its board of directors include</w:t>
      </w:r>
      <w:r w:rsidR="008C20D8">
        <w:rPr>
          <w:rFonts w:ascii="Arial" w:hAnsi="Arial" w:cs="Arial"/>
          <w:sz w:val="22"/>
          <w:lang w:val="en-GB"/>
        </w:rPr>
        <w:t>s</w:t>
      </w:r>
      <w:r w:rsidRPr="00EA1AB8">
        <w:rPr>
          <w:rFonts w:ascii="Arial" w:hAnsi="Arial" w:cs="Arial"/>
          <w:sz w:val="22"/>
          <w:lang w:val="en-GB"/>
        </w:rPr>
        <w:t xml:space="preserve"> five members including the owner, John Winchester, and the members have significant expertise and knowledge in this field (Milton Sandford Wines, 2024). They can also benefit from the new strategy as this will increase the company’s visibility although they need to enhance their strategies. Investors and shareholders will benefit from this as penetrating the market by amplifying customer base will enhance their ROI although they will need to invest to establish connections with new customers, marketing purposes, and employee training.  </w:t>
      </w:r>
    </w:p>
    <w:p w14:paraId="2256E1C0" w14:textId="02ACD622" w:rsidR="00E23CAB" w:rsidRPr="00EA1AB8" w:rsidRDefault="00547733" w:rsidP="0099144F">
      <w:pPr>
        <w:pStyle w:val="Heading2"/>
        <w:numPr>
          <w:ilvl w:val="0"/>
          <w:numId w:val="7"/>
        </w:numPr>
        <w:rPr>
          <w:lang w:val="en-GB"/>
        </w:rPr>
      </w:pPr>
      <w:bookmarkStart w:id="6" w:name="_Toc160186142"/>
      <w:r w:rsidRPr="00EA1AB8">
        <w:rPr>
          <w:lang w:val="en-GB"/>
        </w:rPr>
        <w:t>The</w:t>
      </w:r>
      <w:r w:rsidR="00E23CAB" w:rsidRPr="00EA1AB8">
        <w:rPr>
          <w:lang w:val="en-GB"/>
        </w:rPr>
        <w:t xml:space="preserve"> strategic growth choices for SMEs in markets and a new strategy</w:t>
      </w:r>
      <w:bookmarkEnd w:id="6"/>
    </w:p>
    <w:p w14:paraId="7A1F4BCD" w14:textId="3002E323" w:rsidR="00E23CAB" w:rsidRPr="00EA1AB8" w:rsidRDefault="00E23CAB" w:rsidP="00E23CAB">
      <w:pPr>
        <w:rPr>
          <w:rFonts w:ascii="Arial" w:hAnsi="Arial" w:cs="Arial"/>
          <w:sz w:val="22"/>
          <w:lang w:val="en-GB"/>
        </w:rPr>
      </w:pPr>
      <w:r w:rsidRPr="00EA1AB8">
        <w:rPr>
          <w:rFonts w:ascii="Arial" w:hAnsi="Arial" w:cs="Arial"/>
          <w:sz w:val="22"/>
          <w:lang w:val="en-GB"/>
        </w:rPr>
        <w:t xml:space="preserve">To devise the strategic growth choice for Milton Sandford Wines, the Ansoff matrix can be utilised. </w:t>
      </w:r>
      <w:proofErr w:type="spellStart"/>
      <w:r w:rsidRPr="00EA1AB8">
        <w:rPr>
          <w:rFonts w:ascii="Arial" w:hAnsi="Arial" w:cs="Arial"/>
          <w:sz w:val="22"/>
          <w:lang w:val="en-GB"/>
        </w:rPr>
        <w:t>Jintana</w:t>
      </w:r>
      <w:proofErr w:type="spellEnd"/>
      <w:r w:rsidRPr="00EA1AB8">
        <w:rPr>
          <w:rFonts w:ascii="Arial" w:hAnsi="Arial" w:cs="Arial"/>
          <w:sz w:val="22"/>
          <w:lang w:val="en-GB"/>
        </w:rPr>
        <w:t xml:space="preserve">, </w:t>
      </w:r>
      <w:proofErr w:type="spellStart"/>
      <w:r w:rsidRPr="00EA1AB8">
        <w:rPr>
          <w:rFonts w:ascii="Arial" w:hAnsi="Arial" w:cs="Arial"/>
          <w:sz w:val="22"/>
          <w:lang w:val="en-GB"/>
        </w:rPr>
        <w:t>Sopadang</w:t>
      </w:r>
      <w:proofErr w:type="spellEnd"/>
      <w:r w:rsidR="003878E2">
        <w:rPr>
          <w:rFonts w:ascii="Arial" w:hAnsi="Arial" w:cs="Arial"/>
          <w:sz w:val="22"/>
          <w:lang w:val="en-GB"/>
        </w:rPr>
        <w:t>,</w:t>
      </w:r>
      <w:r w:rsidRPr="00EA1AB8">
        <w:rPr>
          <w:rFonts w:ascii="Arial" w:hAnsi="Arial" w:cs="Arial"/>
          <w:sz w:val="22"/>
          <w:lang w:val="en-GB"/>
        </w:rPr>
        <w:t xml:space="preserve"> and </w:t>
      </w:r>
      <w:proofErr w:type="spellStart"/>
      <w:r w:rsidRPr="00EA1AB8">
        <w:rPr>
          <w:rFonts w:ascii="Arial" w:hAnsi="Arial" w:cs="Arial"/>
          <w:sz w:val="22"/>
          <w:lang w:val="en-GB"/>
        </w:rPr>
        <w:t>Ramingwong</w:t>
      </w:r>
      <w:proofErr w:type="spellEnd"/>
      <w:r w:rsidRPr="00EA1AB8">
        <w:rPr>
          <w:rFonts w:ascii="Arial" w:hAnsi="Arial" w:cs="Arial"/>
          <w:sz w:val="22"/>
          <w:lang w:val="en-GB"/>
        </w:rPr>
        <w:t xml:space="preserve"> (2021) stated that the Ansoff matrix is a </w:t>
      </w:r>
      <w:r w:rsidRPr="00EA1AB8">
        <w:rPr>
          <w:rFonts w:ascii="Arial" w:hAnsi="Arial" w:cs="Arial"/>
          <w:sz w:val="22"/>
          <w:lang w:val="en-GB"/>
        </w:rPr>
        <w:lastRenderedPageBreak/>
        <w:t xml:space="preserve">practical and efficient marketing tool used for deliberate judgement about a firm’s growth strategies. It suggests four different strategies namely market penetration, market development, product development, and diversification that can allow a company to grow its business. As per the view of Tien (2020), </w:t>
      </w:r>
      <w:r w:rsidR="003878E2" w:rsidRPr="003878E2">
        <w:rPr>
          <w:rFonts w:ascii="Arial" w:hAnsi="Arial" w:cs="Arial"/>
          <w:sz w:val="22"/>
          <w:lang w:val="en-GB"/>
        </w:rPr>
        <w:t xml:space="preserve">the market penetration strategy aims </w:t>
      </w:r>
      <w:r w:rsidRPr="00EA1AB8">
        <w:rPr>
          <w:rFonts w:ascii="Arial" w:hAnsi="Arial" w:cs="Arial"/>
          <w:sz w:val="22"/>
          <w:lang w:val="en-GB"/>
        </w:rPr>
        <w:t xml:space="preserve">to increase the consumption of the existing product in the market to gain a competitive edge. Various methods that can be included in this strategy are increasing the number of sellers, amplifying public relations efforts, enhancing advertising costs, and more. </w:t>
      </w:r>
    </w:p>
    <w:p w14:paraId="1DABFB80" w14:textId="77777777" w:rsidR="00E23CAB" w:rsidRPr="00EA1AB8" w:rsidRDefault="00E23CAB" w:rsidP="00E23CAB">
      <w:pPr>
        <w:rPr>
          <w:rFonts w:ascii="Arial" w:hAnsi="Arial" w:cs="Arial"/>
          <w:sz w:val="22"/>
          <w:lang w:val="en-GB"/>
        </w:rPr>
      </w:pPr>
      <w:r w:rsidRPr="00EA1AB8">
        <w:rPr>
          <w:rFonts w:ascii="Arial" w:hAnsi="Arial" w:cs="Arial"/>
          <w:sz w:val="22"/>
          <w:lang w:val="en-GB"/>
        </w:rPr>
        <w:t xml:space="preserve">Considering that Milton Sandford Wines’ clients include top restaurants, hotels, and gastropubs, for its strategic growth, it will be beneficial for the company to utilise a market penetration strategy (Milton Sandford Wines, 2024). In this case, it will be beneficial for the company to increase its number of customers to make itself more known to its customers. In addition to its current customer base, partnering with medium-sized restaurants, pubs, and bars, in the UK will allow the company to expand its business in the market. As of 2022, the number of pubs and bars in the UK has accounted for 27,650 which is a considerably high number and hence, working with them and offering them its products will be useful for the company to grow its business (IBIS World, 2023). This way, the company will be able to increase its customer base enabling it to generate higher profit. Moreover, a market penetration strategy does not require high financial investment which in tune with its low financial performance will be the most appropriate. However, </w:t>
      </w:r>
      <w:proofErr w:type="spellStart"/>
      <w:r w:rsidRPr="00EA1AB8">
        <w:rPr>
          <w:rFonts w:ascii="Arial" w:hAnsi="Arial" w:cs="Arial"/>
          <w:sz w:val="22"/>
          <w:lang w:val="en-GB"/>
        </w:rPr>
        <w:t>Peterdy</w:t>
      </w:r>
      <w:proofErr w:type="spellEnd"/>
      <w:r w:rsidRPr="00EA1AB8">
        <w:rPr>
          <w:rFonts w:ascii="Arial" w:hAnsi="Arial" w:cs="Arial"/>
          <w:sz w:val="22"/>
          <w:lang w:val="en-GB"/>
        </w:rPr>
        <w:t xml:space="preserve"> (2024) has stated that this needs companies to increase marketing efforts and streamline the distribution process which can be a challenge considering that the company does not invest much in marketing. </w:t>
      </w:r>
    </w:p>
    <w:p w14:paraId="4350713F" w14:textId="3B9F8748" w:rsidR="00BA124A" w:rsidRPr="00EA1AB8" w:rsidRDefault="00BA124A" w:rsidP="0099144F">
      <w:pPr>
        <w:pStyle w:val="Heading2"/>
        <w:rPr>
          <w:lang w:val="en-GB"/>
        </w:rPr>
      </w:pPr>
      <w:bookmarkStart w:id="7" w:name="_Toc160186143"/>
      <w:r w:rsidRPr="0099144F">
        <w:t>R</w:t>
      </w:r>
      <w:r w:rsidR="00E23CAB" w:rsidRPr="0099144F">
        <w:t>ecommendations</w:t>
      </w:r>
      <w:bookmarkEnd w:id="7"/>
      <w:r w:rsidR="00547733" w:rsidRPr="00EA1AB8">
        <w:rPr>
          <w:lang w:val="en-GB"/>
        </w:rPr>
        <w:t xml:space="preserve"> </w:t>
      </w:r>
    </w:p>
    <w:p w14:paraId="572719A5" w14:textId="77777777" w:rsidR="00212FB1" w:rsidRPr="00212FB1" w:rsidRDefault="00212FB1" w:rsidP="00212FB1">
      <w:pPr>
        <w:numPr>
          <w:ilvl w:val="0"/>
          <w:numId w:val="5"/>
        </w:numPr>
        <w:contextualSpacing/>
        <w:rPr>
          <w:rFonts w:ascii="Arial" w:hAnsi="Arial" w:cs="Arial"/>
          <w:sz w:val="22"/>
          <w:lang w:val="en-GB"/>
        </w:rPr>
      </w:pPr>
      <w:r w:rsidRPr="00212FB1">
        <w:rPr>
          <w:rFonts w:ascii="Arial" w:hAnsi="Arial" w:cs="Arial"/>
          <w:sz w:val="22"/>
          <w:lang w:val="en-GB"/>
        </w:rPr>
        <w:t xml:space="preserve">Target marketing can be useful in enhancing the brand awareness and visibility of the company. It produces innovative concepts regarding products to meet customer standards </w:t>
      </w:r>
      <w:r w:rsidRPr="00212FB1">
        <w:rPr>
          <w:rFonts w:ascii="Arial" w:hAnsi="Arial" w:cs="Arial"/>
          <w:sz w:val="22"/>
          <w:shd w:val="clear" w:color="auto" w:fill="FFFFFF"/>
          <w:lang w:val="en-GB"/>
        </w:rPr>
        <w:t xml:space="preserve">(Rosário and Raimundo 2021). </w:t>
      </w:r>
    </w:p>
    <w:p w14:paraId="120FC58E" w14:textId="77777777" w:rsidR="00212FB1" w:rsidRPr="00212FB1" w:rsidRDefault="00212FB1" w:rsidP="00212FB1">
      <w:pPr>
        <w:numPr>
          <w:ilvl w:val="0"/>
          <w:numId w:val="5"/>
        </w:numPr>
        <w:contextualSpacing/>
        <w:rPr>
          <w:rFonts w:ascii="Arial" w:hAnsi="Arial" w:cs="Arial"/>
          <w:sz w:val="22"/>
          <w:lang w:val="en-GB"/>
        </w:rPr>
      </w:pPr>
      <w:r w:rsidRPr="00212FB1">
        <w:rPr>
          <w:rFonts w:ascii="Arial" w:hAnsi="Arial" w:cs="Arial"/>
          <w:sz w:val="22"/>
          <w:shd w:val="clear" w:color="auto" w:fill="FFFFFF"/>
          <w:lang w:val="en-GB"/>
        </w:rPr>
        <w:t xml:space="preserve">Employee training can be useful for enhancing the skills of its current workforce. </w:t>
      </w:r>
      <w:proofErr w:type="spellStart"/>
      <w:r w:rsidRPr="00212FB1">
        <w:rPr>
          <w:rFonts w:ascii="Arial" w:hAnsi="Arial" w:cs="Arial"/>
          <w:sz w:val="22"/>
          <w:shd w:val="clear" w:color="auto" w:fill="FFFFFF"/>
          <w:lang w:val="en-GB"/>
        </w:rPr>
        <w:t>Sugiarti</w:t>
      </w:r>
      <w:proofErr w:type="spellEnd"/>
      <w:r w:rsidRPr="00212FB1">
        <w:rPr>
          <w:rFonts w:ascii="Arial" w:hAnsi="Arial" w:cs="Arial"/>
          <w:sz w:val="22"/>
          <w:shd w:val="clear" w:color="auto" w:fill="FFFFFF"/>
          <w:lang w:val="en-GB"/>
        </w:rPr>
        <w:t xml:space="preserve"> (2022) stated that training is a short-term educational process that can aid employees in developing their skills. </w:t>
      </w:r>
    </w:p>
    <w:p w14:paraId="021AA0AC" w14:textId="0DAB798D" w:rsidR="00212FB1" w:rsidRPr="00212FB1" w:rsidRDefault="00212FB1" w:rsidP="00212FB1">
      <w:pPr>
        <w:numPr>
          <w:ilvl w:val="0"/>
          <w:numId w:val="5"/>
        </w:numPr>
        <w:contextualSpacing/>
        <w:rPr>
          <w:rFonts w:ascii="Arial" w:hAnsi="Arial" w:cs="Arial"/>
          <w:sz w:val="22"/>
          <w:lang w:val="en-GB"/>
        </w:rPr>
      </w:pPr>
      <w:r w:rsidRPr="00212FB1">
        <w:rPr>
          <w:rFonts w:ascii="Arial" w:hAnsi="Arial" w:cs="Arial"/>
          <w:sz w:val="22"/>
          <w:shd w:val="clear" w:color="auto" w:fill="FFFFFF"/>
          <w:lang w:val="en-GB"/>
        </w:rPr>
        <w:t>Azam, Khan</w:t>
      </w:r>
      <w:r w:rsidR="00822EAB">
        <w:rPr>
          <w:rFonts w:ascii="Arial" w:hAnsi="Arial" w:cs="Arial"/>
          <w:sz w:val="22"/>
          <w:shd w:val="clear" w:color="auto" w:fill="FFFFFF"/>
          <w:lang w:val="en-GB"/>
        </w:rPr>
        <w:t>,</w:t>
      </w:r>
      <w:r w:rsidRPr="00212FB1">
        <w:rPr>
          <w:rFonts w:ascii="Arial" w:hAnsi="Arial" w:cs="Arial"/>
          <w:sz w:val="22"/>
          <w:shd w:val="clear" w:color="auto" w:fill="FFFFFF"/>
          <w:lang w:val="en-GB"/>
        </w:rPr>
        <w:t xml:space="preserve"> and Ali (2023) stated that sustainable practices aid in addressing environmental issues and hence, Milton Sandford Wines Ltd will benefit from enhancing its current sustainable practices.</w:t>
      </w:r>
    </w:p>
    <w:p w14:paraId="69DC1312" w14:textId="112EE61C" w:rsidR="00E23CAB" w:rsidRPr="00EA1AB8" w:rsidRDefault="00571D19" w:rsidP="0099144F">
      <w:pPr>
        <w:pStyle w:val="Heading2"/>
        <w:rPr>
          <w:lang w:val="en-GB"/>
        </w:rPr>
      </w:pPr>
      <w:bookmarkStart w:id="8" w:name="_Toc160186144"/>
      <w:r w:rsidRPr="00EA1AB8">
        <w:rPr>
          <w:lang w:val="en-GB"/>
        </w:rPr>
        <w:t>C</w:t>
      </w:r>
      <w:r w:rsidR="00E23CAB" w:rsidRPr="00EA1AB8">
        <w:rPr>
          <w:lang w:val="en-GB"/>
        </w:rPr>
        <w:t xml:space="preserve">hallenges SMEs </w:t>
      </w:r>
      <w:r w:rsidR="00E23CAB" w:rsidRPr="0099144F">
        <w:t>encounter</w:t>
      </w:r>
      <w:r w:rsidR="00E23CAB" w:rsidRPr="00EA1AB8">
        <w:rPr>
          <w:lang w:val="en-GB"/>
        </w:rPr>
        <w:t xml:space="preserve"> in implementing strategic direction.</w:t>
      </w:r>
      <w:bookmarkEnd w:id="8"/>
      <w:r w:rsidR="00E23CAB" w:rsidRPr="00EA1AB8">
        <w:rPr>
          <w:lang w:val="en-GB"/>
        </w:rPr>
        <w:t xml:space="preserve"> </w:t>
      </w:r>
    </w:p>
    <w:p w14:paraId="3AD494DF" w14:textId="77777777" w:rsidR="00E23CAB" w:rsidRPr="00EA1AB8" w:rsidRDefault="00E23CAB" w:rsidP="00E23CAB">
      <w:pPr>
        <w:rPr>
          <w:rFonts w:ascii="Arial" w:hAnsi="Arial" w:cs="Arial"/>
          <w:b/>
          <w:bCs/>
          <w:i/>
          <w:iCs/>
          <w:sz w:val="22"/>
          <w:u w:val="single"/>
          <w:lang w:val="en-GB"/>
        </w:rPr>
      </w:pPr>
      <w:r w:rsidRPr="00EA1AB8">
        <w:rPr>
          <w:rFonts w:ascii="Arial" w:hAnsi="Arial" w:cs="Arial"/>
          <w:b/>
          <w:bCs/>
          <w:i/>
          <w:iCs/>
          <w:sz w:val="22"/>
          <w:u w:val="single"/>
          <w:lang w:val="en-GB"/>
        </w:rPr>
        <w:t xml:space="preserve">Developing targeted marketing strategies </w:t>
      </w:r>
    </w:p>
    <w:p w14:paraId="0860081B" w14:textId="77777777" w:rsidR="00E23CAB" w:rsidRPr="00EA1AB8" w:rsidRDefault="00E23CAB" w:rsidP="00E23CAB">
      <w:pPr>
        <w:rPr>
          <w:rFonts w:ascii="Arial" w:hAnsi="Arial" w:cs="Arial"/>
          <w:sz w:val="22"/>
          <w:lang w:val="en-GB"/>
        </w:rPr>
      </w:pPr>
      <w:r w:rsidRPr="00EA1AB8">
        <w:rPr>
          <w:rFonts w:ascii="Arial" w:hAnsi="Arial" w:cs="Arial"/>
          <w:sz w:val="22"/>
          <w:lang w:val="en-GB"/>
        </w:rPr>
        <w:lastRenderedPageBreak/>
        <w:t xml:space="preserve">It is recommended Milton Sandford Wines Ltd. enhance its brand awareness and diversify its customer base with the help of targeted marketing. As explained by </w:t>
      </w:r>
      <w:bookmarkStart w:id="9" w:name="_Hlk158903163"/>
      <w:r w:rsidRPr="00EA1AB8">
        <w:rPr>
          <w:rFonts w:ascii="Arial" w:hAnsi="Arial" w:cs="Arial"/>
          <w:sz w:val="22"/>
          <w:shd w:val="clear" w:color="auto" w:fill="FFFFFF"/>
          <w:lang w:val="en-GB"/>
        </w:rPr>
        <w:t xml:space="preserve">Rosário and Raimundo (2021) </w:t>
      </w:r>
      <w:bookmarkEnd w:id="9"/>
      <w:r w:rsidRPr="00EA1AB8">
        <w:rPr>
          <w:rFonts w:ascii="Arial" w:hAnsi="Arial" w:cs="Arial"/>
          <w:sz w:val="22"/>
          <w:shd w:val="clear" w:color="auto" w:fill="FFFFFF"/>
          <w:lang w:val="en-GB"/>
        </w:rPr>
        <w:t xml:space="preserve">targeted marketing helps to produce innovative concepts on the services or products depending on consumer standards or needs. </w:t>
      </w:r>
      <w:r w:rsidRPr="00EA1AB8">
        <w:rPr>
          <w:rFonts w:ascii="Arial" w:hAnsi="Arial" w:cs="Arial"/>
          <w:sz w:val="22"/>
          <w:lang w:val="en-GB"/>
        </w:rPr>
        <w:t>Milton Sandford Wines Ltd. while maintaining its B2B focus can partner with selected influencers as a part of its target marketing. This will help the brand to showcase its wines through online content reviews or hosting exclusive events. On the other hand, developing social media strategies as a part of targeted marketing will also help Milton Sandford Wines Ltd. to attract wine enthusiasts and sommeliers.</w:t>
      </w:r>
    </w:p>
    <w:p w14:paraId="6723A629" w14:textId="77777777" w:rsidR="00E23CAB" w:rsidRPr="00EA1AB8" w:rsidRDefault="00E23CAB" w:rsidP="00E23CAB">
      <w:pPr>
        <w:rPr>
          <w:rFonts w:ascii="Arial" w:hAnsi="Arial" w:cs="Arial"/>
          <w:b/>
          <w:bCs/>
          <w:i/>
          <w:iCs/>
          <w:sz w:val="22"/>
          <w:u w:val="single"/>
          <w:lang w:val="en-GB"/>
        </w:rPr>
      </w:pPr>
      <w:r w:rsidRPr="00EA1AB8">
        <w:rPr>
          <w:rFonts w:ascii="Arial" w:hAnsi="Arial" w:cs="Arial"/>
          <w:b/>
          <w:bCs/>
          <w:i/>
          <w:iCs/>
          <w:sz w:val="22"/>
          <w:u w:val="single"/>
          <w:lang w:val="en-GB"/>
        </w:rPr>
        <w:t>Ensuring employee engagement through training and developmental activities</w:t>
      </w:r>
    </w:p>
    <w:p w14:paraId="5DAA4F21" w14:textId="77777777" w:rsidR="00E23CAB" w:rsidRPr="00EA1AB8" w:rsidRDefault="00E23CAB" w:rsidP="00E23CAB">
      <w:pPr>
        <w:rPr>
          <w:rFonts w:ascii="Arial" w:hAnsi="Arial" w:cs="Arial"/>
          <w:sz w:val="22"/>
          <w:lang w:val="en-GB"/>
        </w:rPr>
      </w:pPr>
      <w:r w:rsidRPr="00EA1AB8">
        <w:rPr>
          <w:rFonts w:ascii="Arial" w:hAnsi="Arial" w:cs="Arial"/>
          <w:sz w:val="22"/>
          <w:lang w:val="en-GB"/>
        </w:rPr>
        <w:t xml:space="preserve">It is suggested that Milton Sandford Wines Ltd. invests in employee training and developmental programmes that contribute directly towards increased employee engagement. As proposed by </w:t>
      </w:r>
      <w:bookmarkStart w:id="10" w:name="_Hlk158903214"/>
      <w:r w:rsidRPr="00EA1AB8">
        <w:rPr>
          <w:rFonts w:ascii="Arial" w:hAnsi="Arial" w:cs="Arial"/>
          <w:sz w:val="22"/>
          <w:shd w:val="clear" w:color="auto" w:fill="FFFFFF"/>
          <w:lang w:val="en-GB"/>
        </w:rPr>
        <w:t xml:space="preserve">Sugiarti (2022) </w:t>
      </w:r>
      <w:bookmarkEnd w:id="10"/>
      <w:r w:rsidRPr="00EA1AB8">
        <w:rPr>
          <w:rFonts w:ascii="Arial" w:hAnsi="Arial" w:cs="Arial"/>
          <w:sz w:val="22"/>
          <w:shd w:val="clear" w:color="auto" w:fill="FFFFFF"/>
          <w:lang w:val="en-GB"/>
        </w:rPr>
        <w:t xml:space="preserve">training is referred to as a short-term educational procedure that makes wise use of organised and systematic processes. Training, on the other hand, is known to benefit employees with an ability to develop abilities, and skills and enhance knowledge to better understand and gain expertise. In the case of </w:t>
      </w:r>
      <w:r w:rsidRPr="00EA1AB8">
        <w:rPr>
          <w:rFonts w:ascii="Arial" w:hAnsi="Arial" w:cs="Arial"/>
          <w:sz w:val="22"/>
          <w:lang w:val="en-GB"/>
        </w:rPr>
        <w:t xml:space="preserve">Milton Sandford Wines Ltd., investing in employee training programs will help them concentrate on sustainability practice, customer service, and wine knowledge. This, in turn, will also help the organisation to attract and retain a set of highly motivated and knowledgeable workforce thus enhancing brand reputation and customer satisfaction. It will also help the brand to strengthen its workforce minimising turnover rates. </w:t>
      </w:r>
    </w:p>
    <w:p w14:paraId="69AA95D4" w14:textId="77777777" w:rsidR="00E23CAB" w:rsidRPr="00EA1AB8" w:rsidRDefault="00E23CAB" w:rsidP="00E23CAB">
      <w:pPr>
        <w:rPr>
          <w:rFonts w:ascii="Arial" w:hAnsi="Arial" w:cs="Arial"/>
          <w:b/>
          <w:bCs/>
          <w:i/>
          <w:iCs/>
          <w:sz w:val="22"/>
          <w:u w:val="single"/>
          <w:lang w:val="en-GB"/>
        </w:rPr>
      </w:pPr>
      <w:r w:rsidRPr="00EA1AB8">
        <w:rPr>
          <w:rFonts w:ascii="Arial" w:hAnsi="Arial" w:cs="Arial"/>
          <w:b/>
          <w:bCs/>
          <w:i/>
          <w:iCs/>
          <w:sz w:val="22"/>
          <w:u w:val="single"/>
          <w:lang w:val="en-GB"/>
        </w:rPr>
        <w:t xml:space="preserve">Investing in sustainable practices </w:t>
      </w:r>
    </w:p>
    <w:p w14:paraId="5042D4FC" w14:textId="77777777" w:rsidR="00E23CAB" w:rsidRPr="00EA1AB8" w:rsidRDefault="00E23CAB" w:rsidP="00E23CAB">
      <w:pPr>
        <w:rPr>
          <w:rFonts w:ascii="Arial" w:hAnsi="Arial" w:cs="Arial"/>
          <w:sz w:val="22"/>
          <w:lang w:val="en-GB"/>
        </w:rPr>
      </w:pPr>
      <w:r w:rsidRPr="00EA1AB8">
        <w:rPr>
          <w:rFonts w:ascii="Arial" w:hAnsi="Arial" w:cs="Arial"/>
          <w:sz w:val="22"/>
          <w:lang w:val="en-GB"/>
        </w:rPr>
        <w:t xml:space="preserve">It is advised that Milton Sandford Wines Ltd. invests in sustainable practices upon partnering with some brands promoting the concepts of sustainable business practices. As mentioned by </w:t>
      </w:r>
      <w:bookmarkStart w:id="11" w:name="_Hlk158903284"/>
      <w:r w:rsidRPr="00EA1AB8">
        <w:rPr>
          <w:rFonts w:ascii="Arial" w:hAnsi="Arial" w:cs="Arial"/>
          <w:sz w:val="22"/>
          <w:shd w:val="clear" w:color="auto" w:fill="FFFFFF"/>
          <w:lang w:val="en-GB"/>
        </w:rPr>
        <w:t xml:space="preserve">Azam, Khan and Ali (2023) </w:t>
      </w:r>
      <w:bookmarkEnd w:id="11"/>
      <w:r w:rsidRPr="00EA1AB8">
        <w:rPr>
          <w:rFonts w:ascii="Arial" w:hAnsi="Arial" w:cs="Arial"/>
          <w:sz w:val="22"/>
          <w:shd w:val="clear" w:color="auto" w:fill="FFFFFF"/>
          <w:lang w:val="en-GB"/>
        </w:rPr>
        <w:t xml:space="preserve">it is of utmost importance for organisations to design and develop sustainable business practices which help to address the environmental concerns. In such an instance, </w:t>
      </w:r>
      <w:r w:rsidRPr="00EA1AB8">
        <w:rPr>
          <w:rFonts w:ascii="Arial" w:hAnsi="Arial" w:cs="Arial"/>
          <w:sz w:val="22"/>
          <w:lang w:val="en-GB"/>
        </w:rPr>
        <w:t>Milton Sandford Wines Ltd. can partner with some of the prominent eco-friendly wineries in the country and invest in certain sustainable packaging solutions. The brand can introduce recyclable glass and biodegradable materials as its sustainability initiatives. This, in turn, will help Milton Sandford Wines Ltd. to align with environmental</w:t>
      </w:r>
      <w:r w:rsidRPr="00EA1AB8">
        <w:rPr>
          <w:rFonts w:ascii="Arial" w:hAnsi="Arial" w:cs="Arial"/>
          <w:sz w:val="22"/>
          <w:lang w:val="en-GB" w:eastAsia="en-IN"/>
        </w:rPr>
        <w:t xml:space="preserve"> regulations and resonate well with the socially conscious consumers in the country thus increasing its sales and revenue. </w:t>
      </w:r>
    </w:p>
    <w:p w14:paraId="2EF1A1C3" w14:textId="77777777" w:rsidR="00E23CAB" w:rsidRPr="00EA1AB8" w:rsidRDefault="00E23CAB" w:rsidP="00E23CAB">
      <w:pPr>
        <w:rPr>
          <w:rFonts w:ascii="Arial" w:hAnsi="Arial" w:cs="Arial"/>
          <w:b/>
          <w:bCs/>
          <w:i/>
          <w:iCs/>
          <w:sz w:val="22"/>
          <w:u w:val="single"/>
          <w:lang w:val="en-GB" w:eastAsia="en-IN"/>
        </w:rPr>
      </w:pPr>
      <w:r w:rsidRPr="00EA1AB8">
        <w:rPr>
          <w:rFonts w:ascii="Arial" w:hAnsi="Arial" w:cs="Arial"/>
          <w:b/>
          <w:bCs/>
          <w:i/>
          <w:iCs/>
          <w:sz w:val="22"/>
          <w:u w:val="single"/>
          <w:lang w:val="en-GB" w:eastAsia="en-IN"/>
        </w:rPr>
        <w:t xml:space="preserve">Optimising operations and integrating advanced technologies </w:t>
      </w:r>
    </w:p>
    <w:p w14:paraId="06D783FE" w14:textId="77777777" w:rsidR="00E23CAB" w:rsidRPr="00EA1AB8" w:rsidRDefault="00E23CAB" w:rsidP="00E23CAB">
      <w:pPr>
        <w:rPr>
          <w:rFonts w:ascii="Arial" w:hAnsi="Arial" w:cs="Arial"/>
          <w:sz w:val="22"/>
          <w:lang w:val="en-GB"/>
        </w:rPr>
      </w:pPr>
      <w:r w:rsidRPr="00EA1AB8">
        <w:rPr>
          <w:rFonts w:ascii="Arial" w:hAnsi="Arial" w:cs="Arial"/>
          <w:sz w:val="22"/>
          <w:lang w:val="en-GB"/>
        </w:rPr>
        <w:lastRenderedPageBreak/>
        <w:t xml:space="preserve">It is recommended that Milton Sandford Wines Ltd. encourages the adoption and integration of technologies to optimise its operations. As per Lee </w:t>
      </w:r>
      <w:r w:rsidRPr="00EA1AB8">
        <w:rPr>
          <w:rFonts w:ascii="Arial" w:hAnsi="Arial" w:cs="Arial"/>
          <w:i/>
          <w:iCs/>
          <w:sz w:val="22"/>
          <w:lang w:val="en-GB"/>
        </w:rPr>
        <w:t xml:space="preserve">et al. </w:t>
      </w:r>
      <w:r w:rsidRPr="00EA1AB8">
        <w:rPr>
          <w:rFonts w:ascii="Arial" w:hAnsi="Arial" w:cs="Arial"/>
          <w:sz w:val="22"/>
          <w:lang w:val="en-GB"/>
        </w:rPr>
        <w:t>(2022), technological integration within businesses helps in enhancing productivity and efficiency within the organisation. It also the businesses to empower their workforce so that they concentrate on high-value activities through leveraging data-driven insights and automating repetitive tasks. For Milton Sandford Wines Ltd., technology integration will help to explore logistics management software so that the brand can optimise its delivery routes and minimise its overall transportation expenses. Implementing a digital age verification system will also help the firm comply with its legal requirements by enhancing the sales processes.</w:t>
      </w:r>
    </w:p>
    <w:p w14:paraId="14EF6C10" w14:textId="3E4A8401" w:rsidR="00E23CAB" w:rsidRPr="00EA1AB8" w:rsidRDefault="00BA124A" w:rsidP="0099144F">
      <w:pPr>
        <w:pStyle w:val="Heading2"/>
        <w:rPr>
          <w:lang w:val="en-GB"/>
        </w:rPr>
      </w:pPr>
      <w:bookmarkStart w:id="12" w:name="_Toc160186145"/>
      <w:r w:rsidRPr="0099144F">
        <w:t>C</w:t>
      </w:r>
      <w:r w:rsidR="00E23CAB" w:rsidRPr="0099144F">
        <w:t>onclusion</w:t>
      </w:r>
      <w:r w:rsidRPr="00EA1AB8">
        <w:rPr>
          <w:lang w:val="en-GB"/>
        </w:rPr>
        <w:t>.</w:t>
      </w:r>
      <w:bookmarkEnd w:id="12"/>
    </w:p>
    <w:p w14:paraId="40114B8C" w14:textId="3DBC751C" w:rsidR="00E23CAB" w:rsidRPr="00EA1AB8" w:rsidRDefault="00E23CAB" w:rsidP="00E23CAB">
      <w:pPr>
        <w:rPr>
          <w:rFonts w:ascii="Arial" w:hAnsi="Arial" w:cs="Arial"/>
          <w:sz w:val="22"/>
          <w:lang w:val="en-GB"/>
        </w:rPr>
      </w:pPr>
      <w:r w:rsidRPr="00EA1AB8">
        <w:rPr>
          <w:rFonts w:ascii="Arial" w:hAnsi="Arial" w:cs="Arial"/>
          <w:sz w:val="22"/>
          <w:lang w:val="en-GB"/>
        </w:rPr>
        <w:t>In conclusion, Milton Sandford Wines has maintained its position in the market through its current strategic directions such as ensuring the highest standards, establishing positive relationships with its wine producers, and more. Factors like high tax rates for alcohol companies, high competition, and more will act as barriers although the external environment is considerably favourable for the company. Contrarily, its low financial assets and workforce are its weaknesses. The major stakeholders of the company are investors, the board of directors, customers, and employees, and using a market entry strategy will be the most suitable strategy for its growth. Recommendations for future development include target marketing</w:t>
      </w:r>
      <w:r w:rsidR="0099144F">
        <w:rPr>
          <w:rFonts w:ascii="Arial" w:hAnsi="Arial" w:cs="Arial"/>
          <w:sz w:val="22"/>
          <w:lang w:val="en-GB"/>
        </w:rPr>
        <w:t xml:space="preserve"> and</w:t>
      </w:r>
      <w:r w:rsidRPr="00EA1AB8">
        <w:rPr>
          <w:rFonts w:ascii="Arial" w:hAnsi="Arial" w:cs="Arial"/>
          <w:sz w:val="22"/>
          <w:lang w:val="en-GB"/>
        </w:rPr>
        <w:t xml:space="preserve"> employee engagemen</w:t>
      </w:r>
      <w:r w:rsidR="0099144F">
        <w:rPr>
          <w:rFonts w:ascii="Arial" w:hAnsi="Arial" w:cs="Arial"/>
          <w:sz w:val="22"/>
          <w:lang w:val="en-GB"/>
        </w:rPr>
        <w:t>t</w:t>
      </w:r>
      <w:r w:rsidRPr="00EA1AB8">
        <w:rPr>
          <w:rFonts w:ascii="Arial" w:hAnsi="Arial" w:cs="Arial"/>
          <w:sz w:val="22"/>
          <w:lang w:val="en-GB"/>
        </w:rPr>
        <w:t xml:space="preserve">. </w:t>
      </w:r>
    </w:p>
    <w:p w14:paraId="728C1A5D" w14:textId="77777777" w:rsidR="00E23CAB" w:rsidRPr="00EA1AB8" w:rsidRDefault="00E23CAB" w:rsidP="00E23CAB">
      <w:pPr>
        <w:spacing w:line="259" w:lineRule="auto"/>
        <w:jc w:val="left"/>
        <w:rPr>
          <w:rFonts w:ascii="Arial" w:eastAsiaTheme="majorEastAsia" w:hAnsi="Arial" w:cs="Arial"/>
          <w:b/>
          <w:sz w:val="22"/>
          <w:lang w:val="en-GB"/>
        </w:rPr>
      </w:pPr>
      <w:r w:rsidRPr="00EA1AB8">
        <w:rPr>
          <w:rFonts w:ascii="Arial" w:hAnsi="Arial" w:cs="Arial"/>
          <w:sz w:val="22"/>
          <w:lang w:val="en-GB"/>
        </w:rPr>
        <w:br w:type="page"/>
      </w:r>
    </w:p>
    <w:p w14:paraId="03DC6031" w14:textId="57AD6DAB" w:rsidR="00E23CAB" w:rsidRPr="00EA1AB8" w:rsidRDefault="00E23CAB" w:rsidP="00BC680C">
      <w:pPr>
        <w:pStyle w:val="Heading2"/>
        <w:rPr>
          <w:lang w:val="en-GB"/>
        </w:rPr>
      </w:pPr>
      <w:bookmarkStart w:id="13" w:name="_Toc160186146"/>
      <w:r w:rsidRPr="00BC680C">
        <w:lastRenderedPageBreak/>
        <w:t>Reference</w:t>
      </w:r>
      <w:r w:rsidR="00221F4E" w:rsidRPr="00BC680C">
        <w:t>s</w:t>
      </w:r>
      <w:bookmarkEnd w:id="13"/>
    </w:p>
    <w:p w14:paraId="3862FBC3" w14:textId="0DC9EB46" w:rsidR="00E23CAB" w:rsidRPr="00EA1AB8" w:rsidRDefault="00E23CAB" w:rsidP="00E23CAB">
      <w:pPr>
        <w:rPr>
          <w:rFonts w:ascii="Arial" w:hAnsi="Arial" w:cs="Arial"/>
          <w:sz w:val="22"/>
          <w:lang w:val="en-GB"/>
        </w:rPr>
      </w:pPr>
      <w:r w:rsidRPr="00EA1AB8">
        <w:rPr>
          <w:rFonts w:ascii="Arial" w:hAnsi="Arial" w:cs="Arial"/>
          <w:sz w:val="22"/>
          <w:shd w:val="clear" w:color="auto" w:fill="FFFFFF"/>
          <w:lang w:val="en-GB"/>
        </w:rPr>
        <w:t xml:space="preserve">Azam, W., Khan, I. and Ali, S.A. (2023) </w:t>
      </w:r>
      <w:r w:rsidR="00BC680C">
        <w:rPr>
          <w:rFonts w:ascii="Arial" w:hAnsi="Arial" w:cs="Arial"/>
          <w:sz w:val="22"/>
          <w:shd w:val="clear" w:color="auto" w:fill="FFFFFF"/>
          <w:lang w:val="en-GB"/>
        </w:rPr>
        <w:t>‘</w:t>
      </w:r>
      <w:r w:rsidRPr="00EA1AB8">
        <w:rPr>
          <w:rFonts w:ascii="Arial" w:hAnsi="Arial" w:cs="Arial"/>
          <w:sz w:val="22"/>
          <w:shd w:val="clear" w:color="auto" w:fill="FFFFFF"/>
          <w:lang w:val="en-GB"/>
        </w:rPr>
        <w:t>Alternative energy and natural resources in determining environmental sustainability: a look at the role of government final consumption expenditures in France</w:t>
      </w:r>
      <w:r w:rsidR="00BC680C">
        <w:rPr>
          <w:rFonts w:ascii="Arial" w:hAnsi="Arial" w:cs="Arial"/>
          <w:sz w:val="22"/>
          <w:shd w:val="clear" w:color="auto" w:fill="FFFFFF"/>
          <w:lang w:val="en-GB"/>
        </w:rPr>
        <w:t>’,</w:t>
      </w:r>
      <w:r w:rsidRPr="00EA1AB8">
        <w:rPr>
          <w:rFonts w:ascii="Arial" w:hAnsi="Arial" w:cs="Arial"/>
          <w:sz w:val="22"/>
          <w:shd w:val="clear" w:color="auto" w:fill="FFFFFF"/>
          <w:lang w:val="en-GB"/>
        </w:rPr>
        <w:t> </w:t>
      </w:r>
      <w:r w:rsidRPr="00EA1AB8">
        <w:rPr>
          <w:rFonts w:ascii="Arial" w:hAnsi="Arial" w:cs="Arial"/>
          <w:i/>
          <w:iCs/>
          <w:sz w:val="22"/>
          <w:shd w:val="clear" w:color="auto" w:fill="FFFFFF"/>
          <w:lang w:val="en-GB"/>
        </w:rPr>
        <w:t>Environmental Science and Pollution Research</w:t>
      </w:r>
      <w:r w:rsidRPr="00EA1AB8">
        <w:rPr>
          <w:rFonts w:ascii="Arial" w:hAnsi="Arial" w:cs="Arial"/>
          <w:sz w:val="22"/>
          <w:shd w:val="clear" w:color="auto" w:fill="FFFFFF"/>
          <w:lang w:val="en-GB"/>
        </w:rPr>
        <w:t>, </w:t>
      </w:r>
      <w:r w:rsidRPr="00EA1AB8">
        <w:rPr>
          <w:rFonts w:ascii="Arial" w:hAnsi="Arial" w:cs="Arial"/>
          <w:i/>
          <w:iCs/>
          <w:sz w:val="22"/>
          <w:shd w:val="clear" w:color="auto" w:fill="FFFFFF"/>
          <w:lang w:val="en-GB"/>
        </w:rPr>
        <w:t>30</w:t>
      </w:r>
      <w:r w:rsidRPr="00EA1AB8">
        <w:rPr>
          <w:rFonts w:ascii="Arial" w:hAnsi="Arial" w:cs="Arial"/>
          <w:sz w:val="22"/>
          <w:shd w:val="clear" w:color="auto" w:fill="FFFFFF"/>
          <w:lang w:val="en-GB"/>
        </w:rPr>
        <w:t>(1), pp.1949-1965.</w:t>
      </w:r>
    </w:p>
    <w:p w14:paraId="48613803" w14:textId="11E95BCC" w:rsidR="00E23CAB" w:rsidRPr="00EA1AB8" w:rsidRDefault="00E23CAB" w:rsidP="00E23CAB">
      <w:pPr>
        <w:rPr>
          <w:rFonts w:ascii="Arial" w:hAnsi="Arial" w:cs="Arial"/>
          <w:sz w:val="22"/>
          <w:lang w:val="en-GB"/>
        </w:rPr>
      </w:pPr>
      <w:proofErr w:type="spellStart"/>
      <w:r w:rsidRPr="00EA1AB8">
        <w:rPr>
          <w:rFonts w:ascii="Arial" w:hAnsi="Arial" w:cs="Arial"/>
          <w:sz w:val="22"/>
          <w:lang w:val="en-GB"/>
        </w:rPr>
        <w:t>BoldData</w:t>
      </w:r>
      <w:proofErr w:type="spellEnd"/>
      <w:r w:rsidRPr="00EA1AB8">
        <w:rPr>
          <w:rFonts w:ascii="Arial" w:hAnsi="Arial" w:cs="Arial"/>
          <w:sz w:val="22"/>
          <w:lang w:val="en-GB"/>
        </w:rPr>
        <w:t xml:space="preserve"> (2023) </w:t>
      </w:r>
      <w:r w:rsidRPr="00BC680C">
        <w:rPr>
          <w:rFonts w:ascii="Arial" w:hAnsi="Arial" w:cs="Arial"/>
          <w:sz w:val="22"/>
          <w:lang w:val="en-GB"/>
        </w:rPr>
        <w:t xml:space="preserve">Top 50 </w:t>
      </w:r>
      <w:r w:rsidR="00BC680C">
        <w:rPr>
          <w:rFonts w:ascii="Arial" w:hAnsi="Arial" w:cs="Arial"/>
          <w:sz w:val="22"/>
          <w:lang w:val="en-GB"/>
        </w:rPr>
        <w:t>l</w:t>
      </w:r>
      <w:r w:rsidRPr="00BC680C">
        <w:rPr>
          <w:rFonts w:ascii="Arial" w:hAnsi="Arial" w:cs="Arial"/>
          <w:sz w:val="22"/>
          <w:lang w:val="en-GB"/>
        </w:rPr>
        <w:t xml:space="preserve">argest </w:t>
      </w:r>
      <w:r w:rsidR="00BC680C">
        <w:rPr>
          <w:rFonts w:ascii="Arial" w:hAnsi="Arial" w:cs="Arial"/>
          <w:sz w:val="22"/>
          <w:lang w:val="en-GB"/>
        </w:rPr>
        <w:t>w</w:t>
      </w:r>
      <w:r w:rsidRPr="00BC680C">
        <w:rPr>
          <w:rFonts w:ascii="Arial" w:hAnsi="Arial" w:cs="Arial"/>
          <w:sz w:val="22"/>
          <w:lang w:val="en-GB"/>
        </w:rPr>
        <w:t xml:space="preserve">ine </w:t>
      </w:r>
      <w:r w:rsidR="00BC680C">
        <w:rPr>
          <w:rFonts w:ascii="Arial" w:hAnsi="Arial" w:cs="Arial"/>
          <w:sz w:val="22"/>
          <w:lang w:val="en-GB"/>
        </w:rPr>
        <w:t>c</w:t>
      </w:r>
      <w:r w:rsidRPr="00BC680C">
        <w:rPr>
          <w:rFonts w:ascii="Arial" w:hAnsi="Arial" w:cs="Arial"/>
          <w:sz w:val="22"/>
          <w:lang w:val="en-GB"/>
        </w:rPr>
        <w:t>ompanies UK</w:t>
      </w:r>
      <w:r w:rsidR="00BC680C">
        <w:rPr>
          <w:rFonts w:ascii="Arial" w:hAnsi="Arial" w:cs="Arial"/>
          <w:i/>
          <w:iCs/>
          <w:sz w:val="22"/>
          <w:lang w:val="en-GB"/>
        </w:rPr>
        <w:t>.</w:t>
      </w:r>
      <w:r w:rsidRPr="00EA1AB8">
        <w:rPr>
          <w:rFonts w:ascii="Arial" w:hAnsi="Arial" w:cs="Arial"/>
          <w:i/>
          <w:iCs/>
          <w:sz w:val="22"/>
          <w:lang w:val="en-GB"/>
        </w:rPr>
        <w:t xml:space="preserve"> </w:t>
      </w:r>
      <w:r w:rsidRPr="00EA1AB8">
        <w:rPr>
          <w:rFonts w:ascii="Arial" w:hAnsi="Arial" w:cs="Arial"/>
          <w:sz w:val="22"/>
          <w:lang w:val="en-GB"/>
        </w:rPr>
        <w:t xml:space="preserve"> Available </w:t>
      </w:r>
      <w:proofErr w:type="gramStart"/>
      <w:r w:rsidRPr="00EA1AB8">
        <w:rPr>
          <w:rFonts w:ascii="Arial" w:hAnsi="Arial" w:cs="Arial"/>
          <w:sz w:val="22"/>
          <w:lang w:val="en-GB"/>
        </w:rPr>
        <w:t>at:https://bolddata.nl/en/companies/uk/wine-companies-uk/#:~:text=The%20total%20number%20of%20Wine%20Companies%20UK%20is%2010%2C954</w:t>
      </w:r>
      <w:proofErr w:type="gramEnd"/>
      <w:r w:rsidRPr="00EA1AB8">
        <w:rPr>
          <w:rFonts w:ascii="Arial" w:hAnsi="Arial" w:cs="Arial"/>
          <w:sz w:val="22"/>
          <w:lang w:val="en-GB"/>
        </w:rPr>
        <w:t>. (Accessed: 15 February 2024).</w:t>
      </w:r>
    </w:p>
    <w:p w14:paraId="54AEB291" w14:textId="77777777" w:rsidR="00E23CAB" w:rsidRPr="00EA1AB8" w:rsidRDefault="00E23CAB" w:rsidP="00E23CAB">
      <w:pPr>
        <w:rPr>
          <w:rFonts w:ascii="Arial" w:hAnsi="Arial" w:cs="Arial"/>
          <w:sz w:val="22"/>
          <w:lang w:val="en-GB"/>
        </w:rPr>
      </w:pPr>
      <w:r w:rsidRPr="00EA1AB8">
        <w:rPr>
          <w:rFonts w:ascii="Arial" w:hAnsi="Arial" w:cs="Arial"/>
          <w:sz w:val="22"/>
          <w:lang w:val="en-GB"/>
        </w:rPr>
        <w:t xml:space="preserve">CATAPULT (2021) </w:t>
      </w:r>
      <w:r w:rsidRPr="00BC680C">
        <w:rPr>
          <w:rFonts w:ascii="Arial" w:hAnsi="Arial" w:cs="Arial"/>
          <w:sz w:val="22"/>
          <w:lang w:val="en-GB"/>
        </w:rPr>
        <w:t>New global index ranks UK first in Europe for advanced digital technology</w:t>
      </w:r>
      <w:r w:rsidRPr="00EA1AB8">
        <w:rPr>
          <w:rFonts w:ascii="Arial" w:hAnsi="Arial" w:cs="Arial"/>
          <w:sz w:val="22"/>
          <w:lang w:val="en-GB"/>
        </w:rPr>
        <w:t xml:space="preserve">. Available at: https://www.digicatapult.org.uk/about/press-releases/post/new-global-index-ranks-uk-first-in-europe-for-advanced-digital-technology/ (Accessed: 15 February 2024). </w:t>
      </w:r>
    </w:p>
    <w:p w14:paraId="4D053898" w14:textId="1F257080" w:rsidR="00E23CAB" w:rsidRPr="00EA1AB8" w:rsidRDefault="00E23CAB" w:rsidP="00E23CAB">
      <w:pPr>
        <w:rPr>
          <w:rFonts w:ascii="Arial" w:hAnsi="Arial" w:cs="Arial"/>
          <w:sz w:val="22"/>
          <w:lang w:val="en-GB"/>
        </w:rPr>
      </w:pPr>
      <w:proofErr w:type="spellStart"/>
      <w:r w:rsidRPr="00EA1AB8">
        <w:rPr>
          <w:rFonts w:ascii="Arial" w:hAnsi="Arial" w:cs="Arial"/>
          <w:sz w:val="22"/>
          <w:lang w:val="en-GB"/>
        </w:rPr>
        <w:t>Endole</w:t>
      </w:r>
      <w:proofErr w:type="spellEnd"/>
      <w:r w:rsidRPr="00EA1AB8">
        <w:rPr>
          <w:rFonts w:ascii="Arial" w:hAnsi="Arial" w:cs="Arial"/>
          <w:sz w:val="22"/>
          <w:lang w:val="en-GB"/>
        </w:rPr>
        <w:t xml:space="preserve"> (2024) </w:t>
      </w:r>
      <w:r w:rsidRPr="00BC680C">
        <w:rPr>
          <w:rFonts w:ascii="Arial" w:hAnsi="Arial" w:cs="Arial"/>
          <w:sz w:val="22"/>
          <w:lang w:val="en-GB"/>
        </w:rPr>
        <w:t>Milton Sandford Wines Limited</w:t>
      </w:r>
      <w:r w:rsidR="00547733" w:rsidRPr="00EA1AB8">
        <w:rPr>
          <w:rFonts w:ascii="Arial" w:hAnsi="Arial" w:cs="Arial"/>
          <w:i/>
          <w:iCs/>
          <w:sz w:val="22"/>
          <w:lang w:val="en-GB"/>
        </w:rPr>
        <w:t>.</w:t>
      </w:r>
      <w:r w:rsidRPr="00EA1AB8">
        <w:rPr>
          <w:rFonts w:ascii="Arial" w:hAnsi="Arial" w:cs="Arial"/>
          <w:sz w:val="22"/>
          <w:lang w:val="en-GB"/>
        </w:rPr>
        <w:t xml:space="preserve"> Available at: https://suite.endole.co.uk/insight/company/05789388-milton-sandford-wines-limited (Accessed: 15 February 2024). </w:t>
      </w:r>
    </w:p>
    <w:p w14:paraId="5C5909D7" w14:textId="77777777" w:rsidR="00E23CAB" w:rsidRPr="00EA1AB8" w:rsidRDefault="00E23CAB" w:rsidP="00E23CAB">
      <w:pPr>
        <w:rPr>
          <w:rFonts w:ascii="Arial" w:hAnsi="Arial" w:cs="Arial"/>
          <w:sz w:val="22"/>
          <w:lang w:val="en-GB"/>
        </w:rPr>
      </w:pPr>
      <w:r w:rsidRPr="00EA1AB8">
        <w:rPr>
          <w:rFonts w:ascii="Arial" w:hAnsi="Arial" w:cs="Arial"/>
          <w:sz w:val="22"/>
          <w:lang w:val="en-GB"/>
        </w:rPr>
        <w:t xml:space="preserve">GOV.UK (2024) </w:t>
      </w:r>
      <w:r w:rsidRPr="00BC680C">
        <w:rPr>
          <w:rFonts w:ascii="Arial" w:hAnsi="Arial" w:cs="Arial"/>
          <w:sz w:val="22"/>
          <w:lang w:val="en-GB"/>
        </w:rPr>
        <w:t>Alcohol Duty rates</w:t>
      </w:r>
      <w:r w:rsidRPr="00EA1AB8">
        <w:rPr>
          <w:rFonts w:ascii="Arial" w:hAnsi="Arial" w:cs="Arial"/>
          <w:sz w:val="22"/>
          <w:lang w:val="en-GB"/>
        </w:rPr>
        <w:t xml:space="preserve">. Available at: https://www.gov.uk/guidance/alcohol-duty-rates (Accessed: 15 February 2024). </w:t>
      </w:r>
    </w:p>
    <w:p w14:paraId="5EDB6927" w14:textId="647D9AEA" w:rsidR="00E23CAB" w:rsidRPr="00EA1AB8" w:rsidRDefault="00E23CAB" w:rsidP="00E23CAB">
      <w:pPr>
        <w:rPr>
          <w:rFonts w:ascii="Arial" w:hAnsi="Arial" w:cs="Arial"/>
          <w:sz w:val="22"/>
          <w:lang w:val="en-GB"/>
        </w:rPr>
      </w:pPr>
      <w:r w:rsidRPr="00EA1AB8">
        <w:rPr>
          <w:rFonts w:ascii="Arial" w:hAnsi="Arial" w:cs="Arial"/>
          <w:sz w:val="22"/>
          <w:lang w:val="en-GB"/>
        </w:rPr>
        <w:t xml:space="preserve">Guenther, P. and Guenther, M. (2022) </w:t>
      </w:r>
      <w:r w:rsidR="00BC680C">
        <w:rPr>
          <w:rFonts w:ascii="Arial" w:hAnsi="Arial" w:cs="Arial"/>
          <w:sz w:val="22"/>
          <w:lang w:val="en-GB"/>
        </w:rPr>
        <w:t>‘</w:t>
      </w:r>
      <w:r w:rsidRPr="00EA1AB8">
        <w:rPr>
          <w:rFonts w:ascii="Arial" w:hAnsi="Arial" w:cs="Arial"/>
          <w:sz w:val="22"/>
          <w:lang w:val="en-GB"/>
        </w:rPr>
        <w:t>Can B2B firms benefit from competitors' advertising? A dynamic business environment perspective on an emerging communication form</w:t>
      </w:r>
      <w:r w:rsidR="00BC680C">
        <w:rPr>
          <w:rFonts w:ascii="Arial" w:hAnsi="Arial" w:cs="Arial"/>
          <w:sz w:val="22"/>
          <w:lang w:val="en-GB"/>
        </w:rPr>
        <w:t>’,</w:t>
      </w:r>
      <w:r w:rsidRPr="00EA1AB8">
        <w:rPr>
          <w:rFonts w:ascii="Arial" w:hAnsi="Arial" w:cs="Arial"/>
          <w:sz w:val="22"/>
          <w:lang w:val="en-GB"/>
        </w:rPr>
        <w:t> </w:t>
      </w:r>
      <w:r w:rsidRPr="00EA1AB8">
        <w:rPr>
          <w:rFonts w:ascii="Arial" w:hAnsi="Arial" w:cs="Arial"/>
          <w:i/>
          <w:iCs/>
          <w:sz w:val="22"/>
          <w:lang w:val="en-GB"/>
        </w:rPr>
        <w:t>Industrial Marketing Management</w:t>
      </w:r>
      <w:r w:rsidRPr="00EA1AB8">
        <w:rPr>
          <w:rFonts w:ascii="Arial" w:hAnsi="Arial" w:cs="Arial"/>
          <w:sz w:val="22"/>
          <w:lang w:val="en-GB"/>
        </w:rPr>
        <w:t>, </w:t>
      </w:r>
      <w:r w:rsidRPr="00EA1AB8">
        <w:rPr>
          <w:rFonts w:ascii="Arial" w:hAnsi="Arial" w:cs="Arial"/>
          <w:i/>
          <w:iCs/>
          <w:sz w:val="22"/>
          <w:lang w:val="en-GB"/>
        </w:rPr>
        <w:t>102</w:t>
      </w:r>
      <w:r w:rsidRPr="00EA1AB8">
        <w:rPr>
          <w:rFonts w:ascii="Arial" w:hAnsi="Arial" w:cs="Arial"/>
          <w:sz w:val="22"/>
          <w:lang w:val="en-GB"/>
        </w:rPr>
        <w:t>, pp.252-265.</w:t>
      </w:r>
    </w:p>
    <w:p w14:paraId="225DD429" w14:textId="77777777" w:rsidR="00E23CAB" w:rsidRPr="00EA1AB8" w:rsidRDefault="00E23CAB" w:rsidP="00E23CAB">
      <w:pPr>
        <w:rPr>
          <w:rFonts w:ascii="Arial" w:hAnsi="Arial" w:cs="Arial"/>
          <w:sz w:val="22"/>
          <w:lang w:val="en-GB"/>
        </w:rPr>
      </w:pPr>
      <w:r w:rsidRPr="00EA1AB8">
        <w:rPr>
          <w:rFonts w:ascii="Arial" w:hAnsi="Arial" w:cs="Arial"/>
          <w:sz w:val="22"/>
          <w:lang w:val="en-GB"/>
        </w:rPr>
        <w:t xml:space="preserve">IBIS World (2023) </w:t>
      </w:r>
      <w:r w:rsidRPr="00BC680C">
        <w:rPr>
          <w:rFonts w:ascii="Arial" w:hAnsi="Arial" w:cs="Arial"/>
          <w:sz w:val="22"/>
          <w:lang w:val="en-GB"/>
        </w:rPr>
        <w:t>Pubs &amp; Bars in the UK - Number of Businesses</w:t>
      </w:r>
      <w:r w:rsidRPr="00EA1AB8">
        <w:rPr>
          <w:rFonts w:ascii="Arial" w:hAnsi="Arial" w:cs="Arial"/>
          <w:sz w:val="22"/>
          <w:lang w:val="en-GB"/>
        </w:rPr>
        <w:t xml:space="preserve">. Available at: https://www.ibisworld.com/united-kingdom/number-of-businesses/pubs-bars/3446/#:~:text=There%20are%2027%2C650%20Pubs%20%26%20Bars,five%20years%20between%202018%20%2D%202023. (Accessed: 15 February 2024). </w:t>
      </w:r>
    </w:p>
    <w:p w14:paraId="04A0FE51" w14:textId="7081E69C" w:rsidR="00E23CAB" w:rsidRPr="00EA1AB8" w:rsidRDefault="00E23CAB" w:rsidP="00E23CAB">
      <w:pPr>
        <w:rPr>
          <w:rFonts w:ascii="Arial" w:hAnsi="Arial" w:cs="Arial"/>
          <w:sz w:val="22"/>
          <w:lang w:val="en-GB"/>
        </w:rPr>
      </w:pPr>
      <w:proofErr w:type="spellStart"/>
      <w:r w:rsidRPr="00EA1AB8">
        <w:rPr>
          <w:rFonts w:ascii="Arial" w:hAnsi="Arial" w:cs="Arial"/>
          <w:sz w:val="22"/>
          <w:lang w:val="en-GB"/>
        </w:rPr>
        <w:t>Jintana</w:t>
      </w:r>
      <w:proofErr w:type="spellEnd"/>
      <w:r w:rsidRPr="00EA1AB8">
        <w:rPr>
          <w:rFonts w:ascii="Arial" w:hAnsi="Arial" w:cs="Arial"/>
          <w:sz w:val="22"/>
          <w:lang w:val="en-GB"/>
        </w:rPr>
        <w:t xml:space="preserve">, J., </w:t>
      </w:r>
      <w:proofErr w:type="spellStart"/>
      <w:r w:rsidRPr="00EA1AB8">
        <w:rPr>
          <w:rFonts w:ascii="Arial" w:hAnsi="Arial" w:cs="Arial"/>
          <w:sz w:val="22"/>
          <w:lang w:val="en-GB"/>
        </w:rPr>
        <w:t>Sopadang</w:t>
      </w:r>
      <w:proofErr w:type="spellEnd"/>
      <w:r w:rsidRPr="00EA1AB8">
        <w:rPr>
          <w:rFonts w:ascii="Arial" w:hAnsi="Arial" w:cs="Arial"/>
          <w:sz w:val="22"/>
          <w:lang w:val="en-GB"/>
        </w:rPr>
        <w:t xml:space="preserve">, A. and </w:t>
      </w:r>
      <w:proofErr w:type="spellStart"/>
      <w:r w:rsidRPr="00EA1AB8">
        <w:rPr>
          <w:rFonts w:ascii="Arial" w:hAnsi="Arial" w:cs="Arial"/>
          <w:sz w:val="22"/>
          <w:lang w:val="en-GB"/>
        </w:rPr>
        <w:t>Ramingwong</w:t>
      </w:r>
      <w:proofErr w:type="spellEnd"/>
      <w:r w:rsidRPr="00EA1AB8">
        <w:rPr>
          <w:rFonts w:ascii="Arial" w:hAnsi="Arial" w:cs="Arial"/>
          <w:sz w:val="22"/>
          <w:lang w:val="en-GB"/>
        </w:rPr>
        <w:t xml:space="preserve">, S. (2021) </w:t>
      </w:r>
      <w:r w:rsidR="00BC680C">
        <w:rPr>
          <w:rFonts w:ascii="Arial" w:hAnsi="Arial" w:cs="Arial"/>
          <w:sz w:val="22"/>
          <w:lang w:val="en-GB"/>
        </w:rPr>
        <w:t>‘</w:t>
      </w:r>
      <w:r w:rsidRPr="00EA1AB8">
        <w:rPr>
          <w:rFonts w:ascii="Arial" w:hAnsi="Arial" w:cs="Arial"/>
          <w:sz w:val="22"/>
          <w:lang w:val="en-GB"/>
        </w:rPr>
        <w:t>Idea selection of new service for courier business: The opportunity of data analytics</w:t>
      </w:r>
      <w:r w:rsidR="00BC680C">
        <w:rPr>
          <w:rFonts w:ascii="Arial" w:hAnsi="Arial" w:cs="Arial"/>
          <w:sz w:val="22"/>
          <w:lang w:val="en-GB"/>
        </w:rPr>
        <w:t>’,</w:t>
      </w:r>
      <w:r w:rsidRPr="00EA1AB8">
        <w:rPr>
          <w:rFonts w:ascii="Arial" w:hAnsi="Arial" w:cs="Arial"/>
          <w:sz w:val="22"/>
          <w:lang w:val="en-GB"/>
        </w:rPr>
        <w:t> </w:t>
      </w:r>
      <w:r w:rsidRPr="00EA1AB8">
        <w:rPr>
          <w:rFonts w:ascii="Arial" w:hAnsi="Arial" w:cs="Arial"/>
          <w:i/>
          <w:iCs/>
          <w:sz w:val="22"/>
          <w:lang w:val="en-GB"/>
        </w:rPr>
        <w:t>International Journal of Engineering Business Management</w:t>
      </w:r>
      <w:r w:rsidRPr="00EA1AB8">
        <w:rPr>
          <w:rFonts w:ascii="Arial" w:hAnsi="Arial" w:cs="Arial"/>
          <w:sz w:val="22"/>
          <w:lang w:val="en-GB"/>
        </w:rPr>
        <w:t>, </w:t>
      </w:r>
      <w:r w:rsidRPr="00EA1AB8">
        <w:rPr>
          <w:rFonts w:ascii="Arial" w:hAnsi="Arial" w:cs="Arial"/>
          <w:i/>
          <w:iCs/>
          <w:sz w:val="22"/>
          <w:lang w:val="en-GB"/>
        </w:rPr>
        <w:t>13</w:t>
      </w:r>
      <w:r w:rsidRPr="00EA1AB8">
        <w:rPr>
          <w:rFonts w:ascii="Arial" w:hAnsi="Arial" w:cs="Arial"/>
          <w:sz w:val="22"/>
          <w:lang w:val="en-GB"/>
        </w:rPr>
        <w:t>, p.18479790211042191.</w:t>
      </w:r>
    </w:p>
    <w:p w14:paraId="2F491F9A" w14:textId="77777777" w:rsidR="00E23CAB" w:rsidRPr="00EA1AB8" w:rsidRDefault="00E23CAB" w:rsidP="00E23CAB">
      <w:pPr>
        <w:rPr>
          <w:rFonts w:ascii="Arial" w:hAnsi="Arial" w:cs="Arial"/>
          <w:sz w:val="22"/>
          <w:lang w:val="en-GB"/>
        </w:rPr>
      </w:pPr>
      <w:r w:rsidRPr="00EA1AB8">
        <w:rPr>
          <w:rFonts w:ascii="Arial" w:hAnsi="Arial" w:cs="Arial"/>
          <w:sz w:val="22"/>
          <w:shd w:val="clear" w:color="auto" w:fill="FFFFFF"/>
          <w:lang w:val="en-GB"/>
        </w:rPr>
        <w:t xml:space="preserve">Lee, K., </w:t>
      </w:r>
      <w:proofErr w:type="spellStart"/>
      <w:r w:rsidRPr="00EA1AB8">
        <w:rPr>
          <w:rFonts w:ascii="Arial" w:hAnsi="Arial" w:cs="Arial"/>
          <w:sz w:val="22"/>
          <w:shd w:val="clear" w:color="auto" w:fill="FFFFFF"/>
          <w:lang w:val="en-GB"/>
        </w:rPr>
        <w:t>Romzi</w:t>
      </w:r>
      <w:proofErr w:type="spellEnd"/>
      <w:r w:rsidRPr="00EA1AB8">
        <w:rPr>
          <w:rFonts w:ascii="Arial" w:hAnsi="Arial" w:cs="Arial"/>
          <w:sz w:val="22"/>
          <w:shd w:val="clear" w:color="auto" w:fill="FFFFFF"/>
          <w:lang w:val="en-GB"/>
        </w:rPr>
        <w:t xml:space="preserve">, P., </w:t>
      </w:r>
      <w:proofErr w:type="spellStart"/>
      <w:r w:rsidRPr="00EA1AB8">
        <w:rPr>
          <w:rFonts w:ascii="Arial" w:hAnsi="Arial" w:cs="Arial"/>
          <w:sz w:val="22"/>
          <w:shd w:val="clear" w:color="auto" w:fill="FFFFFF"/>
          <w:lang w:val="en-GB"/>
        </w:rPr>
        <w:t>Hanaysha</w:t>
      </w:r>
      <w:proofErr w:type="spellEnd"/>
      <w:r w:rsidRPr="00EA1AB8">
        <w:rPr>
          <w:rFonts w:ascii="Arial" w:hAnsi="Arial" w:cs="Arial"/>
          <w:sz w:val="22"/>
          <w:shd w:val="clear" w:color="auto" w:fill="FFFFFF"/>
          <w:lang w:val="en-GB"/>
        </w:rPr>
        <w:t xml:space="preserve">, J., Alzoubi, H. and </w:t>
      </w:r>
      <w:proofErr w:type="spellStart"/>
      <w:r w:rsidRPr="00EA1AB8">
        <w:rPr>
          <w:rFonts w:ascii="Arial" w:hAnsi="Arial" w:cs="Arial"/>
          <w:sz w:val="22"/>
          <w:shd w:val="clear" w:color="auto" w:fill="FFFFFF"/>
          <w:lang w:val="en-GB"/>
        </w:rPr>
        <w:t>Alshurideh</w:t>
      </w:r>
      <w:proofErr w:type="spellEnd"/>
      <w:r w:rsidRPr="00EA1AB8">
        <w:rPr>
          <w:rFonts w:ascii="Arial" w:hAnsi="Arial" w:cs="Arial"/>
          <w:sz w:val="22"/>
          <w:shd w:val="clear" w:color="auto" w:fill="FFFFFF"/>
          <w:lang w:val="en-GB"/>
        </w:rPr>
        <w:t>, M. (2022) Investigating the impact of benefits and challenges of IOT adoption on supply chain performance and organizational performance: An empirical study in Malaysia. </w:t>
      </w:r>
      <w:r w:rsidRPr="00EA1AB8">
        <w:rPr>
          <w:rFonts w:ascii="Arial" w:hAnsi="Arial" w:cs="Arial"/>
          <w:i/>
          <w:iCs/>
          <w:sz w:val="22"/>
          <w:shd w:val="clear" w:color="auto" w:fill="FFFFFF"/>
          <w:lang w:val="en-GB"/>
        </w:rPr>
        <w:t>Uncertain Supply Chain Management</w:t>
      </w:r>
      <w:r w:rsidRPr="00EA1AB8">
        <w:rPr>
          <w:rFonts w:ascii="Arial" w:hAnsi="Arial" w:cs="Arial"/>
          <w:sz w:val="22"/>
          <w:shd w:val="clear" w:color="auto" w:fill="FFFFFF"/>
          <w:lang w:val="en-GB"/>
        </w:rPr>
        <w:t>, </w:t>
      </w:r>
      <w:r w:rsidRPr="00EA1AB8">
        <w:rPr>
          <w:rFonts w:ascii="Arial" w:hAnsi="Arial" w:cs="Arial"/>
          <w:i/>
          <w:iCs/>
          <w:sz w:val="22"/>
          <w:shd w:val="clear" w:color="auto" w:fill="FFFFFF"/>
          <w:lang w:val="en-GB"/>
        </w:rPr>
        <w:t>10</w:t>
      </w:r>
      <w:r w:rsidRPr="00EA1AB8">
        <w:rPr>
          <w:rFonts w:ascii="Arial" w:hAnsi="Arial" w:cs="Arial"/>
          <w:sz w:val="22"/>
          <w:shd w:val="clear" w:color="auto" w:fill="FFFFFF"/>
          <w:lang w:val="en-GB"/>
        </w:rPr>
        <w:t>(2), pp.537-550.</w:t>
      </w:r>
    </w:p>
    <w:p w14:paraId="234E16F0" w14:textId="77777777" w:rsidR="00E23CAB" w:rsidRPr="00EA1AB8" w:rsidRDefault="00E23CAB" w:rsidP="00E23CAB">
      <w:pPr>
        <w:rPr>
          <w:rFonts w:ascii="Arial" w:hAnsi="Arial" w:cs="Arial"/>
          <w:sz w:val="22"/>
          <w:lang w:val="en-GB"/>
        </w:rPr>
      </w:pPr>
      <w:r w:rsidRPr="00EA1AB8">
        <w:rPr>
          <w:rFonts w:ascii="Arial" w:hAnsi="Arial" w:cs="Arial"/>
          <w:sz w:val="22"/>
          <w:lang w:val="en-GB"/>
        </w:rPr>
        <w:lastRenderedPageBreak/>
        <w:t xml:space="preserve">Legislation.GOV.UK (2021) </w:t>
      </w:r>
      <w:r w:rsidRPr="00EA1AB8">
        <w:rPr>
          <w:rFonts w:ascii="Arial" w:hAnsi="Arial" w:cs="Arial"/>
          <w:i/>
          <w:iCs/>
          <w:sz w:val="22"/>
          <w:lang w:val="en-GB"/>
        </w:rPr>
        <w:t>Environment Act 2021</w:t>
      </w:r>
      <w:r w:rsidRPr="00EA1AB8">
        <w:rPr>
          <w:rFonts w:ascii="Arial" w:hAnsi="Arial" w:cs="Arial"/>
          <w:sz w:val="22"/>
          <w:lang w:val="en-GB"/>
        </w:rPr>
        <w:t>. Available at: https://www.legislation.gov.uk/ukpga/2021/30/contents/enacted (Accessed: 15 February 2024)</w:t>
      </w:r>
    </w:p>
    <w:p w14:paraId="05D2AD50" w14:textId="77777777" w:rsidR="00E23CAB" w:rsidRPr="00EA1AB8" w:rsidRDefault="00E23CAB" w:rsidP="00E23CAB">
      <w:pPr>
        <w:rPr>
          <w:rFonts w:ascii="Arial" w:hAnsi="Arial" w:cs="Arial"/>
          <w:sz w:val="22"/>
          <w:lang w:val="en-GB"/>
        </w:rPr>
      </w:pPr>
      <w:r w:rsidRPr="00EA1AB8">
        <w:rPr>
          <w:rFonts w:ascii="Arial" w:hAnsi="Arial" w:cs="Arial"/>
          <w:sz w:val="22"/>
          <w:lang w:val="en-GB"/>
        </w:rPr>
        <w:t xml:space="preserve">LinkedIn (2024) </w:t>
      </w:r>
      <w:r w:rsidRPr="00EA1AB8">
        <w:rPr>
          <w:rFonts w:ascii="Arial" w:hAnsi="Arial" w:cs="Arial"/>
          <w:i/>
          <w:iCs/>
          <w:sz w:val="22"/>
          <w:lang w:val="en-GB"/>
        </w:rPr>
        <w:t>Milton Sandford Wines Limited</w:t>
      </w:r>
      <w:r w:rsidRPr="00EA1AB8">
        <w:rPr>
          <w:rFonts w:ascii="Arial" w:hAnsi="Arial" w:cs="Arial"/>
          <w:sz w:val="22"/>
          <w:lang w:val="en-GB"/>
        </w:rPr>
        <w:t xml:space="preserve">. Available at: https://www.linkedin.com/company/milton-sandford-wines-limited/about/ (Accessed: 15 February 2024). </w:t>
      </w:r>
    </w:p>
    <w:p w14:paraId="7E4F8B68" w14:textId="77777777" w:rsidR="00E23CAB" w:rsidRPr="00EA1AB8" w:rsidRDefault="00E23CAB" w:rsidP="00E23CAB">
      <w:pPr>
        <w:rPr>
          <w:rFonts w:ascii="Arial" w:hAnsi="Arial" w:cs="Arial"/>
          <w:sz w:val="22"/>
          <w:lang w:val="en-GB"/>
        </w:rPr>
      </w:pPr>
      <w:r w:rsidRPr="00EA1AB8">
        <w:rPr>
          <w:rFonts w:ascii="Arial" w:hAnsi="Arial" w:cs="Arial"/>
          <w:sz w:val="22"/>
          <w:lang w:val="en-GB"/>
        </w:rPr>
        <w:t xml:space="preserve">Milton Sandford Wines (2024) </w:t>
      </w:r>
      <w:r w:rsidRPr="00EA1AB8">
        <w:rPr>
          <w:rFonts w:ascii="Arial" w:hAnsi="Arial" w:cs="Arial"/>
          <w:i/>
          <w:iCs/>
          <w:sz w:val="22"/>
          <w:lang w:val="en-GB"/>
        </w:rPr>
        <w:t>ABOUT MILTON SANDFORD WINES</w:t>
      </w:r>
      <w:r w:rsidRPr="00EA1AB8">
        <w:rPr>
          <w:rFonts w:ascii="Arial" w:hAnsi="Arial" w:cs="Arial"/>
          <w:sz w:val="22"/>
          <w:lang w:val="en-GB"/>
        </w:rPr>
        <w:t xml:space="preserve">. Available at: miltonsandfordwines.com/about-milton-sandford-wines-0 (Accessed: 15 February 2024). </w:t>
      </w:r>
    </w:p>
    <w:p w14:paraId="4CA42192" w14:textId="77777777" w:rsidR="00E23CAB" w:rsidRPr="00EA1AB8" w:rsidRDefault="00E23CAB" w:rsidP="00E23CAB">
      <w:pPr>
        <w:rPr>
          <w:rFonts w:ascii="Arial" w:hAnsi="Arial" w:cs="Arial"/>
          <w:sz w:val="22"/>
          <w:lang w:val="en-GB"/>
        </w:rPr>
      </w:pPr>
      <w:r w:rsidRPr="00EA1AB8">
        <w:rPr>
          <w:rFonts w:ascii="Arial" w:hAnsi="Arial" w:cs="Arial"/>
          <w:sz w:val="22"/>
          <w:lang w:val="en-GB"/>
        </w:rPr>
        <w:t xml:space="preserve">Milton Sandford Wines (2024) </w:t>
      </w:r>
      <w:r w:rsidRPr="00EA1AB8">
        <w:rPr>
          <w:rFonts w:ascii="Arial" w:hAnsi="Arial" w:cs="Arial"/>
          <w:i/>
          <w:iCs/>
          <w:sz w:val="22"/>
          <w:lang w:val="en-GB"/>
        </w:rPr>
        <w:t>MEET THE TEAM</w:t>
      </w:r>
      <w:r w:rsidRPr="00EA1AB8">
        <w:rPr>
          <w:rFonts w:ascii="Arial" w:hAnsi="Arial" w:cs="Arial"/>
          <w:sz w:val="22"/>
          <w:lang w:val="en-GB"/>
        </w:rPr>
        <w:t xml:space="preserve">. Available at: https://www.miltonsandfordwines.com/meet-the-team#:~:text=John%20Winchester%2C%20Owner,its%20stunning%20portfolio%20of%20wines. (Accessed: 15 February 2024). </w:t>
      </w:r>
    </w:p>
    <w:p w14:paraId="4FA8C391" w14:textId="2EF33713" w:rsidR="00E23CAB" w:rsidRPr="00EA1AB8" w:rsidRDefault="00BA124A" w:rsidP="00E23CAB">
      <w:pPr>
        <w:rPr>
          <w:rFonts w:ascii="Arial" w:hAnsi="Arial" w:cs="Arial"/>
          <w:sz w:val="22"/>
          <w:lang w:val="en-GB"/>
        </w:rPr>
      </w:pPr>
      <w:r w:rsidRPr="00EA1AB8">
        <w:rPr>
          <w:rFonts w:ascii="Arial" w:hAnsi="Arial" w:cs="Arial"/>
          <w:sz w:val="22"/>
          <w:lang w:val="en-GB"/>
        </w:rPr>
        <w:t>Milton Sandford Wines</w:t>
      </w:r>
      <w:r w:rsidR="00E23CAB" w:rsidRPr="00EA1AB8">
        <w:rPr>
          <w:rFonts w:ascii="Arial" w:hAnsi="Arial" w:cs="Arial"/>
          <w:sz w:val="22"/>
          <w:lang w:val="en-GB"/>
        </w:rPr>
        <w:t xml:space="preserve"> (2024) </w:t>
      </w:r>
      <w:r w:rsidR="00E23CAB" w:rsidRPr="00EA1AB8">
        <w:rPr>
          <w:rFonts w:ascii="Arial" w:hAnsi="Arial" w:cs="Arial"/>
          <w:i/>
          <w:iCs/>
          <w:sz w:val="22"/>
          <w:lang w:val="en-GB"/>
        </w:rPr>
        <w:t>MILTON SANDFORD WINES</w:t>
      </w:r>
      <w:r w:rsidR="00E23CAB" w:rsidRPr="00EA1AB8">
        <w:rPr>
          <w:rFonts w:ascii="Arial" w:hAnsi="Arial" w:cs="Arial"/>
          <w:sz w:val="22"/>
          <w:lang w:val="en-GB"/>
        </w:rPr>
        <w:t>. Available at: https://www.miltonsandfordwines.com/ (Accessed: 15 February 2024).</w:t>
      </w:r>
    </w:p>
    <w:p w14:paraId="1863703D" w14:textId="77777777" w:rsidR="00E23CAB" w:rsidRPr="00EA1AB8" w:rsidRDefault="00E23CAB" w:rsidP="00E23CAB">
      <w:pPr>
        <w:rPr>
          <w:rFonts w:ascii="Arial" w:hAnsi="Arial" w:cs="Arial"/>
          <w:sz w:val="22"/>
          <w:lang w:val="en-GB"/>
        </w:rPr>
      </w:pPr>
      <w:r w:rsidRPr="00EA1AB8">
        <w:rPr>
          <w:rFonts w:ascii="Arial" w:hAnsi="Arial" w:cs="Arial"/>
          <w:sz w:val="22"/>
          <w:lang w:val="en-GB"/>
        </w:rPr>
        <w:t xml:space="preserve">Milton Sandford Wines (2024) </w:t>
      </w:r>
      <w:r w:rsidRPr="00EA1AB8">
        <w:rPr>
          <w:rFonts w:ascii="Arial" w:hAnsi="Arial" w:cs="Arial"/>
          <w:i/>
          <w:iCs/>
          <w:sz w:val="22"/>
          <w:lang w:val="en-GB"/>
        </w:rPr>
        <w:t>TRAINING AND TASTINGS</w:t>
      </w:r>
      <w:r w:rsidRPr="00EA1AB8">
        <w:rPr>
          <w:rFonts w:ascii="Arial" w:hAnsi="Arial" w:cs="Arial"/>
          <w:sz w:val="22"/>
          <w:lang w:val="en-GB"/>
        </w:rPr>
        <w:t xml:space="preserve">. Available at: https://www.miltonsandfordwines.com/training-and-tastings (Accessed: 15 February 2024). </w:t>
      </w:r>
    </w:p>
    <w:p w14:paraId="39D5907A" w14:textId="77777777" w:rsidR="00E23CAB" w:rsidRPr="00EA1AB8" w:rsidRDefault="00E23CAB" w:rsidP="00E23CAB">
      <w:pPr>
        <w:rPr>
          <w:rFonts w:ascii="Arial" w:hAnsi="Arial" w:cs="Arial"/>
          <w:sz w:val="22"/>
          <w:lang w:val="en-GB"/>
        </w:rPr>
      </w:pPr>
      <w:proofErr w:type="spellStart"/>
      <w:r w:rsidRPr="00EA1AB8">
        <w:rPr>
          <w:rFonts w:ascii="Arial" w:hAnsi="Arial" w:cs="Arial"/>
          <w:sz w:val="22"/>
          <w:lang w:val="en-GB"/>
        </w:rPr>
        <w:t>Peterdy</w:t>
      </w:r>
      <w:proofErr w:type="spellEnd"/>
      <w:r w:rsidRPr="00EA1AB8">
        <w:rPr>
          <w:rFonts w:ascii="Arial" w:hAnsi="Arial" w:cs="Arial"/>
          <w:sz w:val="22"/>
          <w:lang w:val="en-GB"/>
        </w:rPr>
        <w:t xml:space="preserve">, K. (2024) </w:t>
      </w:r>
      <w:r w:rsidRPr="00EA1AB8">
        <w:rPr>
          <w:rFonts w:ascii="Arial" w:hAnsi="Arial" w:cs="Arial"/>
          <w:i/>
          <w:iCs/>
          <w:sz w:val="22"/>
          <w:lang w:val="en-GB"/>
        </w:rPr>
        <w:t>Ansoff Matrix</w:t>
      </w:r>
      <w:r w:rsidRPr="00EA1AB8">
        <w:rPr>
          <w:rFonts w:ascii="Arial" w:hAnsi="Arial" w:cs="Arial"/>
          <w:sz w:val="22"/>
          <w:lang w:val="en-GB"/>
        </w:rPr>
        <w:t xml:space="preserve">. Available at: https://corporatefinanceinstitute.com/resources/management/ansoff-matrix/ (Accessed: 15 February 2024). </w:t>
      </w:r>
    </w:p>
    <w:p w14:paraId="51147AA0" w14:textId="2F67ED91" w:rsidR="00E23CAB" w:rsidRPr="00EA1AB8" w:rsidRDefault="00E23CAB" w:rsidP="00E23CAB">
      <w:pPr>
        <w:rPr>
          <w:rFonts w:ascii="Arial" w:hAnsi="Arial" w:cs="Arial"/>
          <w:sz w:val="22"/>
          <w:lang w:val="en-GB"/>
        </w:rPr>
      </w:pPr>
      <w:r w:rsidRPr="00EA1AB8">
        <w:rPr>
          <w:rFonts w:ascii="Arial" w:hAnsi="Arial" w:cs="Arial"/>
          <w:sz w:val="22"/>
          <w:lang w:val="en-GB"/>
        </w:rPr>
        <w:t xml:space="preserve">Pomanda (2023) </w:t>
      </w:r>
      <w:r w:rsidRPr="00E03746">
        <w:rPr>
          <w:rFonts w:ascii="Arial" w:hAnsi="Arial" w:cs="Arial"/>
          <w:sz w:val="22"/>
          <w:lang w:val="en-GB"/>
        </w:rPr>
        <w:t>Milton Sandford Wines Limited</w:t>
      </w:r>
      <w:r w:rsidR="00E03746">
        <w:rPr>
          <w:rFonts w:ascii="Arial" w:hAnsi="Arial" w:cs="Arial"/>
          <w:sz w:val="22"/>
          <w:lang w:val="en-GB"/>
        </w:rPr>
        <w:t>.</w:t>
      </w:r>
      <w:r w:rsidRPr="00EA1AB8">
        <w:rPr>
          <w:rFonts w:ascii="Arial" w:hAnsi="Arial" w:cs="Arial"/>
          <w:sz w:val="22"/>
          <w:lang w:val="en-GB"/>
        </w:rPr>
        <w:t xml:space="preserve"> Available at: https://pomanda.com/company/05789388/milton-sandford-wines-limited (Accessed: 15 February 2024).</w:t>
      </w:r>
    </w:p>
    <w:p w14:paraId="19B131F5" w14:textId="77777777" w:rsidR="00E23CAB" w:rsidRPr="00EA1AB8" w:rsidRDefault="00E23CAB" w:rsidP="00E23CAB">
      <w:pPr>
        <w:rPr>
          <w:rFonts w:ascii="Arial" w:hAnsi="Arial" w:cs="Arial"/>
          <w:sz w:val="22"/>
          <w:lang w:val="en-GB"/>
        </w:rPr>
      </w:pPr>
      <w:r w:rsidRPr="00EA1AB8">
        <w:rPr>
          <w:rFonts w:ascii="Arial" w:hAnsi="Arial" w:cs="Arial"/>
          <w:sz w:val="22"/>
          <w:shd w:val="clear" w:color="auto" w:fill="FFFFFF"/>
          <w:lang w:val="en-GB"/>
        </w:rPr>
        <w:t>Rosário, A. and Raimundo, R. (2021) Consumer marketing strategy and E-commerce in the last decade: a literature review. </w:t>
      </w:r>
      <w:r w:rsidRPr="00EA1AB8">
        <w:rPr>
          <w:rFonts w:ascii="Arial" w:hAnsi="Arial" w:cs="Arial"/>
          <w:i/>
          <w:iCs/>
          <w:sz w:val="22"/>
          <w:shd w:val="clear" w:color="auto" w:fill="FFFFFF"/>
          <w:lang w:val="en-GB"/>
        </w:rPr>
        <w:t>Journal of theoretical and applied electronic commerce research</w:t>
      </w:r>
      <w:r w:rsidRPr="00EA1AB8">
        <w:rPr>
          <w:rFonts w:ascii="Arial" w:hAnsi="Arial" w:cs="Arial"/>
          <w:sz w:val="22"/>
          <w:shd w:val="clear" w:color="auto" w:fill="FFFFFF"/>
          <w:lang w:val="en-GB"/>
        </w:rPr>
        <w:t>, </w:t>
      </w:r>
      <w:r w:rsidRPr="00EA1AB8">
        <w:rPr>
          <w:rFonts w:ascii="Arial" w:hAnsi="Arial" w:cs="Arial"/>
          <w:i/>
          <w:iCs/>
          <w:sz w:val="22"/>
          <w:shd w:val="clear" w:color="auto" w:fill="FFFFFF"/>
          <w:lang w:val="en-GB"/>
        </w:rPr>
        <w:t>16</w:t>
      </w:r>
      <w:r w:rsidRPr="00EA1AB8">
        <w:rPr>
          <w:rFonts w:ascii="Arial" w:hAnsi="Arial" w:cs="Arial"/>
          <w:sz w:val="22"/>
          <w:shd w:val="clear" w:color="auto" w:fill="FFFFFF"/>
          <w:lang w:val="en-GB"/>
        </w:rPr>
        <w:t>(7), pp.3003-3024.</w:t>
      </w:r>
    </w:p>
    <w:p w14:paraId="3DD631B6" w14:textId="77777777" w:rsidR="00E23CAB" w:rsidRPr="00EA1AB8" w:rsidRDefault="00E23CAB" w:rsidP="00E23CAB">
      <w:pPr>
        <w:rPr>
          <w:rFonts w:ascii="Arial" w:hAnsi="Arial" w:cs="Arial"/>
          <w:sz w:val="22"/>
          <w:lang w:val="en-GB"/>
        </w:rPr>
      </w:pPr>
      <w:r w:rsidRPr="00EA1AB8">
        <w:rPr>
          <w:rFonts w:ascii="Arial" w:hAnsi="Arial" w:cs="Arial"/>
          <w:sz w:val="22"/>
          <w:lang w:val="en-GB"/>
        </w:rPr>
        <w:t xml:space="preserve">Statista (2023) </w:t>
      </w:r>
      <w:r w:rsidRPr="00E03746">
        <w:rPr>
          <w:rFonts w:ascii="Arial" w:hAnsi="Arial" w:cs="Arial"/>
          <w:sz w:val="22"/>
          <w:lang w:val="en-GB"/>
        </w:rPr>
        <w:t>Number of wineries in the United Kingdom (UK) 2000-2022</w:t>
      </w:r>
      <w:r w:rsidRPr="00EA1AB8">
        <w:rPr>
          <w:rFonts w:ascii="Arial" w:hAnsi="Arial" w:cs="Arial"/>
          <w:sz w:val="22"/>
          <w:lang w:val="en-GB"/>
        </w:rPr>
        <w:t>. Available at: https://www.statista.com/statistics/302991/number-of-wineries-united-kingdom-uk/#:~:text=This%20statistic%20shows%20the%20total,209%20wineries%20operating%20in%202022. (Accessed: 15 February 2023).</w:t>
      </w:r>
    </w:p>
    <w:p w14:paraId="5D3DE550" w14:textId="77777777" w:rsidR="00E23CAB" w:rsidRPr="00EA1AB8" w:rsidRDefault="00E23CAB" w:rsidP="00E23CAB">
      <w:pPr>
        <w:rPr>
          <w:rFonts w:ascii="Arial" w:hAnsi="Arial" w:cs="Arial"/>
          <w:sz w:val="22"/>
          <w:lang w:val="en-GB"/>
        </w:rPr>
      </w:pPr>
      <w:r w:rsidRPr="00EA1AB8">
        <w:rPr>
          <w:rFonts w:ascii="Arial" w:hAnsi="Arial" w:cs="Arial"/>
          <w:sz w:val="22"/>
          <w:lang w:val="en-GB"/>
        </w:rPr>
        <w:t xml:space="preserve">Statista (2024) </w:t>
      </w:r>
      <w:r w:rsidRPr="00E03746">
        <w:rPr>
          <w:rFonts w:ascii="Arial" w:hAnsi="Arial" w:cs="Arial"/>
          <w:sz w:val="22"/>
          <w:lang w:val="en-GB"/>
        </w:rPr>
        <w:t>Inflation rate for the Consumer Price Index (CPI) in the United Kingdom from January 1989 to January 2024.</w:t>
      </w:r>
      <w:r w:rsidRPr="00EA1AB8">
        <w:rPr>
          <w:rFonts w:ascii="Arial" w:hAnsi="Arial" w:cs="Arial"/>
          <w:sz w:val="22"/>
          <w:lang w:val="en-GB"/>
        </w:rPr>
        <w:t xml:space="preserve"> Available at: </w:t>
      </w:r>
      <w:r w:rsidRPr="00EA1AB8">
        <w:rPr>
          <w:rFonts w:ascii="Arial" w:hAnsi="Arial" w:cs="Arial"/>
          <w:sz w:val="22"/>
          <w:lang w:val="en-GB"/>
        </w:rPr>
        <w:lastRenderedPageBreak/>
        <w:t xml:space="preserve">https://www.statista.com/statistics/306648/inflation-rate-consumer-price-index-cpi-united-kingdom-uk/ (Accessed: 15 February 2024). </w:t>
      </w:r>
    </w:p>
    <w:p w14:paraId="2A9311DE" w14:textId="3215BA17" w:rsidR="00E23CAB" w:rsidRPr="00EA1AB8" w:rsidRDefault="00E23CAB" w:rsidP="00E23CAB">
      <w:pPr>
        <w:rPr>
          <w:rFonts w:ascii="Arial" w:hAnsi="Arial" w:cs="Arial"/>
          <w:sz w:val="22"/>
          <w:lang w:val="en-GB"/>
        </w:rPr>
      </w:pPr>
      <w:proofErr w:type="spellStart"/>
      <w:r w:rsidRPr="00EA1AB8">
        <w:rPr>
          <w:rFonts w:ascii="Arial" w:hAnsi="Arial" w:cs="Arial"/>
          <w:sz w:val="22"/>
          <w:shd w:val="clear" w:color="auto" w:fill="FFFFFF"/>
          <w:lang w:val="en-GB"/>
        </w:rPr>
        <w:t>Sugiarti</w:t>
      </w:r>
      <w:proofErr w:type="spellEnd"/>
      <w:r w:rsidRPr="00EA1AB8">
        <w:rPr>
          <w:rFonts w:ascii="Arial" w:hAnsi="Arial" w:cs="Arial"/>
          <w:sz w:val="22"/>
          <w:shd w:val="clear" w:color="auto" w:fill="FFFFFF"/>
          <w:lang w:val="en-GB"/>
        </w:rPr>
        <w:t xml:space="preserve">, E. (2022) </w:t>
      </w:r>
      <w:r w:rsidR="00E03746">
        <w:rPr>
          <w:rFonts w:ascii="Arial" w:hAnsi="Arial" w:cs="Arial"/>
          <w:sz w:val="22"/>
          <w:shd w:val="clear" w:color="auto" w:fill="FFFFFF"/>
          <w:lang w:val="en-GB"/>
        </w:rPr>
        <w:t>“</w:t>
      </w:r>
      <w:r w:rsidRPr="00EA1AB8">
        <w:rPr>
          <w:rFonts w:ascii="Arial" w:hAnsi="Arial" w:cs="Arial"/>
          <w:sz w:val="22"/>
          <w:shd w:val="clear" w:color="auto" w:fill="FFFFFF"/>
          <w:lang w:val="en-GB"/>
        </w:rPr>
        <w:t xml:space="preserve">The </w:t>
      </w:r>
      <w:r w:rsidR="00E03746">
        <w:rPr>
          <w:rFonts w:ascii="Arial" w:hAnsi="Arial" w:cs="Arial"/>
          <w:sz w:val="22"/>
          <w:shd w:val="clear" w:color="auto" w:fill="FFFFFF"/>
          <w:lang w:val="en-GB"/>
        </w:rPr>
        <w:t>i</w:t>
      </w:r>
      <w:r w:rsidRPr="00EA1AB8">
        <w:rPr>
          <w:rFonts w:ascii="Arial" w:hAnsi="Arial" w:cs="Arial"/>
          <w:sz w:val="22"/>
          <w:shd w:val="clear" w:color="auto" w:fill="FFFFFF"/>
          <w:lang w:val="en-GB"/>
        </w:rPr>
        <w:t xml:space="preserve">nfluence of </w:t>
      </w:r>
      <w:r w:rsidR="00E03746">
        <w:rPr>
          <w:rFonts w:ascii="Arial" w:hAnsi="Arial" w:cs="Arial"/>
          <w:sz w:val="22"/>
          <w:shd w:val="clear" w:color="auto" w:fill="FFFFFF"/>
          <w:lang w:val="en-GB"/>
        </w:rPr>
        <w:t>t</w:t>
      </w:r>
      <w:r w:rsidRPr="00EA1AB8">
        <w:rPr>
          <w:rFonts w:ascii="Arial" w:hAnsi="Arial" w:cs="Arial"/>
          <w:sz w:val="22"/>
          <w:shd w:val="clear" w:color="auto" w:fill="FFFFFF"/>
          <w:lang w:val="en-GB"/>
        </w:rPr>
        <w:t xml:space="preserve">raining, </w:t>
      </w:r>
      <w:r w:rsidR="00E03746">
        <w:rPr>
          <w:rFonts w:ascii="Arial" w:hAnsi="Arial" w:cs="Arial"/>
          <w:sz w:val="22"/>
          <w:shd w:val="clear" w:color="auto" w:fill="FFFFFF"/>
          <w:lang w:val="en-GB"/>
        </w:rPr>
        <w:t>w</w:t>
      </w:r>
      <w:r w:rsidRPr="00EA1AB8">
        <w:rPr>
          <w:rFonts w:ascii="Arial" w:hAnsi="Arial" w:cs="Arial"/>
          <w:sz w:val="22"/>
          <w:shd w:val="clear" w:color="auto" w:fill="FFFFFF"/>
          <w:lang w:val="en-GB"/>
        </w:rPr>
        <w:t xml:space="preserve">ork </w:t>
      </w:r>
      <w:r w:rsidR="00E03746">
        <w:rPr>
          <w:rFonts w:ascii="Arial" w:hAnsi="Arial" w:cs="Arial"/>
          <w:sz w:val="22"/>
          <w:shd w:val="clear" w:color="auto" w:fill="FFFFFF"/>
          <w:lang w:val="en-GB"/>
        </w:rPr>
        <w:t>e</w:t>
      </w:r>
      <w:r w:rsidRPr="00EA1AB8">
        <w:rPr>
          <w:rFonts w:ascii="Arial" w:hAnsi="Arial" w:cs="Arial"/>
          <w:sz w:val="22"/>
          <w:shd w:val="clear" w:color="auto" w:fill="FFFFFF"/>
          <w:lang w:val="en-GB"/>
        </w:rPr>
        <w:t xml:space="preserve">nvironment and </w:t>
      </w:r>
      <w:r w:rsidR="00E03746">
        <w:rPr>
          <w:rFonts w:ascii="Arial" w:hAnsi="Arial" w:cs="Arial"/>
          <w:sz w:val="22"/>
          <w:shd w:val="clear" w:color="auto" w:fill="FFFFFF"/>
          <w:lang w:val="en-GB"/>
        </w:rPr>
        <w:t>c</w:t>
      </w:r>
      <w:r w:rsidRPr="00EA1AB8">
        <w:rPr>
          <w:rFonts w:ascii="Arial" w:hAnsi="Arial" w:cs="Arial"/>
          <w:sz w:val="22"/>
          <w:shd w:val="clear" w:color="auto" w:fill="FFFFFF"/>
          <w:lang w:val="en-GB"/>
        </w:rPr>
        <w:t xml:space="preserve">areer </w:t>
      </w:r>
      <w:r w:rsidR="00E03746">
        <w:rPr>
          <w:rFonts w:ascii="Arial" w:hAnsi="Arial" w:cs="Arial"/>
          <w:sz w:val="22"/>
          <w:shd w:val="clear" w:color="auto" w:fill="FFFFFF"/>
          <w:lang w:val="en-GB"/>
        </w:rPr>
        <w:t>d</w:t>
      </w:r>
      <w:r w:rsidRPr="00EA1AB8">
        <w:rPr>
          <w:rFonts w:ascii="Arial" w:hAnsi="Arial" w:cs="Arial"/>
          <w:sz w:val="22"/>
          <w:shd w:val="clear" w:color="auto" w:fill="FFFFFF"/>
          <w:lang w:val="en-GB"/>
        </w:rPr>
        <w:t xml:space="preserve">evelopment on </w:t>
      </w:r>
      <w:r w:rsidR="00E03746">
        <w:rPr>
          <w:rFonts w:ascii="Arial" w:hAnsi="Arial" w:cs="Arial"/>
          <w:sz w:val="22"/>
          <w:shd w:val="clear" w:color="auto" w:fill="FFFFFF"/>
          <w:lang w:val="en-GB"/>
        </w:rPr>
        <w:t>w</w:t>
      </w:r>
      <w:r w:rsidRPr="00EA1AB8">
        <w:rPr>
          <w:rFonts w:ascii="Arial" w:hAnsi="Arial" w:cs="Arial"/>
          <w:sz w:val="22"/>
          <w:shd w:val="clear" w:color="auto" w:fill="FFFFFF"/>
          <w:lang w:val="en-GB"/>
        </w:rPr>
        <w:t xml:space="preserve">ork </w:t>
      </w:r>
      <w:r w:rsidR="00E03746">
        <w:rPr>
          <w:rFonts w:ascii="Arial" w:hAnsi="Arial" w:cs="Arial"/>
          <w:sz w:val="22"/>
          <w:shd w:val="clear" w:color="auto" w:fill="FFFFFF"/>
          <w:lang w:val="en-GB"/>
        </w:rPr>
        <w:t>m</w:t>
      </w:r>
      <w:r w:rsidRPr="00EA1AB8">
        <w:rPr>
          <w:rFonts w:ascii="Arial" w:hAnsi="Arial" w:cs="Arial"/>
          <w:sz w:val="22"/>
          <w:shd w:val="clear" w:color="auto" w:fill="FFFFFF"/>
          <w:lang w:val="en-GB"/>
        </w:rPr>
        <w:t xml:space="preserve">otivation </w:t>
      </w:r>
      <w:r w:rsidR="00E03746">
        <w:rPr>
          <w:rFonts w:ascii="Arial" w:hAnsi="Arial" w:cs="Arial"/>
          <w:sz w:val="22"/>
          <w:shd w:val="clear" w:color="auto" w:fill="FFFFFF"/>
          <w:lang w:val="en-GB"/>
        </w:rPr>
        <w:t>t</w:t>
      </w:r>
      <w:r w:rsidRPr="00EA1AB8">
        <w:rPr>
          <w:rFonts w:ascii="Arial" w:hAnsi="Arial" w:cs="Arial"/>
          <w:sz w:val="22"/>
          <w:shd w:val="clear" w:color="auto" w:fill="FFFFFF"/>
          <w:lang w:val="en-GB"/>
        </w:rPr>
        <w:t xml:space="preserve">hat </w:t>
      </w:r>
      <w:r w:rsidR="00E03746">
        <w:rPr>
          <w:rFonts w:ascii="Arial" w:hAnsi="Arial" w:cs="Arial"/>
          <w:sz w:val="22"/>
          <w:shd w:val="clear" w:color="auto" w:fill="FFFFFF"/>
          <w:lang w:val="en-GB"/>
        </w:rPr>
        <w:t>h</w:t>
      </w:r>
      <w:r w:rsidRPr="00EA1AB8">
        <w:rPr>
          <w:rFonts w:ascii="Arial" w:hAnsi="Arial" w:cs="Arial"/>
          <w:sz w:val="22"/>
          <w:shd w:val="clear" w:color="auto" w:fill="FFFFFF"/>
          <w:lang w:val="en-GB"/>
        </w:rPr>
        <w:t xml:space="preserve">as an </w:t>
      </w:r>
      <w:r w:rsidR="00E03746">
        <w:rPr>
          <w:rFonts w:ascii="Arial" w:hAnsi="Arial" w:cs="Arial"/>
          <w:sz w:val="22"/>
          <w:shd w:val="clear" w:color="auto" w:fill="FFFFFF"/>
          <w:lang w:val="en-GB"/>
        </w:rPr>
        <w:t>i</w:t>
      </w:r>
      <w:r w:rsidRPr="00EA1AB8">
        <w:rPr>
          <w:rFonts w:ascii="Arial" w:hAnsi="Arial" w:cs="Arial"/>
          <w:sz w:val="22"/>
          <w:shd w:val="clear" w:color="auto" w:fill="FFFFFF"/>
          <w:lang w:val="en-GB"/>
        </w:rPr>
        <w:t xml:space="preserve">mpact on </w:t>
      </w:r>
      <w:r w:rsidR="00E03746">
        <w:rPr>
          <w:rFonts w:ascii="Arial" w:hAnsi="Arial" w:cs="Arial"/>
          <w:sz w:val="22"/>
          <w:shd w:val="clear" w:color="auto" w:fill="FFFFFF"/>
          <w:lang w:val="en-GB"/>
        </w:rPr>
        <w:t>e</w:t>
      </w:r>
      <w:r w:rsidRPr="00EA1AB8">
        <w:rPr>
          <w:rFonts w:ascii="Arial" w:hAnsi="Arial" w:cs="Arial"/>
          <w:sz w:val="22"/>
          <w:shd w:val="clear" w:color="auto" w:fill="FFFFFF"/>
          <w:lang w:val="en-GB"/>
        </w:rPr>
        <w:t xml:space="preserve">mployee </w:t>
      </w:r>
      <w:r w:rsidR="00E03746">
        <w:rPr>
          <w:rFonts w:ascii="Arial" w:hAnsi="Arial" w:cs="Arial"/>
          <w:sz w:val="22"/>
          <w:shd w:val="clear" w:color="auto" w:fill="FFFFFF"/>
          <w:lang w:val="en-GB"/>
        </w:rPr>
        <w:t>p</w:t>
      </w:r>
      <w:r w:rsidRPr="00EA1AB8">
        <w:rPr>
          <w:rFonts w:ascii="Arial" w:hAnsi="Arial" w:cs="Arial"/>
          <w:sz w:val="22"/>
          <w:shd w:val="clear" w:color="auto" w:fill="FFFFFF"/>
          <w:lang w:val="en-GB"/>
        </w:rPr>
        <w:t xml:space="preserve">erformance at PT. </w:t>
      </w:r>
      <w:proofErr w:type="spellStart"/>
      <w:r w:rsidRPr="00EA1AB8">
        <w:rPr>
          <w:rFonts w:ascii="Arial" w:hAnsi="Arial" w:cs="Arial"/>
          <w:sz w:val="22"/>
          <w:shd w:val="clear" w:color="auto" w:fill="FFFFFF"/>
          <w:lang w:val="en-GB"/>
        </w:rPr>
        <w:t>Suryamas</w:t>
      </w:r>
      <w:proofErr w:type="spellEnd"/>
      <w:r w:rsidRPr="00EA1AB8">
        <w:rPr>
          <w:rFonts w:ascii="Arial" w:hAnsi="Arial" w:cs="Arial"/>
          <w:sz w:val="22"/>
          <w:shd w:val="clear" w:color="auto" w:fill="FFFFFF"/>
          <w:lang w:val="en-GB"/>
        </w:rPr>
        <w:t xml:space="preserve"> </w:t>
      </w:r>
      <w:proofErr w:type="spellStart"/>
      <w:r w:rsidRPr="00EA1AB8">
        <w:rPr>
          <w:rFonts w:ascii="Arial" w:hAnsi="Arial" w:cs="Arial"/>
          <w:sz w:val="22"/>
          <w:shd w:val="clear" w:color="auto" w:fill="FFFFFF"/>
          <w:lang w:val="en-GB"/>
        </w:rPr>
        <w:t>Elsindo</w:t>
      </w:r>
      <w:proofErr w:type="spellEnd"/>
      <w:r w:rsidRPr="00EA1AB8">
        <w:rPr>
          <w:rFonts w:ascii="Arial" w:hAnsi="Arial" w:cs="Arial"/>
          <w:sz w:val="22"/>
          <w:shd w:val="clear" w:color="auto" w:fill="FFFFFF"/>
          <w:lang w:val="en-GB"/>
        </w:rPr>
        <w:t xml:space="preserve"> </w:t>
      </w:r>
      <w:proofErr w:type="spellStart"/>
      <w:r w:rsidRPr="00EA1AB8">
        <w:rPr>
          <w:rFonts w:ascii="Arial" w:hAnsi="Arial" w:cs="Arial"/>
          <w:sz w:val="22"/>
          <w:shd w:val="clear" w:color="auto" w:fill="FFFFFF"/>
          <w:lang w:val="en-GB"/>
        </w:rPr>
        <w:t>Primatama</w:t>
      </w:r>
      <w:proofErr w:type="spellEnd"/>
      <w:r w:rsidRPr="00EA1AB8">
        <w:rPr>
          <w:rFonts w:ascii="Arial" w:hAnsi="Arial" w:cs="Arial"/>
          <w:sz w:val="22"/>
          <w:shd w:val="clear" w:color="auto" w:fill="FFFFFF"/>
          <w:lang w:val="en-GB"/>
        </w:rPr>
        <w:t xml:space="preserve"> </w:t>
      </w:r>
      <w:r w:rsidR="00E03746">
        <w:rPr>
          <w:rFonts w:ascii="Arial" w:hAnsi="Arial" w:cs="Arial"/>
          <w:sz w:val="22"/>
          <w:shd w:val="clear" w:color="auto" w:fill="FFFFFF"/>
          <w:lang w:val="en-GB"/>
        </w:rPr>
        <w:t>i</w:t>
      </w:r>
      <w:r w:rsidRPr="00EA1AB8">
        <w:rPr>
          <w:rFonts w:ascii="Arial" w:hAnsi="Arial" w:cs="Arial"/>
          <w:sz w:val="22"/>
          <w:shd w:val="clear" w:color="auto" w:fill="FFFFFF"/>
          <w:lang w:val="en-GB"/>
        </w:rPr>
        <w:t xml:space="preserve">n </w:t>
      </w:r>
      <w:r w:rsidR="00E03746">
        <w:rPr>
          <w:rFonts w:ascii="Arial" w:hAnsi="Arial" w:cs="Arial"/>
          <w:sz w:val="22"/>
          <w:shd w:val="clear" w:color="auto" w:fill="FFFFFF"/>
          <w:lang w:val="en-GB"/>
        </w:rPr>
        <w:t>W</w:t>
      </w:r>
      <w:r w:rsidRPr="00EA1AB8">
        <w:rPr>
          <w:rFonts w:ascii="Arial" w:hAnsi="Arial" w:cs="Arial"/>
          <w:sz w:val="22"/>
          <w:shd w:val="clear" w:color="auto" w:fill="FFFFFF"/>
          <w:lang w:val="en-GB"/>
        </w:rPr>
        <w:t xml:space="preserve">est </w:t>
      </w:r>
      <w:r w:rsidR="00E03746">
        <w:rPr>
          <w:rFonts w:ascii="Arial" w:hAnsi="Arial" w:cs="Arial"/>
          <w:sz w:val="22"/>
          <w:shd w:val="clear" w:color="auto" w:fill="FFFFFF"/>
          <w:lang w:val="en-GB"/>
        </w:rPr>
        <w:t>J</w:t>
      </w:r>
      <w:r w:rsidRPr="00EA1AB8">
        <w:rPr>
          <w:rFonts w:ascii="Arial" w:hAnsi="Arial" w:cs="Arial"/>
          <w:sz w:val="22"/>
          <w:shd w:val="clear" w:color="auto" w:fill="FFFFFF"/>
          <w:lang w:val="en-GB"/>
        </w:rPr>
        <w:t>akarta</w:t>
      </w:r>
      <w:r w:rsidR="00E03746">
        <w:rPr>
          <w:rFonts w:ascii="Arial" w:hAnsi="Arial" w:cs="Arial"/>
          <w:sz w:val="22"/>
          <w:shd w:val="clear" w:color="auto" w:fill="FFFFFF"/>
          <w:lang w:val="en-GB"/>
        </w:rPr>
        <w:t>,</w:t>
      </w:r>
      <w:r w:rsidRPr="00EA1AB8">
        <w:rPr>
          <w:rFonts w:ascii="Arial" w:hAnsi="Arial" w:cs="Arial"/>
          <w:sz w:val="22"/>
          <w:shd w:val="clear" w:color="auto" w:fill="FFFFFF"/>
          <w:lang w:val="en-GB"/>
        </w:rPr>
        <w:t> </w:t>
      </w:r>
      <w:r w:rsidRPr="00EA1AB8">
        <w:rPr>
          <w:rFonts w:ascii="Arial" w:hAnsi="Arial" w:cs="Arial"/>
          <w:i/>
          <w:iCs/>
          <w:sz w:val="22"/>
          <w:shd w:val="clear" w:color="auto" w:fill="FFFFFF"/>
          <w:lang w:val="en-GB"/>
        </w:rPr>
        <w:t>International Journal of Artificial Intelligence Research</w:t>
      </w:r>
      <w:r w:rsidRPr="00EA1AB8">
        <w:rPr>
          <w:rFonts w:ascii="Arial" w:hAnsi="Arial" w:cs="Arial"/>
          <w:sz w:val="22"/>
          <w:shd w:val="clear" w:color="auto" w:fill="FFFFFF"/>
          <w:lang w:val="en-GB"/>
        </w:rPr>
        <w:t>, </w:t>
      </w:r>
      <w:r w:rsidRPr="00EA1AB8">
        <w:rPr>
          <w:rFonts w:ascii="Arial" w:hAnsi="Arial" w:cs="Arial"/>
          <w:i/>
          <w:iCs/>
          <w:sz w:val="22"/>
          <w:shd w:val="clear" w:color="auto" w:fill="FFFFFF"/>
          <w:lang w:val="en-GB"/>
        </w:rPr>
        <w:t>6</w:t>
      </w:r>
      <w:r w:rsidRPr="00EA1AB8">
        <w:rPr>
          <w:rFonts w:ascii="Arial" w:hAnsi="Arial" w:cs="Arial"/>
          <w:sz w:val="22"/>
          <w:shd w:val="clear" w:color="auto" w:fill="FFFFFF"/>
          <w:lang w:val="en-GB"/>
        </w:rPr>
        <w:t>(1), pp.1-11.</w:t>
      </w:r>
    </w:p>
    <w:p w14:paraId="67214963" w14:textId="15B1161A" w:rsidR="00E23CAB" w:rsidRPr="00EA1AB8" w:rsidRDefault="00E23CAB" w:rsidP="00E23CAB">
      <w:pPr>
        <w:rPr>
          <w:rFonts w:ascii="Arial" w:hAnsi="Arial" w:cs="Arial"/>
          <w:sz w:val="22"/>
          <w:lang w:val="en-GB"/>
        </w:rPr>
      </w:pPr>
      <w:r w:rsidRPr="00EA1AB8">
        <w:rPr>
          <w:rFonts w:ascii="Arial" w:hAnsi="Arial" w:cs="Arial"/>
          <w:sz w:val="22"/>
          <w:lang w:val="en-GB"/>
        </w:rPr>
        <w:t xml:space="preserve">Tien, N.H. (2020) </w:t>
      </w:r>
      <w:r w:rsidR="00E03746">
        <w:rPr>
          <w:rFonts w:ascii="Arial" w:hAnsi="Arial" w:cs="Arial"/>
          <w:sz w:val="22"/>
          <w:lang w:val="en-GB"/>
        </w:rPr>
        <w:t>“</w:t>
      </w:r>
      <w:r w:rsidRPr="00EA1AB8">
        <w:rPr>
          <w:rFonts w:ascii="Arial" w:hAnsi="Arial" w:cs="Arial"/>
          <w:sz w:val="22"/>
          <w:lang w:val="en-GB"/>
        </w:rPr>
        <w:t xml:space="preserve">Analysis of Lotte’s </w:t>
      </w:r>
      <w:r w:rsidR="00E03746">
        <w:rPr>
          <w:rFonts w:ascii="Arial" w:hAnsi="Arial" w:cs="Arial"/>
          <w:sz w:val="22"/>
          <w:lang w:val="en-GB"/>
        </w:rPr>
        <w:t>m</w:t>
      </w:r>
      <w:r w:rsidRPr="00EA1AB8">
        <w:rPr>
          <w:rFonts w:ascii="Arial" w:hAnsi="Arial" w:cs="Arial"/>
          <w:sz w:val="22"/>
          <w:lang w:val="en-GB"/>
        </w:rPr>
        <w:t xml:space="preserve">arket </w:t>
      </w:r>
      <w:r w:rsidR="00E03746">
        <w:rPr>
          <w:rFonts w:ascii="Arial" w:hAnsi="Arial" w:cs="Arial"/>
          <w:sz w:val="22"/>
          <w:lang w:val="en-GB"/>
        </w:rPr>
        <w:t>p</w:t>
      </w:r>
      <w:r w:rsidRPr="00EA1AB8">
        <w:rPr>
          <w:rFonts w:ascii="Arial" w:hAnsi="Arial" w:cs="Arial"/>
          <w:sz w:val="22"/>
          <w:lang w:val="en-GB"/>
        </w:rPr>
        <w:t xml:space="preserve">enetration </w:t>
      </w:r>
      <w:r w:rsidR="00E03746">
        <w:rPr>
          <w:rFonts w:ascii="Arial" w:hAnsi="Arial" w:cs="Arial"/>
          <w:sz w:val="22"/>
          <w:lang w:val="en-GB"/>
        </w:rPr>
        <w:t>s</w:t>
      </w:r>
      <w:r w:rsidRPr="00EA1AB8">
        <w:rPr>
          <w:rFonts w:ascii="Arial" w:hAnsi="Arial" w:cs="Arial"/>
          <w:sz w:val="22"/>
          <w:lang w:val="en-GB"/>
        </w:rPr>
        <w:t xml:space="preserve">trategy in Vietnam FMCG </w:t>
      </w:r>
      <w:r w:rsidR="00E03746">
        <w:rPr>
          <w:rFonts w:ascii="Arial" w:hAnsi="Arial" w:cs="Arial"/>
          <w:sz w:val="22"/>
          <w:lang w:val="en-GB"/>
        </w:rPr>
        <w:t>i</w:t>
      </w:r>
      <w:r w:rsidRPr="00EA1AB8">
        <w:rPr>
          <w:rFonts w:ascii="Arial" w:hAnsi="Arial" w:cs="Arial"/>
          <w:sz w:val="22"/>
          <w:lang w:val="en-GB"/>
        </w:rPr>
        <w:t>ndustry</w:t>
      </w:r>
      <w:r w:rsidR="00E03746">
        <w:rPr>
          <w:rFonts w:ascii="Arial" w:hAnsi="Arial" w:cs="Arial"/>
          <w:sz w:val="22"/>
          <w:lang w:val="en-GB"/>
        </w:rPr>
        <w:t>”,</w:t>
      </w:r>
      <w:r w:rsidRPr="00EA1AB8">
        <w:rPr>
          <w:rFonts w:ascii="Arial" w:hAnsi="Arial" w:cs="Arial"/>
          <w:sz w:val="22"/>
          <w:lang w:val="en-GB"/>
        </w:rPr>
        <w:t> </w:t>
      </w:r>
      <w:r w:rsidRPr="00EA1AB8">
        <w:rPr>
          <w:rFonts w:ascii="Arial" w:hAnsi="Arial" w:cs="Arial"/>
          <w:i/>
          <w:iCs/>
          <w:sz w:val="22"/>
          <w:lang w:val="en-GB"/>
        </w:rPr>
        <w:t>International journal of educational research and studies</w:t>
      </w:r>
      <w:r w:rsidRPr="00EA1AB8">
        <w:rPr>
          <w:rFonts w:ascii="Arial" w:hAnsi="Arial" w:cs="Arial"/>
          <w:sz w:val="22"/>
          <w:lang w:val="en-GB"/>
        </w:rPr>
        <w:t>, </w:t>
      </w:r>
      <w:r w:rsidRPr="00EA1AB8">
        <w:rPr>
          <w:rFonts w:ascii="Arial" w:hAnsi="Arial" w:cs="Arial"/>
          <w:i/>
          <w:iCs/>
          <w:sz w:val="22"/>
          <w:lang w:val="en-GB"/>
        </w:rPr>
        <w:t>2</w:t>
      </w:r>
      <w:r w:rsidRPr="00EA1AB8">
        <w:rPr>
          <w:rFonts w:ascii="Arial" w:hAnsi="Arial" w:cs="Arial"/>
          <w:sz w:val="22"/>
          <w:lang w:val="en-GB"/>
        </w:rPr>
        <w:t>(2), pp.20-23.</w:t>
      </w:r>
    </w:p>
    <w:p w14:paraId="03094FB5" w14:textId="17741D5F" w:rsidR="00E23CAB" w:rsidRPr="00EA1AB8" w:rsidRDefault="00E23CAB" w:rsidP="00E23CAB">
      <w:pPr>
        <w:rPr>
          <w:rFonts w:ascii="Arial" w:hAnsi="Arial" w:cs="Arial"/>
          <w:sz w:val="22"/>
          <w:lang w:val="en-GB"/>
        </w:rPr>
      </w:pPr>
      <w:r w:rsidRPr="00EA1AB8">
        <w:rPr>
          <w:rFonts w:ascii="Arial" w:hAnsi="Arial" w:cs="Arial"/>
          <w:sz w:val="22"/>
          <w:lang w:val="en-GB"/>
        </w:rPr>
        <w:t xml:space="preserve">Tucci, L. and Roy, M. (2024) </w:t>
      </w:r>
      <w:r w:rsidR="00E03746" w:rsidRPr="00E03746">
        <w:rPr>
          <w:rFonts w:ascii="Arial" w:hAnsi="Arial" w:cs="Arial"/>
          <w:sz w:val="22"/>
          <w:lang w:val="en-GB"/>
        </w:rPr>
        <w:t>S</w:t>
      </w:r>
      <w:r w:rsidRPr="00E03746">
        <w:rPr>
          <w:rFonts w:ascii="Arial" w:hAnsi="Arial" w:cs="Arial"/>
          <w:sz w:val="22"/>
          <w:lang w:val="en-GB"/>
        </w:rPr>
        <w:t>trategic management.</w:t>
      </w:r>
      <w:r w:rsidRPr="00EA1AB8">
        <w:rPr>
          <w:rFonts w:ascii="Arial" w:hAnsi="Arial" w:cs="Arial"/>
          <w:sz w:val="22"/>
          <w:lang w:val="en-GB"/>
        </w:rPr>
        <w:t xml:space="preserve"> Available at: https://www.techtarget.com/searchcio/definition/strategic-management (Accessed: 15 February 2024). </w:t>
      </w:r>
    </w:p>
    <w:p w14:paraId="17438615" w14:textId="77777777" w:rsidR="00E23CAB" w:rsidRPr="00EA1AB8" w:rsidRDefault="00E23CAB" w:rsidP="00E23CAB">
      <w:pPr>
        <w:rPr>
          <w:rFonts w:ascii="Arial" w:hAnsi="Arial" w:cs="Arial"/>
          <w:sz w:val="22"/>
          <w:lang w:val="en-GB"/>
        </w:rPr>
      </w:pPr>
      <w:r w:rsidRPr="00EA1AB8">
        <w:rPr>
          <w:rFonts w:ascii="Arial" w:hAnsi="Arial" w:cs="Arial"/>
          <w:kern w:val="0"/>
          <w:sz w:val="22"/>
          <w:lang w:val="en-GB"/>
          <w14:ligatures w14:val="none"/>
        </w:rPr>
        <w:t xml:space="preserve">Wilson, C. (2019) </w:t>
      </w:r>
      <w:r w:rsidRPr="00E03746">
        <w:rPr>
          <w:rFonts w:ascii="Arial" w:hAnsi="Arial" w:cs="Arial"/>
          <w:kern w:val="0"/>
          <w:sz w:val="22"/>
          <w:lang w:val="en-GB"/>
          <w14:ligatures w14:val="none"/>
        </w:rPr>
        <w:t>Average British drinker consumes 108 bottles of wine a year.</w:t>
      </w:r>
      <w:r w:rsidRPr="00EA1AB8">
        <w:rPr>
          <w:rFonts w:ascii="Arial" w:hAnsi="Arial" w:cs="Arial"/>
          <w:kern w:val="0"/>
          <w:sz w:val="22"/>
          <w:lang w:val="en-GB"/>
          <w14:ligatures w14:val="none"/>
        </w:rPr>
        <w:t xml:space="preserve"> Available at: https://www.decanter.com/wine-news/average-british-drinking-consumes-108-bottles-of-wine-a-year-427450/ (Accessed: 15 February 2024).</w:t>
      </w:r>
    </w:p>
    <w:p w14:paraId="682CCBB6" w14:textId="43A7CF67" w:rsidR="00E23CAB" w:rsidRDefault="00E23CAB" w:rsidP="00E23CAB">
      <w:pPr>
        <w:spacing w:line="259" w:lineRule="auto"/>
        <w:jc w:val="left"/>
        <w:rPr>
          <w:rFonts w:ascii="Arial" w:eastAsiaTheme="majorEastAsia" w:hAnsi="Arial" w:cs="Arial"/>
          <w:b/>
          <w:sz w:val="22"/>
          <w:lang w:val="en-GB"/>
        </w:rPr>
      </w:pPr>
    </w:p>
    <w:p w14:paraId="58CF6B49" w14:textId="77777777" w:rsidR="00BF250A" w:rsidRDefault="00BF250A" w:rsidP="00E23CAB">
      <w:pPr>
        <w:spacing w:line="259" w:lineRule="auto"/>
        <w:jc w:val="left"/>
        <w:rPr>
          <w:rFonts w:ascii="Arial" w:eastAsiaTheme="majorEastAsia" w:hAnsi="Arial" w:cs="Arial"/>
          <w:b/>
          <w:sz w:val="22"/>
          <w:lang w:val="en-GB"/>
        </w:rPr>
      </w:pPr>
    </w:p>
    <w:p w14:paraId="2CC2FE07" w14:textId="77777777" w:rsidR="00BF250A" w:rsidRDefault="00BF250A" w:rsidP="00E23CAB">
      <w:pPr>
        <w:spacing w:line="259" w:lineRule="auto"/>
        <w:jc w:val="left"/>
        <w:rPr>
          <w:rFonts w:ascii="Arial" w:eastAsiaTheme="majorEastAsia" w:hAnsi="Arial" w:cs="Arial"/>
          <w:b/>
          <w:sz w:val="22"/>
          <w:lang w:val="en-GB"/>
        </w:rPr>
      </w:pPr>
    </w:p>
    <w:p w14:paraId="17B86DA5" w14:textId="77777777" w:rsidR="00BF250A" w:rsidRDefault="00BF250A" w:rsidP="00E23CAB">
      <w:pPr>
        <w:spacing w:line="259" w:lineRule="auto"/>
        <w:jc w:val="left"/>
        <w:rPr>
          <w:rFonts w:ascii="Arial" w:eastAsiaTheme="majorEastAsia" w:hAnsi="Arial" w:cs="Arial"/>
          <w:b/>
          <w:sz w:val="22"/>
          <w:lang w:val="en-GB"/>
        </w:rPr>
      </w:pPr>
    </w:p>
    <w:p w14:paraId="25185B07" w14:textId="77777777" w:rsidR="00B56D2F" w:rsidRDefault="00B56D2F" w:rsidP="00E23CAB">
      <w:pPr>
        <w:spacing w:line="259" w:lineRule="auto"/>
        <w:jc w:val="left"/>
        <w:rPr>
          <w:rFonts w:ascii="Arial" w:eastAsiaTheme="majorEastAsia" w:hAnsi="Arial" w:cs="Arial"/>
          <w:b/>
          <w:sz w:val="22"/>
          <w:lang w:val="en-GB"/>
        </w:rPr>
      </w:pPr>
    </w:p>
    <w:p w14:paraId="7F8F02CA" w14:textId="77777777" w:rsidR="00B56D2F" w:rsidRDefault="00B56D2F" w:rsidP="00E23CAB">
      <w:pPr>
        <w:spacing w:line="259" w:lineRule="auto"/>
        <w:jc w:val="left"/>
        <w:rPr>
          <w:rFonts w:ascii="Arial" w:eastAsiaTheme="majorEastAsia" w:hAnsi="Arial" w:cs="Arial"/>
          <w:b/>
          <w:sz w:val="22"/>
          <w:lang w:val="en-GB"/>
        </w:rPr>
      </w:pPr>
    </w:p>
    <w:p w14:paraId="1C8355C8" w14:textId="77777777" w:rsidR="00B56D2F" w:rsidRDefault="00B56D2F" w:rsidP="00E23CAB">
      <w:pPr>
        <w:spacing w:line="259" w:lineRule="auto"/>
        <w:jc w:val="left"/>
        <w:rPr>
          <w:rFonts w:ascii="Arial" w:eastAsiaTheme="majorEastAsia" w:hAnsi="Arial" w:cs="Arial"/>
          <w:b/>
          <w:sz w:val="22"/>
          <w:lang w:val="en-GB"/>
        </w:rPr>
      </w:pPr>
    </w:p>
    <w:p w14:paraId="14047700" w14:textId="77777777" w:rsidR="00B56D2F" w:rsidRDefault="00B56D2F" w:rsidP="00E23CAB">
      <w:pPr>
        <w:spacing w:line="259" w:lineRule="auto"/>
        <w:jc w:val="left"/>
        <w:rPr>
          <w:rFonts w:ascii="Arial" w:eastAsiaTheme="majorEastAsia" w:hAnsi="Arial" w:cs="Arial"/>
          <w:b/>
          <w:sz w:val="22"/>
          <w:lang w:val="en-GB"/>
        </w:rPr>
      </w:pPr>
    </w:p>
    <w:p w14:paraId="1DAA8FFF" w14:textId="77777777" w:rsidR="00B56D2F" w:rsidRDefault="00B56D2F" w:rsidP="00E23CAB">
      <w:pPr>
        <w:spacing w:line="259" w:lineRule="auto"/>
        <w:jc w:val="left"/>
        <w:rPr>
          <w:rFonts w:ascii="Arial" w:eastAsiaTheme="majorEastAsia" w:hAnsi="Arial" w:cs="Arial"/>
          <w:b/>
          <w:sz w:val="22"/>
          <w:lang w:val="en-GB"/>
        </w:rPr>
      </w:pPr>
    </w:p>
    <w:p w14:paraId="72B833FB" w14:textId="77777777" w:rsidR="00B56D2F" w:rsidRDefault="00B56D2F" w:rsidP="00E23CAB">
      <w:pPr>
        <w:spacing w:line="259" w:lineRule="auto"/>
        <w:jc w:val="left"/>
        <w:rPr>
          <w:rFonts w:ascii="Arial" w:eastAsiaTheme="majorEastAsia" w:hAnsi="Arial" w:cs="Arial"/>
          <w:b/>
          <w:sz w:val="22"/>
          <w:lang w:val="en-GB"/>
        </w:rPr>
      </w:pPr>
    </w:p>
    <w:p w14:paraId="1AF75407" w14:textId="77777777" w:rsidR="00B56D2F" w:rsidRDefault="00B56D2F" w:rsidP="00E23CAB">
      <w:pPr>
        <w:spacing w:line="259" w:lineRule="auto"/>
        <w:jc w:val="left"/>
        <w:rPr>
          <w:rFonts w:ascii="Arial" w:eastAsiaTheme="majorEastAsia" w:hAnsi="Arial" w:cs="Arial"/>
          <w:b/>
          <w:sz w:val="22"/>
          <w:lang w:val="en-GB"/>
        </w:rPr>
      </w:pPr>
    </w:p>
    <w:p w14:paraId="6CDACD4D" w14:textId="77777777" w:rsidR="00B56D2F" w:rsidRDefault="00B56D2F" w:rsidP="00E23CAB">
      <w:pPr>
        <w:spacing w:line="259" w:lineRule="auto"/>
        <w:jc w:val="left"/>
        <w:rPr>
          <w:rFonts w:ascii="Arial" w:eastAsiaTheme="majorEastAsia" w:hAnsi="Arial" w:cs="Arial"/>
          <w:b/>
          <w:sz w:val="22"/>
          <w:lang w:val="en-GB"/>
        </w:rPr>
      </w:pPr>
    </w:p>
    <w:p w14:paraId="0B0B0D9E" w14:textId="77777777" w:rsidR="00B56D2F" w:rsidRDefault="00B56D2F" w:rsidP="00E23CAB">
      <w:pPr>
        <w:spacing w:line="259" w:lineRule="auto"/>
        <w:jc w:val="left"/>
        <w:rPr>
          <w:rFonts w:ascii="Arial" w:eastAsiaTheme="majorEastAsia" w:hAnsi="Arial" w:cs="Arial"/>
          <w:b/>
          <w:sz w:val="22"/>
          <w:lang w:val="en-GB"/>
        </w:rPr>
      </w:pPr>
    </w:p>
    <w:p w14:paraId="679A7923" w14:textId="77777777" w:rsidR="00B56D2F" w:rsidRDefault="00B56D2F" w:rsidP="00E23CAB">
      <w:pPr>
        <w:spacing w:line="259" w:lineRule="auto"/>
        <w:jc w:val="left"/>
        <w:rPr>
          <w:rFonts w:ascii="Arial" w:eastAsiaTheme="majorEastAsia" w:hAnsi="Arial" w:cs="Arial"/>
          <w:b/>
          <w:sz w:val="22"/>
          <w:lang w:val="en-GB"/>
        </w:rPr>
      </w:pPr>
    </w:p>
    <w:p w14:paraId="4CB19D70" w14:textId="77777777" w:rsidR="00B56D2F" w:rsidRDefault="00B56D2F" w:rsidP="00E23CAB">
      <w:pPr>
        <w:spacing w:line="259" w:lineRule="auto"/>
        <w:jc w:val="left"/>
        <w:rPr>
          <w:rFonts w:ascii="Arial" w:eastAsiaTheme="majorEastAsia" w:hAnsi="Arial" w:cs="Arial"/>
          <w:b/>
          <w:sz w:val="22"/>
          <w:lang w:val="en-GB"/>
        </w:rPr>
      </w:pPr>
    </w:p>
    <w:p w14:paraId="548AE005" w14:textId="77777777" w:rsidR="00B56D2F" w:rsidRDefault="00B56D2F" w:rsidP="00E23CAB">
      <w:pPr>
        <w:spacing w:line="259" w:lineRule="auto"/>
        <w:jc w:val="left"/>
        <w:rPr>
          <w:rFonts w:ascii="Arial" w:eastAsiaTheme="majorEastAsia" w:hAnsi="Arial" w:cs="Arial"/>
          <w:b/>
          <w:sz w:val="22"/>
          <w:lang w:val="en-GB"/>
        </w:rPr>
      </w:pPr>
    </w:p>
    <w:p w14:paraId="7B5EDD66" w14:textId="77777777" w:rsidR="00B56D2F" w:rsidRDefault="00B56D2F" w:rsidP="00E23CAB">
      <w:pPr>
        <w:spacing w:line="259" w:lineRule="auto"/>
        <w:jc w:val="left"/>
        <w:rPr>
          <w:rFonts w:ascii="Arial" w:eastAsiaTheme="majorEastAsia" w:hAnsi="Arial" w:cs="Arial"/>
          <w:b/>
          <w:sz w:val="22"/>
          <w:lang w:val="en-GB"/>
        </w:rPr>
      </w:pPr>
    </w:p>
    <w:p w14:paraId="221B7DAF" w14:textId="77777777" w:rsidR="00BF250A" w:rsidRDefault="00BF250A" w:rsidP="00E23CAB">
      <w:pPr>
        <w:spacing w:line="259" w:lineRule="auto"/>
        <w:jc w:val="left"/>
        <w:rPr>
          <w:rFonts w:ascii="Arial" w:eastAsiaTheme="majorEastAsia" w:hAnsi="Arial" w:cs="Arial"/>
          <w:b/>
          <w:sz w:val="22"/>
          <w:lang w:val="en-GB"/>
        </w:rPr>
      </w:pPr>
    </w:p>
    <w:p w14:paraId="43743647" w14:textId="767CE9F0" w:rsidR="00BF250A" w:rsidRDefault="00BF250A" w:rsidP="00B56D2F">
      <w:pPr>
        <w:pStyle w:val="Heading2"/>
        <w:rPr>
          <w:lang w:val="en-GB"/>
        </w:rPr>
      </w:pPr>
      <w:r>
        <w:rPr>
          <w:lang w:val="en-GB"/>
        </w:rPr>
        <w:lastRenderedPageBreak/>
        <w:t>Task 2</w:t>
      </w:r>
      <w:r w:rsidR="00B56D2F">
        <w:rPr>
          <w:lang w:val="en-GB"/>
        </w:rPr>
        <w:t xml:space="preserve">. </w:t>
      </w:r>
      <w:r>
        <w:rPr>
          <w:lang w:val="en-GB"/>
        </w:rPr>
        <w:t>Presentation</w:t>
      </w:r>
    </w:p>
    <w:p w14:paraId="7EE8821F" w14:textId="7A82239F" w:rsidR="00BF250A" w:rsidRDefault="005B50D2" w:rsidP="00E23CAB">
      <w:pPr>
        <w:spacing w:line="259" w:lineRule="auto"/>
        <w:jc w:val="left"/>
        <w:rPr>
          <w:rFonts w:ascii="Arial" w:eastAsiaTheme="majorEastAsia" w:hAnsi="Arial" w:cs="Arial"/>
          <w:b/>
          <w:sz w:val="22"/>
          <w:lang w:val="en-GB"/>
        </w:rPr>
      </w:pPr>
      <w:r>
        <w:rPr>
          <w:noProof/>
        </w:rPr>
        <w:drawing>
          <wp:inline distT="0" distB="0" distL="0" distR="0" wp14:anchorId="358F35BB" wp14:editId="6D9D94DA">
            <wp:extent cx="5731510" cy="3223895"/>
            <wp:effectExtent l="0" t="0" r="0" b="0"/>
            <wp:docPr id="162910742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9107425" name=""/>
                    <pic:cNvPicPr/>
                  </pic:nvPicPr>
                  <pic:blipFill>
                    <a:blip r:embed="rId9">
                      <a:extLst>
                        <a:ext uri="{96DAC541-7B7A-43D3-8B79-37D633B846F1}">
                          <asvg:svgBlip xmlns:asvg="http://schemas.microsoft.com/office/drawing/2016/SVG/main" r:embed="rId10"/>
                        </a:ext>
                      </a:extLst>
                    </a:blip>
                    <a:stretch>
                      <a:fillRect/>
                    </a:stretch>
                  </pic:blipFill>
                  <pic:spPr>
                    <a:xfrm>
                      <a:off x="0" y="0"/>
                      <a:ext cx="5731510" cy="3223895"/>
                    </a:xfrm>
                    <a:prstGeom prst="rect">
                      <a:avLst/>
                    </a:prstGeom>
                  </pic:spPr>
                </pic:pic>
              </a:graphicData>
            </a:graphic>
          </wp:inline>
        </w:drawing>
      </w:r>
      <w:r w:rsidR="000D7578">
        <w:rPr>
          <w:rFonts w:ascii="Arial" w:eastAsiaTheme="majorEastAsia" w:hAnsi="Arial" w:cs="Arial"/>
          <w:b/>
          <w:noProof/>
          <w:sz w:val="22"/>
          <w:lang w:val="en-GB"/>
        </w:rPr>
        <w:drawing>
          <wp:inline distT="0" distB="0" distL="0" distR="0" wp14:anchorId="49F85740" wp14:editId="6E97BCF7">
            <wp:extent cx="5730875" cy="3225165"/>
            <wp:effectExtent l="0" t="0" r="0" b="0"/>
            <wp:docPr id="104207713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0875" cy="3225165"/>
                    </a:xfrm>
                    <a:prstGeom prst="rect">
                      <a:avLst/>
                    </a:prstGeom>
                    <a:noFill/>
                  </pic:spPr>
                </pic:pic>
              </a:graphicData>
            </a:graphic>
          </wp:inline>
        </w:drawing>
      </w:r>
      <w:r>
        <w:rPr>
          <w:rFonts w:ascii="Arial" w:eastAsiaTheme="majorEastAsia" w:hAnsi="Arial" w:cs="Arial"/>
          <w:b/>
          <w:noProof/>
          <w:sz w:val="22"/>
          <w:lang w:val="en-GB"/>
        </w:rPr>
        <w:lastRenderedPageBreak/>
        <w:drawing>
          <wp:inline distT="0" distB="0" distL="0" distR="0" wp14:anchorId="057F04A2" wp14:editId="273B266C">
            <wp:extent cx="5730875" cy="3225165"/>
            <wp:effectExtent l="0" t="0" r="0" b="0"/>
            <wp:docPr id="411313440" name="Picture 3" descr="A close-up of a company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1313440" name="Picture 3" descr="A close-up of a company logo&#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0875" cy="3225165"/>
                    </a:xfrm>
                    <a:prstGeom prst="rect">
                      <a:avLst/>
                    </a:prstGeom>
                    <a:noFill/>
                  </pic:spPr>
                </pic:pic>
              </a:graphicData>
            </a:graphic>
          </wp:inline>
        </w:drawing>
      </w:r>
      <w:r>
        <w:rPr>
          <w:rFonts w:ascii="Arial" w:eastAsiaTheme="majorEastAsia" w:hAnsi="Arial" w:cs="Arial"/>
          <w:b/>
          <w:noProof/>
          <w:sz w:val="22"/>
          <w:lang w:val="en-GB"/>
        </w:rPr>
        <w:drawing>
          <wp:inline distT="0" distB="0" distL="0" distR="0" wp14:anchorId="2AADCADD" wp14:editId="3CA9B638">
            <wp:extent cx="5730875" cy="3225165"/>
            <wp:effectExtent l="0" t="0" r="0" b="0"/>
            <wp:docPr id="43119197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0875" cy="3225165"/>
                    </a:xfrm>
                    <a:prstGeom prst="rect">
                      <a:avLst/>
                    </a:prstGeom>
                    <a:noFill/>
                  </pic:spPr>
                </pic:pic>
              </a:graphicData>
            </a:graphic>
          </wp:inline>
        </w:drawing>
      </w:r>
    </w:p>
    <w:p w14:paraId="1E7EAF90" w14:textId="77777777" w:rsidR="00B56D2F" w:rsidRDefault="00B56D2F" w:rsidP="00E23CAB">
      <w:pPr>
        <w:spacing w:line="259" w:lineRule="auto"/>
        <w:jc w:val="left"/>
        <w:rPr>
          <w:rFonts w:ascii="Arial" w:eastAsiaTheme="majorEastAsia" w:hAnsi="Arial" w:cs="Arial"/>
          <w:b/>
          <w:sz w:val="22"/>
          <w:lang w:val="en-GB"/>
        </w:rPr>
      </w:pPr>
    </w:p>
    <w:p w14:paraId="07B41954" w14:textId="77777777" w:rsidR="00B56D2F" w:rsidRDefault="00B56D2F" w:rsidP="00E23CAB">
      <w:pPr>
        <w:spacing w:line="259" w:lineRule="auto"/>
        <w:jc w:val="left"/>
        <w:rPr>
          <w:rFonts w:ascii="Arial" w:eastAsiaTheme="majorEastAsia" w:hAnsi="Arial" w:cs="Arial"/>
          <w:b/>
          <w:sz w:val="22"/>
          <w:lang w:val="en-GB"/>
        </w:rPr>
      </w:pPr>
    </w:p>
    <w:p w14:paraId="5CCA76D1" w14:textId="77777777" w:rsidR="00B56D2F" w:rsidRDefault="00B56D2F" w:rsidP="00E23CAB">
      <w:pPr>
        <w:spacing w:line="259" w:lineRule="auto"/>
        <w:jc w:val="left"/>
        <w:rPr>
          <w:rFonts w:ascii="Arial" w:eastAsiaTheme="majorEastAsia" w:hAnsi="Arial" w:cs="Arial"/>
          <w:b/>
          <w:sz w:val="22"/>
          <w:lang w:val="en-GB"/>
        </w:rPr>
      </w:pPr>
    </w:p>
    <w:p w14:paraId="7D118D82" w14:textId="77777777" w:rsidR="00B56D2F" w:rsidRDefault="00B56D2F" w:rsidP="00E23CAB">
      <w:pPr>
        <w:spacing w:line="259" w:lineRule="auto"/>
        <w:jc w:val="left"/>
        <w:rPr>
          <w:rFonts w:ascii="Arial" w:eastAsiaTheme="majorEastAsia" w:hAnsi="Arial" w:cs="Arial"/>
          <w:b/>
          <w:noProof/>
          <w:sz w:val="22"/>
          <w:lang w:val="en-GB"/>
        </w:rPr>
      </w:pPr>
      <w:r>
        <w:rPr>
          <w:rFonts w:ascii="Arial" w:eastAsiaTheme="majorEastAsia" w:hAnsi="Arial" w:cs="Arial"/>
          <w:b/>
          <w:noProof/>
          <w:sz w:val="22"/>
          <w:lang w:val="en-GB"/>
        </w:rPr>
        <w:lastRenderedPageBreak/>
        <w:drawing>
          <wp:inline distT="0" distB="0" distL="0" distR="0" wp14:anchorId="2CBF2A85" wp14:editId="46CE290C">
            <wp:extent cx="5730875" cy="3225165"/>
            <wp:effectExtent l="0" t="0" r="0" b="0"/>
            <wp:docPr id="1221139461" name="Picture 5"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1139461" name="Picture 5" descr="A close-up of a document&#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0875" cy="3225165"/>
                    </a:xfrm>
                    <a:prstGeom prst="rect">
                      <a:avLst/>
                    </a:prstGeom>
                    <a:noFill/>
                  </pic:spPr>
                </pic:pic>
              </a:graphicData>
            </a:graphic>
          </wp:inline>
        </w:drawing>
      </w:r>
    </w:p>
    <w:p w14:paraId="68A37F3E" w14:textId="6E097D1C" w:rsidR="00B56D2F" w:rsidRDefault="00B56D2F" w:rsidP="00E23CAB">
      <w:pPr>
        <w:spacing w:line="259" w:lineRule="auto"/>
        <w:jc w:val="left"/>
        <w:rPr>
          <w:rFonts w:ascii="Arial" w:eastAsiaTheme="majorEastAsia" w:hAnsi="Arial" w:cs="Arial"/>
          <w:b/>
          <w:noProof/>
          <w:sz w:val="22"/>
          <w:lang w:val="en-GB"/>
        </w:rPr>
      </w:pPr>
      <w:r>
        <w:rPr>
          <w:rFonts w:ascii="Arial" w:eastAsiaTheme="majorEastAsia" w:hAnsi="Arial" w:cs="Arial"/>
          <w:b/>
          <w:noProof/>
          <w:sz w:val="22"/>
          <w:lang w:val="en-GB"/>
        </w:rPr>
        <w:drawing>
          <wp:inline distT="0" distB="0" distL="0" distR="0" wp14:anchorId="4EE9EBFF" wp14:editId="64AA15F1">
            <wp:extent cx="5730875" cy="3225165"/>
            <wp:effectExtent l="0" t="0" r="0" b="0"/>
            <wp:docPr id="172281580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0875" cy="3225165"/>
                    </a:xfrm>
                    <a:prstGeom prst="rect">
                      <a:avLst/>
                    </a:prstGeom>
                    <a:noFill/>
                  </pic:spPr>
                </pic:pic>
              </a:graphicData>
            </a:graphic>
          </wp:inline>
        </w:drawing>
      </w:r>
    </w:p>
    <w:p w14:paraId="32981A6B" w14:textId="77777777" w:rsidR="00B56D2F" w:rsidRPr="00B56D2F" w:rsidRDefault="00B56D2F" w:rsidP="00B56D2F">
      <w:pPr>
        <w:rPr>
          <w:rFonts w:ascii="Arial" w:eastAsiaTheme="majorEastAsia" w:hAnsi="Arial" w:cs="Arial"/>
          <w:sz w:val="22"/>
          <w:lang w:val="en-GB"/>
        </w:rPr>
      </w:pPr>
    </w:p>
    <w:p w14:paraId="00AC26B3" w14:textId="77777777" w:rsidR="00B56D2F" w:rsidRDefault="00B56D2F" w:rsidP="00B56D2F">
      <w:pPr>
        <w:rPr>
          <w:rFonts w:ascii="Arial" w:eastAsiaTheme="majorEastAsia" w:hAnsi="Arial" w:cs="Arial"/>
          <w:b/>
          <w:noProof/>
          <w:sz w:val="22"/>
          <w:lang w:val="en-GB"/>
        </w:rPr>
      </w:pPr>
    </w:p>
    <w:p w14:paraId="4DFC9D08" w14:textId="77777777" w:rsidR="00B56D2F" w:rsidRDefault="00B56D2F" w:rsidP="00B56D2F">
      <w:pPr>
        <w:jc w:val="center"/>
        <w:rPr>
          <w:rFonts w:ascii="Arial" w:eastAsiaTheme="majorEastAsia" w:hAnsi="Arial" w:cs="Arial"/>
          <w:sz w:val="22"/>
          <w:lang w:val="en-GB"/>
        </w:rPr>
      </w:pPr>
    </w:p>
    <w:p w14:paraId="6146A956" w14:textId="77777777" w:rsidR="00B56D2F" w:rsidRDefault="00B56D2F" w:rsidP="00B56D2F">
      <w:pPr>
        <w:jc w:val="center"/>
        <w:rPr>
          <w:rFonts w:ascii="Arial" w:eastAsiaTheme="majorEastAsia" w:hAnsi="Arial" w:cs="Arial"/>
          <w:sz w:val="22"/>
          <w:lang w:val="en-GB"/>
        </w:rPr>
      </w:pPr>
    </w:p>
    <w:p w14:paraId="699A3B92" w14:textId="77777777" w:rsidR="00B56D2F" w:rsidRDefault="00B56D2F" w:rsidP="00B56D2F">
      <w:pPr>
        <w:jc w:val="center"/>
        <w:rPr>
          <w:rFonts w:ascii="Arial" w:eastAsiaTheme="majorEastAsia" w:hAnsi="Arial" w:cs="Arial"/>
          <w:sz w:val="22"/>
          <w:lang w:val="en-GB"/>
        </w:rPr>
      </w:pPr>
    </w:p>
    <w:p w14:paraId="707EAFD0" w14:textId="77777777" w:rsidR="00B56D2F" w:rsidRDefault="00B56D2F" w:rsidP="00B56D2F">
      <w:pPr>
        <w:jc w:val="center"/>
        <w:rPr>
          <w:rFonts w:ascii="Arial" w:eastAsiaTheme="majorEastAsia" w:hAnsi="Arial" w:cs="Arial"/>
          <w:sz w:val="22"/>
          <w:lang w:val="en-GB"/>
        </w:rPr>
      </w:pPr>
    </w:p>
    <w:p w14:paraId="743C7735" w14:textId="41FCFF04" w:rsidR="00B56D2F" w:rsidRDefault="00B56D2F" w:rsidP="00B56D2F">
      <w:pPr>
        <w:jc w:val="center"/>
        <w:rPr>
          <w:noProof/>
          <w:lang w:val="en-GB" w:eastAsia="en-IN"/>
        </w:rPr>
      </w:pPr>
      <w:r w:rsidRPr="00E33FF9">
        <w:rPr>
          <w:noProof/>
          <w:lang w:val="en-GB" w:eastAsia="en-IN"/>
        </w:rPr>
        <w:lastRenderedPageBreak/>
        <w:drawing>
          <wp:inline distT="0" distB="0" distL="0" distR="0" wp14:anchorId="21D0273A" wp14:editId="497DAFB1">
            <wp:extent cx="5731510" cy="3223895"/>
            <wp:effectExtent l="0" t="0" r="0" b="0"/>
            <wp:docPr id="1800885273" name="Picture 7" descr="A yellow and white text on a yellow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0885273" name="Picture 7" descr="A yellow and white text on a yellow background&#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sidRPr="00E33FF9">
        <w:rPr>
          <w:noProof/>
          <w:lang w:val="en-GB" w:eastAsia="en-IN"/>
        </w:rPr>
        <w:drawing>
          <wp:inline distT="0" distB="0" distL="0" distR="0" wp14:anchorId="75C9E80C" wp14:editId="5DD810E4">
            <wp:extent cx="5731510" cy="3223895"/>
            <wp:effectExtent l="0" t="0" r="0" b="0"/>
            <wp:docPr id="1385322713" name="Picture 8" descr="A close-up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5322713" name="Picture 8" descr="A close-up of a diagram&#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3D5CEBB9" w14:textId="77777777" w:rsidR="00B56D2F" w:rsidRPr="00B56D2F" w:rsidRDefault="00B56D2F" w:rsidP="00B56D2F">
      <w:pPr>
        <w:rPr>
          <w:rFonts w:ascii="Arial" w:eastAsiaTheme="majorEastAsia" w:hAnsi="Arial" w:cs="Arial"/>
          <w:sz w:val="22"/>
          <w:lang w:val="en-GB"/>
        </w:rPr>
      </w:pPr>
    </w:p>
    <w:p w14:paraId="195C9BB1" w14:textId="77777777" w:rsidR="00B56D2F" w:rsidRPr="00B56D2F" w:rsidRDefault="00B56D2F" w:rsidP="00B56D2F">
      <w:pPr>
        <w:rPr>
          <w:rFonts w:ascii="Arial" w:eastAsiaTheme="majorEastAsia" w:hAnsi="Arial" w:cs="Arial"/>
          <w:sz w:val="22"/>
          <w:lang w:val="en-GB"/>
        </w:rPr>
      </w:pPr>
    </w:p>
    <w:p w14:paraId="39D6B704" w14:textId="77777777" w:rsidR="00B56D2F" w:rsidRPr="00B56D2F" w:rsidRDefault="00B56D2F" w:rsidP="00B56D2F">
      <w:pPr>
        <w:rPr>
          <w:rFonts w:ascii="Arial" w:eastAsiaTheme="majorEastAsia" w:hAnsi="Arial" w:cs="Arial"/>
          <w:sz w:val="22"/>
          <w:lang w:val="en-GB"/>
        </w:rPr>
      </w:pPr>
    </w:p>
    <w:p w14:paraId="635C2055" w14:textId="77777777" w:rsidR="00B56D2F" w:rsidRDefault="00B56D2F" w:rsidP="00B56D2F">
      <w:pPr>
        <w:rPr>
          <w:noProof/>
          <w:lang w:val="en-GB" w:eastAsia="en-IN"/>
        </w:rPr>
      </w:pPr>
    </w:p>
    <w:p w14:paraId="2B13CFD2" w14:textId="3218807C" w:rsidR="00B56D2F" w:rsidRDefault="00B56D2F" w:rsidP="00B56D2F">
      <w:pPr>
        <w:tabs>
          <w:tab w:val="left" w:pos="3923"/>
        </w:tabs>
        <w:rPr>
          <w:rFonts w:ascii="Arial" w:eastAsiaTheme="majorEastAsia" w:hAnsi="Arial" w:cs="Arial"/>
          <w:sz w:val="22"/>
          <w:lang w:val="en-GB"/>
        </w:rPr>
      </w:pPr>
      <w:r>
        <w:rPr>
          <w:rFonts w:ascii="Arial" w:eastAsiaTheme="majorEastAsia" w:hAnsi="Arial" w:cs="Arial"/>
          <w:sz w:val="22"/>
          <w:lang w:val="en-GB"/>
        </w:rPr>
        <w:tab/>
      </w:r>
    </w:p>
    <w:p w14:paraId="08EFCB91" w14:textId="77777777" w:rsidR="00B56D2F" w:rsidRDefault="00B56D2F" w:rsidP="00B56D2F">
      <w:pPr>
        <w:tabs>
          <w:tab w:val="left" w:pos="3923"/>
        </w:tabs>
        <w:rPr>
          <w:rFonts w:ascii="Arial" w:eastAsiaTheme="majorEastAsia" w:hAnsi="Arial" w:cs="Arial"/>
          <w:sz w:val="22"/>
          <w:lang w:val="en-GB"/>
        </w:rPr>
      </w:pPr>
    </w:p>
    <w:p w14:paraId="1597FCA3" w14:textId="42E8D6E1" w:rsidR="00B56D2F" w:rsidRDefault="00B56D2F" w:rsidP="00B56D2F">
      <w:pPr>
        <w:tabs>
          <w:tab w:val="left" w:pos="3923"/>
        </w:tabs>
        <w:rPr>
          <w:noProof/>
          <w:lang w:val="en-GB" w:eastAsia="en-IN"/>
        </w:rPr>
      </w:pPr>
      <w:r w:rsidRPr="00E33FF9">
        <w:rPr>
          <w:noProof/>
          <w:lang w:val="en-GB" w:eastAsia="en-IN"/>
        </w:rPr>
        <w:lastRenderedPageBreak/>
        <w:drawing>
          <wp:inline distT="0" distB="0" distL="0" distR="0" wp14:anchorId="79885F9C" wp14:editId="7FC8D6C2">
            <wp:extent cx="5731510" cy="3223895"/>
            <wp:effectExtent l="0" t="0" r="0" b="0"/>
            <wp:docPr id="332312643" name="Picture 9" descr="A close-up of a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2312643" name="Picture 9" descr="A close-up of a chart&#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sidRPr="00E33FF9">
        <w:rPr>
          <w:noProof/>
          <w:lang w:val="en-GB" w:eastAsia="en-IN"/>
        </w:rPr>
        <w:drawing>
          <wp:inline distT="0" distB="0" distL="0" distR="0" wp14:anchorId="56E3D0AE" wp14:editId="7CC974F4">
            <wp:extent cx="5731510" cy="3223895"/>
            <wp:effectExtent l="0" t="0" r="0" b="0"/>
            <wp:docPr id="432207314" name="Picture 10" descr="A person hitting a target with an arr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2207314" name="Picture 10" descr="A person hitting a target with an arrow&#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6D2403DE" w14:textId="77777777" w:rsidR="00B56D2F" w:rsidRPr="00B56D2F" w:rsidRDefault="00B56D2F" w:rsidP="00B56D2F">
      <w:pPr>
        <w:rPr>
          <w:rFonts w:ascii="Arial" w:eastAsiaTheme="majorEastAsia" w:hAnsi="Arial" w:cs="Arial"/>
          <w:sz w:val="22"/>
          <w:lang w:val="en-GB"/>
        </w:rPr>
      </w:pPr>
    </w:p>
    <w:p w14:paraId="5D2170E9" w14:textId="77777777" w:rsidR="00B56D2F" w:rsidRDefault="00B56D2F" w:rsidP="00B56D2F">
      <w:pPr>
        <w:rPr>
          <w:noProof/>
          <w:lang w:val="en-GB" w:eastAsia="en-IN"/>
        </w:rPr>
      </w:pPr>
    </w:p>
    <w:p w14:paraId="72881EF3" w14:textId="6B183248" w:rsidR="00B56D2F" w:rsidRDefault="00B56D2F" w:rsidP="00B56D2F">
      <w:pPr>
        <w:tabs>
          <w:tab w:val="left" w:pos="7218"/>
        </w:tabs>
        <w:rPr>
          <w:rFonts w:ascii="Arial" w:eastAsiaTheme="majorEastAsia" w:hAnsi="Arial" w:cs="Arial"/>
          <w:sz w:val="22"/>
          <w:lang w:val="en-GB"/>
        </w:rPr>
      </w:pPr>
      <w:r>
        <w:rPr>
          <w:rFonts w:ascii="Arial" w:eastAsiaTheme="majorEastAsia" w:hAnsi="Arial" w:cs="Arial"/>
          <w:sz w:val="22"/>
          <w:lang w:val="en-GB"/>
        </w:rPr>
        <w:tab/>
      </w:r>
    </w:p>
    <w:p w14:paraId="3942DA96" w14:textId="77777777" w:rsidR="00B56D2F" w:rsidRDefault="00B56D2F" w:rsidP="00B56D2F">
      <w:pPr>
        <w:tabs>
          <w:tab w:val="left" w:pos="7218"/>
        </w:tabs>
        <w:rPr>
          <w:rFonts w:ascii="Arial" w:eastAsiaTheme="majorEastAsia" w:hAnsi="Arial" w:cs="Arial"/>
          <w:sz w:val="22"/>
          <w:lang w:val="en-GB"/>
        </w:rPr>
      </w:pPr>
    </w:p>
    <w:p w14:paraId="2B82E04E" w14:textId="77777777" w:rsidR="00B56D2F" w:rsidRDefault="00B56D2F" w:rsidP="00B56D2F">
      <w:pPr>
        <w:tabs>
          <w:tab w:val="left" w:pos="7218"/>
        </w:tabs>
        <w:rPr>
          <w:rFonts w:ascii="Arial" w:eastAsiaTheme="majorEastAsia" w:hAnsi="Arial" w:cs="Arial"/>
          <w:sz w:val="22"/>
          <w:lang w:val="en-GB"/>
        </w:rPr>
      </w:pPr>
    </w:p>
    <w:p w14:paraId="7B742D60" w14:textId="0E1EED3B" w:rsidR="00B56D2F" w:rsidRPr="00B56D2F" w:rsidRDefault="00B56D2F" w:rsidP="00B56D2F">
      <w:pPr>
        <w:tabs>
          <w:tab w:val="left" w:pos="7218"/>
        </w:tabs>
        <w:rPr>
          <w:rFonts w:ascii="Arial" w:eastAsiaTheme="majorEastAsia" w:hAnsi="Arial" w:cs="Arial"/>
          <w:sz w:val="22"/>
          <w:lang w:val="en-GB"/>
        </w:rPr>
      </w:pPr>
      <w:r w:rsidRPr="00E33FF9">
        <w:rPr>
          <w:noProof/>
          <w:lang w:val="en-GB" w:eastAsia="en-IN"/>
        </w:rPr>
        <w:lastRenderedPageBreak/>
        <w:drawing>
          <wp:inline distT="0" distB="0" distL="0" distR="0" wp14:anchorId="537F96F2" wp14:editId="60CEA9B0">
            <wp:extent cx="5731510" cy="3223895"/>
            <wp:effectExtent l="0" t="0" r="0" b="0"/>
            <wp:docPr id="1998593237" name="Picture 11" descr="A paper with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8593237" name="Picture 11" descr="A paper with a piece of paper&#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sidRPr="00E33FF9">
        <w:rPr>
          <w:noProof/>
          <w:lang w:val="en-GB" w:eastAsia="en-IN"/>
        </w:rPr>
        <w:drawing>
          <wp:inline distT="0" distB="0" distL="0" distR="0" wp14:anchorId="7350B4BA" wp14:editId="7A324412">
            <wp:extent cx="5731510" cy="3223895"/>
            <wp:effectExtent l="0" t="0" r="0" b="0"/>
            <wp:docPr id="2004464414" name="Picture 12" descr="A reference list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4464414" name="Picture 12" descr="A reference list with text on it&#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sectPr w:rsidR="00B56D2F" w:rsidRPr="00B56D2F" w:rsidSect="00081B4D">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C47B29" w14:textId="77777777" w:rsidR="00081B4D" w:rsidRDefault="00081B4D">
      <w:pPr>
        <w:spacing w:after="0" w:line="240" w:lineRule="auto"/>
      </w:pPr>
      <w:r>
        <w:separator/>
      </w:r>
    </w:p>
  </w:endnote>
  <w:endnote w:type="continuationSeparator" w:id="0">
    <w:p w14:paraId="2A58B3AE" w14:textId="77777777" w:rsidR="00081B4D" w:rsidRDefault="00081B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55665126"/>
      <w:docPartObj>
        <w:docPartGallery w:val="Page Numbers (Bottom of Page)"/>
        <w:docPartUnique/>
      </w:docPartObj>
    </w:sdtPr>
    <w:sdtEndPr>
      <w:rPr>
        <w:noProof/>
      </w:rPr>
    </w:sdtEndPr>
    <w:sdtContent>
      <w:p w14:paraId="77AC4A6B" w14:textId="77777777" w:rsidR="00D727CC" w:rsidRDefault="00000000">
        <w:pPr>
          <w:pStyle w:val="Footer"/>
          <w:jc w:val="right"/>
        </w:pPr>
        <w:r>
          <w:fldChar w:fldCharType="begin"/>
        </w:r>
        <w:r>
          <w:instrText xml:space="preserve"> PAGE   \* MERGEFORMAT </w:instrText>
        </w:r>
        <w:r>
          <w:fldChar w:fldCharType="separate"/>
        </w:r>
        <w:r>
          <w:rPr>
            <w:noProof/>
          </w:rPr>
          <w:t>22</w:t>
        </w:r>
        <w:r>
          <w:rPr>
            <w:noProof/>
          </w:rPr>
          <w:fldChar w:fldCharType="end"/>
        </w:r>
      </w:p>
    </w:sdtContent>
  </w:sdt>
  <w:p w14:paraId="27AFED8C" w14:textId="77777777" w:rsidR="00D727CC" w:rsidRDefault="00D727C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F58DC3" w14:textId="77777777" w:rsidR="00081B4D" w:rsidRDefault="00081B4D">
      <w:pPr>
        <w:spacing w:after="0" w:line="240" w:lineRule="auto"/>
      </w:pPr>
      <w:r>
        <w:separator/>
      </w:r>
    </w:p>
  </w:footnote>
  <w:footnote w:type="continuationSeparator" w:id="0">
    <w:p w14:paraId="476EE68F" w14:textId="77777777" w:rsidR="00081B4D" w:rsidRDefault="00081B4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791F0E"/>
    <w:multiLevelType w:val="hybridMultilevel"/>
    <w:tmpl w:val="074C4ECE"/>
    <w:lvl w:ilvl="0" w:tplc="CD3C1316">
      <w:start w:val="1"/>
      <w:numFmt w:val="bullet"/>
      <w:lvlText w:val=""/>
      <w:lvlJc w:val="left"/>
      <w:pPr>
        <w:ind w:left="720" w:hanging="360"/>
      </w:pPr>
      <w:rPr>
        <w:rFonts w:ascii="Symbol" w:hAnsi="Symbol" w:hint="default"/>
      </w:rPr>
    </w:lvl>
    <w:lvl w:ilvl="1" w:tplc="97260A7C" w:tentative="1">
      <w:start w:val="1"/>
      <w:numFmt w:val="bullet"/>
      <w:lvlText w:val="o"/>
      <w:lvlJc w:val="left"/>
      <w:pPr>
        <w:ind w:left="1440" w:hanging="360"/>
      </w:pPr>
      <w:rPr>
        <w:rFonts w:ascii="Courier New" w:hAnsi="Courier New" w:cs="Courier New" w:hint="default"/>
      </w:rPr>
    </w:lvl>
    <w:lvl w:ilvl="2" w:tplc="A7781E6C" w:tentative="1">
      <w:start w:val="1"/>
      <w:numFmt w:val="bullet"/>
      <w:lvlText w:val=""/>
      <w:lvlJc w:val="left"/>
      <w:pPr>
        <w:ind w:left="2160" w:hanging="360"/>
      </w:pPr>
      <w:rPr>
        <w:rFonts w:ascii="Wingdings" w:hAnsi="Wingdings" w:hint="default"/>
      </w:rPr>
    </w:lvl>
    <w:lvl w:ilvl="3" w:tplc="8AF2FC8A" w:tentative="1">
      <w:start w:val="1"/>
      <w:numFmt w:val="bullet"/>
      <w:lvlText w:val=""/>
      <w:lvlJc w:val="left"/>
      <w:pPr>
        <w:ind w:left="2880" w:hanging="360"/>
      </w:pPr>
      <w:rPr>
        <w:rFonts w:ascii="Symbol" w:hAnsi="Symbol" w:hint="default"/>
      </w:rPr>
    </w:lvl>
    <w:lvl w:ilvl="4" w:tplc="DAAED526" w:tentative="1">
      <w:start w:val="1"/>
      <w:numFmt w:val="bullet"/>
      <w:lvlText w:val="o"/>
      <w:lvlJc w:val="left"/>
      <w:pPr>
        <w:ind w:left="3600" w:hanging="360"/>
      </w:pPr>
      <w:rPr>
        <w:rFonts w:ascii="Courier New" w:hAnsi="Courier New" w:cs="Courier New" w:hint="default"/>
      </w:rPr>
    </w:lvl>
    <w:lvl w:ilvl="5" w:tplc="C7F20140" w:tentative="1">
      <w:start w:val="1"/>
      <w:numFmt w:val="bullet"/>
      <w:lvlText w:val=""/>
      <w:lvlJc w:val="left"/>
      <w:pPr>
        <w:ind w:left="4320" w:hanging="360"/>
      </w:pPr>
      <w:rPr>
        <w:rFonts w:ascii="Wingdings" w:hAnsi="Wingdings" w:hint="default"/>
      </w:rPr>
    </w:lvl>
    <w:lvl w:ilvl="6" w:tplc="583A07FC" w:tentative="1">
      <w:start w:val="1"/>
      <w:numFmt w:val="bullet"/>
      <w:lvlText w:val=""/>
      <w:lvlJc w:val="left"/>
      <w:pPr>
        <w:ind w:left="5040" w:hanging="360"/>
      </w:pPr>
      <w:rPr>
        <w:rFonts w:ascii="Symbol" w:hAnsi="Symbol" w:hint="default"/>
      </w:rPr>
    </w:lvl>
    <w:lvl w:ilvl="7" w:tplc="902C64F8" w:tentative="1">
      <w:start w:val="1"/>
      <w:numFmt w:val="bullet"/>
      <w:lvlText w:val="o"/>
      <w:lvlJc w:val="left"/>
      <w:pPr>
        <w:ind w:left="5760" w:hanging="360"/>
      </w:pPr>
      <w:rPr>
        <w:rFonts w:ascii="Courier New" w:hAnsi="Courier New" w:cs="Courier New" w:hint="default"/>
      </w:rPr>
    </w:lvl>
    <w:lvl w:ilvl="8" w:tplc="ECC85028" w:tentative="1">
      <w:start w:val="1"/>
      <w:numFmt w:val="bullet"/>
      <w:lvlText w:val=""/>
      <w:lvlJc w:val="left"/>
      <w:pPr>
        <w:ind w:left="6480" w:hanging="360"/>
      </w:pPr>
      <w:rPr>
        <w:rFonts w:ascii="Wingdings" w:hAnsi="Wingdings" w:hint="default"/>
      </w:rPr>
    </w:lvl>
  </w:abstractNum>
  <w:abstractNum w:abstractNumId="1" w15:restartNumberingAfterBreak="0">
    <w:nsid w:val="137D4D3F"/>
    <w:multiLevelType w:val="multilevel"/>
    <w:tmpl w:val="DA22E2F4"/>
    <w:lvl w:ilvl="0">
      <w:start w:val="1"/>
      <w:numFmt w:val="decimal"/>
      <w:lvlText w:val="%1."/>
      <w:lvlJc w:val="left"/>
      <w:pPr>
        <w:ind w:left="360" w:hanging="360"/>
      </w:pPr>
      <w:rPr>
        <w:rFonts w:hint="default"/>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2" w15:restartNumberingAfterBreak="0">
    <w:nsid w:val="36B62B58"/>
    <w:multiLevelType w:val="hybridMultilevel"/>
    <w:tmpl w:val="278A286E"/>
    <w:lvl w:ilvl="0" w:tplc="7FAED24C">
      <w:start w:val="1"/>
      <w:numFmt w:val="bullet"/>
      <w:lvlText w:val=""/>
      <w:lvlJc w:val="left"/>
      <w:pPr>
        <w:ind w:left="720" w:hanging="360"/>
      </w:pPr>
      <w:rPr>
        <w:rFonts w:ascii="Symbol" w:hAnsi="Symbol" w:hint="default"/>
      </w:rPr>
    </w:lvl>
    <w:lvl w:ilvl="1" w:tplc="3A0C468A" w:tentative="1">
      <w:start w:val="1"/>
      <w:numFmt w:val="bullet"/>
      <w:lvlText w:val="o"/>
      <w:lvlJc w:val="left"/>
      <w:pPr>
        <w:ind w:left="1440" w:hanging="360"/>
      </w:pPr>
      <w:rPr>
        <w:rFonts w:ascii="Courier New" w:hAnsi="Courier New" w:cs="Courier New" w:hint="default"/>
      </w:rPr>
    </w:lvl>
    <w:lvl w:ilvl="2" w:tplc="8CB0E866" w:tentative="1">
      <w:start w:val="1"/>
      <w:numFmt w:val="bullet"/>
      <w:lvlText w:val=""/>
      <w:lvlJc w:val="left"/>
      <w:pPr>
        <w:ind w:left="2160" w:hanging="360"/>
      </w:pPr>
      <w:rPr>
        <w:rFonts w:ascii="Wingdings" w:hAnsi="Wingdings" w:hint="default"/>
      </w:rPr>
    </w:lvl>
    <w:lvl w:ilvl="3" w:tplc="17F69BCE" w:tentative="1">
      <w:start w:val="1"/>
      <w:numFmt w:val="bullet"/>
      <w:lvlText w:val=""/>
      <w:lvlJc w:val="left"/>
      <w:pPr>
        <w:ind w:left="2880" w:hanging="360"/>
      </w:pPr>
      <w:rPr>
        <w:rFonts w:ascii="Symbol" w:hAnsi="Symbol" w:hint="default"/>
      </w:rPr>
    </w:lvl>
    <w:lvl w:ilvl="4" w:tplc="CD50226C" w:tentative="1">
      <w:start w:val="1"/>
      <w:numFmt w:val="bullet"/>
      <w:lvlText w:val="o"/>
      <w:lvlJc w:val="left"/>
      <w:pPr>
        <w:ind w:left="3600" w:hanging="360"/>
      </w:pPr>
      <w:rPr>
        <w:rFonts w:ascii="Courier New" w:hAnsi="Courier New" w:cs="Courier New" w:hint="default"/>
      </w:rPr>
    </w:lvl>
    <w:lvl w:ilvl="5" w:tplc="ED928ACA" w:tentative="1">
      <w:start w:val="1"/>
      <w:numFmt w:val="bullet"/>
      <w:lvlText w:val=""/>
      <w:lvlJc w:val="left"/>
      <w:pPr>
        <w:ind w:left="4320" w:hanging="360"/>
      </w:pPr>
      <w:rPr>
        <w:rFonts w:ascii="Wingdings" w:hAnsi="Wingdings" w:hint="default"/>
      </w:rPr>
    </w:lvl>
    <w:lvl w:ilvl="6" w:tplc="D7A8E438" w:tentative="1">
      <w:start w:val="1"/>
      <w:numFmt w:val="bullet"/>
      <w:lvlText w:val=""/>
      <w:lvlJc w:val="left"/>
      <w:pPr>
        <w:ind w:left="5040" w:hanging="360"/>
      </w:pPr>
      <w:rPr>
        <w:rFonts w:ascii="Symbol" w:hAnsi="Symbol" w:hint="default"/>
      </w:rPr>
    </w:lvl>
    <w:lvl w:ilvl="7" w:tplc="F8EC354E" w:tentative="1">
      <w:start w:val="1"/>
      <w:numFmt w:val="bullet"/>
      <w:lvlText w:val="o"/>
      <w:lvlJc w:val="left"/>
      <w:pPr>
        <w:ind w:left="5760" w:hanging="360"/>
      </w:pPr>
      <w:rPr>
        <w:rFonts w:ascii="Courier New" w:hAnsi="Courier New" w:cs="Courier New" w:hint="default"/>
      </w:rPr>
    </w:lvl>
    <w:lvl w:ilvl="8" w:tplc="3AE6111C" w:tentative="1">
      <w:start w:val="1"/>
      <w:numFmt w:val="bullet"/>
      <w:lvlText w:val=""/>
      <w:lvlJc w:val="left"/>
      <w:pPr>
        <w:ind w:left="6480" w:hanging="360"/>
      </w:pPr>
      <w:rPr>
        <w:rFonts w:ascii="Wingdings" w:hAnsi="Wingdings" w:hint="default"/>
      </w:rPr>
    </w:lvl>
  </w:abstractNum>
  <w:abstractNum w:abstractNumId="3" w15:restartNumberingAfterBreak="0">
    <w:nsid w:val="42433579"/>
    <w:multiLevelType w:val="hybridMultilevel"/>
    <w:tmpl w:val="487AC09A"/>
    <w:lvl w:ilvl="0" w:tplc="44467F30">
      <w:start w:val="1"/>
      <w:numFmt w:val="bullet"/>
      <w:lvlText w:val=""/>
      <w:lvlJc w:val="left"/>
      <w:pPr>
        <w:ind w:left="720" w:hanging="360"/>
      </w:pPr>
      <w:rPr>
        <w:rFonts w:ascii="Symbol" w:hAnsi="Symbol" w:hint="default"/>
      </w:rPr>
    </w:lvl>
    <w:lvl w:ilvl="1" w:tplc="C6986D94" w:tentative="1">
      <w:start w:val="1"/>
      <w:numFmt w:val="bullet"/>
      <w:lvlText w:val="o"/>
      <w:lvlJc w:val="left"/>
      <w:pPr>
        <w:ind w:left="1440" w:hanging="360"/>
      </w:pPr>
      <w:rPr>
        <w:rFonts w:ascii="Courier New" w:hAnsi="Courier New" w:cs="Courier New" w:hint="default"/>
      </w:rPr>
    </w:lvl>
    <w:lvl w:ilvl="2" w:tplc="630429E6" w:tentative="1">
      <w:start w:val="1"/>
      <w:numFmt w:val="bullet"/>
      <w:lvlText w:val=""/>
      <w:lvlJc w:val="left"/>
      <w:pPr>
        <w:ind w:left="2160" w:hanging="360"/>
      </w:pPr>
      <w:rPr>
        <w:rFonts w:ascii="Wingdings" w:hAnsi="Wingdings" w:hint="default"/>
      </w:rPr>
    </w:lvl>
    <w:lvl w:ilvl="3" w:tplc="E822F13E" w:tentative="1">
      <w:start w:val="1"/>
      <w:numFmt w:val="bullet"/>
      <w:lvlText w:val=""/>
      <w:lvlJc w:val="left"/>
      <w:pPr>
        <w:ind w:left="2880" w:hanging="360"/>
      </w:pPr>
      <w:rPr>
        <w:rFonts w:ascii="Symbol" w:hAnsi="Symbol" w:hint="default"/>
      </w:rPr>
    </w:lvl>
    <w:lvl w:ilvl="4" w:tplc="73B66B80" w:tentative="1">
      <w:start w:val="1"/>
      <w:numFmt w:val="bullet"/>
      <w:lvlText w:val="o"/>
      <w:lvlJc w:val="left"/>
      <w:pPr>
        <w:ind w:left="3600" w:hanging="360"/>
      </w:pPr>
      <w:rPr>
        <w:rFonts w:ascii="Courier New" w:hAnsi="Courier New" w:cs="Courier New" w:hint="default"/>
      </w:rPr>
    </w:lvl>
    <w:lvl w:ilvl="5" w:tplc="73A2A7B6" w:tentative="1">
      <w:start w:val="1"/>
      <w:numFmt w:val="bullet"/>
      <w:lvlText w:val=""/>
      <w:lvlJc w:val="left"/>
      <w:pPr>
        <w:ind w:left="4320" w:hanging="360"/>
      </w:pPr>
      <w:rPr>
        <w:rFonts w:ascii="Wingdings" w:hAnsi="Wingdings" w:hint="default"/>
      </w:rPr>
    </w:lvl>
    <w:lvl w:ilvl="6" w:tplc="A000C262" w:tentative="1">
      <w:start w:val="1"/>
      <w:numFmt w:val="bullet"/>
      <w:lvlText w:val=""/>
      <w:lvlJc w:val="left"/>
      <w:pPr>
        <w:ind w:left="5040" w:hanging="360"/>
      </w:pPr>
      <w:rPr>
        <w:rFonts w:ascii="Symbol" w:hAnsi="Symbol" w:hint="default"/>
      </w:rPr>
    </w:lvl>
    <w:lvl w:ilvl="7" w:tplc="DF62313C" w:tentative="1">
      <w:start w:val="1"/>
      <w:numFmt w:val="bullet"/>
      <w:lvlText w:val="o"/>
      <w:lvlJc w:val="left"/>
      <w:pPr>
        <w:ind w:left="5760" w:hanging="360"/>
      </w:pPr>
      <w:rPr>
        <w:rFonts w:ascii="Courier New" w:hAnsi="Courier New" w:cs="Courier New" w:hint="default"/>
      </w:rPr>
    </w:lvl>
    <w:lvl w:ilvl="8" w:tplc="5A40B604" w:tentative="1">
      <w:start w:val="1"/>
      <w:numFmt w:val="bullet"/>
      <w:lvlText w:val=""/>
      <w:lvlJc w:val="left"/>
      <w:pPr>
        <w:ind w:left="6480" w:hanging="360"/>
      </w:pPr>
      <w:rPr>
        <w:rFonts w:ascii="Wingdings" w:hAnsi="Wingdings" w:hint="default"/>
      </w:rPr>
    </w:lvl>
  </w:abstractNum>
  <w:abstractNum w:abstractNumId="4" w15:restartNumberingAfterBreak="0">
    <w:nsid w:val="5E3A13BC"/>
    <w:multiLevelType w:val="hybridMultilevel"/>
    <w:tmpl w:val="889C29C0"/>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5" w15:restartNumberingAfterBreak="0">
    <w:nsid w:val="726554F5"/>
    <w:multiLevelType w:val="hybridMultilevel"/>
    <w:tmpl w:val="A3568A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C53597A"/>
    <w:multiLevelType w:val="hybridMultilevel"/>
    <w:tmpl w:val="ECE0069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70548362">
    <w:abstractNumId w:val="2"/>
  </w:num>
  <w:num w:numId="2" w16cid:durableId="1526627107">
    <w:abstractNumId w:val="3"/>
  </w:num>
  <w:num w:numId="3" w16cid:durableId="124203565">
    <w:abstractNumId w:val="0"/>
  </w:num>
  <w:num w:numId="4" w16cid:durableId="1573660522">
    <w:abstractNumId w:val="6"/>
  </w:num>
  <w:num w:numId="5" w16cid:durableId="1169517585">
    <w:abstractNumId w:val="4"/>
  </w:num>
  <w:num w:numId="6" w16cid:durableId="1730838409">
    <w:abstractNumId w:val="5"/>
  </w:num>
  <w:num w:numId="7" w16cid:durableId="134358537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E10DB0"/>
    <w:rsid w:val="00023FD4"/>
    <w:rsid w:val="00081B4D"/>
    <w:rsid w:val="000D7578"/>
    <w:rsid w:val="000E2AA8"/>
    <w:rsid w:val="00101320"/>
    <w:rsid w:val="00104BAA"/>
    <w:rsid w:val="001744FF"/>
    <w:rsid w:val="001C3E16"/>
    <w:rsid w:val="00212FB1"/>
    <w:rsid w:val="00221F4E"/>
    <w:rsid w:val="00254174"/>
    <w:rsid w:val="00295BF3"/>
    <w:rsid w:val="002C13CB"/>
    <w:rsid w:val="002F04BB"/>
    <w:rsid w:val="003434AC"/>
    <w:rsid w:val="00350587"/>
    <w:rsid w:val="00351762"/>
    <w:rsid w:val="003567FE"/>
    <w:rsid w:val="003878E2"/>
    <w:rsid w:val="003F0C42"/>
    <w:rsid w:val="00484558"/>
    <w:rsid w:val="004F2A46"/>
    <w:rsid w:val="005131E6"/>
    <w:rsid w:val="00547733"/>
    <w:rsid w:val="00552491"/>
    <w:rsid w:val="00571D19"/>
    <w:rsid w:val="005B50D2"/>
    <w:rsid w:val="005C6D36"/>
    <w:rsid w:val="005D38D4"/>
    <w:rsid w:val="00626478"/>
    <w:rsid w:val="00707BB1"/>
    <w:rsid w:val="007428F6"/>
    <w:rsid w:val="0074705F"/>
    <w:rsid w:val="007C6E17"/>
    <w:rsid w:val="007E7B03"/>
    <w:rsid w:val="00822EAB"/>
    <w:rsid w:val="008316B3"/>
    <w:rsid w:val="0084444B"/>
    <w:rsid w:val="008746F6"/>
    <w:rsid w:val="008764DF"/>
    <w:rsid w:val="008832B3"/>
    <w:rsid w:val="008C20D8"/>
    <w:rsid w:val="008F079D"/>
    <w:rsid w:val="009026F2"/>
    <w:rsid w:val="00907E74"/>
    <w:rsid w:val="00927AA8"/>
    <w:rsid w:val="00954F0F"/>
    <w:rsid w:val="0099144F"/>
    <w:rsid w:val="00A90674"/>
    <w:rsid w:val="00AF692C"/>
    <w:rsid w:val="00B14C96"/>
    <w:rsid w:val="00B46F99"/>
    <w:rsid w:val="00B521F1"/>
    <w:rsid w:val="00B56D2F"/>
    <w:rsid w:val="00B915C9"/>
    <w:rsid w:val="00BA124A"/>
    <w:rsid w:val="00BA4085"/>
    <w:rsid w:val="00BC680C"/>
    <w:rsid w:val="00BE7ACA"/>
    <w:rsid w:val="00BF250A"/>
    <w:rsid w:val="00C33DE4"/>
    <w:rsid w:val="00D0591D"/>
    <w:rsid w:val="00D13EC3"/>
    <w:rsid w:val="00D2270C"/>
    <w:rsid w:val="00D727CC"/>
    <w:rsid w:val="00D73443"/>
    <w:rsid w:val="00DA4A76"/>
    <w:rsid w:val="00DE41E3"/>
    <w:rsid w:val="00E03746"/>
    <w:rsid w:val="00E10DB0"/>
    <w:rsid w:val="00E17F69"/>
    <w:rsid w:val="00E23CAB"/>
    <w:rsid w:val="00E46620"/>
    <w:rsid w:val="00EA1AB8"/>
    <w:rsid w:val="00EC43B7"/>
    <w:rsid w:val="00ED1CA7"/>
    <w:rsid w:val="00F36548"/>
    <w:rsid w:val="00FE38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46"/>
    <o:shapelayout v:ext="edit">
      <o:idmap v:ext="edit" data="1"/>
      <o:rules v:ext="edit">
        <o:r id="V:Rule1" type="connector" idref="#AutoShape 4"/>
        <o:r id="V:Rule2" type="connector" idref="#AutoShape 6"/>
        <o:r id="V:Rule3" type="connector" idref="#AutoShape 5"/>
        <o:r id="V:Rule4" type="connector" idref="#AutoShape 7"/>
      </o:rules>
    </o:shapelayout>
  </w:shapeDefaults>
  <w:decimalSymbol w:val="."/>
  <w:listSeparator w:val=","/>
  <w14:docId w14:val="78374578"/>
  <w15:chartTrackingRefBased/>
  <w15:docId w15:val="{A4F6E4B2-D82D-4C38-A437-D1D1A53DC3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3CAB"/>
    <w:pPr>
      <w:spacing w:line="360" w:lineRule="auto"/>
      <w:jc w:val="both"/>
    </w:pPr>
    <w:rPr>
      <w:rFonts w:ascii="Times New Roman" w:hAnsi="Times New Roman"/>
      <w:sz w:val="24"/>
      <w:lang w:val="en-IN"/>
    </w:rPr>
  </w:style>
  <w:style w:type="paragraph" w:styleId="Heading1">
    <w:name w:val="heading 1"/>
    <w:basedOn w:val="Normal"/>
    <w:next w:val="Normal"/>
    <w:link w:val="Heading1Char"/>
    <w:uiPriority w:val="9"/>
    <w:qFormat/>
    <w:rsid w:val="00E10DB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E10DB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E10DB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unhideWhenUsed/>
    <w:qFormat/>
    <w:rsid w:val="00E10DB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10DB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10DB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0DB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0DB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0DB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0DB0"/>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E10DB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E10DB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rsid w:val="00E10DB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10DB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10DB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0DB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0DB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0DB0"/>
    <w:rPr>
      <w:rFonts w:eastAsiaTheme="majorEastAsia" w:cstheme="majorBidi"/>
      <w:color w:val="272727" w:themeColor="text1" w:themeTint="D8"/>
    </w:rPr>
  </w:style>
  <w:style w:type="paragraph" w:styleId="Title">
    <w:name w:val="Title"/>
    <w:basedOn w:val="Normal"/>
    <w:next w:val="Normal"/>
    <w:link w:val="TitleChar"/>
    <w:uiPriority w:val="10"/>
    <w:qFormat/>
    <w:rsid w:val="00E10DB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10DB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10DB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10DB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0DB0"/>
    <w:pPr>
      <w:spacing w:before="160"/>
      <w:jc w:val="center"/>
    </w:pPr>
    <w:rPr>
      <w:i/>
      <w:iCs/>
      <w:color w:val="404040" w:themeColor="text1" w:themeTint="BF"/>
    </w:rPr>
  </w:style>
  <w:style w:type="character" w:customStyle="1" w:styleId="QuoteChar">
    <w:name w:val="Quote Char"/>
    <w:basedOn w:val="DefaultParagraphFont"/>
    <w:link w:val="Quote"/>
    <w:uiPriority w:val="29"/>
    <w:rsid w:val="00E10DB0"/>
    <w:rPr>
      <w:i/>
      <w:iCs/>
      <w:color w:val="404040" w:themeColor="text1" w:themeTint="BF"/>
    </w:rPr>
  </w:style>
  <w:style w:type="paragraph" w:styleId="ListParagraph">
    <w:name w:val="List Paragraph"/>
    <w:basedOn w:val="Normal"/>
    <w:uiPriority w:val="34"/>
    <w:qFormat/>
    <w:rsid w:val="00E10DB0"/>
    <w:pPr>
      <w:ind w:left="720"/>
      <w:contextualSpacing/>
    </w:pPr>
  </w:style>
  <w:style w:type="character" w:styleId="IntenseEmphasis">
    <w:name w:val="Intense Emphasis"/>
    <w:basedOn w:val="DefaultParagraphFont"/>
    <w:uiPriority w:val="21"/>
    <w:qFormat/>
    <w:rsid w:val="00E10DB0"/>
    <w:rPr>
      <w:i/>
      <w:iCs/>
      <w:color w:val="2F5496" w:themeColor="accent1" w:themeShade="BF"/>
    </w:rPr>
  </w:style>
  <w:style w:type="paragraph" w:styleId="IntenseQuote">
    <w:name w:val="Intense Quote"/>
    <w:basedOn w:val="Normal"/>
    <w:next w:val="Normal"/>
    <w:link w:val="IntenseQuoteChar"/>
    <w:uiPriority w:val="30"/>
    <w:qFormat/>
    <w:rsid w:val="00E10DB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10DB0"/>
    <w:rPr>
      <w:i/>
      <w:iCs/>
      <w:color w:val="2F5496" w:themeColor="accent1" w:themeShade="BF"/>
    </w:rPr>
  </w:style>
  <w:style w:type="character" w:styleId="IntenseReference">
    <w:name w:val="Intense Reference"/>
    <w:basedOn w:val="DefaultParagraphFont"/>
    <w:uiPriority w:val="32"/>
    <w:qFormat/>
    <w:rsid w:val="00E10DB0"/>
    <w:rPr>
      <w:b/>
      <w:bCs/>
      <w:smallCaps/>
      <w:color w:val="2F5496" w:themeColor="accent1" w:themeShade="BF"/>
      <w:spacing w:val="5"/>
    </w:rPr>
  </w:style>
  <w:style w:type="table" w:styleId="TableGrid">
    <w:name w:val="Table Grid"/>
    <w:basedOn w:val="TableNormal"/>
    <w:uiPriority w:val="39"/>
    <w:rsid w:val="00E23CAB"/>
    <w:pPr>
      <w:spacing w:after="0" w:line="240" w:lineRule="auto"/>
    </w:pPr>
    <w:rPr>
      <w:lang w:val="en-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Accent5">
    <w:name w:val="Grid Table 5 Dark Accent 5"/>
    <w:basedOn w:val="TableNormal"/>
    <w:uiPriority w:val="50"/>
    <w:rsid w:val="00E23CAB"/>
    <w:pPr>
      <w:spacing w:after="0" w:line="240" w:lineRule="auto"/>
    </w:pPr>
    <w:rPr>
      <w:lang w:val="en-IN"/>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GridTable5Dark-Accent2">
    <w:name w:val="Grid Table 5 Dark Accent 2"/>
    <w:basedOn w:val="TableNormal"/>
    <w:uiPriority w:val="50"/>
    <w:rsid w:val="00E23CAB"/>
    <w:pPr>
      <w:spacing w:after="0" w:line="240" w:lineRule="auto"/>
    </w:pPr>
    <w:rPr>
      <w:lang w:val="en-IN"/>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paragraph" w:styleId="Footer">
    <w:name w:val="footer"/>
    <w:basedOn w:val="Normal"/>
    <w:link w:val="FooterChar"/>
    <w:uiPriority w:val="99"/>
    <w:unhideWhenUsed/>
    <w:rsid w:val="00E23CAB"/>
    <w:pPr>
      <w:tabs>
        <w:tab w:val="center" w:pos="4513"/>
        <w:tab w:val="right" w:pos="9026"/>
      </w:tabs>
      <w:spacing w:after="0" w:line="240" w:lineRule="auto"/>
    </w:pPr>
  </w:style>
  <w:style w:type="character" w:customStyle="1" w:styleId="FooterChar">
    <w:name w:val="Footer Char"/>
    <w:basedOn w:val="DefaultParagraphFont"/>
    <w:link w:val="Footer"/>
    <w:uiPriority w:val="99"/>
    <w:rsid w:val="00E23CAB"/>
    <w:rPr>
      <w:rFonts w:ascii="Times New Roman" w:hAnsi="Times New Roman"/>
      <w:sz w:val="24"/>
      <w:lang w:val="en-IN"/>
    </w:rPr>
  </w:style>
  <w:style w:type="paragraph" w:styleId="TOCHeading">
    <w:name w:val="TOC Heading"/>
    <w:basedOn w:val="Heading1"/>
    <w:next w:val="Normal"/>
    <w:uiPriority w:val="39"/>
    <w:unhideWhenUsed/>
    <w:qFormat/>
    <w:rsid w:val="00E23CAB"/>
    <w:pPr>
      <w:spacing w:before="240" w:after="0"/>
      <w:outlineLvl w:val="9"/>
    </w:pPr>
    <w:rPr>
      <w:kern w:val="0"/>
      <w:sz w:val="32"/>
      <w:szCs w:val="32"/>
      <w:lang w:val="en-US"/>
    </w:rPr>
  </w:style>
  <w:style w:type="paragraph" w:styleId="TOC1">
    <w:name w:val="toc 1"/>
    <w:basedOn w:val="Normal"/>
    <w:next w:val="Normal"/>
    <w:autoRedefine/>
    <w:uiPriority w:val="39"/>
    <w:unhideWhenUsed/>
    <w:rsid w:val="00E23CAB"/>
    <w:pPr>
      <w:spacing w:after="100"/>
    </w:pPr>
  </w:style>
  <w:style w:type="paragraph" w:styleId="TOC2">
    <w:name w:val="toc 2"/>
    <w:basedOn w:val="Normal"/>
    <w:next w:val="Normal"/>
    <w:autoRedefine/>
    <w:uiPriority w:val="39"/>
    <w:unhideWhenUsed/>
    <w:rsid w:val="00E23CAB"/>
    <w:pPr>
      <w:spacing w:after="100"/>
      <w:ind w:left="240"/>
    </w:pPr>
  </w:style>
  <w:style w:type="character" w:styleId="Hyperlink">
    <w:name w:val="Hyperlink"/>
    <w:basedOn w:val="DefaultParagraphFont"/>
    <w:uiPriority w:val="99"/>
    <w:unhideWhenUsed/>
    <w:rsid w:val="00E23CAB"/>
    <w:rPr>
      <w:color w:val="0563C1" w:themeColor="hyperlink"/>
      <w:u w:val="single"/>
    </w:rPr>
  </w:style>
  <w:style w:type="paragraph" w:styleId="NoSpacing">
    <w:name w:val="No Spacing"/>
    <w:link w:val="NoSpacingChar"/>
    <w:uiPriority w:val="1"/>
    <w:qFormat/>
    <w:rsid w:val="00E23CAB"/>
    <w:pPr>
      <w:spacing w:after="0" w:line="240" w:lineRule="auto"/>
    </w:pPr>
    <w:rPr>
      <w:rFonts w:eastAsiaTheme="minorEastAsia"/>
      <w:kern w:val="0"/>
      <w:lang w:val="en-US"/>
    </w:rPr>
  </w:style>
  <w:style w:type="character" w:customStyle="1" w:styleId="NoSpacingChar">
    <w:name w:val="No Spacing Char"/>
    <w:basedOn w:val="DefaultParagraphFont"/>
    <w:link w:val="NoSpacing"/>
    <w:uiPriority w:val="1"/>
    <w:rsid w:val="00E23CAB"/>
    <w:rPr>
      <w:rFonts w:eastAsiaTheme="minorEastAsia"/>
      <w:kern w:val="0"/>
      <w:lang w:val="en-US"/>
    </w:rPr>
  </w:style>
  <w:style w:type="paragraph" w:styleId="Caption">
    <w:name w:val="caption"/>
    <w:basedOn w:val="Normal"/>
    <w:next w:val="Normal"/>
    <w:uiPriority w:val="35"/>
    <w:unhideWhenUsed/>
    <w:qFormat/>
    <w:rsid w:val="00D2270C"/>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JPG"/><Relationship Id="rId3" Type="http://schemas.openxmlformats.org/officeDocument/2006/relationships/settings" Target="settings.xml"/><Relationship Id="rId21" Type="http://schemas.openxmlformats.org/officeDocument/2006/relationships/image" Target="media/image15.JP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JPG"/><Relationship Id="rId2" Type="http://schemas.openxmlformats.org/officeDocument/2006/relationships/styles" Target="styles.xml"/><Relationship Id="rId16" Type="http://schemas.openxmlformats.org/officeDocument/2006/relationships/image" Target="media/image10.JPG"/><Relationship Id="rId20" Type="http://schemas.openxmlformats.org/officeDocument/2006/relationships/image" Target="media/image14.JP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fontTable" Target="fontTable.xml"/><Relationship Id="rId10" Type="http://schemas.openxmlformats.org/officeDocument/2006/relationships/image" Target="media/image4.svg"/><Relationship Id="rId19" Type="http://schemas.openxmlformats.org/officeDocument/2006/relationships/image" Target="media/image13.JP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7285</TotalTime>
  <Pages>23</Pages>
  <Words>4545</Words>
  <Characters>25911</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Corina Berco (1918420)</dc:creator>
  <cp:keywords/>
  <dc:description/>
  <cp:lastModifiedBy>Corina Berco (1918420)</cp:lastModifiedBy>
  <cp:revision>72</cp:revision>
  <dcterms:created xsi:type="dcterms:W3CDTF">2024-02-22T10:37:00Z</dcterms:created>
  <dcterms:modified xsi:type="dcterms:W3CDTF">2024-03-07T09:40:00Z</dcterms:modified>
</cp:coreProperties>
</file>