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70BDD" w14:textId="77777777" w:rsidR="00F27832" w:rsidRPr="008A45E5" w:rsidRDefault="00F27832">
      <w:pPr>
        <w:rPr>
          <w:rFonts w:ascii="Times New Roman" w:hAnsi="Times New Roman" w:cs="Times New Roman"/>
          <w:b/>
          <w:sz w:val="24"/>
          <w:szCs w:val="24"/>
        </w:rPr>
      </w:pPr>
    </w:p>
    <w:p w14:paraId="65AEE6F0" w14:textId="77777777" w:rsidR="00F27832" w:rsidRPr="008A45E5" w:rsidRDefault="00F27832">
      <w:pPr>
        <w:rPr>
          <w:rFonts w:ascii="Times New Roman" w:hAnsi="Times New Roman" w:cs="Times New Roman"/>
          <w:b/>
          <w:sz w:val="24"/>
          <w:szCs w:val="24"/>
        </w:rPr>
      </w:pPr>
      <w:r w:rsidRPr="008A45E5">
        <w:rPr>
          <w:rFonts w:ascii="Times New Roman" w:hAnsi="Times New Roman" w:cs="Times New Roman"/>
          <w:b/>
          <w:noProof/>
          <w:sz w:val="24"/>
          <w:szCs w:val="24"/>
          <w:lang w:eastAsia="en-GB"/>
        </w:rPr>
        <w:drawing>
          <wp:inline distT="0" distB="0" distL="0" distR="0" wp14:anchorId="3FB52FEA" wp14:editId="24FBE7D2">
            <wp:extent cx="5730875" cy="19754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975485"/>
                    </a:xfrm>
                    <a:prstGeom prst="rect">
                      <a:avLst/>
                    </a:prstGeom>
                    <a:noFill/>
                  </pic:spPr>
                </pic:pic>
              </a:graphicData>
            </a:graphic>
          </wp:inline>
        </w:drawing>
      </w:r>
    </w:p>
    <w:p w14:paraId="01DE743C" w14:textId="77777777" w:rsidR="00F27832" w:rsidRPr="008A45E5" w:rsidRDefault="00F27832">
      <w:pPr>
        <w:rPr>
          <w:rFonts w:ascii="Times New Roman" w:hAnsi="Times New Roman" w:cs="Times New Roman"/>
          <w:b/>
          <w:sz w:val="24"/>
          <w:szCs w:val="24"/>
        </w:rPr>
      </w:pPr>
    </w:p>
    <w:p w14:paraId="4E1DDC9D" w14:textId="77777777" w:rsidR="00F27832" w:rsidRPr="008A45E5" w:rsidRDefault="00F27832">
      <w:pPr>
        <w:rPr>
          <w:rFonts w:ascii="Times New Roman" w:hAnsi="Times New Roman" w:cs="Times New Roman"/>
          <w:b/>
          <w:sz w:val="24"/>
          <w:szCs w:val="24"/>
        </w:rPr>
      </w:pPr>
    </w:p>
    <w:p w14:paraId="6AA5636D" w14:textId="77777777" w:rsidR="00F27832" w:rsidRPr="008A45E5" w:rsidRDefault="00F27832">
      <w:pPr>
        <w:rPr>
          <w:rFonts w:ascii="Times New Roman" w:hAnsi="Times New Roman" w:cs="Times New Roman"/>
          <w:b/>
          <w:sz w:val="24"/>
          <w:szCs w:val="24"/>
        </w:rPr>
      </w:pPr>
    </w:p>
    <w:p w14:paraId="65E44F1F" w14:textId="77777777" w:rsidR="00373859" w:rsidRPr="008A45E5" w:rsidRDefault="00FD0158">
      <w:pPr>
        <w:rPr>
          <w:rFonts w:ascii="Times New Roman" w:hAnsi="Times New Roman" w:cs="Times New Roman"/>
          <w:b/>
          <w:sz w:val="24"/>
          <w:szCs w:val="24"/>
        </w:rPr>
      </w:pPr>
      <w:r w:rsidRPr="008A45E5">
        <w:rPr>
          <w:rFonts w:ascii="Times New Roman" w:hAnsi="Times New Roman" w:cs="Times New Roman"/>
          <w:b/>
          <w:sz w:val="24"/>
          <w:szCs w:val="24"/>
        </w:rPr>
        <w:t>Course title: Applying Psychological perspectives in Health and Social Care</w:t>
      </w:r>
    </w:p>
    <w:p w14:paraId="02BC4224" w14:textId="77777777" w:rsidR="00FD0158" w:rsidRPr="008A45E5" w:rsidRDefault="00FD0158">
      <w:pPr>
        <w:rPr>
          <w:rFonts w:ascii="Times New Roman" w:hAnsi="Times New Roman" w:cs="Times New Roman"/>
          <w:b/>
          <w:sz w:val="24"/>
          <w:szCs w:val="24"/>
        </w:rPr>
      </w:pPr>
      <w:r w:rsidRPr="008A45E5">
        <w:rPr>
          <w:rFonts w:ascii="Times New Roman" w:hAnsi="Times New Roman" w:cs="Times New Roman"/>
          <w:b/>
          <w:sz w:val="24"/>
          <w:szCs w:val="24"/>
        </w:rPr>
        <w:t>Course code: BMHP4003</w:t>
      </w:r>
    </w:p>
    <w:p w14:paraId="0B420572" w14:textId="563DC9F7" w:rsidR="00FD0158" w:rsidRPr="008A45E5" w:rsidRDefault="00FD0158">
      <w:pPr>
        <w:rPr>
          <w:rFonts w:ascii="Times New Roman" w:hAnsi="Times New Roman" w:cs="Times New Roman"/>
          <w:b/>
          <w:sz w:val="24"/>
          <w:szCs w:val="24"/>
        </w:rPr>
      </w:pPr>
      <w:r w:rsidRPr="008A45E5">
        <w:rPr>
          <w:rFonts w:ascii="Times New Roman" w:hAnsi="Times New Roman" w:cs="Times New Roman"/>
          <w:b/>
          <w:sz w:val="24"/>
          <w:szCs w:val="24"/>
        </w:rPr>
        <w:t>Student name:</w:t>
      </w:r>
      <w:r w:rsidR="00056BC8">
        <w:rPr>
          <w:rFonts w:ascii="Times New Roman" w:hAnsi="Times New Roman" w:cs="Times New Roman"/>
          <w:b/>
          <w:sz w:val="24"/>
          <w:szCs w:val="24"/>
        </w:rPr>
        <w:t xml:space="preserve"> Anthony Chukwunonso Agwuenu</w:t>
      </w:r>
    </w:p>
    <w:p w14:paraId="3F7F6992" w14:textId="31D5B737" w:rsidR="00056BC8" w:rsidRDefault="00FD0158" w:rsidP="00056BC8">
      <w:pPr>
        <w:rPr>
          <w:rFonts w:ascii="Times New Roman" w:hAnsi="Times New Roman" w:cs="Times New Roman"/>
          <w:b/>
          <w:sz w:val="24"/>
          <w:szCs w:val="24"/>
        </w:rPr>
      </w:pPr>
      <w:r w:rsidRPr="008A45E5">
        <w:rPr>
          <w:rFonts w:ascii="Times New Roman" w:hAnsi="Times New Roman" w:cs="Times New Roman"/>
          <w:b/>
          <w:sz w:val="24"/>
          <w:szCs w:val="24"/>
        </w:rPr>
        <w:t xml:space="preserve">Student number: </w:t>
      </w:r>
      <w:r w:rsidR="00056BC8">
        <w:rPr>
          <w:rFonts w:ascii="Times New Roman" w:hAnsi="Times New Roman" w:cs="Times New Roman"/>
          <w:b/>
          <w:sz w:val="24"/>
          <w:szCs w:val="24"/>
        </w:rPr>
        <w:t>1921241</w:t>
      </w:r>
    </w:p>
    <w:p w14:paraId="6EE2755F" w14:textId="38EF899B" w:rsidR="00056BC8" w:rsidRDefault="00056BC8" w:rsidP="00056BC8">
      <w:pPr>
        <w:rPr>
          <w:rFonts w:ascii="Times New Roman" w:hAnsi="Times New Roman" w:cs="Times New Roman"/>
          <w:b/>
          <w:sz w:val="24"/>
          <w:szCs w:val="24"/>
        </w:rPr>
      </w:pPr>
      <w:r>
        <w:rPr>
          <w:rFonts w:ascii="Times New Roman" w:hAnsi="Times New Roman" w:cs="Times New Roman"/>
          <w:b/>
          <w:sz w:val="24"/>
          <w:szCs w:val="24"/>
        </w:rPr>
        <w:t>Lecturer’s Name: Diya Ganguly</w:t>
      </w:r>
    </w:p>
    <w:p w14:paraId="587EE43C" w14:textId="58327F3E" w:rsidR="00056BC8" w:rsidRDefault="00056BC8" w:rsidP="00056BC8">
      <w:pPr>
        <w:rPr>
          <w:rFonts w:ascii="Times New Roman" w:hAnsi="Times New Roman" w:cs="Times New Roman"/>
          <w:b/>
          <w:sz w:val="24"/>
          <w:szCs w:val="24"/>
        </w:rPr>
      </w:pPr>
      <w:r>
        <w:rPr>
          <w:rFonts w:ascii="Times New Roman" w:hAnsi="Times New Roman" w:cs="Times New Roman"/>
          <w:b/>
          <w:sz w:val="24"/>
          <w:szCs w:val="24"/>
        </w:rPr>
        <w:t>Assignment 1</w:t>
      </w:r>
    </w:p>
    <w:p w14:paraId="24484FFB" w14:textId="77777777" w:rsidR="00053C49" w:rsidRDefault="00053C49" w:rsidP="00056BC8">
      <w:pPr>
        <w:rPr>
          <w:rFonts w:ascii="Times New Roman" w:hAnsi="Times New Roman" w:cs="Times New Roman"/>
          <w:b/>
          <w:sz w:val="24"/>
          <w:szCs w:val="24"/>
        </w:rPr>
      </w:pPr>
    </w:p>
    <w:p w14:paraId="7ED799E3" w14:textId="1601DFF5" w:rsidR="00FD0158" w:rsidRPr="008A45E5" w:rsidRDefault="00FD0158">
      <w:pPr>
        <w:rPr>
          <w:rFonts w:ascii="Times New Roman" w:hAnsi="Times New Roman" w:cs="Times New Roman"/>
          <w:b/>
          <w:sz w:val="24"/>
          <w:szCs w:val="24"/>
        </w:rPr>
      </w:pPr>
    </w:p>
    <w:p w14:paraId="3037A87F" w14:textId="77777777" w:rsidR="00FD0158" w:rsidRPr="008A45E5" w:rsidRDefault="00FD0158">
      <w:pPr>
        <w:rPr>
          <w:rFonts w:ascii="Times New Roman" w:hAnsi="Times New Roman" w:cs="Times New Roman"/>
          <w:b/>
          <w:sz w:val="24"/>
          <w:szCs w:val="24"/>
        </w:rPr>
      </w:pPr>
    </w:p>
    <w:p w14:paraId="6247D13F" w14:textId="77777777" w:rsidR="00FD0158" w:rsidRPr="008A45E5" w:rsidRDefault="00FD0158">
      <w:pPr>
        <w:rPr>
          <w:rFonts w:ascii="Times New Roman" w:hAnsi="Times New Roman" w:cs="Times New Roman"/>
          <w:b/>
          <w:sz w:val="24"/>
          <w:szCs w:val="24"/>
        </w:rPr>
      </w:pPr>
    </w:p>
    <w:p w14:paraId="7833582B" w14:textId="77777777" w:rsidR="00FD0158" w:rsidRPr="008A45E5" w:rsidRDefault="00FD0158">
      <w:pPr>
        <w:rPr>
          <w:rFonts w:ascii="Times New Roman" w:hAnsi="Times New Roman" w:cs="Times New Roman"/>
          <w:b/>
          <w:sz w:val="24"/>
          <w:szCs w:val="24"/>
        </w:rPr>
      </w:pPr>
    </w:p>
    <w:p w14:paraId="64CA543E" w14:textId="77777777" w:rsidR="00FD0158" w:rsidRPr="008A45E5" w:rsidRDefault="00FD0158">
      <w:pPr>
        <w:rPr>
          <w:rFonts w:ascii="Times New Roman" w:hAnsi="Times New Roman" w:cs="Times New Roman"/>
          <w:b/>
          <w:sz w:val="24"/>
          <w:szCs w:val="24"/>
        </w:rPr>
      </w:pPr>
    </w:p>
    <w:p w14:paraId="410EBAA5" w14:textId="77777777" w:rsidR="00FD0158" w:rsidRPr="008A45E5" w:rsidRDefault="00FD0158">
      <w:pPr>
        <w:rPr>
          <w:rFonts w:ascii="Times New Roman" w:hAnsi="Times New Roman" w:cs="Times New Roman"/>
          <w:b/>
          <w:sz w:val="24"/>
          <w:szCs w:val="24"/>
        </w:rPr>
      </w:pPr>
    </w:p>
    <w:p w14:paraId="6D1B29E6" w14:textId="77777777" w:rsidR="00FD0158" w:rsidRPr="008A45E5" w:rsidRDefault="00FD0158">
      <w:pPr>
        <w:rPr>
          <w:rFonts w:ascii="Times New Roman" w:hAnsi="Times New Roman" w:cs="Times New Roman"/>
          <w:b/>
          <w:sz w:val="24"/>
          <w:szCs w:val="24"/>
        </w:rPr>
      </w:pPr>
    </w:p>
    <w:p w14:paraId="46235437" w14:textId="77777777" w:rsidR="00FD0158" w:rsidRPr="008A45E5" w:rsidRDefault="00FD0158">
      <w:pPr>
        <w:rPr>
          <w:rFonts w:ascii="Times New Roman" w:hAnsi="Times New Roman" w:cs="Times New Roman"/>
          <w:b/>
          <w:sz w:val="24"/>
          <w:szCs w:val="24"/>
        </w:rPr>
      </w:pPr>
    </w:p>
    <w:p w14:paraId="54629EF7" w14:textId="77777777" w:rsidR="00FD0158" w:rsidRPr="008A45E5" w:rsidRDefault="00FD0158">
      <w:pPr>
        <w:rPr>
          <w:rFonts w:ascii="Times New Roman" w:hAnsi="Times New Roman" w:cs="Times New Roman"/>
          <w:b/>
          <w:sz w:val="24"/>
          <w:szCs w:val="24"/>
        </w:rPr>
      </w:pPr>
    </w:p>
    <w:p w14:paraId="66795387" w14:textId="77777777" w:rsidR="00FD0158" w:rsidRPr="008A45E5" w:rsidRDefault="00FD0158">
      <w:pPr>
        <w:rPr>
          <w:rFonts w:ascii="Times New Roman" w:hAnsi="Times New Roman" w:cs="Times New Roman"/>
          <w:b/>
          <w:sz w:val="24"/>
          <w:szCs w:val="24"/>
        </w:rPr>
      </w:pPr>
    </w:p>
    <w:p w14:paraId="0297687E" w14:textId="77777777" w:rsidR="00F27832" w:rsidRPr="008A45E5" w:rsidRDefault="00F27832" w:rsidP="00F27832">
      <w:pPr>
        <w:rPr>
          <w:rFonts w:ascii="Times New Roman" w:hAnsi="Times New Roman" w:cs="Times New Roman"/>
          <w:b/>
          <w:sz w:val="24"/>
          <w:szCs w:val="24"/>
        </w:rPr>
      </w:pPr>
      <w:r w:rsidRPr="008A45E5">
        <w:rPr>
          <w:rFonts w:ascii="Times New Roman" w:hAnsi="Times New Roman" w:cs="Times New Roman"/>
          <w:b/>
          <w:sz w:val="24"/>
          <w:szCs w:val="24"/>
        </w:rPr>
        <w:t xml:space="preserve">INTRODUCTION </w:t>
      </w:r>
    </w:p>
    <w:p w14:paraId="0590663F" w14:textId="77777777" w:rsidR="00C24759" w:rsidRPr="0057351E" w:rsidRDefault="0057351E" w:rsidP="00F27832">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observed that human being passes through different stages in life that plays a significant part in their attitude and behaviour in the society. The psychological aspect of health and social care professional the study of the different stages gives an insight to the understanding of the behaviour of the individual at adulthood (Banyard and Banyard, </w:t>
      </w:r>
      <w:r w:rsidRPr="0057351E">
        <w:rPr>
          <w:rFonts w:ascii="Times New Roman" w:hAnsi="Times New Roman" w:cs="Times New Roman"/>
          <w:sz w:val="24"/>
          <w:szCs w:val="24"/>
        </w:rPr>
        <w:t>2015)</w:t>
      </w:r>
      <w:r>
        <w:rPr>
          <w:rFonts w:ascii="Times New Roman" w:hAnsi="Times New Roman" w:cs="Times New Roman"/>
          <w:sz w:val="24"/>
          <w:szCs w:val="24"/>
        </w:rPr>
        <w:t>. This essay will explore the adolescence stage in the life an individual because many things that happens in their life are orchestrated at this stage (</w:t>
      </w:r>
      <w:r w:rsidR="00745410" w:rsidRPr="00745410">
        <w:rPr>
          <w:rFonts w:ascii="Times New Roman" w:hAnsi="Times New Roman" w:cs="Times New Roman"/>
          <w:sz w:val="24"/>
          <w:szCs w:val="24"/>
        </w:rPr>
        <w:t>Costa et al. 2001</w:t>
      </w:r>
      <w:r>
        <w:rPr>
          <w:rFonts w:ascii="Times New Roman" w:hAnsi="Times New Roman" w:cs="Times New Roman"/>
          <w:sz w:val="24"/>
          <w:szCs w:val="24"/>
        </w:rPr>
        <w:t xml:space="preserve">). At this stage many changes comes into the life of the individual ranging from socialisation, sexual orientation, physical changes, cognitive reasoning and emotional aspect of the individual (Griggs, 2014). As it is observed that adolescent stage of the individual has three distinctive periods such as the early stage that covers the age range of (10-14 old), the second phase is middle adolescence and this covers the age range of (15-17 old), the final phase is the late stage that covers (18-21 old), each of these of this stages comes with different challenges and characteristics (Neil, 2012). During these stages the changes that take place are very essential for the psychological understanding of the psychosocial, psychosexual and the mental status of the individuals (Dean et al. 2016). The behaviour of the individuals are likely to change as the individuals grow up and sees things differently and the second aspect of the character could be collective in nature for individuals within the age range while some could distinctive on individual bases (Griggs, 2014).  </w:t>
      </w:r>
    </w:p>
    <w:p w14:paraId="0FAF2269" w14:textId="77777777" w:rsidR="001053C7" w:rsidRPr="001053C7" w:rsidRDefault="001053C7" w:rsidP="00F27832">
      <w:pPr>
        <w:spacing w:line="360" w:lineRule="auto"/>
        <w:rPr>
          <w:rFonts w:ascii="Times New Roman" w:hAnsi="Times New Roman" w:cs="Times New Roman"/>
          <w:b/>
          <w:sz w:val="24"/>
          <w:szCs w:val="24"/>
        </w:rPr>
      </w:pPr>
      <w:r w:rsidRPr="001053C7">
        <w:rPr>
          <w:rFonts w:ascii="Times New Roman" w:hAnsi="Times New Roman" w:cs="Times New Roman"/>
          <w:b/>
          <w:sz w:val="24"/>
          <w:szCs w:val="24"/>
        </w:rPr>
        <w:t xml:space="preserve">ADOLESCENCE STAGE </w:t>
      </w:r>
    </w:p>
    <w:p w14:paraId="4CC7BDFF" w14:textId="77777777" w:rsidR="00623703" w:rsidRDefault="004E2310" w:rsidP="00F27832">
      <w:pPr>
        <w:spacing w:line="360" w:lineRule="auto"/>
        <w:rPr>
          <w:rFonts w:ascii="Times New Roman" w:hAnsi="Times New Roman" w:cs="Times New Roman"/>
          <w:sz w:val="24"/>
          <w:szCs w:val="24"/>
        </w:rPr>
      </w:pPr>
      <w:r>
        <w:rPr>
          <w:rFonts w:ascii="Times New Roman" w:hAnsi="Times New Roman" w:cs="Times New Roman"/>
          <w:sz w:val="24"/>
          <w:szCs w:val="24"/>
        </w:rPr>
        <w:t>T</w:t>
      </w:r>
      <w:r w:rsidR="0057351E">
        <w:rPr>
          <w:rFonts w:ascii="Times New Roman" w:hAnsi="Times New Roman" w:cs="Times New Roman"/>
          <w:sz w:val="24"/>
          <w:szCs w:val="24"/>
        </w:rPr>
        <w:t xml:space="preserve">he adolescence stage of an individual is being considered for this essay because of the </w:t>
      </w:r>
      <w:r>
        <w:rPr>
          <w:rFonts w:ascii="Times New Roman" w:hAnsi="Times New Roman" w:cs="Times New Roman"/>
          <w:sz w:val="24"/>
          <w:szCs w:val="24"/>
        </w:rPr>
        <w:t xml:space="preserve">future character of the individual in the future are mostly influenced at this stage, therefore the need to gain a better understanding which will determine their future ambition and endeavours. </w:t>
      </w:r>
      <w:r w:rsidR="004F4A4C">
        <w:rPr>
          <w:rFonts w:ascii="Times New Roman" w:hAnsi="Times New Roman" w:cs="Times New Roman"/>
          <w:sz w:val="24"/>
          <w:szCs w:val="24"/>
        </w:rPr>
        <w:t xml:space="preserve">According to Feldman and Elliott (2000) the social interactions and developmental stages an individual possesses are part of the process that brings about mental sustainability which is mostly aligned with the peer and parental influence. </w:t>
      </w:r>
      <w:r w:rsidR="00254045">
        <w:rPr>
          <w:rFonts w:ascii="Times New Roman" w:hAnsi="Times New Roman" w:cs="Times New Roman"/>
          <w:sz w:val="24"/>
          <w:szCs w:val="24"/>
        </w:rPr>
        <w:t xml:space="preserve">The psychological developments of the individuals are correlated with the biological development because whatever the child will become in the product of the hereditary factor from the biological parents and influence by the peers (Griggs, 2014). The significant of this stage makes it very essential for the cognitive and behavioural theories for </w:t>
      </w:r>
      <w:r w:rsidR="00254045" w:rsidRPr="00254045">
        <w:rPr>
          <w:rFonts w:ascii="Times New Roman" w:hAnsi="Times New Roman" w:cs="Times New Roman"/>
          <w:sz w:val="24"/>
          <w:szCs w:val="24"/>
        </w:rPr>
        <w:t>lifespan psychological</w:t>
      </w:r>
      <w:r w:rsidR="00254045">
        <w:rPr>
          <w:rFonts w:ascii="Times New Roman" w:hAnsi="Times New Roman" w:cs="Times New Roman"/>
          <w:sz w:val="24"/>
          <w:szCs w:val="24"/>
        </w:rPr>
        <w:t xml:space="preserve"> evaluation of growth within the human being (</w:t>
      </w:r>
      <w:r w:rsidR="00745410" w:rsidRPr="00745410">
        <w:rPr>
          <w:rFonts w:ascii="Times New Roman" w:hAnsi="Times New Roman" w:cs="Times New Roman"/>
          <w:sz w:val="24"/>
          <w:szCs w:val="24"/>
        </w:rPr>
        <w:t>Costa et al. 2001</w:t>
      </w:r>
      <w:r w:rsidR="00254045">
        <w:rPr>
          <w:rFonts w:ascii="Times New Roman" w:hAnsi="Times New Roman" w:cs="Times New Roman"/>
          <w:sz w:val="24"/>
          <w:szCs w:val="24"/>
        </w:rPr>
        <w:t xml:space="preserve">). A report from DoH (2012) indicates that </w:t>
      </w:r>
      <w:r w:rsidR="00254045">
        <w:rPr>
          <w:rFonts w:ascii="Times New Roman" w:hAnsi="Times New Roman" w:cs="Times New Roman"/>
          <w:sz w:val="24"/>
          <w:szCs w:val="24"/>
        </w:rPr>
        <w:lastRenderedPageBreak/>
        <w:t xml:space="preserve">the link between childhood and adulthood is the stage of adolescence which is the reason it is important to evaluate the stage impact on the individual characteristics and behaviour in the society. </w:t>
      </w:r>
      <w:r w:rsidR="00223987">
        <w:rPr>
          <w:rFonts w:ascii="Times New Roman" w:hAnsi="Times New Roman" w:cs="Times New Roman"/>
          <w:sz w:val="24"/>
          <w:szCs w:val="24"/>
        </w:rPr>
        <w:t>The psychopathology process of development of an individual is related to the lifespan adventures within which several challenges will come to the individual but the capability needed to overcome it depends on the influence of the health and social care professional to understand the pattern of the individual behaviour at the different phases of adolescent (Lee at.</w:t>
      </w:r>
      <w:r w:rsidR="00767C0C">
        <w:rPr>
          <w:rFonts w:ascii="Times New Roman" w:hAnsi="Times New Roman" w:cs="Times New Roman"/>
          <w:sz w:val="24"/>
          <w:szCs w:val="24"/>
        </w:rPr>
        <w:t xml:space="preserve"> el.</w:t>
      </w:r>
      <w:r w:rsidR="00223987">
        <w:rPr>
          <w:rFonts w:ascii="Times New Roman" w:hAnsi="Times New Roman" w:cs="Times New Roman"/>
          <w:sz w:val="24"/>
          <w:szCs w:val="24"/>
        </w:rPr>
        <w:t xml:space="preserve"> 2015). </w:t>
      </w:r>
    </w:p>
    <w:p w14:paraId="25D0C282" w14:textId="77777777" w:rsidR="00254045" w:rsidRDefault="00223987" w:rsidP="00F27832">
      <w:pPr>
        <w:spacing w:line="360" w:lineRule="auto"/>
        <w:rPr>
          <w:rFonts w:ascii="Times New Roman" w:hAnsi="Times New Roman" w:cs="Times New Roman"/>
          <w:sz w:val="24"/>
          <w:szCs w:val="24"/>
        </w:rPr>
      </w:pPr>
      <w:r>
        <w:rPr>
          <w:rFonts w:ascii="Times New Roman" w:hAnsi="Times New Roman" w:cs="Times New Roman"/>
          <w:sz w:val="24"/>
          <w:szCs w:val="24"/>
        </w:rPr>
        <w:t>Report from Miles (2018) indicates that when an individual gets to the stage of adolescent the attitude will change and the individual starts doing things more independent while transiting into adulthood. It is estimated that about 15% of the current parents in the modern era are lacking the capability of becoming a better parent because of societal challenges that influences their upbringing and the level of unpreparedness (DoH, 2019).  As the professionals tries to identify different theories of development in an attempt</w:t>
      </w:r>
      <w:r w:rsidRPr="00223987">
        <w:rPr>
          <w:rFonts w:ascii="Times New Roman" w:hAnsi="Times New Roman" w:cs="Times New Roman"/>
          <w:sz w:val="24"/>
          <w:szCs w:val="24"/>
        </w:rPr>
        <w:t xml:space="preserve"> to answer</w:t>
      </w:r>
      <w:r>
        <w:rPr>
          <w:rFonts w:ascii="Times New Roman" w:hAnsi="Times New Roman" w:cs="Times New Roman"/>
          <w:sz w:val="24"/>
          <w:szCs w:val="24"/>
        </w:rPr>
        <w:t xml:space="preserve"> questions with regards to changes in the attitude of human being through the three phases;</w:t>
      </w:r>
      <w:r w:rsidRPr="00223987">
        <w:rPr>
          <w:rFonts w:ascii="Times New Roman" w:hAnsi="Times New Roman" w:cs="Times New Roman"/>
          <w:sz w:val="24"/>
          <w:szCs w:val="24"/>
        </w:rPr>
        <w:t xml:space="preserve"> childhood, adolescence, adulthood, and death</w:t>
      </w:r>
      <w:r>
        <w:rPr>
          <w:rFonts w:ascii="Times New Roman" w:hAnsi="Times New Roman" w:cs="Times New Roman"/>
          <w:sz w:val="24"/>
          <w:szCs w:val="24"/>
        </w:rPr>
        <w:t xml:space="preserve"> (Miles, 2016). </w:t>
      </w:r>
      <w:r w:rsidR="00F772D8">
        <w:rPr>
          <w:rFonts w:ascii="Times New Roman" w:hAnsi="Times New Roman" w:cs="Times New Roman"/>
          <w:sz w:val="24"/>
          <w:szCs w:val="24"/>
        </w:rPr>
        <w:t xml:space="preserve"> </w:t>
      </w:r>
      <w:r w:rsidR="002F1F16">
        <w:rPr>
          <w:rFonts w:ascii="Times New Roman" w:hAnsi="Times New Roman" w:cs="Times New Roman"/>
          <w:sz w:val="24"/>
          <w:szCs w:val="24"/>
        </w:rPr>
        <w:t xml:space="preserve">It is observed that development of an individual at the different stages impact their body development, their psychological reasoning and their cognitive capabilities (NHS, 2019). The individual is expected to start development of their brain, while changes in development of their sense organs will indicates their capability to view things in different perspective and developing emotions on their immediate environment (Lee at al. 2015). The traits from the parent of the child will be observed in the lifespan of the individual as they grow up from one stage of their life to another (NHS, 2019). </w:t>
      </w:r>
      <w:r>
        <w:rPr>
          <w:rFonts w:ascii="Times New Roman" w:hAnsi="Times New Roman" w:cs="Times New Roman"/>
          <w:sz w:val="24"/>
          <w:szCs w:val="24"/>
        </w:rPr>
        <w:t>All</w:t>
      </w:r>
      <w:r w:rsidR="004F4E61">
        <w:rPr>
          <w:rFonts w:ascii="Times New Roman" w:hAnsi="Times New Roman" w:cs="Times New Roman"/>
          <w:sz w:val="24"/>
          <w:szCs w:val="24"/>
        </w:rPr>
        <w:t xml:space="preserve"> these phases are essential knowledge needed by health and professional individuals that will guide in the disposing of their responsibilities within the age range that is taken into consideration in this essay. </w:t>
      </w:r>
    </w:p>
    <w:p w14:paraId="54C2AF5F" w14:textId="77777777" w:rsidR="00623703" w:rsidRPr="00623703" w:rsidRDefault="00623703" w:rsidP="00F27832">
      <w:pPr>
        <w:spacing w:line="360" w:lineRule="auto"/>
        <w:rPr>
          <w:rFonts w:ascii="Times New Roman" w:hAnsi="Times New Roman" w:cs="Times New Roman"/>
          <w:b/>
          <w:sz w:val="24"/>
          <w:szCs w:val="24"/>
        </w:rPr>
      </w:pPr>
      <w:r w:rsidRPr="00623703">
        <w:rPr>
          <w:rFonts w:ascii="Times New Roman" w:hAnsi="Times New Roman" w:cs="Times New Roman"/>
          <w:b/>
          <w:sz w:val="24"/>
          <w:szCs w:val="24"/>
        </w:rPr>
        <w:t xml:space="preserve">CHALLENGES FACED WITHIN FAMILIES IN THE SOCIETY </w:t>
      </w:r>
    </w:p>
    <w:p w14:paraId="4BCEA78D" w14:textId="77777777" w:rsidR="004D5322" w:rsidRDefault="00726EE1" w:rsidP="00F27832">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Hayes (2016) many challenges that are faced within families in the current society are a product </w:t>
      </w:r>
      <w:r w:rsidR="000260A2">
        <w:rPr>
          <w:rFonts w:ascii="Times New Roman" w:hAnsi="Times New Roman" w:cs="Times New Roman"/>
          <w:sz w:val="24"/>
          <w:szCs w:val="24"/>
        </w:rPr>
        <w:t xml:space="preserve">of inability to strike a balance between psychosocial and psychological analysis of the individuals changes over the period of growing up. This could be responsible the type of environment that the individuals found themselves such as the social interactions, sexual orientation, emotional and societal influence on the individual (DoH, 2018). Therefore whatever the child becomes in the future is the input from the parental alliance such as cultural, religious, emotional and sexual orientation. </w:t>
      </w:r>
      <w:r w:rsidR="00BA5F0B">
        <w:rPr>
          <w:rFonts w:ascii="Times New Roman" w:hAnsi="Times New Roman" w:cs="Times New Roman"/>
          <w:sz w:val="24"/>
          <w:szCs w:val="24"/>
        </w:rPr>
        <w:t xml:space="preserve">It is also imperative that most children </w:t>
      </w:r>
      <w:r w:rsidR="00BA5F0B">
        <w:rPr>
          <w:rFonts w:ascii="Times New Roman" w:hAnsi="Times New Roman" w:cs="Times New Roman"/>
          <w:sz w:val="24"/>
          <w:szCs w:val="24"/>
        </w:rPr>
        <w:lastRenderedPageBreak/>
        <w:t xml:space="preserve">within the adolescence age range could come from a good family with decent moral standards but could be easily influenced by the peers and the environment of which they have found themselves (Arnett, 2009). As the individual will be developed morally there is a possibility that their thought and attitude </w:t>
      </w:r>
      <w:r w:rsidR="00614EB3">
        <w:rPr>
          <w:rFonts w:ascii="Times New Roman" w:hAnsi="Times New Roman" w:cs="Times New Roman"/>
          <w:sz w:val="24"/>
          <w:szCs w:val="24"/>
        </w:rPr>
        <w:t xml:space="preserve">towards things will eventually change and the acknowledgement that things could go in a different direction with them aiming to aligned </w:t>
      </w:r>
      <w:r w:rsidR="00523E23">
        <w:rPr>
          <w:rFonts w:ascii="Times New Roman" w:hAnsi="Times New Roman" w:cs="Times New Roman"/>
          <w:sz w:val="24"/>
          <w:szCs w:val="24"/>
        </w:rPr>
        <w:t xml:space="preserve">with the rules in the society. </w:t>
      </w:r>
      <w:r w:rsidR="00C00FE9">
        <w:rPr>
          <w:rFonts w:ascii="Times New Roman" w:hAnsi="Times New Roman" w:cs="Times New Roman"/>
          <w:sz w:val="24"/>
          <w:szCs w:val="24"/>
        </w:rPr>
        <w:t xml:space="preserve">Part of the characteristics within which adolescence stage of human development impacts the study of health and social care is the ability to question </w:t>
      </w:r>
      <w:r w:rsidR="00AA32FB">
        <w:rPr>
          <w:rFonts w:ascii="Times New Roman" w:hAnsi="Times New Roman" w:cs="Times New Roman"/>
          <w:sz w:val="24"/>
          <w:szCs w:val="24"/>
        </w:rPr>
        <w:t xml:space="preserve">many of the decisions taken </w:t>
      </w:r>
      <w:r w:rsidR="004D5322">
        <w:rPr>
          <w:rFonts w:ascii="Times New Roman" w:hAnsi="Times New Roman" w:cs="Times New Roman"/>
          <w:sz w:val="24"/>
          <w:szCs w:val="24"/>
        </w:rPr>
        <w:t>by either government or the authorities (</w:t>
      </w:r>
      <w:r w:rsidR="00745410" w:rsidRPr="00745410">
        <w:rPr>
          <w:rFonts w:ascii="Times New Roman" w:hAnsi="Times New Roman" w:cs="Times New Roman"/>
          <w:sz w:val="24"/>
          <w:szCs w:val="24"/>
        </w:rPr>
        <w:t>Costa</w:t>
      </w:r>
      <w:r w:rsidR="00745410">
        <w:rPr>
          <w:rFonts w:ascii="Times New Roman" w:hAnsi="Times New Roman" w:cs="Times New Roman"/>
          <w:sz w:val="24"/>
          <w:szCs w:val="24"/>
        </w:rPr>
        <w:t xml:space="preserve"> et al. 2001</w:t>
      </w:r>
      <w:r w:rsidR="004D5322">
        <w:rPr>
          <w:rFonts w:ascii="Times New Roman" w:hAnsi="Times New Roman" w:cs="Times New Roman"/>
          <w:sz w:val="24"/>
          <w:szCs w:val="24"/>
        </w:rPr>
        <w:t>).</w:t>
      </w:r>
    </w:p>
    <w:p w14:paraId="51FEB678" w14:textId="77777777" w:rsidR="00623703" w:rsidRPr="00623703" w:rsidRDefault="00623703" w:rsidP="00F27832">
      <w:pPr>
        <w:spacing w:line="360" w:lineRule="auto"/>
        <w:rPr>
          <w:rFonts w:ascii="Times New Roman" w:hAnsi="Times New Roman" w:cs="Times New Roman"/>
          <w:b/>
          <w:sz w:val="24"/>
          <w:szCs w:val="24"/>
        </w:rPr>
      </w:pPr>
      <w:r w:rsidRPr="00623703">
        <w:rPr>
          <w:rFonts w:ascii="Times New Roman" w:hAnsi="Times New Roman" w:cs="Times New Roman"/>
          <w:b/>
          <w:sz w:val="24"/>
          <w:szCs w:val="24"/>
        </w:rPr>
        <w:t>HUMAN COGNITION</w:t>
      </w:r>
    </w:p>
    <w:p w14:paraId="33AB092A" w14:textId="77777777" w:rsidR="004F4E61" w:rsidRDefault="00654DF5" w:rsidP="00F27832">
      <w:pPr>
        <w:spacing w:line="360" w:lineRule="auto"/>
        <w:rPr>
          <w:rFonts w:ascii="Times New Roman" w:hAnsi="Times New Roman" w:cs="Times New Roman"/>
          <w:sz w:val="24"/>
          <w:szCs w:val="24"/>
        </w:rPr>
      </w:pPr>
      <w:r w:rsidRPr="00654DF5">
        <w:rPr>
          <w:rFonts w:ascii="Times New Roman" w:hAnsi="Times New Roman" w:cs="Times New Roman"/>
          <w:sz w:val="24"/>
          <w:szCs w:val="24"/>
        </w:rPr>
        <w:t>In discussing human cognition, emotions and behaviour patterns specific to the adolescence life-stage</w:t>
      </w:r>
      <w:r w:rsidR="001A40C9">
        <w:rPr>
          <w:rFonts w:ascii="Times New Roman" w:hAnsi="Times New Roman" w:cs="Times New Roman"/>
          <w:sz w:val="24"/>
          <w:szCs w:val="24"/>
        </w:rPr>
        <w:t xml:space="preserve">. It is observed that changes within the brain of adolescence interconnect with the experience, the level of social demand, and knowledge of the individual while these factors comes together to produce growth of cognition in the individual (Hayes, 2016). At this stage of cognitive development Piaget describes it as the formal operational stage of the individual which is the starting point for the individual to start thinking </w:t>
      </w:r>
      <w:r w:rsidR="0054417F">
        <w:rPr>
          <w:rFonts w:ascii="Times New Roman" w:hAnsi="Times New Roman" w:cs="Times New Roman"/>
          <w:sz w:val="24"/>
          <w:szCs w:val="24"/>
        </w:rPr>
        <w:t xml:space="preserve">logically (Lane, 2012). Within this phase the individual will also have the opportunity to plan about their future ambitions, examine the alternatives that are available, while also setting out personal obligations. It is also observed that there are differences in </w:t>
      </w:r>
      <w:r w:rsidR="00C63B38">
        <w:rPr>
          <w:rFonts w:ascii="Times New Roman" w:hAnsi="Times New Roman" w:cs="Times New Roman"/>
          <w:sz w:val="24"/>
          <w:szCs w:val="24"/>
        </w:rPr>
        <w:t>individual’s</w:t>
      </w:r>
      <w:r w:rsidR="0054417F">
        <w:rPr>
          <w:rFonts w:ascii="Times New Roman" w:hAnsi="Times New Roman" w:cs="Times New Roman"/>
          <w:sz w:val="24"/>
          <w:szCs w:val="24"/>
        </w:rPr>
        <w:t xml:space="preserve"> perceptions which </w:t>
      </w:r>
      <w:r w:rsidR="00C63B38">
        <w:rPr>
          <w:rFonts w:ascii="Times New Roman" w:hAnsi="Times New Roman" w:cs="Times New Roman"/>
          <w:sz w:val="24"/>
          <w:szCs w:val="24"/>
        </w:rPr>
        <w:t>have</w:t>
      </w:r>
      <w:r w:rsidR="0054417F">
        <w:rPr>
          <w:rFonts w:ascii="Times New Roman" w:hAnsi="Times New Roman" w:cs="Times New Roman"/>
          <w:sz w:val="24"/>
          <w:szCs w:val="24"/>
        </w:rPr>
        <w:t xml:space="preserve"> a direct impact from their teen stage, this will transits into the adolescence stage of the individual </w:t>
      </w:r>
      <w:r w:rsidR="00C63B38">
        <w:rPr>
          <w:rFonts w:ascii="Times New Roman" w:hAnsi="Times New Roman" w:cs="Times New Roman"/>
          <w:sz w:val="24"/>
          <w:szCs w:val="24"/>
        </w:rPr>
        <w:t>which will be engaged in the form of introspection and mature decision making (</w:t>
      </w:r>
      <w:r w:rsidR="00745410">
        <w:rPr>
          <w:rFonts w:ascii="Times New Roman" w:hAnsi="Times New Roman" w:cs="Times New Roman"/>
          <w:sz w:val="24"/>
          <w:szCs w:val="24"/>
        </w:rPr>
        <w:t xml:space="preserve">Hill &amp; Edmonds, </w:t>
      </w:r>
      <w:r w:rsidR="00745410" w:rsidRPr="00745410">
        <w:rPr>
          <w:rFonts w:ascii="Times New Roman" w:hAnsi="Times New Roman" w:cs="Times New Roman"/>
          <w:sz w:val="24"/>
          <w:szCs w:val="24"/>
        </w:rPr>
        <w:t>2017</w:t>
      </w:r>
      <w:r w:rsidR="00C63B38">
        <w:rPr>
          <w:rFonts w:ascii="Times New Roman" w:hAnsi="Times New Roman" w:cs="Times New Roman"/>
          <w:sz w:val="24"/>
          <w:szCs w:val="24"/>
        </w:rPr>
        <w:t xml:space="preserve">). </w:t>
      </w:r>
    </w:p>
    <w:p w14:paraId="438B557E" w14:textId="77777777" w:rsidR="00C63B38" w:rsidRPr="00E07852" w:rsidRDefault="00C63B38" w:rsidP="00F27832">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The emotions of adolescence could be </w:t>
      </w:r>
      <w:r w:rsidR="00767C0C">
        <w:rPr>
          <w:rFonts w:ascii="Times New Roman" w:hAnsi="Times New Roman" w:cs="Times New Roman"/>
          <w:sz w:val="24"/>
          <w:szCs w:val="24"/>
        </w:rPr>
        <w:t>described</w:t>
      </w:r>
      <w:r>
        <w:rPr>
          <w:rFonts w:ascii="Times New Roman" w:hAnsi="Times New Roman" w:cs="Times New Roman"/>
          <w:sz w:val="24"/>
          <w:szCs w:val="24"/>
        </w:rPr>
        <w:t xml:space="preserve"> as the subjective part of human that is dictated by the feelings (DoH, 2016)</w:t>
      </w:r>
      <w:r w:rsidR="00767C0C">
        <w:rPr>
          <w:rFonts w:ascii="Times New Roman" w:hAnsi="Times New Roman" w:cs="Times New Roman"/>
          <w:sz w:val="24"/>
          <w:szCs w:val="24"/>
        </w:rPr>
        <w:t xml:space="preserve">. The emotions within the context could either be a positive or negative, it is observed that adolescence with positive emotions are very optimistic about life, full of energy and are ready to work with a team whereas the negative emotions will be full of depression, discouraged about life and everything, develops withdrawal syndrome and are indignant (Lee at el. 2015). </w:t>
      </w:r>
      <w:r w:rsidR="00FC76E2">
        <w:rPr>
          <w:rFonts w:ascii="Times New Roman" w:hAnsi="Times New Roman" w:cs="Times New Roman"/>
          <w:sz w:val="24"/>
          <w:szCs w:val="24"/>
        </w:rPr>
        <w:t xml:space="preserve">In considering the behaviour pattern for adolescence </w:t>
      </w:r>
      <w:r w:rsidR="002F1F16">
        <w:rPr>
          <w:rFonts w:ascii="Times New Roman" w:hAnsi="Times New Roman" w:cs="Times New Roman"/>
          <w:sz w:val="24"/>
          <w:szCs w:val="24"/>
        </w:rPr>
        <w:t xml:space="preserve">the changes in body will start to shape them into the form of becoming a more matured individual (DoH, 2016). Within the adolescence stage of an individual development there is a period that is term as pre-pubescence, according to NHS (2019) this period is considered the point in which the individuals starts to develop sexual maturity. A typical example is seen in the male genital parts getting enlarged such as the testicles, penis, and the scrotal sac. All these changes are considered as the primary stage </w:t>
      </w:r>
      <w:r w:rsidR="002F1F16">
        <w:rPr>
          <w:rFonts w:ascii="Times New Roman" w:hAnsi="Times New Roman" w:cs="Times New Roman"/>
          <w:sz w:val="24"/>
          <w:szCs w:val="24"/>
        </w:rPr>
        <w:lastRenderedPageBreak/>
        <w:t xml:space="preserve">while the secondary stage will include the public hair in the private parts and the armpit while the voice will become much deeper (DoH, 2016). In the case of the female pre-pubescent stage starts within two months before the male, they will experience enlargement of their ovaries, the breast will start coming out gradually and ripening of the of the ova also starts (NHS, 2019). The secondary development of the female is seen in the expansion of their hips, breast enlargement and pubis hairs in the private parts (Allen et al. 2016).       </w:t>
      </w:r>
    </w:p>
    <w:p w14:paraId="535B9651" w14:textId="77777777" w:rsidR="00623703" w:rsidRPr="00623703" w:rsidRDefault="00623703" w:rsidP="00FD1566">
      <w:pPr>
        <w:spacing w:line="360" w:lineRule="auto"/>
        <w:rPr>
          <w:rFonts w:ascii="Times New Roman" w:hAnsi="Times New Roman" w:cs="Times New Roman"/>
          <w:b/>
          <w:sz w:val="24"/>
          <w:szCs w:val="24"/>
        </w:rPr>
      </w:pPr>
      <w:r w:rsidRPr="00623703">
        <w:rPr>
          <w:rFonts w:ascii="Times New Roman" w:hAnsi="Times New Roman" w:cs="Times New Roman"/>
          <w:b/>
          <w:sz w:val="24"/>
          <w:szCs w:val="24"/>
        </w:rPr>
        <w:t>ADOLESCENT’S SOCIAL CONTEXT</w:t>
      </w:r>
    </w:p>
    <w:p w14:paraId="7BA28F91" w14:textId="77777777" w:rsidR="002F1F16" w:rsidRDefault="00E14136" w:rsidP="00FD1566">
      <w:pPr>
        <w:spacing w:line="360" w:lineRule="auto"/>
        <w:rPr>
          <w:rFonts w:ascii="Times New Roman" w:hAnsi="Times New Roman" w:cs="Times New Roman"/>
          <w:sz w:val="24"/>
          <w:szCs w:val="24"/>
        </w:rPr>
      </w:pPr>
      <w:r>
        <w:rPr>
          <w:rFonts w:ascii="Times New Roman" w:hAnsi="Times New Roman" w:cs="Times New Roman"/>
          <w:sz w:val="24"/>
          <w:szCs w:val="24"/>
        </w:rPr>
        <w:t>T</w:t>
      </w:r>
      <w:r w:rsidR="00FC76E2" w:rsidRPr="00FC76E2">
        <w:rPr>
          <w:rFonts w:ascii="Times New Roman" w:hAnsi="Times New Roman" w:cs="Times New Roman"/>
          <w:sz w:val="24"/>
          <w:szCs w:val="24"/>
        </w:rPr>
        <w:t>hree</w:t>
      </w:r>
      <w:r>
        <w:rPr>
          <w:rFonts w:ascii="Times New Roman" w:hAnsi="Times New Roman" w:cs="Times New Roman"/>
          <w:sz w:val="24"/>
          <w:szCs w:val="24"/>
        </w:rPr>
        <w:t xml:space="preserve"> significant</w:t>
      </w:r>
      <w:r w:rsidR="00FC76E2" w:rsidRPr="00FC76E2">
        <w:rPr>
          <w:rFonts w:ascii="Times New Roman" w:hAnsi="Times New Roman" w:cs="Times New Roman"/>
          <w:sz w:val="24"/>
          <w:szCs w:val="24"/>
        </w:rPr>
        <w:t xml:space="preserve"> recent</w:t>
      </w:r>
      <w:r>
        <w:rPr>
          <w:rFonts w:ascii="Times New Roman" w:hAnsi="Times New Roman" w:cs="Times New Roman"/>
          <w:sz w:val="24"/>
          <w:szCs w:val="24"/>
        </w:rPr>
        <w:t>ly conducted</w:t>
      </w:r>
      <w:r w:rsidR="00FC76E2" w:rsidRPr="00FC76E2">
        <w:rPr>
          <w:rFonts w:ascii="Times New Roman" w:hAnsi="Times New Roman" w:cs="Times New Roman"/>
          <w:sz w:val="24"/>
          <w:szCs w:val="24"/>
        </w:rPr>
        <w:t xml:space="preserve"> research studies in health and social care, </w:t>
      </w:r>
      <w:r w:rsidRPr="00FC76E2">
        <w:rPr>
          <w:rFonts w:ascii="Times New Roman" w:hAnsi="Times New Roman" w:cs="Times New Roman"/>
          <w:sz w:val="24"/>
          <w:szCs w:val="24"/>
        </w:rPr>
        <w:t xml:space="preserve">as </w:t>
      </w:r>
      <w:r>
        <w:rPr>
          <w:rFonts w:ascii="Times New Roman" w:hAnsi="Times New Roman" w:cs="Times New Roman"/>
          <w:sz w:val="24"/>
          <w:szCs w:val="24"/>
        </w:rPr>
        <w:t xml:space="preserve">a </w:t>
      </w:r>
      <w:r w:rsidRPr="00FC76E2">
        <w:rPr>
          <w:rFonts w:ascii="Times New Roman" w:hAnsi="Times New Roman" w:cs="Times New Roman"/>
          <w:sz w:val="24"/>
          <w:szCs w:val="24"/>
        </w:rPr>
        <w:t>supporting evidence</w:t>
      </w:r>
      <w:r w:rsidR="00FC76E2">
        <w:rPr>
          <w:rFonts w:ascii="Times New Roman" w:hAnsi="Times New Roman" w:cs="Times New Roman"/>
          <w:sz w:val="24"/>
          <w:szCs w:val="24"/>
        </w:rPr>
        <w:t xml:space="preserve"> of the changes within the adolescence stage of the human growth</w:t>
      </w:r>
      <w:r>
        <w:rPr>
          <w:rFonts w:ascii="Times New Roman" w:hAnsi="Times New Roman" w:cs="Times New Roman"/>
          <w:sz w:val="24"/>
          <w:szCs w:val="24"/>
        </w:rPr>
        <w:t xml:space="preserve">. </w:t>
      </w:r>
      <w:r w:rsidR="003B13E0">
        <w:rPr>
          <w:rFonts w:ascii="Times New Roman" w:hAnsi="Times New Roman" w:cs="Times New Roman"/>
          <w:sz w:val="24"/>
          <w:szCs w:val="24"/>
        </w:rPr>
        <w:t xml:space="preserve"> The social context</w:t>
      </w:r>
      <w:r w:rsidR="00FD1566">
        <w:rPr>
          <w:rFonts w:ascii="Times New Roman" w:hAnsi="Times New Roman" w:cs="Times New Roman"/>
          <w:sz w:val="24"/>
          <w:szCs w:val="24"/>
        </w:rPr>
        <w:t xml:space="preserve"> research that was carried out by Allen et al. (2016) indicates that </w:t>
      </w:r>
      <w:r w:rsidR="002F1F16" w:rsidRPr="00FD1566">
        <w:rPr>
          <w:rFonts w:ascii="Times New Roman" w:hAnsi="Times New Roman" w:cs="Times New Roman"/>
          <w:sz w:val="24"/>
          <w:szCs w:val="24"/>
        </w:rPr>
        <w:t xml:space="preserve">the </w:t>
      </w:r>
      <w:r w:rsidR="002F1F16">
        <w:rPr>
          <w:rFonts w:ascii="Times New Roman" w:hAnsi="Times New Roman" w:cs="Times New Roman"/>
          <w:sz w:val="24"/>
          <w:szCs w:val="24"/>
        </w:rPr>
        <w:t xml:space="preserve">social life of the adolescent will become much more complex because of the external factors that are likely to interject into their reasoning and other aspect of their lives. As this is the most crucial aspect of the individuals that will influence their future and the things that will shape them to become what they want in the future, therefore this stage is influence with the aspect of being selective and careful with their appearances (Smith, 2019). The family has an important part to play in the social behaviour of the individuals as the child will learn from the parents’ attitude and instructions while growing up (DoH, 2016). Although the cultural background of the individual plays an important role in the social aspect of the individuals, a typical is the case of a child from the Asian cultural background will learn their culture and gets acquitted with the manner of the food and greetings to elderly in the community (Patel, 2016). It is observed at this stage that adolescent tends to be very careful to align their prioritise friendship to people that are mostly likely to accept them just the way they are without being judgemental (NHS, 2019). These factors will include things like education ambition of the individuals and the career path of the individual, although one of the most influential concepts is the parents because they seem to choose the career for their children and this is mostly common in the African and Asian community. </w:t>
      </w:r>
    </w:p>
    <w:p w14:paraId="266AAE54" w14:textId="77777777" w:rsidR="00FD1566" w:rsidRDefault="002F1F16" w:rsidP="00FD15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Therefore as a health and social care professional this stage is the most important aspect that requires adequate attention because of the influence it will have on the society at large (Arnett, </w:t>
      </w:r>
      <w:r w:rsidRPr="002F1F16">
        <w:rPr>
          <w:rFonts w:ascii="Times New Roman" w:hAnsi="Times New Roman" w:cs="Times New Roman"/>
          <w:sz w:val="24"/>
          <w:szCs w:val="24"/>
        </w:rPr>
        <w:t xml:space="preserve">2009). </w:t>
      </w:r>
      <w:r>
        <w:rPr>
          <w:rFonts w:ascii="Times New Roman" w:hAnsi="Times New Roman" w:cs="Times New Roman"/>
          <w:sz w:val="24"/>
          <w:szCs w:val="24"/>
        </w:rPr>
        <w:t xml:space="preserve">The political orientation, sexual orientation and social orientation of the child at the adolescent stage of their lives contribute to the personality they will become in the future and therefore it requires adequate monitoring and evaluation (Gross, 2005).  It is observed that parents and peers that are exposed to the use of drugs will influence the attitude </w:t>
      </w:r>
      <w:r>
        <w:rPr>
          <w:rFonts w:ascii="Times New Roman" w:hAnsi="Times New Roman" w:cs="Times New Roman"/>
          <w:sz w:val="24"/>
          <w:szCs w:val="24"/>
        </w:rPr>
        <w:lastRenderedPageBreak/>
        <w:t xml:space="preserve">of the individuals as they grow up in the society (DoH, 2016). Unstable relationships of many parents in the society today are a product of the exposure that children experiences during their growing and seeing their parents or relations practice. Although on the contrary it is observed that some adolescent will prefer to support the ambitions and aspiration their parents for peace to reign in the family </w:t>
      </w:r>
      <w:r w:rsidR="00FD1566">
        <w:rPr>
          <w:rFonts w:ascii="Times New Roman" w:hAnsi="Times New Roman" w:cs="Times New Roman"/>
          <w:sz w:val="24"/>
          <w:szCs w:val="24"/>
        </w:rPr>
        <w:t>(</w:t>
      </w:r>
      <w:r w:rsidR="00745410">
        <w:rPr>
          <w:rFonts w:ascii="Times New Roman" w:hAnsi="Times New Roman" w:cs="Times New Roman"/>
          <w:sz w:val="24"/>
          <w:szCs w:val="24"/>
        </w:rPr>
        <w:t xml:space="preserve">Hill &amp; Edmonds, </w:t>
      </w:r>
      <w:r w:rsidR="00745410" w:rsidRPr="00745410">
        <w:rPr>
          <w:rFonts w:ascii="Times New Roman" w:hAnsi="Times New Roman" w:cs="Times New Roman"/>
          <w:sz w:val="24"/>
          <w:szCs w:val="24"/>
        </w:rPr>
        <w:t>2017</w:t>
      </w:r>
      <w:r w:rsidR="00745410">
        <w:rPr>
          <w:rFonts w:ascii="Times New Roman" w:hAnsi="Times New Roman" w:cs="Times New Roman"/>
          <w:sz w:val="24"/>
          <w:szCs w:val="24"/>
        </w:rPr>
        <w:t>).</w:t>
      </w:r>
    </w:p>
    <w:p w14:paraId="65AEA1B5" w14:textId="77777777" w:rsidR="00623703" w:rsidRPr="00623703" w:rsidRDefault="00623703" w:rsidP="00FD1566">
      <w:pPr>
        <w:spacing w:line="360" w:lineRule="auto"/>
        <w:rPr>
          <w:rFonts w:ascii="Times New Roman" w:hAnsi="Times New Roman" w:cs="Times New Roman"/>
          <w:b/>
          <w:sz w:val="24"/>
          <w:szCs w:val="24"/>
        </w:rPr>
      </w:pPr>
      <w:r w:rsidRPr="00623703">
        <w:rPr>
          <w:rFonts w:ascii="Times New Roman" w:hAnsi="Times New Roman" w:cs="Times New Roman"/>
          <w:b/>
          <w:sz w:val="24"/>
          <w:szCs w:val="24"/>
        </w:rPr>
        <w:t>THE PERSONALITY OF THE INDIVIDUAL DURING THIS PHASE OF ADOLESCENCE</w:t>
      </w:r>
    </w:p>
    <w:p w14:paraId="777E8ABF" w14:textId="77777777" w:rsidR="0007113E" w:rsidRDefault="006E6B8B" w:rsidP="00FD1566">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The personality of the individual during this phase of adolescence is also very significant, </w:t>
      </w:r>
      <w:r w:rsidRPr="002F1F16">
        <w:rPr>
          <w:rFonts w:ascii="Times New Roman" w:hAnsi="Times New Roman" w:cs="Times New Roman"/>
          <w:sz w:val="24"/>
          <w:szCs w:val="24"/>
        </w:rPr>
        <w:t xml:space="preserve">according to research conducted by Banyard and Banyard (2015) the </w:t>
      </w:r>
      <w:r w:rsidR="002F1F16" w:rsidRPr="002F1F16">
        <w:rPr>
          <w:rFonts w:ascii="Times New Roman" w:hAnsi="Times New Roman" w:cs="Times New Roman"/>
          <w:sz w:val="24"/>
          <w:szCs w:val="24"/>
        </w:rPr>
        <w:t>stagy</w:t>
      </w:r>
      <w:r w:rsidRPr="002F1F16">
        <w:rPr>
          <w:rFonts w:ascii="Times New Roman" w:hAnsi="Times New Roman" w:cs="Times New Roman"/>
          <w:sz w:val="24"/>
          <w:szCs w:val="24"/>
        </w:rPr>
        <w:t xml:space="preserve"> </w:t>
      </w:r>
      <w:r w:rsidR="002F1F16" w:rsidRPr="002F1F16">
        <w:rPr>
          <w:rFonts w:ascii="Times New Roman" w:hAnsi="Times New Roman" w:cs="Times New Roman"/>
          <w:sz w:val="24"/>
          <w:szCs w:val="24"/>
        </w:rPr>
        <w:t>alterations</w:t>
      </w:r>
      <w:r w:rsidRPr="002F1F16">
        <w:rPr>
          <w:rFonts w:ascii="Times New Roman" w:hAnsi="Times New Roman" w:cs="Times New Roman"/>
          <w:sz w:val="24"/>
          <w:szCs w:val="24"/>
        </w:rPr>
        <w:t xml:space="preserve"> that </w:t>
      </w:r>
      <w:r w:rsidR="002F1F16" w:rsidRPr="002F1F16">
        <w:rPr>
          <w:rFonts w:ascii="Times New Roman" w:hAnsi="Times New Roman" w:cs="Times New Roman"/>
          <w:sz w:val="24"/>
          <w:szCs w:val="24"/>
        </w:rPr>
        <w:t>describe</w:t>
      </w:r>
      <w:r w:rsidRPr="002F1F16">
        <w:rPr>
          <w:rFonts w:ascii="Times New Roman" w:hAnsi="Times New Roman" w:cs="Times New Roman"/>
          <w:sz w:val="24"/>
          <w:szCs w:val="24"/>
        </w:rPr>
        <w:t xml:space="preserve"> puberty </w:t>
      </w:r>
      <w:r w:rsidR="002F1F16" w:rsidRPr="002F1F16">
        <w:rPr>
          <w:rFonts w:ascii="Times New Roman" w:hAnsi="Times New Roman" w:cs="Times New Roman"/>
          <w:sz w:val="24"/>
          <w:szCs w:val="24"/>
        </w:rPr>
        <w:t>contemporaneous</w:t>
      </w:r>
      <w:r w:rsidRPr="002F1F16">
        <w:rPr>
          <w:rFonts w:ascii="Times New Roman" w:hAnsi="Times New Roman" w:cs="Times New Roman"/>
          <w:sz w:val="24"/>
          <w:szCs w:val="24"/>
        </w:rPr>
        <w:t xml:space="preserve"> the adolescent with </w:t>
      </w:r>
      <w:r w:rsidR="002F1F16" w:rsidRPr="002F1F16">
        <w:rPr>
          <w:rFonts w:ascii="Times New Roman" w:hAnsi="Times New Roman" w:cs="Times New Roman"/>
          <w:sz w:val="24"/>
          <w:szCs w:val="24"/>
        </w:rPr>
        <w:t>severe</w:t>
      </w:r>
      <w:r w:rsidRPr="002F1F16">
        <w:rPr>
          <w:rFonts w:ascii="Times New Roman" w:hAnsi="Times New Roman" w:cs="Times New Roman"/>
          <w:sz w:val="24"/>
          <w:szCs w:val="24"/>
        </w:rPr>
        <w:t xml:space="preserve"> psychosocial </w:t>
      </w:r>
      <w:r w:rsidR="002F1F16" w:rsidRPr="002F1F16">
        <w:rPr>
          <w:rFonts w:ascii="Times New Roman" w:hAnsi="Times New Roman" w:cs="Times New Roman"/>
          <w:sz w:val="24"/>
          <w:szCs w:val="24"/>
        </w:rPr>
        <w:t>contests</w:t>
      </w:r>
      <w:r w:rsidRPr="00E07852">
        <w:rPr>
          <w:rFonts w:ascii="Times New Roman" w:hAnsi="Times New Roman" w:cs="Times New Roman"/>
          <w:color w:val="FF0000"/>
          <w:sz w:val="24"/>
          <w:szCs w:val="24"/>
        </w:rPr>
        <w:t>.</w:t>
      </w:r>
      <w:r w:rsidR="002F1F16">
        <w:rPr>
          <w:rFonts w:ascii="Times New Roman" w:hAnsi="Times New Roman" w:cs="Times New Roman"/>
          <w:color w:val="FF0000"/>
          <w:sz w:val="24"/>
          <w:szCs w:val="24"/>
        </w:rPr>
        <w:t xml:space="preserve"> </w:t>
      </w:r>
      <w:r w:rsidR="002F1F16">
        <w:rPr>
          <w:rFonts w:ascii="Times New Roman" w:hAnsi="Times New Roman" w:cs="Times New Roman"/>
          <w:sz w:val="24"/>
          <w:szCs w:val="24"/>
        </w:rPr>
        <w:t>When an individual is able to develop a certain character for twelve years of life it will become part of their life style which could sometimes be difficult to change (NHS, 2019). As there are changes within the physical appearance of the individuals there is a correlating impact on their feelings on the type of personality they want to become in the future (DoH, 2016). It is observed that this has a direct impact on their feelings towards the opposite sex and thoughts. Although there is high possibility that the attitude of an individual at the early stage of their might not be held up to the adult stage as many factors will influence their personality (NHS, 201</w:t>
      </w:r>
      <w:r w:rsidR="00745410">
        <w:rPr>
          <w:rFonts w:ascii="Times New Roman" w:hAnsi="Times New Roman" w:cs="Times New Roman"/>
          <w:sz w:val="24"/>
          <w:szCs w:val="24"/>
        </w:rPr>
        <w:t xml:space="preserve">9). It is further observed that within this phase the child is bound to behave in a certain way that portray their social ethics with the ability to distinguish between what is good and bad in the society.   </w:t>
      </w:r>
    </w:p>
    <w:p w14:paraId="4C9DB41A" w14:textId="77777777" w:rsidR="002F1F16" w:rsidRDefault="0051031C" w:rsidP="00F27832">
      <w:pPr>
        <w:rPr>
          <w:rFonts w:ascii="Times New Roman" w:hAnsi="Times New Roman" w:cs="Times New Roman"/>
          <w:b/>
          <w:sz w:val="24"/>
          <w:szCs w:val="24"/>
        </w:rPr>
      </w:pPr>
      <w:r>
        <w:rPr>
          <w:rFonts w:ascii="Times New Roman" w:hAnsi="Times New Roman" w:cs="Times New Roman"/>
          <w:b/>
          <w:sz w:val="24"/>
          <w:szCs w:val="24"/>
        </w:rPr>
        <w:t xml:space="preserve">PSYCHOLOGICAL THEORIES OF ERIKSON’S IN ADOLESCENCE </w:t>
      </w:r>
    </w:p>
    <w:p w14:paraId="591326E1" w14:textId="77777777" w:rsidR="0051031C" w:rsidRDefault="00B32828" w:rsidP="00B32828">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DoH (2016) Erikson adolescence psychological theory of adolescence focuses on two attributes of the fifth stage of child development and they are identity and confusion. </w:t>
      </w:r>
      <w:r w:rsidR="00261A4F">
        <w:rPr>
          <w:rFonts w:ascii="Times New Roman" w:hAnsi="Times New Roman" w:cs="Times New Roman"/>
          <w:sz w:val="24"/>
          <w:szCs w:val="24"/>
        </w:rPr>
        <w:t xml:space="preserve">Within the ages of 12 to 18 ages it is expected that the child will starts to development a sense of independence and self-awareness (NHS, 2019).  Each individual passes through different stages in life as they grow up, while being faced with developmental conflicts which is essential to be resolved that will act as a primary virtue during the stage (Smith, 2019). Therefore during the adolescent stage individuals begin to feel insecure and feeling how they will be able to fit into the society. This process allows the individual start forming strong identity and develops a sense of directions in their life, </w:t>
      </w:r>
      <w:r w:rsidR="00010307">
        <w:rPr>
          <w:rFonts w:ascii="Times New Roman" w:hAnsi="Times New Roman" w:cs="Times New Roman"/>
          <w:sz w:val="24"/>
          <w:szCs w:val="24"/>
        </w:rPr>
        <w:t>which leads to development of ego identity (</w:t>
      </w:r>
      <w:r w:rsidR="00010307" w:rsidRPr="00010307">
        <w:rPr>
          <w:rFonts w:ascii="Times New Roman" w:hAnsi="Times New Roman" w:cs="Times New Roman"/>
          <w:sz w:val="24"/>
          <w:szCs w:val="24"/>
        </w:rPr>
        <w:t>Lounsbury</w:t>
      </w:r>
      <w:r w:rsidR="00010307">
        <w:rPr>
          <w:rFonts w:ascii="Times New Roman" w:hAnsi="Times New Roman" w:cs="Times New Roman"/>
          <w:sz w:val="24"/>
          <w:szCs w:val="24"/>
        </w:rPr>
        <w:t xml:space="preserve"> et al. 2016). Their social interaction becomes more of conscious with the sense of self-awareness with regards to information and interaction with others daily bases. </w:t>
      </w:r>
    </w:p>
    <w:p w14:paraId="4EC772FC" w14:textId="77777777" w:rsidR="00010307" w:rsidRPr="00B32828" w:rsidRDefault="00010307" w:rsidP="00B3282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At the stage of adolescence individual identity becomes the fundamental aspect of </w:t>
      </w:r>
      <w:r w:rsidR="005D64E8">
        <w:rPr>
          <w:rFonts w:ascii="Times New Roman" w:hAnsi="Times New Roman" w:cs="Times New Roman"/>
          <w:sz w:val="24"/>
          <w:szCs w:val="24"/>
        </w:rPr>
        <w:t>their life</w:t>
      </w:r>
      <w:r>
        <w:rPr>
          <w:rFonts w:ascii="Times New Roman" w:hAnsi="Times New Roman" w:cs="Times New Roman"/>
          <w:sz w:val="24"/>
          <w:szCs w:val="24"/>
        </w:rPr>
        <w:t xml:space="preserve"> as they start to get involves in different </w:t>
      </w:r>
      <w:r w:rsidR="005D64E8">
        <w:rPr>
          <w:rFonts w:ascii="Times New Roman" w:hAnsi="Times New Roman" w:cs="Times New Roman"/>
          <w:sz w:val="24"/>
          <w:szCs w:val="24"/>
        </w:rPr>
        <w:t>relationships, belief, past experiences and values, these add up to make the individual develop a subjective sense of self (Berzonsky, 2012). Therefore all these attribute of the individuals will sum up to create a continuous self-image for the individual that will strengthen over time as self- sameness, uniqueness and psychosocial development (Arnold, 2017).  It is very imperative that children once getting to the age of adolescence will have a sense of role confusion that is mostly attributed to being unsure of their of who they are or where they fit into the society, sometimes drifting from one relationship to another or changing jobs and getting confuse about their existence in the world. (</w:t>
      </w:r>
      <w:r w:rsidR="00AB7B0E">
        <w:rPr>
          <w:rFonts w:ascii="Times New Roman" w:hAnsi="Times New Roman" w:cs="Times New Roman"/>
          <w:sz w:val="24"/>
          <w:szCs w:val="24"/>
        </w:rPr>
        <w:t xml:space="preserve">Allen et al. 2016). </w:t>
      </w:r>
    </w:p>
    <w:p w14:paraId="549300F1" w14:textId="77777777" w:rsidR="0051031C" w:rsidRDefault="0051031C" w:rsidP="00F27832">
      <w:pPr>
        <w:rPr>
          <w:rFonts w:ascii="Times New Roman" w:hAnsi="Times New Roman" w:cs="Times New Roman"/>
          <w:b/>
          <w:sz w:val="24"/>
          <w:szCs w:val="24"/>
        </w:rPr>
      </w:pPr>
      <w:r>
        <w:rPr>
          <w:rFonts w:ascii="Times New Roman" w:hAnsi="Times New Roman" w:cs="Times New Roman"/>
          <w:b/>
          <w:sz w:val="24"/>
          <w:szCs w:val="24"/>
        </w:rPr>
        <w:t xml:space="preserve">PSYCHOSEXUAL STAGES OF FREUD’S THEORIES OF DEVELOPMENT </w:t>
      </w:r>
    </w:p>
    <w:p w14:paraId="2697FDC3" w14:textId="77777777" w:rsidR="0051031C" w:rsidRDefault="00AB7B0E" w:rsidP="00AB7B0E">
      <w:pPr>
        <w:spacing w:line="360" w:lineRule="auto"/>
        <w:rPr>
          <w:rFonts w:ascii="Times New Roman" w:hAnsi="Times New Roman" w:cs="Times New Roman"/>
          <w:sz w:val="24"/>
          <w:szCs w:val="24"/>
        </w:rPr>
      </w:pPr>
      <w:r>
        <w:rPr>
          <w:rFonts w:ascii="Times New Roman" w:hAnsi="Times New Roman" w:cs="Times New Roman"/>
          <w:sz w:val="24"/>
          <w:szCs w:val="24"/>
        </w:rPr>
        <w:t xml:space="preserve">Freud theory of psychosexual stages in adolescence is seen in the form of genital stage where a change occurs and the puberty starts setting in the system (Chapman and Goldberg (2011). At this stage it becomes very imperative that individuals will start to experience sexually relationships and having a resolution of settling down in their twenties (DoH, 2012). The sexual instinct during their period is directed in the form of heterosexual orientation, </w:t>
      </w:r>
      <w:r w:rsidR="000B0838">
        <w:rPr>
          <w:rFonts w:ascii="Times New Roman" w:hAnsi="Times New Roman" w:cs="Times New Roman"/>
          <w:sz w:val="24"/>
          <w:szCs w:val="24"/>
        </w:rPr>
        <w:t xml:space="preserve">which different to the later stage of phallic that will focus on self-satisfaction (Benson and Elder, 2013). </w:t>
      </w:r>
      <w:r w:rsidR="006C4065">
        <w:rPr>
          <w:rFonts w:ascii="Times New Roman" w:hAnsi="Times New Roman" w:cs="Times New Roman"/>
          <w:sz w:val="24"/>
          <w:szCs w:val="24"/>
        </w:rPr>
        <w:t xml:space="preserve">It is observed that the erogenous area of the individuals as they older in age become very sensitive to be stimulated and is guided as they move to the next stage of their life (DoH, 2012). It becomes very imperative that a satisfied individual at each stage of the psychosexual development will be able to socialise among their peers whereas on the hand a frustrated individuals at any stage will become depressed and anxiety will set in that may persist into the adulthood (Berg et al. 2015). </w:t>
      </w:r>
      <w:r w:rsidR="000B083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FEEDE02" w14:textId="77777777" w:rsidR="006C4065" w:rsidRPr="00AB7B0E" w:rsidRDefault="006C4065" w:rsidP="00AB7B0E">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some criticism of the theory illustrate the fact that most of the assumptions are backed up scientifically making it a mere observation, mostly in the phallic stage of the development stage (Arnett, 2009). </w:t>
      </w:r>
      <w:r w:rsidR="009466FA">
        <w:rPr>
          <w:rFonts w:ascii="Times New Roman" w:hAnsi="Times New Roman" w:cs="Times New Roman"/>
          <w:sz w:val="24"/>
          <w:szCs w:val="24"/>
        </w:rPr>
        <w:t xml:space="preserve">The theory is seen as being sexist in it approach to dealing with the sexual development of the individual, such as trying to integrate the female libido to the psychosexual development because the female become envious of the male penis (Bratko et al. 2006). </w:t>
      </w:r>
    </w:p>
    <w:p w14:paraId="79C7C718" w14:textId="77777777" w:rsidR="0051031C" w:rsidRDefault="0051031C" w:rsidP="00F27832">
      <w:pPr>
        <w:rPr>
          <w:rFonts w:ascii="Times New Roman" w:hAnsi="Times New Roman" w:cs="Times New Roman"/>
          <w:b/>
          <w:sz w:val="24"/>
          <w:szCs w:val="24"/>
        </w:rPr>
      </w:pPr>
    </w:p>
    <w:p w14:paraId="002DD1CB" w14:textId="77777777" w:rsidR="002F1F16" w:rsidRDefault="002F1F16" w:rsidP="00F27832">
      <w:pPr>
        <w:rPr>
          <w:rFonts w:ascii="Times New Roman" w:hAnsi="Times New Roman" w:cs="Times New Roman"/>
          <w:b/>
          <w:sz w:val="24"/>
          <w:szCs w:val="24"/>
        </w:rPr>
      </w:pPr>
    </w:p>
    <w:p w14:paraId="78D605C6" w14:textId="77777777" w:rsidR="00F27832" w:rsidRPr="008A45E5" w:rsidRDefault="00F27832" w:rsidP="00F27832">
      <w:pPr>
        <w:rPr>
          <w:rFonts w:ascii="Times New Roman" w:hAnsi="Times New Roman" w:cs="Times New Roman"/>
          <w:b/>
          <w:sz w:val="24"/>
          <w:szCs w:val="24"/>
        </w:rPr>
      </w:pPr>
      <w:r w:rsidRPr="008A45E5">
        <w:rPr>
          <w:rFonts w:ascii="Times New Roman" w:hAnsi="Times New Roman" w:cs="Times New Roman"/>
          <w:b/>
          <w:sz w:val="24"/>
          <w:szCs w:val="24"/>
        </w:rPr>
        <w:lastRenderedPageBreak/>
        <w:t xml:space="preserve">Reference </w:t>
      </w:r>
    </w:p>
    <w:p w14:paraId="45A88381" w14:textId="77777777" w:rsidR="00F27832" w:rsidRPr="008A45E5"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Allen, J. P., Hauser, S. T., O’Connor, T. G., Bell, K. L., &amp; Eickholt, C. (2016). The connection of observed hostile family conflict to adolescents’ developing autonomy and relatedness with parents. Development and Psychopathology, 8, 425–442.</w:t>
      </w:r>
    </w:p>
    <w:p w14:paraId="6CC9B66A" w14:textId="77777777" w:rsidR="00F27832" w:rsidRPr="008A45E5" w:rsidRDefault="002F1F16" w:rsidP="00F27832">
      <w:pPr>
        <w:rPr>
          <w:rFonts w:ascii="Times New Roman" w:hAnsi="Times New Roman" w:cs="Times New Roman"/>
          <w:sz w:val="24"/>
          <w:szCs w:val="24"/>
        </w:rPr>
      </w:pPr>
      <w:r>
        <w:rPr>
          <w:rFonts w:ascii="Times New Roman" w:hAnsi="Times New Roman" w:cs="Times New Roman"/>
          <w:sz w:val="24"/>
          <w:szCs w:val="24"/>
        </w:rPr>
        <w:t>Arnett, J.</w:t>
      </w:r>
      <w:r w:rsidR="00F27832" w:rsidRPr="008A45E5">
        <w:rPr>
          <w:rFonts w:ascii="Times New Roman" w:hAnsi="Times New Roman" w:cs="Times New Roman"/>
          <w:sz w:val="24"/>
          <w:szCs w:val="24"/>
        </w:rPr>
        <w:t xml:space="preserve"> (2009). Adolescent storm and stress, reconsidered. American Psychologist, 54, 317–326.</w:t>
      </w:r>
    </w:p>
    <w:p w14:paraId="1167F673" w14:textId="77777777" w:rsidR="00F27832" w:rsidRDefault="002F1F16" w:rsidP="00F27832">
      <w:pPr>
        <w:rPr>
          <w:rFonts w:ascii="Times New Roman" w:hAnsi="Times New Roman" w:cs="Times New Roman"/>
          <w:sz w:val="24"/>
          <w:szCs w:val="24"/>
        </w:rPr>
      </w:pPr>
      <w:r>
        <w:rPr>
          <w:rFonts w:ascii="Times New Roman" w:hAnsi="Times New Roman" w:cs="Times New Roman"/>
          <w:sz w:val="24"/>
          <w:szCs w:val="24"/>
        </w:rPr>
        <w:t>Arnold, S.</w:t>
      </w:r>
      <w:r w:rsidR="00F27832" w:rsidRPr="008A45E5">
        <w:rPr>
          <w:rFonts w:ascii="Times New Roman" w:hAnsi="Times New Roman" w:cs="Times New Roman"/>
          <w:sz w:val="24"/>
          <w:szCs w:val="24"/>
        </w:rPr>
        <w:t xml:space="preserve"> (2009). Neurodevelopmental abnormalities in schizophrenia: Insights from neuropathology. Development and Psychopathology, 11,439–456</w:t>
      </w:r>
    </w:p>
    <w:p w14:paraId="5C6649A8" w14:textId="77777777" w:rsidR="002F1F16" w:rsidRPr="002F1F16" w:rsidRDefault="002F1F16" w:rsidP="002F1F16">
      <w:pPr>
        <w:rPr>
          <w:rFonts w:ascii="Times New Roman" w:hAnsi="Times New Roman" w:cs="Times New Roman"/>
          <w:sz w:val="24"/>
          <w:szCs w:val="24"/>
        </w:rPr>
      </w:pPr>
      <w:r>
        <w:rPr>
          <w:rFonts w:ascii="Times New Roman" w:hAnsi="Times New Roman" w:cs="Times New Roman"/>
          <w:sz w:val="24"/>
          <w:szCs w:val="24"/>
        </w:rPr>
        <w:t>Arnold, M</w:t>
      </w:r>
      <w:r w:rsidRPr="002F1F16">
        <w:rPr>
          <w:rFonts w:ascii="Times New Roman" w:hAnsi="Times New Roman" w:cs="Times New Roman"/>
          <w:sz w:val="24"/>
          <w:szCs w:val="24"/>
        </w:rPr>
        <w:t>. (2017). Supporting adolescent exploration and commitment: Identity formation, thriving, and positive youth development. </w:t>
      </w:r>
      <w:r w:rsidRPr="002F1F16">
        <w:rPr>
          <w:rFonts w:ascii="Times New Roman" w:hAnsi="Times New Roman" w:cs="Times New Roman"/>
          <w:i/>
          <w:iCs/>
          <w:sz w:val="24"/>
          <w:szCs w:val="24"/>
        </w:rPr>
        <w:t>Journal of Youth Development, 12</w:t>
      </w:r>
      <w:r w:rsidRPr="002F1F16">
        <w:rPr>
          <w:rFonts w:ascii="Times New Roman" w:hAnsi="Times New Roman" w:cs="Times New Roman"/>
          <w:sz w:val="24"/>
          <w:szCs w:val="24"/>
        </w:rPr>
        <w:t>(4), 1–15.  </w:t>
      </w:r>
      <w:hyperlink r:id="rId8" w:tgtFrame="_blank" w:history="1">
        <w:r w:rsidRPr="002F1F16">
          <w:rPr>
            <w:rStyle w:val="Hyperlink"/>
            <w:rFonts w:ascii="Times New Roman" w:hAnsi="Times New Roman" w:cs="Times New Roman"/>
            <w:sz w:val="24"/>
            <w:szCs w:val="24"/>
          </w:rPr>
          <w:t>https://doi.org/10.5195/jyd.2017.522</w:t>
        </w:r>
      </w:hyperlink>
      <w:r w:rsidRPr="002F1F16">
        <w:rPr>
          <w:rFonts w:ascii="Times New Roman" w:hAnsi="Times New Roman" w:cs="Times New Roman"/>
          <w:sz w:val="24"/>
          <w:szCs w:val="24"/>
        </w:rPr>
        <w:t>.</w:t>
      </w:r>
      <w:hyperlink r:id="rId9" w:tgtFrame="_blank" w:history="1">
        <w:r w:rsidRPr="002F1F16">
          <w:rPr>
            <w:rStyle w:val="Hyperlink"/>
            <w:rFonts w:ascii="Times New Roman" w:hAnsi="Times New Roman" w:cs="Times New Roman"/>
            <w:sz w:val="24"/>
            <w:szCs w:val="24"/>
          </w:rPr>
          <w:t>CrossRef</w:t>
        </w:r>
      </w:hyperlink>
      <w:hyperlink r:id="rId10" w:tgtFrame="_blank" w:history="1">
        <w:r w:rsidRPr="002F1F16">
          <w:rPr>
            <w:rStyle w:val="Hyperlink"/>
            <w:rFonts w:ascii="Times New Roman" w:hAnsi="Times New Roman" w:cs="Times New Roman"/>
            <w:sz w:val="24"/>
            <w:szCs w:val="24"/>
          </w:rPr>
          <w:t>Google Scholar</w:t>
        </w:r>
      </w:hyperlink>
    </w:p>
    <w:p w14:paraId="5B248E7E" w14:textId="77777777" w:rsidR="00F27832"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Banyard, L. and Banyard, P. (2015). Essential Psychology. 2nd ed. 2015. Print.</w:t>
      </w:r>
    </w:p>
    <w:p w14:paraId="247B5729" w14:textId="77777777" w:rsidR="002F1F16" w:rsidRDefault="000B0838" w:rsidP="002F1F16">
      <w:pPr>
        <w:rPr>
          <w:rFonts w:ascii="Times New Roman" w:hAnsi="Times New Roman" w:cs="Times New Roman"/>
          <w:sz w:val="24"/>
          <w:szCs w:val="24"/>
        </w:rPr>
      </w:pPr>
      <w:r>
        <w:rPr>
          <w:rFonts w:ascii="Times New Roman" w:hAnsi="Times New Roman" w:cs="Times New Roman"/>
          <w:sz w:val="24"/>
          <w:szCs w:val="24"/>
        </w:rPr>
        <w:t>Benson, J. and Elder, G.</w:t>
      </w:r>
      <w:r w:rsidR="002F1F16" w:rsidRPr="002F1F16">
        <w:rPr>
          <w:rFonts w:ascii="Times New Roman" w:hAnsi="Times New Roman" w:cs="Times New Roman"/>
          <w:sz w:val="24"/>
          <w:szCs w:val="24"/>
        </w:rPr>
        <w:t xml:space="preserve"> (2013). Young adult identies and their pathways: A developmental and life course model. </w:t>
      </w:r>
      <w:r w:rsidR="002F1F16" w:rsidRPr="002F1F16">
        <w:rPr>
          <w:rFonts w:ascii="Times New Roman" w:hAnsi="Times New Roman" w:cs="Times New Roman"/>
          <w:i/>
          <w:iCs/>
          <w:sz w:val="24"/>
          <w:szCs w:val="24"/>
        </w:rPr>
        <w:t>Developmental Psychology, 47</w:t>
      </w:r>
      <w:r w:rsidR="002F1F16" w:rsidRPr="002F1F16">
        <w:rPr>
          <w:rFonts w:ascii="Times New Roman" w:hAnsi="Times New Roman" w:cs="Times New Roman"/>
          <w:sz w:val="24"/>
          <w:szCs w:val="24"/>
        </w:rPr>
        <w:t>(6), 1646–1657.  </w:t>
      </w:r>
      <w:hyperlink r:id="rId11" w:tgtFrame="_blank" w:history="1">
        <w:r w:rsidR="002F1F16" w:rsidRPr="002F1F16">
          <w:rPr>
            <w:rStyle w:val="Hyperlink"/>
            <w:rFonts w:ascii="Times New Roman" w:hAnsi="Times New Roman" w:cs="Times New Roman"/>
            <w:sz w:val="24"/>
            <w:szCs w:val="24"/>
          </w:rPr>
          <w:t>https://doi.org/10.1037/a0023833</w:t>
        </w:r>
      </w:hyperlink>
      <w:r w:rsidR="002F1F16" w:rsidRPr="002F1F16">
        <w:rPr>
          <w:rFonts w:ascii="Times New Roman" w:hAnsi="Times New Roman" w:cs="Times New Roman"/>
          <w:sz w:val="24"/>
          <w:szCs w:val="24"/>
        </w:rPr>
        <w:t>.</w:t>
      </w:r>
      <w:hyperlink r:id="rId12" w:tgtFrame="_blank" w:history="1">
        <w:r w:rsidR="002F1F16" w:rsidRPr="002F1F16">
          <w:rPr>
            <w:rStyle w:val="Hyperlink"/>
            <w:rFonts w:ascii="Times New Roman" w:hAnsi="Times New Roman" w:cs="Times New Roman"/>
            <w:sz w:val="24"/>
            <w:szCs w:val="24"/>
          </w:rPr>
          <w:t>CrossRef</w:t>
        </w:r>
      </w:hyperlink>
      <w:hyperlink r:id="rId13" w:tgtFrame="_blank" w:history="1">
        <w:r w:rsidR="002F1F16" w:rsidRPr="002F1F16">
          <w:rPr>
            <w:rStyle w:val="Hyperlink"/>
            <w:rFonts w:ascii="Times New Roman" w:hAnsi="Times New Roman" w:cs="Times New Roman"/>
            <w:sz w:val="24"/>
            <w:szCs w:val="24"/>
          </w:rPr>
          <w:t>Google Scholar</w:t>
        </w:r>
      </w:hyperlink>
    </w:p>
    <w:p w14:paraId="2ACB7C23" w14:textId="77777777" w:rsidR="002F1F16" w:rsidRPr="002F1F16" w:rsidRDefault="005D64E8" w:rsidP="002F1F16">
      <w:pPr>
        <w:rPr>
          <w:rFonts w:ascii="Times New Roman" w:hAnsi="Times New Roman" w:cs="Times New Roman"/>
          <w:sz w:val="24"/>
          <w:szCs w:val="24"/>
        </w:rPr>
      </w:pPr>
      <w:r>
        <w:rPr>
          <w:rFonts w:ascii="Times New Roman" w:hAnsi="Times New Roman" w:cs="Times New Roman"/>
          <w:sz w:val="24"/>
          <w:szCs w:val="24"/>
        </w:rPr>
        <w:t>Berzonsky, M. (201</w:t>
      </w:r>
      <w:r w:rsidR="002F1F16" w:rsidRPr="002F1F16">
        <w:rPr>
          <w:rFonts w:ascii="Times New Roman" w:hAnsi="Times New Roman" w:cs="Times New Roman"/>
          <w:sz w:val="24"/>
          <w:szCs w:val="24"/>
        </w:rPr>
        <w:t>2). A process perspective on identity and stress management. In G. R. Adams, T. P. Gullotta, &amp; R. Montemayor (Eds.), Adolescent identity formation (Advances in adolescent development) (pp. 193–215). Newbury Park: Sage.Google Scholar</w:t>
      </w:r>
    </w:p>
    <w:p w14:paraId="5B66260D" w14:textId="77777777" w:rsidR="002F1F16" w:rsidRPr="002F1F16" w:rsidRDefault="006C4065" w:rsidP="002F1F16">
      <w:pPr>
        <w:rPr>
          <w:rFonts w:ascii="Times New Roman" w:hAnsi="Times New Roman" w:cs="Times New Roman"/>
          <w:sz w:val="24"/>
          <w:szCs w:val="24"/>
        </w:rPr>
      </w:pPr>
      <w:r>
        <w:rPr>
          <w:rFonts w:ascii="Times New Roman" w:hAnsi="Times New Roman" w:cs="Times New Roman"/>
          <w:sz w:val="24"/>
          <w:szCs w:val="24"/>
        </w:rPr>
        <w:t>Berg, J., Latzman, R., Bliwise, N., and Lilienfeld, S.</w:t>
      </w:r>
      <w:r w:rsidR="002F1F16" w:rsidRPr="002F1F16">
        <w:rPr>
          <w:rFonts w:ascii="Times New Roman" w:hAnsi="Times New Roman" w:cs="Times New Roman"/>
          <w:sz w:val="24"/>
          <w:szCs w:val="24"/>
        </w:rPr>
        <w:t xml:space="preserve"> (2015). Parsing the heterogeneity of impulsivity: A meta-analytic review of the behavioral implications of the UPPS for psychopathology. Psychological Assessment, 27(4), 1129–1146.  https://doi.org/10.1037/pas0000111.CrossRefPubMedPubMedCentralGoogle Scholar</w:t>
      </w:r>
    </w:p>
    <w:p w14:paraId="78CEAAAB"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Branje, S. J., Van Lieshout, C. F., &amp; Gerris, J. R. (2007). Big five personality development in adolescence and adulthood. European Journal of Personality, 21(1), 45–62.CrossRefGoogle Scholar</w:t>
      </w:r>
    </w:p>
    <w:p w14:paraId="2B765C2E"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Bratko, D., Chamorro-Premuzic, T., &amp; Saks, Z. (2006). Personality and school performance: Incremental validity of self- and peer-ratings over intelligence. Personality and Individual Differences, 41(1), 131–142.  https://doi.org/10.1016/j.paid.2005.12.015.CrossRefGoogle Scholar</w:t>
      </w:r>
    </w:p>
    <w:p w14:paraId="76BB2680" w14:textId="77777777" w:rsidR="002F1F16" w:rsidRPr="008A45E5" w:rsidRDefault="00AB7B0E" w:rsidP="002F1F16">
      <w:pPr>
        <w:rPr>
          <w:rFonts w:ascii="Times New Roman" w:hAnsi="Times New Roman" w:cs="Times New Roman"/>
          <w:sz w:val="24"/>
          <w:szCs w:val="24"/>
        </w:rPr>
      </w:pPr>
      <w:r>
        <w:rPr>
          <w:rFonts w:ascii="Times New Roman" w:hAnsi="Times New Roman" w:cs="Times New Roman"/>
          <w:sz w:val="24"/>
          <w:szCs w:val="24"/>
        </w:rPr>
        <w:t>Chapman, B. and Goldberg, L.</w:t>
      </w:r>
      <w:r w:rsidR="002F1F16" w:rsidRPr="002F1F16">
        <w:rPr>
          <w:rFonts w:ascii="Times New Roman" w:hAnsi="Times New Roman" w:cs="Times New Roman"/>
          <w:sz w:val="24"/>
          <w:szCs w:val="24"/>
        </w:rPr>
        <w:t xml:space="preserve"> (2011). Replicability and 40-year predictive power of childhood ARC types. Journal of Personality and Social Psychology, 101(3), 593–606.  https://doi.org/10.1037/a0024289.CrossRefPubMedCentralPubMedGoogle Scholar</w:t>
      </w:r>
    </w:p>
    <w:p w14:paraId="04C0FBE2" w14:textId="77777777" w:rsidR="00F27832" w:rsidRPr="008A45E5"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Cicchetti, D. (2014). The emergence of developmental psychopathology.Child Development, 55, 1–7</w:t>
      </w:r>
    </w:p>
    <w:p w14:paraId="7A8BB87B" w14:textId="77777777" w:rsidR="002F1F16" w:rsidRDefault="00F27832" w:rsidP="002F1F16">
      <w:pPr>
        <w:rPr>
          <w:rFonts w:ascii="Times New Roman" w:hAnsi="Times New Roman" w:cs="Times New Roman"/>
          <w:sz w:val="24"/>
          <w:szCs w:val="24"/>
        </w:rPr>
      </w:pPr>
      <w:r w:rsidRPr="008A45E5">
        <w:rPr>
          <w:rFonts w:ascii="Times New Roman" w:hAnsi="Times New Roman" w:cs="Times New Roman"/>
          <w:sz w:val="24"/>
          <w:szCs w:val="24"/>
        </w:rPr>
        <w:lastRenderedPageBreak/>
        <w:t>Cicchetti, D. (2000). An historical perspective on the discipline of developmental psychopathology. In J. Rolf, A. Masten, D. Cicchetti, K.Nuechterlein, &amp; S. Weintraub (Eds.), Risk and protective factors in the development of psychopathology (pp. 2–28). New York: Cambridge University Press</w:t>
      </w:r>
    </w:p>
    <w:p w14:paraId="5D314D67"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Costa, P. T., Terracciano, A., &amp; McCrae, R. R. (2001). Gender differences in personality traits across cultures: Robust and surprising findings. Journal of Personality and Social Psychology, 81(2), 322–331.  https://doi.org/10.1037/0022-3514.81.2.322.CrossRefGoogle Scholar</w:t>
      </w:r>
    </w:p>
    <w:p w14:paraId="47735909"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Donnellan, M. B., &amp; Robins, R. W. (2010). Resilient, overcontrolled, and undercontrolled personality types: Issues and controversies. Social and Personality Psychology Compass, 4(11), 1070–1083.  https://doi.org/10.1111/j.1751-9004.2010.00313.x.CrossRefGoogle Scholar</w:t>
      </w:r>
    </w:p>
    <w:p w14:paraId="2F2B8856" w14:textId="77777777" w:rsidR="002F1F16" w:rsidRPr="008A45E5"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Duff, A., Boyle, E., Dunleavy, K., &amp; Ferguson, J. (2004). The relationship between personality, approach to learning and academic performance. Personality and Individual Differences, 36(8), 1907–1920.  https://doi.org/10.1016/j.paid.2003.08.020.CrossRefGoogle Scholar</w:t>
      </w:r>
    </w:p>
    <w:p w14:paraId="341A0B75" w14:textId="77777777" w:rsidR="00F27832"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DHSC and DfE Transforming children and young people’s mental health (2017).</w:t>
      </w:r>
    </w:p>
    <w:p w14:paraId="66365487" w14:textId="77777777" w:rsid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Erikson, E. H. (1968). Identity, youth, and crisis. New York: Norton.Google Scholar</w:t>
      </w:r>
    </w:p>
    <w:p w14:paraId="4D55B4C1"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Ernst, M., Daniele, T., &amp; Frantz, K. (2011). New perspectives on adolescent motivated behavior: Attention and conditioning. Developmental Cognitive Neuroscience, 1(4), 377–389.  https://doi.org/10.1016/j.dcn.2011.07.013.CrossRefPubMedCentralPubMedGoogle Scholar</w:t>
      </w:r>
    </w:p>
    <w:p w14:paraId="6C0437A9" w14:textId="77777777" w:rsidR="002F1F16" w:rsidRPr="008A45E5"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Graziano, W. G., &amp; Ward, D. (1992). Probing the Big Five in adolescence: Personality and adjustment during a developmental transition. Journal of Personality, 60(2), 425–439.CrossRefGoogle Scholar</w:t>
      </w:r>
    </w:p>
    <w:p w14:paraId="78D84FA5" w14:textId="77777777" w:rsidR="00F27832" w:rsidRPr="008A45E5"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Griggs, R. A. (2014) Psychology: A Concise Introduction (3rd) Oxford: Worth Publishers</w:t>
      </w:r>
    </w:p>
    <w:p w14:paraId="1D745385" w14:textId="77777777" w:rsidR="00F27832"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Gross, R. (2005) Psychology: The Science of the Mind and Behaviour. (5th Edition), London: Hodder Arnold.</w:t>
      </w:r>
    </w:p>
    <w:p w14:paraId="12B4E26C"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Hill, P. L., &amp; Edmonds, G. W. (2017). Personality development in adolescence. In </w:t>
      </w:r>
      <w:r w:rsidRPr="002F1F16">
        <w:rPr>
          <w:rFonts w:ascii="Times New Roman" w:hAnsi="Times New Roman" w:cs="Times New Roman"/>
          <w:i/>
          <w:iCs/>
          <w:sz w:val="24"/>
          <w:szCs w:val="24"/>
        </w:rPr>
        <w:t>Personality development across the lifespan</w:t>
      </w:r>
      <w:r w:rsidRPr="002F1F16">
        <w:rPr>
          <w:rFonts w:ascii="Times New Roman" w:hAnsi="Times New Roman" w:cs="Times New Roman"/>
          <w:sz w:val="24"/>
          <w:szCs w:val="24"/>
        </w:rPr>
        <w:t> (pp. 25–38). London: Academic.  </w:t>
      </w:r>
      <w:hyperlink r:id="rId14" w:tgtFrame="_blank" w:history="1">
        <w:r w:rsidRPr="002F1F16">
          <w:rPr>
            <w:rStyle w:val="Hyperlink"/>
            <w:rFonts w:ascii="Times New Roman" w:hAnsi="Times New Roman" w:cs="Times New Roman"/>
            <w:sz w:val="24"/>
            <w:szCs w:val="24"/>
          </w:rPr>
          <w:t>https://doi.org/10.1016/B978-0-12-804674-6.00003-X</w:t>
        </w:r>
      </w:hyperlink>
      <w:r w:rsidRPr="002F1F16">
        <w:rPr>
          <w:rFonts w:ascii="Times New Roman" w:hAnsi="Times New Roman" w:cs="Times New Roman"/>
          <w:sz w:val="24"/>
          <w:szCs w:val="24"/>
        </w:rPr>
        <w:t>.</w:t>
      </w:r>
      <w:hyperlink r:id="rId15" w:tgtFrame="_blank" w:history="1">
        <w:r w:rsidRPr="002F1F16">
          <w:rPr>
            <w:rStyle w:val="Hyperlink"/>
            <w:rFonts w:ascii="Times New Roman" w:hAnsi="Times New Roman" w:cs="Times New Roman"/>
            <w:sz w:val="24"/>
            <w:szCs w:val="24"/>
          </w:rPr>
          <w:t>CrossRef</w:t>
        </w:r>
      </w:hyperlink>
      <w:hyperlink r:id="rId16" w:tgtFrame="_blank" w:history="1">
        <w:r w:rsidRPr="002F1F16">
          <w:rPr>
            <w:rStyle w:val="Hyperlink"/>
            <w:rFonts w:ascii="Times New Roman" w:hAnsi="Times New Roman" w:cs="Times New Roman"/>
            <w:sz w:val="24"/>
            <w:szCs w:val="24"/>
          </w:rPr>
          <w:t>Google Scholar</w:t>
        </w:r>
      </w:hyperlink>
    </w:p>
    <w:p w14:paraId="405EF930"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Hill, P. L., &amp; Lapsley, D. K. (2011). Adaptive and maladaptive narcissism in adolescent development. In C. T. Barry, P. K. Kerig, K. K. Stellwagen, &amp; T. D. Barry (Eds.), </w:t>
      </w:r>
      <w:r w:rsidRPr="002F1F16">
        <w:rPr>
          <w:rFonts w:ascii="Times New Roman" w:hAnsi="Times New Roman" w:cs="Times New Roman"/>
          <w:i/>
          <w:iCs/>
          <w:sz w:val="24"/>
          <w:szCs w:val="24"/>
        </w:rPr>
        <w:t>Narcissism and Machiavellianism in youth: Implications for the development of adaptive and maladaptive behavior</w:t>
      </w:r>
      <w:r w:rsidRPr="002F1F16">
        <w:rPr>
          <w:rFonts w:ascii="Times New Roman" w:hAnsi="Times New Roman" w:cs="Times New Roman"/>
          <w:sz w:val="24"/>
          <w:szCs w:val="24"/>
        </w:rPr>
        <w:t> (pp. 89–105). Washington, DC: American Psychological Association.</w:t>
      </w:r>
      <w:hyperlink r:id="rId17" w:tgtFrame="_blank" w:history="1">
        <w:r w:rsidRPr="002F1F16">
          <w:rPr>
            <w:rStyle w:val="Hyperlink"/>
            <w:rFonts w:ascii="Times New Roman" w:hAnsi="Times New Roman" w:cs="Times New Roman"/>
            <w:sz w:val="24"/>
            <w:szCs w:val="24"/>
          </w:rPr>
          <w:t>CrossRef</w:t>
        </w:r>
      </w:hyperlink>
      <w:hyperlink r:id="rId18" w:tgtFrame="_blank" w:history="1">
        <w:r w:rsidRPr="002F1F16">
          <w:rPr>
            <w:rStyle w:val="Hyperlink"/>
            <w:rFonts w:ascii="Times New Roman" w:hAnsi="Times New Roman" w:cs="Times New Roman"/>
            <w:sz w:val="24"/>
            <w:szCs w:val="24"/>
          </w:rPr>
          <w:t>Google Scholar</w:t>
        </w:r>
      </w:hyperlink>
    </w:p>
    <w:p w14:paraId="168A89DF"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lastRenderedPageBreak/>
        <w:t>Hill, P. L., Duggan, P. M., &amp; Lapsley, D. K. (2012). Subjective invulnerability, risk behavior, and adjustment in early adolescence. </w:t>
      </w:r>
      <w:r w:rsidRPr="002F1F16">
        <w:rPr>
          <w:rFonts w:ascii="Times New Roman" w:hAnsi="Times New Roman" w:cs="Times New Roman"/>
          <w:i/>
          <w:iCs/>
          <w:sz w:val="24"/>
          <w:szCs w:val="24"/>
        </w:rPr>
        <w:t>The Journal of Early Adolescence, 32</w:t>
      </w:r>
      <w:r w:rsidRPr="002F1F16">
        <w:rPr>
          <w:rFonts w:ascii="Times New Roman" w:hAnsi="Times New Roman" w:cs="Times New Roman"/>
          <w:sz w:val="24"/>
          <w:szCs w:val="24"/>
        </w:rPr>
        <w:t>(4), 489–501.</w:t>
      </w:r>
      <w:hyperlink r:id="rId19" w:tgtFrame="_blank" w:history="1">
        <w:r w:rsidRPr="002F1F16">
          <w:rPr>
            <w:rStyle w:val="Hyperlink"/>
            <w:rFonts w:ascii="Times New Roman" w:hAnsi="Times New Roman" w:cs="Times New Roman"/>
            <w:sz w:val="24"/>
            <w:szCs w:val="24"/>
          </w:rPr>
          <w:t>CrossRef</w:t>
        </w:r>
      </w:hyperlink>
      <w:hyperlink r:id="rId20" w:tgtFrame="_blank" w:history="1">
        <w:r w:rsidRPr="002F1F16">
          <w:rPr>
            <w:rStyle w:val="Hyperlink"/>
            <w:rFonts w:ascii="Times New Roman" w:hAnsi="Times New Roman" w:cs="Times New Roman"/>
            <w:sz w:val="24"/>
            <w:szCs w:val="24"/>
          </w:rPr>
          <w:t>Google Scholar</w:t>
        </w:r>
      </w:hyperlink>
    </w:p>
    <w:p w14:paraId="5BD7E4E9"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Hudson, N. W., &amp; Roberts, B. W. (2016). Social investment in work reliably predicts change in conscientiousness and agreeableness: A direct replication and extension of Hudson, Roberts, and Lodi-Smith (2012). </w:t>
      </w:r>
      <w:r w:rsidRPr="002F1F16">
        <w:rPr>
          <w:rFonts w:ascii="Times New Roman" w:hAnsi="Times New Roman" w:cs="Times New Roman"/>
          <w:i/>
          <w:iCs/>
          <w:sz w:val="24"/>
          <w:szCs w:val="24"/>
        </w:rPr>
        <w:t>Journal of Research in Personality, 60</w:t>
      </w:r>
      <w:r w:rsidRPr="002F1F16">
        <w:rPr>
          <w:rFonts w:ascii="Times New Roman" w:hAnsi="Times New Roman" w:cs="Times New Roman"/>
          <w:sz w:val="24"/>
          <w:szCs w:val="24"/>
        </w:rPr>
        <w:t>(1), 12–23.</w:t>
      </w:r>
      <w:hyperlink r:id="rId21" w:tgtFrame="_blank" w:history="1">
        <w:r w:rsidRPr="002F1F16">
          <w:rPr>
            <w:rStyle w:val="Hyperlink"/>
            <w:rFonts w:ascii="Times New Roman" w:hAnsi="Times New Roman" w:cs="Times New Roman"/>
            <w:sz w:val="24"/>
            <w:szCs w:val="24"/>
          </w:rPr>
          <w:t>CrossRef</w:t>
        </w:r>
      </w:hyperlink>
      <w:hyperlink r:id="rId22" w:tgtFrame="_blank" w:history="1">
        <w:r w:rsidRPr="002F1F16">
          <w:rPr>
            <w:rStyle w:val="Hyperlink"/>
            <w:rFonts w:ascii="Times New Roman" w:hAnsi="Times New Roman" w:cs="Times New Roman"/>
            <w:sz w:val="24"/>
            <w:szCs w:val="24"/>
          </w:rPr>
          <w:t>Google Scholar</w:t>
        </w:r>
      </w:hyperlink>
    </w:p>
    <w:p w14:paraId="0475A1A1" w14:textId="77777777" w:rsidR="002F1F16" w:rsidRDefault="002F1F16" w:rsidP="00F27832">
      <w:pPr>
        <w:rPr>
          <w:rFonts w:ascii="Times New Roman" w:hAnsi="Times New Roman" w:cs="Times New Roman"/>
          <w:sz w:val="24"/>
          <w:szCs w:val="24"/>
        </w:rPr>
      </w:pPr>
      <w:r w:rsidRPr="002F1F16">
        <w:rPr>
          <w:rFonts w:ascii="Times New Roman" w:hAnsi="Times New Roman" w:cs="Times New Roman"/>
          <w:sz w:val="24"/>
          <w:szCs w:val="24"/>
        </w:rPr>
        <w:t>Jackson, J. J., Wood, D., Bogg, T., Walton, K. E., Harms, P. D., &amp; Roberts, B. W. (2010). What do conscientious people do? Development and validation of the Behavioral Indicators of Conscientiousness (BIC). </w:t>
      </w:r>
      <w:r w:rsidRPr="002F1F16">
        <w:rPr>
          <w:rFonts w:ascii="Times New Roman" w:hAnsi="Times New Roman" w:cs="Times New Roman"/>
          <w:i/>
          <w:iCs/>
          <w:sz w:val="24"/>
          <w:szCs w:val="24"/>
        </w:rPr>
        <w:t>Journal of Research in Personality, 44</w:t>
      </w:r>
      <w:r w:rsidRPr="002F1F16">
        <w:rPr>
          <w:rFonts w:ascii="Times New Roman" w:hAnsi="Times New Roman" w:cs="Times New Roman"/>
          <w:sz w:val="24"/>
          <w:szCs w:val="24"/>
        </w:rPr>
        <w:t>(4), 501–511.</w:t>
      </w:r>
      <w:hyperlink r:id="rId23" w:tgtFrame="_blank" w:history="1">
        <w:r w:rsidRPr="002F1F16">
          <w:rPr>
            <w:rStyle w:val="Hyperlink"/>
            <w:rFonts w:ascii="Times New Roman" w:hAnsi="Times New Roman" w:cs="Times New Roman"/>
            <w:sz w:val="24"/>
            <w:szCs w:val="24"/>
          </w:rPr>
          <w:t>PubMedCentral</w:t>
        </w:r>
      </w:hyperlink>
      <w:hyperlink r:id="rId24" w:tgtFrame="_blank" w:history="1">
        <w:r w:rsidRPr="002F1F16">
          <w:rPr>
            <w:rStyle w:val="Hyperlink"/>
            <w:rFonts w:ascii="Times New Roman" w:hAnsi="Times New Roman" w:cs="Times New Roman"/>
            <w:sz w:val="24"/>
            <w:szCs w:val="24"/>
          </w:rPr>
          <w:t>CrossRef</w:t>
        </w:r>
      </w:hyperlink>
      <w:hyperlink r:id="rId25" w:tgtFrame="_blank" w:history="1">
        <w:r w:rsidRPr="002F1F16">
          <w:rPr>
            <w:rStyle w:val="Hyperlink"/>
            <w:rFonts w:ascii="Times New Roman" w:hAnsi="Times New Roman" w:cs="Times New Roman"/>
            <w:sz w:val="24"/>
            <w:szCs w:val="24"/>
          </w:rPr>
          <w:t>PubMed</w:t>
        </w:r>
      </w:hyperlink>
      <w:hyperlink r:id="rId26" w:tgtFrame="_blank" w:history="1">
        <w:r w:rsidRPr="002F1F16">
          <w:rPr>
            <w:rStyle w:val="Hyperlink"/>
            <w:rFonts w:ascii="Times New Roman" w:hAnsi="Times New Roman" w:cs="Times New Roman"/>
            <w:sz w:val="24"/>
            <w:szCs w:val="24"/>
          </w:rPr>
          <w:t>Google Scholar</w:t>
        </w:r>
      </w:hyperlink>
    </w:p>
    <w:p w14:paraId="2FC64EF1" w14:textId="77777777" w:rsidR="002F1F16" w:rsidRPr="008A45E5" w:rsidRDefault="002F1F16" w:rsidP="00F27832">
      <w:pPr>
        <w:rPr>
          <w:rFonts w:ascii="Times New Roman" w:hAnsi="Times New Roman" w:cs="Times New Roman"/>
          <w:sz w:val="24"/>
          <w:szCs w:val="24"/>
        </w:rPr>
      </w:pPr>
      <w:r w:rsidRPr="002F1F16">
        <w:rPr>
          <w:rFonts w:ascii="Times New Roman" w:hAnsi="Times New Roman" w:cs="Times New Roman"/>
          <w:sz w:val="24"/>
          <w:szCs w:val="24"/>
        </w:rPr>
        <w:t>John, O. P., Robins, R. W., &amp; Pervin, L. A. (2008). Handbook of personality: Theory and research (3rd ed.). New York: The Guilford Press.Google Scholar</w:t>
      </w:r>
    </w:p>
    <w:p w14:paraId="65CF48E4" w14:textId="77777777" w:rsidR="00F27832" w:rsidRDefault="00F27832" w:rsidP="00F27832">
      <w:pPr>
        <w:rPr>
          <w:rFonts w:ascii="Times New Roman" w:hAnsi="Times New Roman" w:cs="Times New Roman"/>
          <w:sz w:val="24"/>
          <w:szCs w:val="24"/>
        </w:rPr>
      </w:pPr>
      <w:r w:rsidRPr="008A45E5">
        <w:rPr>
          <w:rFonts w:ascii="Times New Roman" w:hAnsi="Times New Roman" w:cs="Times New Roman"/>
          <w:sz w:val="24"/>
          <w:szCs w:val="24"/>
        </w:rPr>
        <w:t>Newcomb, M. and Bentler, P. (2008).  Impact of adolescent drug use and social support on problems of young adults: a longitudinal study, J Abnorm Psychol. 97(1): p. 64 to 75.</w:t>
      </w:r>
    </w:p>
    <w:p w14:paraId="5C2C4EC2"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Keller, T. E., Cusick, G. R., &amp; Courtney, M. E. (2007). Approaching the transition to adulthood: Distinctive profiles of adolescents aging out of the child welfare system. Social Service Review, 81(3), 453–484.  https://doi.org/10.1086/519536.CrossRefGoogle Scholar</w:t>
      </w:r>
    </w:p>
    <w:p w14:paraId="2AD652F4" w14:textId="77777777" w:rsid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Klimstra, T. A., Hale, W. W., Raaijmakers, Q. A., Branje, S. J., &amp; Meeus, W. H. (2010). A developmental typology of adolescent personality. European Journal of Personality, 24(4), 309–323.Google Scholar</w:t>
      </w:r>
    </w:p>
    <w:p w14:paraId="7B391262"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Laidra, K., Pullmann, H., &amp; Allik, J. (2007). Personality and intelligence as predictors of academic achievement: A cross-sectional study from elementary to secondary school. Personality and Individual Differences, 42(3), 441–451.  https://doi.org/10.1016/j.paid.2006.08.001.CrossRefGoogle Scholar</w:t>
      </w:r>
    </w:p>
    <w:p w14:paraId="57833F33"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Lau, K. S. L., Marsee, M., Kunimatsu, M. M., &amp; Fassnacht, G. M. (2011). Examining associations between narcissism, behavior problems, and anxiety in non-referred adolescents. Child and Youth Care Forum, 40(3), 163–176.  https://doi.org/10.1007/s10566-010-9135-1.CrossRefGoogle Scholar</w:t>
      </w:r>
    </w:p>
    <w:p w14:paraId="611C5C45"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Lounsbury, J. W., Tatum, H., Gibson, L. W., Park, S., Sundstrom, E. D., Hamrick, F. L., &amp; Wilburn, D. (2003). The development of a big five adolescent personality inventory. Journal of Psychoeducational Assessment, 21(2), 111–133.  https://doi.org/10.1177/073428290302100201.CrossRefGoogle Scholar</w:t>
      </w:r>
    </w:p>
    <w:p w14:paraId="180CAD9E"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Marcia, J. E. (1993). The ego identity status approach to ego identity. In Ego identity. New York: Springer.CrossRefGoogle Scholar</w:t>
      </w:r>
    </w:p>
    <w:p w14:paraId="396D451D"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 xml:space="preserve">McCrae, R. R., Costa, P. T., Jr., Ostendorf, F., Angleitner, A., Hrebickova, M., Avia, M. D., Sanz, J., Sánchez-Bernardos, M. L., Kusdil, M. E., Woodfield, R., Saunders, P. R., &amp; Smith, </w:t>
      </w:r>
      <w:r w:rsidRPr="002F1F16">
        <w:rPr>
          <w:rFonts w:ascii="Times New Roman" w:hAnsi="Times New Roman" w:cs="Times New Roman"/>
          <w:sz w:val="24"/>
          <w:szCs w:val="24"/>
        </w:rPr>
        <w:lastRenderedPageBreak/>
        <w:t>P. B. (2000). Nature over nurture: Temperament, personality, and life span development. Journal of Personality and Social Psychology, 78(1), 173–186.  https://doi.org/10.1037/0022-3514.78.1.173.CrossRefPubMedPubMedCentralGoogle Scholar</w:t>
      </w:r>
    </w:p>
    <w:p w14:paraId="300144A6" w14:textId="77777777" w:rsid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Nakkula, M. J., &amp; Toshalis, E. (2006). Understanding youth: Adolescent development for educators. Cambridge, MA: Harvard Education Press.Google Scholar</w:t>
      </w:r>
    </w:p>
    <w:p w14:paraId="3BB36959"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Oshio, A., Taku, K., Hirano, M., &amp; Saeed, G. (2018). Resilience and big five personality traits: A meta-analysis. </w:t>
      </w:r>
      <w:r w:rsidRPr="002F1F16">
        <w:rPr>
          <w:rFonts w:ascii="Times New Roman" w:hAnsi="Times New Roman" w:cs="Times New Roman"/>
          <w:i/>
          <w:iCs/>
          <w:sz w:val="24"/>
          <w:szCs w:val="24"/>
        </w:rPr>
        <w:t>Personality and Individual Differences, 127</w:t>
      </w:r>
      <w:r w:rsidRPr="002F1F16">
        <w:rPr>
          <w:rFonts w:ascii="Times New Roman" w:hAnsi="Times New Roman" w:cs="Times New Roman"/>
          <w:sz w:val="24"/>
          <w:szCs w:val="24"/>
        </w:rPr>
        <w:t>, 54–60.  </w:t>
      </w:r>
      <w:hyperlink r:id="rId27" w:tgtFrame="_blank" w:history="1">
        <w:r w:rsidRPr="002F1F16">
          <w:rPr>
            <w:rStyle w:val="Hyperlink"/>
            <w:rFonts w:ascii="Times New Roman" w:hAnsi="Times New Roman" w:cs="Times New Roman"/>
            <w:sz w:val="24"/>
            <w:szCs w:val="24"/>
          </w:rPr>
          <w:t>https://doi.org/10.1016/j.paid.2018.01.048</w:t>
        </w:r>
      </w:hyperlink>
      <w:r w:rsidRPr="002F1F16">
        <w:rPr>
          <w:rFonts w:ascii="Times New Roman" w:hAnsi="Times New Roman" w:cs="Times New Roman"/>
          <w:sz w:val="24"/>
          <w:szCs w:val="24"/>
        </w:rPr>
        <w:t>.</w:t>
      </w:r>
      <w:hyperlink r:id="rId28" w:tgtFrame="_blank" w:history="1">
        <w:r w:rsidRPr="002F1F16">
          <w:rPr>
            <w:rStyle w:val="Hyperlink"/>
            <w:rFonts w:ascii="Times New Roman" w:hAnsi="Times New Roman" w:cs="Times New Roman"/>
            <w:sz w:val="24"/>
            <w:szCs w:val="24"/>
          </w:rPr>
          <w:t>CrossRef</w:t>
        </w:r>
      </w:hyperlink>
      <w:hyperlink r:id="rId29" w:tgtFrame="_blank" w:history="1">
        <w:r w:rsidRPr="002F1F16">
          <w:rPr>
            <w:rStyle w:val="Hyperlink"/>
            <w:rFonts w:ascii="Times New Roman" w:hAnsi="Times New Roman" w:cs="Times New Roman"/>
            <w:sz w:val="24"/>
            <w:szCs w:val="24"/>
          </w:rPr>
          <w:t>Google Scholar</w:t>
        </w:r>
      </w:hyperlink>
    </w:p>
    <w:p w14:paraId="6CDD5B63"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Peterson, S. J. (2017). </w:t>
      </w:r>
      <w:r w:rsidRPr="002F1F16">
        <w:rPr>
          <w:rFonts w:ascii="Times New Roman" w:hAnsi="Times New Roman" w:cs="Times New Roman"/>
          <w:i/>
          <w:iCs/>
          <w:sz w:val="24"/>
          <w:szCs w:val="24"/>
        </w:rPr>
        <w:t>Personality and learning predictors of adolescent alcohol consumption trajectories</w:t>
      </w:r>
      <w:r w:rsidRPr="002F1F16">
        <w:rPr>
          <w:rFonts w:ascii="Times New Roman" w:hAnsi="Times New Roman" w:cs="Times New Roman"/>
          <w:sz w:val="24"/>
          <w:szCs w:val="24"/>
        </w:rPr>
        <w:t>. Unpublished Masters thesis. University of Kentucky, Lexington.</w:t>
      </w:r>
      <w:r w:rsidRPr="002F1F16">
        <w:rPr>
          <w:rStyle w:val="Hyperlink"/>
          <w:rFonts w:ascii="Times New Roman" w:hAnsi="Times New Roman" w:cs="Times New Roman"/>
          <w:sz w:val="24"/>
          <w:szCs w:val="24"/>
        </w:rPr>
        <w:t>Google Scholar</w:t>
      </w:r>
    </w:p>
    <w:p w14:paraId="0307DFED"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Priess, H. A., Lindberg, S. M., &amp; Hyde, J. S. (2014). Adolescent gender-role identity and mental health; gender intensification revisited. </w:t>
      </w:r>
      <w:r w:rsidRPr="002F1F16">
        <w:rPr>
          <w:rFonts w:ascii="Times New Roman" w:hAnsi="Times New Roman" w:cs="Times New Roman"/>
          <w:i/>
          <w:iCs/>
          <w:sz w:val="24"/>
          <w:szCs w:val="24"/>
        </w:rPr>
        <w:t>Child Development, 80</w:t>
      </w:r>
      <w:r w:rsidRPr="002F1F16">
        <w:rPr>
          <w:rFonts w:ascii="Times New Roman" w:hAnsi="Times New Roman" w:cs="Times New Roman"/>
          <w:sz w:val="24"/>
          <w:szCs w:val="24"/>
        </w:rPr>
        <w:t>(5), 1531–1544.  </w:t>
      </w:r>
      <w:hyperlink r:id="rId30" w:tgtFrame="_blank" w:history="1">
        <w:r w:rsidRPr="002F1F16">
          <w:rPr>
            <w:rStyle w:val="Hyperlink"/>
            <w:rFonts w:ascii="Times New Roman" w:hAnsi="Times New Roman" w:cs="Times New Roman"/>
            <w:sz w:val="24"/>
            <w:szCs w:val="24"/>
          </w:rPr>
          <w:t>https://doi.org/10.1111/j.1467-8624.2009.01349.x</w:t>
        </w:r>
      </w:hyperlink>
      <w:r w:rsidRPr="002F1F16">
        <w:rPr>
          <w:rFonts w:ascii="Times New Roman" w:hAnsi="Times New Roman" w:cs="Times New Roman"/>
          <w:sz w:val="24"/>
          <w:szCs w:val="24"/>
        </w:rPr>
        <w:t>.</w:t>
      </w:r>
      <w:hyperlink r:id="rId31" w:tgtFrame="_blank" w:history="1">
        <w:r w:rsidRPr="002F1F16">
          <w:rPr>
            <w:rStyle w:val="Hyperlink"/>
            <w:rFonts w:ascii="Times New Roman" w:hAnsi="Times New Roman" w:cs="Times New Roman"/>
            <w:sz w:val="24"/>
            <w:szCs w:val="24"/>
          </w:rPr>
          <w:t>CrossRef</w:t>
        </w:r>
      </w:hyperlink>
      <w:hyperlink r:id="rId32" w:tgtFrame="_blank" w:history="1">
        <w:r w:rsidRPr="002F1F16">
          <w:rPr>
            <w:rStyle w:val="Hyperlink"/>
            <w:rFonts w:ascii="Times New Roman" w:hAnsi="Times New Roman" w:cs="Times New Roman"/>
            <w:sz w:val="24"/>
            <w:szCs w:val="24"/>
          </w:rPr>
          <w:t>Google Scholar</w:t>
        </w:r>
      </w:hyperlink>
    </w:p>
    <w:p w14:paraId="60263D6B" w14:textId="77777777" w:rsid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Pullmann, H., Raudsepp, L., &amp; Allik, J. (2006). Stability and change in adolescents’ personality: A longitudinal study. </w:t>
      </w:r>
      <w:r w:rsidRPr="002F1F16">
        <w:rPr>
          <w:rFonts w:ascii="Times New Roman" w:hAnsi="Times New Roman" w:cs="Times New Roman"/>
          <w:i/>
          <w:iCs/>
          <w:sz w:val="24"/>
          <w:szCs w:val="24"/>
        </w:rPr>
        <w:t>European Journal of Personality, 20</w:t>
      </w:r>
      <w:r w:rsidRPr="002F1F16">
        <w:rPr>
          <w:rFonts w:ascii="Times New Roman" w:hAnsi="Times New Roman" w:cs="Times New Roman"/>
          <w:sz w:val="24"/>
          <w:szCs w:val="24"/>
        </w:rPr>
        <w:t>(6), 447–459.  </w:t>
      </w:r>
      <w:hyperlink r:id="rId33" w:tgtFrame="_blank" w:history="1">
        <w:r w:rsidRPr="002F1F16">
          <w:rPr>
            <w:rStyle w:val="Hyperlink"/>
            <w:rFonts w:ascii="Times New Roman" w:hAnsi="Times New Roman" w:cs="Times New Roman"/>
            <w:sz w:val="24"/>
            <w:szCs w:val="24"/>
          </w:rPr>
          <w:t>https://doi.org/10.1002/per.611</w:t>
        </w:r>
      </w:hyperlink>
      <w:r w:rsidRPr="002F1F16">
        <w:rPr>
          <w:rFonts w:ascii="Times New Roman" w:hAnsi="Times New Roman" w:cs="Times New Roman"/>
          <w:sz w:val="24"/>
          <w:szCs w:val="24"/>
        </w:rPr>
        <w:t>.</w:t>
      </w:r>
      <w:hyperlink r:id="rId34" w:tgtFrame="_blank" w:history="1">
        <w:r w:rsidRPr="002F1F16">
          <w:rPr>
            <w:rStyle w:val="Hyperlink"/>
            <w:rFonts w:ascii="Times New Roman" w:hAnsi="Times New Roman" w:cs="Times New Roman"/>
            <w:sz w:val="24"/>
            <w:szCs w:val="24"/>
          </w:rPr>
          <w:t>CrossRef</w:t>
        </w:r>
      </w:hyperlink>
      <w:hyperlink r:id="rId35" w:tgtFrame="_blank" w:history="1">
        <w:r w:rsidRPr="002F1F16">
          <w:rPr>
            <w:rStyle w:val="Hyperlink"/>
            <w:rFonts w:ascii="Times New Roman" w:hAnsi="Times New Roman" w:cs="Times New Roman"/>
            <w:sz w:val="24"/>
            <w:szCs w:val="24"/>
          </w:rPr>
          <w:t>Google Scholar</w:t>
        </w:r>
      </w:hyperlink>
    </w:p>
    <w:p w14:paraId="360F262A"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Psychology-Beginner's Guides (2008). Neil Martin Publisher One world Publications Print Pub Date (2008-08-07)</w:t>
      </w:r>
    </w:p>
    <w:p w14:paraId="7E37E023"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Roberts, B. W., Walton, K. E., &amp; Viechtbauer, W. (2006). Patterns of mean-level change in personality traits across the life course: A meta-analysis of longitudinal studies. </w:t>
      </w:r>
      <w:r w:rsidRPr="002F1F16">
        <w:rPr>
          <w:rFonts w:ascii="Times New Roman" w:hAnsi="Times New Roman" w:cs="Times New Roman"/>
          <w:i/>
          <w:iCs/>
          <w:sz w:val="24"/>
          <w:szCs w:val="24"/>
        </w:rPr>
        <w:t>Psychological Bulletin, 132</w:t>
      </w:r>
      <w:r w:rsidRPr="002F1F16">
        <w:rPr>
          <w:rFonts w:ascii="Times New Roman" w:hAnsi="Times New Roman" w:cs="Times New Roman"/>
          <w:sz w:val="24"/>
          <w:szCs w:val="24"/>
        </w:rPr>
        <w:t>(1), 1–25.</w:t>
      </w:r>
      <w:hyperlink r:id="rId36" w:tgtFrame="_blank" w:history="1">
        <w:r w:rsidRPr="002F1F16">
          <w:rPr>
            <w:rStyle w:val="Hyperlink"/>
            <w:rFonts w:ascii="Times New Roman" w:hAnsi="Times New Roman" w:cs="Times New Roman"/>
            <w:sz w:val="24"/>
            <w:szCs w:val="24"/>
          </w:rPr>
          <w:t>CrossRef</w:t>
        </w:r>
      </w:hyperlink>
      <w:hyperlink r:id="rId37" w:tgtFrame="_blank" w:history="1">
        <w:r w:rsidRPr="002F1F16">
          <w:rPr>
            <w:rStyle w:val="Hyperlink"/>
            <w:rFonts w:ascii="Times New Roman" w:hAnsi="Times New Roman" w:cs="Times New Roman"/>
            <w:sz w:val="24"/>
            <w:szCs w:val="24"/>
          </w:rPr>
          <w:t>Google Scholar</w:t>
        </w:r>
      </w:hyperlink>
    </w:p>
    <w:p w14:paraId="409E9879"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Roccas, S., Sagiv, L., Schwartz, S. H., &amp; Knafo, A. (2002). The big five personality factors and personal values. </w:t>
      </w:r>
      <w:r w:rsidRPr="002F1F16">
        <w:rPr>
          <w:rFonts w:ascii="Times New Roman" w:hAnsi="Times New Roman" w:cs="Times New Roman"/>
          <w:i/>
          <w:iCs/>
          <w:sz w:val="24"/>
          <w:szCs w:val="24"/>
        </w:rPr>
        <w:t>Personality and Social Psychology, 28</w:t>
      </w:r>
      <w:r w:rsidRPr="002F1F16">
        <w:rPr>
          <w:rFonts w:ascii="Times New Roman" w:hAnsi="Times New Roman" w:cs="Times New Roman"/>
          <w:sz w:val="24"/>
          <w:szCs w:val="24"/>
        </w:rPr>
        <w:t>(6), 789–801.  </w:t>
      </w:r>
      <w:hyperlink r:id="rId38" w:tgtFrame="_blank" w:history="1">
        <w:r w:rsidRPr="002F1F16">
          <w:rPr>
            <w:rStyle w:val="Hyperlink"/>
            <w:rFonts w:ascii="Times New Roman" w:hAnsi="Times New Roman" w:cs="Times New Roman"/>
            <w:sz w:val="24"/>
            <w:szCs w:val="24"/>
          </w:rPr>
          <w:t>https://doi.org/10.1177/0146167202289008</w:t>
        </w:r>
      </w:hyperlink>
      <w:r w:rsidRPr="002F1F16">
        <w:rPr>
          <w:rFonts w:ascii="Times New Roman" w:hAnsi="Times New Roman" w:cs="Times New Roman"/>
          <w:sz w:val="24"/>
          <w:szCs w:val="24"/>
        </w:rPr>
        <w:t>.</w:t>
      </w:r>
      <w:hyperlink r:id="rId39" w:tgtFrame="_blank" w:history="1">
        <w:r w:rsidRPr="002F1F16">
          <w:rPr>
            <w:rStyle w:val="Hyperlink"/>
            <w:rFonts w:ascii="Times New Roman" w:hAnsi="Times New Roman" w:cs="Times New Roman"/>
            <w:sz w:val="24"/>
            <w:szCs w:val="24"/>
          </w:rPr>
          <w:t>CrossRef</w:t>
        </w:r>
      </w:hyperlink>
      <w:hyperlink r:id="rId40" w:tgtFrame="_blank" w:history="1">
        <w:r w:rsidRPr="002F1F16">
          <w:rPr>
            <w:rStyle w:val="Hyperlink"/>
            <w:rFonts w:ascii="Times New Roman" w:hAnsi="Times New Roman" w:cs="Times New Roman"/>
            <w:sz w:val="24"/>
            <w:szCs w:val="24"/>
          </w:rPr>
          <w:t>Google Scholar</w:t>
        </w:r>
      </w:hyperlink>
    </w:p>
    <w:p w14:paraId="1F4C3A3E" w14:textId="77777777" w:rsid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Smith, G. T., &amp; Cyders, M. A. (2016). Integrating affect and impulsivity: The role of positive and negative urgency in substance use risk. </w:t>
      </w:r>
      <w:r w:rsidRPr="002F1F16">
        <w:rPr>
          <w:rFonts w:ascii="Times New Roman" w:hAnsi="Times New Roman" w:cs="Times New Roman"/>
          <w:i/>
          <w:iCs/>
          <w:sz w:val="24"/>
          <w:szCs w:val="24"/>
        </w:rPr>
        <w:t>Drug Alcohol Dependence, 163</w:t>
      </w:r>
      <w:r w:rsidRPr="002F1F16">
        <w:rPr>
          <w:rFonts w:ascii="Times New Roman" w:hAnsi="Times New Roman" w:cs="Times New Roman"/>
          <w:sz w:val="24"/>
          <w:szCs w:val="24"/>
        </w:rPr>
        <w:t>(Suppl 1), S3–S12.  </w:t>
      </w:r>
      <w:hyperlink r:id="rId41" w:tgtFrame="_blank" w:history="1">
        <w:r w:rsidRPr="002F1F16">
          <w:rPr>
            <w:rStyle w:val="Hyperlink"/>
            <w:rFonts w:ascii="Times New Roman" w:hAnsi="Times New Roman" w:cs="Times New Roman"/>
            <w:sz w:val="24"/>
            <w:szCs w:val="24"/>
          </w:rPr>
          <w:t>https://doi.org/10.1016/j.drugalcdep.2015.08.038</w:t>
        </w:r>
      </w:hyperlink>
      <w:r w:rsidRPr="002F1F16">
        <w:rPr>
          <w:rFonts w:ascii="Times New Roman" w:hAnsi="Times New Roman" w:cs="Times New Roman"/>
          <w:sz w:val="24"/>
          <w:szCs w:val="24"/>
        </w:rPr>
        <w:t>.</w:t>
      </w:r>
      <w:hyperlink r:id="rId42" w:tgtFrame="_blank" w:history="1">
        <w:r w:rsidRPr="002F1F16">
          <w:rPr>
            <w:rStyle w:val="Hyperlink"/>
            <w:rFonts w:ascii="Times New Roman" w:hAnsi="Times New Roman" w:cs="Times New Roman"/>
            <w:sz w:val="24"/>
            <w:szCs w:val="24"/>
          </w:rPr>
          <w:t>CrossRef</w:t>
        </w:r>
      </w:hyperlink>
      <w:hyperlink r:id="rId43" w:tgtFrame="_blank" w:history="1">
        <w:r w:rsidRPr="002F1F16">
          <w:rPr>
            <w:rStyle w:val="Hyperlink"/>
            <w:rFonts w:ascii="Times New Roman" w:hAnsi="Times New Roman" w:cs="Times New Roman"/>
            <w:sz w:val="24"/>
            <w:szCs w:val="24"/>
          </w:rPr>
          <w:t>Google Scholar</w:t>
        </w:r>
      </w:hyperlink>
    </w:p>
    <w:p w14:paraId="4A631FA9"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Smith, J. R. and Haslam, S. A. (2012) Social Psychology London: Sage Publications Ltd</w:t>
      </w:r>
    </w:p>
    <w:p w14:paraId="57C266A4"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Soto, C. J., &amp; Tackett, J. L. (2015). Personality traits in childhood and adolescence: Structure, development, and outcomes. </w:t>
      </w:r>
      <w:r w:rsidRPr="002F1F16">
        <w:rPr>
          <w:rFonts w:ascii="Times New Roman" w:hAnsi="Times New Roman" w:cs="Times New Roman"/>
          <w:i/>
          <w:iCs/>
          <w:sz w:val="24"/>
          <w:szCs w:val="24"/>
        </w:rPr>
        <w:t>Current Directions in Psychological Science, 24</w:t>
      </w:r>
      <w:r w:rsidRPr="002F1F16">
        <w:rPr>
          <w:rFonts w:ascii="Times New Roman" w:hAnsi="Times New Roman" w:cs="Times New Roman"/>
          <w:sz w:val="24"/>
          <w:szCs w:val="24"/>
        </w:rPr>
        <w:t>(5), 358–362.  </w:t>
      </w:r>
      <w:hyperlink r:id="rId44" w:tgtFrame="_blank" w:history="1">
        <w:r w:rsidRPr="002F1F16">
          <w:rPr>
            <w:rStyle w:val="Hyperlink"/>
            <w:rFonts w:ascii="Times New Roman" w:hAnsi="Times New Roman" w:cs="Times New Roman"/>
            <w:sz w:val="24"/>
            <w:szCs w:val="24"/>
          </w:rPr>
          <w:t>https://doi.org/10.1177/0963721415589345</w:t>
        </w:r>
      </w:hyperlink>
      <w:r w:rsidRPr="002F1F16">
        <w:rPr>
          <w:rFonts w:ascii="Times New Roman" w:hAnsi="Times New Roman" w:cs="Times New Roman"/>
          <w:sz w:val="24"/>
          <w:szCs w:val="24"/>
        </w:rPr>
        <w:t>.</w:t>
      </w:r>
      <w:hyperlink r:id="rId45" w:tgtFrame="_blank" w:history="1">
        <w:r w:rsidRPr="002F1F16">
          <w:rPr>
            <w:rStyle w:val="Hyperlink"/>
            <w:rFonts w:ascii="Times New Roman" w:hAnsi="Times New Roman" w:cs="Times New Roman"/>
            <w:sz w:val="24"/>
            <w:szCs w:val="24"/>
          </w:rPr>
          <w:t>CrossRef</w:t>
        </w:r>
      </w:hyperlink>
      <w:hyperlink r:id="rId46" w:tgtFrame="_blank" w:history="1">
        <w:r w:rsidRPr="002F1F16">
          <w:rPr>
            <w:rStyle w:val="Hyperlink"/>
            <w:rFonts w:ascii="Times New Roman" w:hAnsi="Times New Roman" w:cs="Times New Roman"/>
            <w:sz w:val="24"/>
            <w:szCs w:val="24"/>
          </w:rPr>
          <w:t>Google Scholar</w:t>
        </w:r>
      </w:hyperlink>
    </w:p>
    <w:p w14:paraId="57E89005"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Terracciano, A. (2015). Cross-cultural studies of personality development. In </w:t>
      </w:r>
      <w:r w:rsidRPr="002F1F16">
        <w:rPr>
          <w:rFonts w:ascii="Times New Roman" w:hAnsi="Times New Roman" w:cs="Times New Roman"/>
          <w:i/>
          <w:iCs/>
          <w:sz w:val="24"/>
          <w:szCs w:val="24"/>
        </w:rPr>
        <w:t>Encyclopedia of adulthood and aging</w:t>
      </w:r>
      <w:r w:rsidRPr="002F1F16">
        <w:rPr>
          <w:rFonts w:ascii="Times New Roman" w:hAnsi="Times New Roman" w:cs="Times New Roman"/>
          <w:sz w:val="24"/>
          <w:szCs w:val="24"/>
        </w:rPr>
        <w:t> (pp. 1–5).  </w:t>
      </w:r>
      <w:hyperlink r:id="rId47" w:tgtFrame="_blank" w:history="1">
        <w:r w:rsidRPr="002F1F16">
          <w:rPr>
            <w:rStyle w:val="Hyperlink"/>
            <w:rFonts w:ascii="Times New Roman" w:hAnsi="Times New Roman" w:cs="Times New Roman"/>
            <w:sz w:val="24"/>
            <w:szCs w:val="24"/>
          </w:rPr>
          <w:t>https://doi.org/10.1002/9781118521373.wbeaa093</w:t>
        </w:r>
      </w:hyperlink>
      <w:r w:rsidRPr="002F1F16">
        <w:rPr>
          <w:rFonts w:ascii="Times New Roman" w:hAnsi="Times New Roman" w:cs="Times New Roman"/>
          <w:sz w:val="24"/>
          <w:szCs w:val="24"/>
        </w:rPr>
        <w:t>.</w:t>
      </w:r>
    </w:p>
    <w:p w14:paraId="0FEA05FB"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Twenge, J. M., &amp; Campbell, W. K. (2009). </w:t>
      </w:r>
      <w:r w:rsidRPr="002F1F16">
        <w:rPr>
          <w:rFonts w:ascii="Times New Roman" w:hAnsi="Times New Roman" w:cs="Times New Roman"/>
          <w:i/>
          <w:iCs/>
          <w:sz w:val="24"/>
          <w:szCs w:val="24"/>
        </w:rPr>
        <w:t>The narcissism epidemic: Living in the age of entitlement</w:t>
      </w:r>
      <w:r w:rsidRPr="002F1F16">
        <w:rPr>
          <w:rFonts w:ascii="Times New Roman" w:hAnsi="Times New Roman" w:cs="Times New Roman"/>
          <w:sz w:val="24"/>
          <w:szCs w:val="24"/>
        </w:rPr>
        <w:t>. New York City: Atria Publishing Group.</w:t>
      </w:r>
      <w:hyperlink r:id="rId48" w:tgtFrame="_blank" w:history="1">
        <w:r w:rsidRPr="002F1F16">
          <w:rPr>
            <w:rStyle w:val="Hyperlink"/>
            <w:rFonts w:ascii="Times New Roman" w:hAnsi="Times New Roman" w:cs="Times New Roman"/>
            <w:sz w:val="24"/>
            <w:szCs w:val="24"/>
          </w:rPr>
          <w:t>Google Scholar</w:t>
        </w:r>
      </w:hyperlink>
    </w:p>
    <w:p w14:paraId="1FF432D2"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lastRenderedPageBreak/>
        <w:t>Van Aken, M. A., &amp; Semon-Dubas, J. (2004). Personality type, social relationships, and problem behavior in adolescence. </w:t>
      </w:r>
      <w:r w:rsidRPr="002F1F16">
        <w:rPr>
          <w:rFonts w:ascii="Times New Roman" w:hAnsi="Times New Roman" w:cs="Times New Roman"/>
          <w:i/>
          <w:iCs/>
          <w:sz w:val="24"/>
          <w:szCs w:val="24"/>
        </w:rPr>
        <w:t>European Journal of Developmental Psychology, 1</w:t>
      </w:r>
      <w:r w:rsidRPr="002F1F16">
        <w:rPr>
          <w:rFonts w:ascii="Times New Roman" w:hAnsi="Times New Roman" w:cs="Times New Roman"/>
          <w:sz w:val="24"/>
          <w:szCs w:val="24"/>
        </w:rPr>
        <w:t>(4), 331–348.</w:t>
      </w:r>
      <w:hyperlink r:id="rId49" w:tgtFrame="_blank" w:history="1">
        <w:r w:rsidRPr="002F1F16">
          <w:rPr>
            <w:rStyle w:val="Hyperlink"/>
            <w:rFonts w:ascii="Times New Roman" w:hAnsi="Times New Roman" w:cs="Times New Roman"/>
            <w:sz w:val="24"/>
            <w:szCs w:val="24"/>
          </w:rPr>
          <w:t>CrossRef</w:t>
        </w:r>
      </w:hyperlink>
      <w:hyperlink r:id="rId50" w:tgtFrame="_blank" w:history="1">
        <w:r w:rsidRPr="002F1F16">
          <w:rPr>
            <w:rStyle w:val="Hyperlink"/>
            <w:rFonts w:ascii="Times New Roman" w:hAnsi="Times New Roman" w:cs="Times New Roman"/>
            <w:sz w:val="24"/>
            <w:szCs w:val="24"/>
          </w:rPr>
          <w:t>Google Scholar</w:t>
        </w:r>
      </w:hyperlink>
    </w:p>
    <w:p w14:paraId="764E6473" w14:textId="77777777" w:rsidR="002F1F16" w:rsidRPr="002F1F16" w:rsidRDefault="002F1F16" w:rsidP="002F1F16">
      <w:pPr>
        <w:rPr>
          <w:rFonts w:ascii="Times New Roman" w:hAnsi="Times New Roman" w:cs="Times New Roman"/>
          <w:sz w:val="24"/>
          <w:szCs w:val="24"/>
        </w:rPr>
      </w:pPr>
      <w:r w:rsidRPr="002F1F16">
        <w:rPr>
          <w:rFonts w:ascii="Times New Roman" w:hAnsi="Times New Roman" w:cs="Times New Roman"/>
          <w:sz w:val="24"/>
          <w:szCs w:val="24"/>
        </w:rPr>
        <w:t>Weil, L. G., Fleming, S. M., Dumontheil, I., Kilford, E. J., Weil, R. S., Rees, G., Dolan, R. J., &amp; Blakemore, S. (2013). The development of metacognitive ability in adolescence. </w:t>
      </w:r>
      <w:r w:rsidRPr="002F1F16">
        <w:rPr>
          <w:rFonts w:ascii="Times New Roman" w:hAnsi="Times New Roman" w:cs="Times New Roman"/>
          <w:i/>
          <w:iCs/>
          <w:sz w:val="24"/>
          <w:szCs w:val="24"/>
        </w:rPr>
        <w:t>Consciousness and Cognition, 22</w:t>
      </w:r>
      <w:r w:rsidRPr="002F1F16">
        <w:rPr>
          <w:rFonts w:ascii="Times New Roman" w:hAnsi="Times New Roman" w:cs="Times New Roman"/>
          <w:sz w:val="24"/>
          <w:szCs w:val="24"/>
        </w:rPr>
        <w:t>(1), 264–271.  </w:t>
      </w:r>
      <w:hyperlink r:id="rId51" w:tgtFrame="_blank" w:history="1">
        <w:r w:rsidRPr="002F1F16">
          <w:rPr>
            <w:rStyle w:val="Hyperlink"/>
            <w:rFonts w:ascii="Times New Roman" w:hAnsi="Times New Roman" w:cs="Times New Roman"/>
            <w:sz w:val="24"/>
            <w:szCs w:val="24"/>
          </w:rPr>
          <w:t>https://doi.org/10.1016/j.concog.2013.01.004</w:t>
        </w:r>
      </w:hyperlink>
      <w:r w:rsidRPr="002F1F16">
        <w:rPr>
          <w:rFonts w:ascii="Times New Roman" w:hAnsi="Times New Roman" w:cs="Times New Roman"/>
          <w:sz w:val="24"/>
          <w:szCs w:val="24"/>
        </w:rPr>
        <w:t>.</w:t>
      </w:r>
      <w:hyperlink r:id="rId52" w:tgtFrame="_blank" w:history="1">
        <w:r w:rsidRPr="002F1F16">
          <w:rPr>
            <w:rStyle w:val="Hyperlink"/>
            <w:rFonts w:ascii="Times New Roman" w:hAnsi="Times New Roman" w:cs="Times New Roman"/>
            <w:sz w:val="24"/>
            <w:szCs w:val="24"/>
          </w:rPr>
          <w:t>CrossRef</w:t>
        </w:r>
      </w:hyperlink>
      <w:hyperlink r:id="rId53" w:tgtFrame="_blank" w:history="1">
        <w:r w:rsidRPr="002F1F16">
          <w:rPr>
            <w:rStyle w:val="Hyperlink"/>
            <w:rFonts w:ascii="Times New Roman" w:hAnsi="Times New Roman" w:cs="Times New Roman"/>
            <w:sz w:val="24"/>
            <w:szCs w:val="24"/>
          </w:rPr>
          <w:t>PubMedCentral</w:t>
        </w:r>
      </w:hyperlink>
      <w:hyperlink r:id="rId54" w:tgtFrame="_blank" w:history="1">
        <w:r w:rsidRPr="002F1F16">
          <w:rPr>
            <w:rStyle w:val="Hyperlink"/>
            <w:rFonts w:ascii="Times New Roman" w:hAnsi="Times New Roman" w:cs="Times New Roman"/>
            <w:sz w:val="24"/>
            <w:szCs w:val="24"/>
          </w:rPr>
          <w:t>PubMed</w:t>
        </w:r>
      </w:hyperlink>
      <w:hyperlink r:id="rId55" w:tgtFrame="_blank" w:history="1">
        <w:r w:rsidRPr="002F1F16">
          <w:rPr>
            <w:rStyle w:val="Hyperlink"/>
            <w:rFonts w:ascii="Times New Roman" w:hAnsi="Times New Roman" w:cs="Times New Roman"/>
            <w:sz w:val="24"/>
            <w:szCs w:val="24"/>
          </w:rPr>
          <w:t>Google Scholar</w:t>
        </w:r>
      </w:hyperlink>
    </w:p>
    <w:p w14:paraId="38707887" w14:textId="77777777" w:rsidR="00F27832" w:rsidRPr="008A45E5" w:rsidRDefault="00F27832" w:rsidP="00F27832">
      <w:pPr>
        <w:rPr>
          <w:rFonts w:ascii="Times New Roman" w:hAnsi="Times New Roman" w:cs="Times New Roman"/>
          <w:sz w:val="24"/>
          <w:szCs w:val="24"/>
        </w:rPr>
      </w:pPr>
    </w:p>
    <w:p w14:paraId="4DCCAA7C" w14:textId="77777777" w:rsidR="00F27832" w:rsidRPr="008A45E5" w:rsidRDefault="00F27832">
      <w:pPr>
        <w:rPr>
          <w:rFonts w:ascii="Times New Roman" w:hAnsi="Times New Roman" w:cs="Times New Roman"/>
          <w:b/>
          <w:sz w:val="24"/>
          <w:szCs w:val="24"/>
        </w:rPr>
      </w:pPr>
    </w:p>
    <w:sectPr w:rsidR="00F27832" w:rsidRPr="008A45E5" w:rsidSect="00FD0158">
      <w:headerReference w:type="default" r:id="rId5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2A1D3" w14:textId="77777777" w:rsidR="002B6056" w:rsidRDefault="002B6056" w:rsidP="00FD0158">
      <w:pPr>
        <w:spacing w:after="0" w:line="240" w:lineRule="auto"/>
      </w:pPr>
      <w:r>
        <w:separator/>
      </w:r>
    </w:p>
  </w:endnote>
  <w:endnote w:type="continuationSeparator" w:id="0">
    <w:p w14:paraId="0F3D2FCD" w14:textId="77777777" w:rsidR="002B6056" w:rsidRDefault="002B6056" w:rsidP="00FD0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9C8D4" w14:textId="77777777" w:rsidR="002B6056" w:rsidRDefault="002B6056" w:rsidP="00FD0158">
      <w:pPr>
        <w:spacing w:after="0" w:line="240" w:lineRule="auto"/>
      </w:pPr>
      <w:r>
        <w:separator/>
      </w:r>
    </w:p>
  </w:footnote>
  <w:footnote w:type="continuationSeparator" w:id="0">
    <w:p w14:paraId="448A1C8E" w14:textId="77777777" w:rsidR="002B6056" w:rsidRDefault="002B6056" w:rsidP="00FD0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pacing w:val="60"/>
      </w:rPr>
      <w:id w:val="-1760979365"/>
      <w:docPartObj>
        <w:docPartGallery w:val="Page Numbers (Top of Page)"/>
        <w:docPartUnique/>
      </w:docPartObj>
    </w:sdtPr>
    <w:sdtEndPr>
      <w:rPr>
        <w:b/>
        <w:bCs/>
        <w:noProof/>
        <w:color w:val="auto"/>
        <w:spacing w:val="0"/>
      </w:rPr>
    </w:sdtEndPr>
    <w:sdtContent>
      <w:p w14:paraId="449FEBE3" w14:textId="77777777" w:rsidR="00AB7B0E" w:rsidRDefault="00AB7B0E">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9466FA" w:rsidRPr="009466FA">
          <w:rPr>
            <w:b/>
            <w:bCs/>
            <w:noProof/>
          </w:rPr>
          <w:t>6</w:t>
        </w:r>
        <w:r>
          <w:rPr>
            <w:b/>
            <w:bCs/>
            <w:noProof/>
          </w:rPr>
          <w:fldChar w:fldCharType="end"/>
        </w:r>
      </w:p>
    </w:sdtContent>
  </w:sdt>
  <w:p w14:paraId="462942D9" w14:textId="77777777" w:rsidR="00AB7B0E" w:rsidRDefault="00AB7B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55802"/>
    <w:multiLevelType w:val="hybridMultilevel"/>
    <w:tmpl w:val="1A9E9F82"/>
    <w:lvl w:ilvl="0" w:tplc="C1CA0BAC">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6F1CF0"/>
    <w:multiLevelType w:val="multilevel"/>
    <w:tmpl w:val="C3120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158"/>
    <w:rsid w:val="00010307"/>
    <w:rsid w:val="000260A2"/>
    <w:rsid w:val="00053C49"/>
    <w:rsid w:val="00056BC8"/>
    <w:rsid w:val="0007113E"/>
    <w:rsid w:val="000B0838"/>
    <w:rsid w:val="000D13EE"/>
    <w:rsid w:val="000D4EDD"/>
    <w:rsid w:val="001053C7"/>
    <w:rsid w:val="001A40C9"/>
    <w:rsid w:val="00223987"/>
    <w:rsid w:val="0023023A"/>
    <w:rsid w:val="00254045"/>
    <w:rsid w:val="00261A4F"/>
    <w:rsid w:val="002B6056"/>
    <w:rsid w:val="002E3ABB"/>
    <w:rsid w:val="002F1F16"/>
    <w:rsid w:val="002F5235"/>
    <w:rsid w:val="003161AE"/>
    <w:rsid w:val="00373859"/>
    <w:rsid w:val="003B13E0"/>
    <w:rsid w:val="003C6BFD"/>
    <w:rsid w:val="004040B6"/>
    <w:rsid w:val="004C6221"/>
    <w:rsid w:val="004D5322"/>
    <w:rsid w:val="004E2310"/>
    <w:rsid w:val="004F4A4C"/>
    <w:rsid w:val="004F4E61"/>
    <w:rsid w:val="0051031C"/>
    <w:rsid w:val="00523E23"/>
    <w:rsid w:val="005416C9"/>
    <w:rsid w:val="0054417F"/>
    <w:rsid w:val="0057351E"/>
    <w:rsid w:val="005A7FAB"/>
    <w:rsid w:val="005B42DF"/>
    <w:rsid w:val="005C5C7E"/>
    <w:rsid w:val="005D64E8"/>
    <w:rsid w:val="00614EB3"/>
    <w:rsid w:val="00623703"/>
    <w:rsid w:val="00654DF5"/>
    <w:rsid w:val="006C4065"/>
    <w:rsid w:val="006E6B8B"/>
    <w:rsid w:val="00726EE1"/>
    <w:rsid w:val="00745410"/>
    <w:rsid w:val="00767C0C"/>
    <w:rsid w:val="008A45E5"/>
    <w:rsid w:val="00910590"/>
    <w:rsid w:val="009466FA"/>
    <w:rsid w:val="0099531F"/>
    <w:rsid w:val="009A48E9"/>
    <w:rsid w:val="009E31D4"/>
    <w:rsid w:val="00A431BF"/>
    <w:rsid w:val="00AA32FB"/>
    <w:rsid w:val="00AB7B0E"/>
    <w:rsid w:val="00AE71D7"/>
    <w:rsid w:val="00B32828"/>
    <w:rsid w:val="00B54244"/>
    <w:rsid w:val="00BA5F0B"/>
    <w:rsid w:val="00C00FE9"/>
    <w:rsid w:val="00C24759"/>
    <w:rsid w:val="00C63B38"/>
    <w:rsid w:val="00C640C2"/>
    <w:rsid w:val="00E07852"/>
    <w:rsid w:val="00E13641"/>
    <w:rsid w:val="00E14136"/>
    <w:rsid w:val="00F27832"/>
    <w:rsid w:val="00F772D8"/>
    <w:rsid w:val="00FC76E2"/>
    <w:rsid w:val="00FD0158"/>
    <w:rsid w:val="00FD1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7FEB0"/>
  <w15:docId w15:val="{138E0449-AA1C-4FA0-99BF-51E8F203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158"/>
  </w:style>
  <w:style w:type="paragraph" w:styleId="Footer">
    <w:name w:val="footer"/>
    <w:basedOn w:val="Normal"/>
    <w:link w:val="FooterChar"/>
    <w:uiPriority w:val="99"/>
    <w:unhideWhenUsed/>
    <w:rsid w:val="00FD0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158"/>
  </w:style>
  <w:style w:type="paragraph" w:styleId="BalloonText">
    <w:name w:val="Balloon Text"/>
    <w:basedOn w:val="Normal"/>
    <w:link w:val="BalloonTextChar"/>
    <w:uiPriority w:val="99"/>
    <w:semiHidden/>
    <w:unhideWhenUsed/>
    <w:rsid w:val="00F278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832"/>
    <w:rPr>
      <w:rFonts w:ascii="Tahoma" w:hAnsi="Tahoma" w:cs="Tahoma"/>
      <w:sz w:val="16"/>
      <w:szCs w:val="16"/>
    </w:rPr>
  </w:style>
  <w:style w:type="character" w:styleId="Hyperlink">
    <w:name w:val="Hyperlink"/>
    <w:basedOn w:val="DefaultParagraphFont"/>
    <w:uiPriority w:val="99"/>
    <w:unhideWhenUsed/>
    <w:rsid w:val="00FC76E2"/>
    <w:rPr>
      <w:color w:val="0000FF" w:themeColor="hyperlink"/>
      <w:u w:val="single"/>
    </w:rPr>
  </w:style>
  <w:style w:type="paragraph" w:styleId="ListParagraph">
    <w:name w:val="List Paragraph"/>
    <w:basedOn w:val="Normal"/>
    <w:uiPriority w:val="34"/>
    <w:qFormat/>
    <w:rsid w:val="000711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46069">
      <w:bodyDiv w:val="1"/>
      <w:marLeft w:val="0"/>
      <w:marRight w:val="0"/>
      <w:marTop w:val="0"/>
      <w:marBottom w:val="0"/>
      <w:divBdr>
        <w:top w:val="none" w:sz="0" w:space="0" w:color="auto"/>
        <w:left w:val="none" w:sz="0" w:space="0" w:color="auto"/>
        <w:bottom w:val="none" w:sz="0" w:space="0" w:color="auto"/>
        <w:right w:val="none" w:sz="0" w:space="0" w:color="auto"/>
      </w:divBdr>
    </w:div>
    <w:div w:id="1458766756">
      <w:bodyDiv w:val="1"/>
      <w:marLeft w:val="0"/>
      <w:marRight w:val="0"/>
      <w:marTop w:val="0"/>
      <w:marBottom w:val="0"/>
      <w:divBdr>
        <w:top w:val="none" w:sz="0" w:space="0" w:color="auto"/>
        <w:left w:val="none" w:sz="0" w:space="0" w:color="auto"/>
        <w:bottom w:val="none" w:sz="0" w:space="0" w:color="auto"/>
        <w:right w:val="none" w:sz="0" w:space="0" w:color="auto"/>
      </w:divBdr>
      <w:divsChild>
        <w:div w:id="517425872">
          <w:marLeft w:val="480"/>
          <w:marRight w:val="0"/>
          <w:marTop w:val="0"/>
          <w:marBottom w:val="0"/>
          <w:divBdr>
            <w:top w:val="none" w:sz="0" w:space="0" w:color="auto"/>
            <w:left w:val="none" w:sz="0" w:space="0" w:color="auto"/>
            <w:bottom w:val="none" w:sz="0" w:space="0" w:color="auto"/>
            <w:right w:val="none" w:sz="0" w:space="0" w:color="auto"/>
          </w:divBdr>
        </w:div>
        <w:div w:id="447234909">
          <w:marLeft w:val="480"/>
          <w:marRight w:val="0"/>
          <w:marTop w:val="0"/>
          <w:marBottom w:val="0"/>
          <w:divBdr>
            <w:top w:val="none" w:sz="0" w:space="0" w:color="auto"/>
            <w:left w:val="none" w:sz="0" w:space="0" w:color="auto"/>
            <w:bottom w:val="none" w:sz="0" w:space="0" w:color="auto"/>
            <w:right w:val="none" w:sz="0" w:space="0" w:color="auto"/>
          </w:divBdr>
        </w:div>
        <w:div w:id="1835414004">
          <w:marLeft w:val="480"/>
          <w:marRight w:val="0"/>
          <w:marTop w:val="0"/>
          <w:marBottom w:val="0"/>
          <w:divBdr>
            <w:top w:val="none" w:sz="0" w:space="0" w:color="auto"/>
            <w:left w:val="none" w:sz="0" w:space="0" w:color="auto"/>
            <w:bottom w:val="none" w:sz="0" w:space="0" w:color="auto"/>
            <w:right w:val="none" w:sz="0" w:space="0" w:color="auto"/>
          </w:divBdr>
        </w:div>
        <w:div w:id="2130391454">
          <w:marLeft w:val="480"/>
          <w:marRight w:val="0"/>
          <w:marTop w:val="0"/>
          <w:marBottom w:val="0"/>
          <w:divBdr>
            <w:top w:val="none" w:sz="0" w:space="0" w:color="auto"/>
            <w:left w:val="none" w:sz="0" w:space="0" w:color="auto"/>
            <w:bottom w:val="none" w:sz="0" w:space="0" w:color="auto"/>
            <w:right w:val="none" w:sz="0" w:space="0" w:color="auto"/>
          </w:divBdr>
        </w:div>
        <w:div w:id="326792181">
          <w:marLeft w:val="480"/>
          <w:marRight w:val="0"/>
          <w:marTop w:val="0"/>
          <w:marBottom w:val="0"/>
          <w:divBdr>
            <w:top w:val="none" w:sz="0" w:space="0" w:color="auto"/>
            <w:left w:val="none" w:sz="0" w:space="0" w:color="auto"/>
            <w:bottom w:val="none" w:sz="0" w:space="0" w:color="auto"/>
            <w:right w:val="none" w:sz="0" w:space="0" w:color="auto"/>
          </w:divBdr>
        </w:div>
        <w:div w:id="819031835">
          <w:marLeft w:val="480"/>
          <w:marRight w:val="0"/>
          <w:marTop w:val="0"/>
          <w:marBottom w:val="0"/>
          <w:divBdr>
            <w:top w:val="none" w:sz="0" w:space="0" w:color="auto"/>
            <w:left w:val="none" w:sz="0" w:space="0" w:color="auto"/>
            <w:bottom w:val="none" w:sz="0" w:space="0" w:color="auto"/>
            <w:right w:val="none" w:sz="0" w:space="0" w:color="auto"/>
          </w:divBdr>
        </w:div>
        <w:div w:id="262497852">
          <w:marLeft w:val="480"/>
          <w:marRight w:val="0"/>
          <w:marTop w:val="0"/>
          <w:marBottom w:val="0"/>
          <w:divBdr>
            <w:top w:val="none" w:sz="0" w:space="0" w:color="auto"/>
            <w:left w:val="none" w:sz="0" w:space="0" w:color="auto"/>
            <w:bottom w:val="none" w:sz="0" w:space="0" w:color="auto"/>
            <w:right w:val="none" w:sz="0" w:space="0" w:color="auto"/>
          </w:divBdr>
        </w:div>
        <w:div w:id="974338415">
          <w:marLeft w:val="480"/>
          <w:marRight w:val="0"/>
          <w:marTop w:val="0"/>
          <w:marBottom w:val="0"/>
          <w:divBdr>
            <w:top w:val="none" w:sz="0" w:space="0" w:color="auto"/>
            <w:left w:val="none" w:sz="0" w:space="0" w:color="auto"/>
            <w:bottom w:val="none" w:sz="0" w:space="0" w:color="auto"/>
            <w:right w:val="none" w:sz="0" w:space="0" w:color="auto"/>
          </w:divBdr>
        </w:div>
        <w:div w:id="1804806357">
          <w:marLeft w:val="480"/>
          <w:marRight w:val="0"/>
          <w:marTop w:val="0"/>
          <w:marBottom w:val="0"/>
          <w:divBdr>
            <w:top w:val="none" w:sz="0" w:space="0" w:color="auto"/>
            <w:left w:val="none" w:sz="0" w:space="0" w:color="auto"/>
            <w:bottom w:val="none" w:sz="0" w:space="0" w:color="auto"/>
            <w:right w:val="none" w:sz="0" w:space="0" w:color="auto"/>
          </w:divBdr>
        </w:div>
        <w:div w:id="2018848063">
          <w:marLeft w:val="480"/>
          <w:marRight w:val="0"/>
          <w:marTop w:val="0"/>
          <w:marBottom w:val="0"/>
          <w:divBdr>
            <w:top w:val="none" w:sz="0" w:space="0" w:color="auto"/>
            <w:left w:val="none" w:sz="0" w:space="0" w:color="auto"/>
            <w:bottom w:val="none" w:sz="0" w:space="0" w:color="auto"/>
            <w:right w:val="none" w:sz="0" w:space="0" w:color="auto"/>
          </w:divBdr>
        </w:div>
        <w:div w:id="1731807196">
          <w:marLeft w:val="480"/>
          <w:marRight w:val="0"/>
          <w:marTop w:val="0"/>
          <w:marBottom w:val="0"/>
          <w:divBdr>
            <w:top w:val="none" w:sz="0" w:space="0" w:color="auto"/>
            <w:left w:val="none" w:sz="0" w:space="0" w:color="auto"/>
            <w:bottom w:val="none" w:sz="0" w:space="0" w:color="auto"/>
            <w:right w:val="none" w:sz="0" w:space="0" w:color="auto"/>
          </w:divBdr>
        </w:div>
        <w:div w:id="1851024743">
          <w:marLeft w:val="480"/>
          <w:marRight w:val="0"/>
          <w:marTop w:val="0"/>
          <w:marBottom w:val="0"/>
          <w:divBdr>
            <w:top w:val="none" w:sz="0" w:space="0" w:color="auto"/>
            <w:left w:val="none" w:sz="0" w:space="0" w:color="auto"/>
            <w:bottom w:val="none" w:sz="0" w:space="0" w:color="auto"/>
            <w:right w:val="none" w:sz="0" w:space="0" w:color="auto"/>
          </w:divBdr>
        </w:div>
        <w:div w:id="893734990">
          <w:marLeft w:val="480"/>
          <w:marRight w:val="0"/>
          <w:marTop w:val="0"/>
          <w:marBottom w:val="0"/>
          <w:divBdr>
            <w:top w:val="none" w:sz="0" w:space="0" w:color="auto"/>
            <w:left w:val="none" w:sz="0" w:space="0" w:color="auto"/>
            <w:bottom w:val="none" w:sz="0" w:space="0" w:color="auto"/>
            <w:right w:val="none" w:sz="0" w:space="0" w:color="auto"/>
          </w:divBdr>
        </w:div>
        <w:div w:id="1503739341">
          <w:marLeft w:val="480"/>
          <w:marRight w:val="0"/>
          <w:marTop w:val="0"/>
          <w:marBottom w:val="0"/>
          <w:divBdr>
            <w:top w:val="none" w:sz="0" w:space="0" w:color="auto"/>
            <w:left w:val="none" w:sz="0" w:space="0" w:color="auto"/>
            <w:bottom w:val="none" w:sz="0" w:space="0" w:color="auto"/>
            <w:right w:val="none" w:sz="0" w:space="0" w:color="auto"/>
          </w:divBdr>
        </w:div>
        <w:div w:id="1783066345">
          <w:marLeft w:val="480"/>
          <w:marRight w:val="0"/>
          <w:marTop w:val="0"/>
          <w:marBottom w:val="0"/>
          <w:divBdr>
            <w:top w:val="none" w:sz="0" w:space="0" w:color="auto"/>
            <w:left w:val="none" w:sz="0" w:space="0" w:color="auto"/>
            <w:bottom w:val="none" w:sz="0" w:space="0" w:color="auto"/>
            <w:right w:val="none" w:sz="0" w:space="0" w:color="auto"/>
          </w:divBdr>
        </w:div>
        <w:div w:id="355348787">
          <w:marLeft w:val="480"/>
          <w:marRight w:val="0"/>
          <w:marTop w:val="0"/>
          <w:marBottom w:val="0"/>
          <w:divBdr>
            <w:top w:val="none" w:sz="0" w:space="0" w:color="auto"/>
            <w:left w:val="none" w:sz="0" w:space="0" w:color="auto"/>
            <w:bottom w:val="none" w:sz="0" w:space="0" w:color="auto"/>
            <w:right w:val="none" w:sz="0" w:space="0" w:color="auto"/>
          </w:divBdr>
        </w:div>
        <w:div w:id="359162917">
          <w:marLeft w:val="480"/>
          <w:marRight w:val="0"/>
          <w:marTop w:val="0"/>
          <w:marBottom w:val="0"/>
          <w:divBdr>
            <w:top w:val="none" w:sz="0" w:space="0" w:color="auto"/>
            <w:left w:val="none" w:sz="0" w:space="0" w:color="auto"/>
            <w:bottom w:val="none" w:sz="0" w:space="0" w:color="auto"/>
            <w:right w:val="none" w:sz="0" w:space="0" w:color="auto"/>
          </w:divBdr>
        </w:div>
        <w:div w:id="2000035666">
          <w:marLeft w:val="480"/>
          <w:marRight w:val="0"/>
          <w:marTop w:val="0"/>
          <w:marBottom w:val="0"/>
          <w:divBdr>
            <w:top w:val="none" w:sz="0" w:space="0" w:color="auto"/>
            <w:left w:val="none" w:sz="0" w:space="0" w:color="auto"/>
            <w:bottom w:val="none" w:sz="0" w:space="0" w:color="auto"/>
            <w:right w:val="none" w:sz="0" w:space="0" w:color="auto"/>
          </w:divBdr>
        </w:div>
        <w:div w:id="565454109">
          <w:marLeft w:val="480"/>
          <w:marRight w:val="0"/>
          <w:marTop w:val="0"/>
          <w:marBottom w:val="0"/>
          <w:divBdr>
            <w:top w:val="none" w:sz="0" w:space="0" w:color="auto"/>
            <w:left w:val="none" w:sz="0" w:space="0" w:color="auto"/>
            <w:bottom w:val="none" w:sz="0" w:space="0" w:color="auto"/>
            <w:right w:val="none" w:sz="0" w:space="0" w:color="auto"/>
          </w:divBdr>
        </w:div>
        <w:div w:id="1376349372">
          <w:marLeft w:val="480"/>
          <w:marRight w:val="0"/>
          <w:marTop w:val="0"/>
          <w:marBottom w:val="0"/>
          <w:divBdr>
            <w:top w:val="none" w:sz="0" w:space="0" w:color="auto"/>
            <w:left w:val="none" w:sz="0" w:space="0" w:color="auto"/>
            <w:bottom w:val="none" w:sz="0" w:space="0" w:color="auto"/>
            <w:right w:val="none" w:sz="0" w:space="0" w:color="auto"/>
          </w:divBdr>
        </w:div>
        <w:div w:id="234049770">
          <w:marLeft w:val="480"/>
          <w:marRight w:val="0"/>
          <w:marTop w:val="0"/>
          <w:marBottom w:val="0"/>
          <w:divBdr>
            <w:top w:val="none" w:sz="0" w:space="0" w:color="auto"/>
            <w:left w:val="none" w:sz="0" w:space="0" w:color="auto"/>
            <w:bottom w:val="none" w:sz="0" w:space="0" w:color="auto"/>
            <w:right w:val="none" w:sz="0" w:space="0" w:color="auto"/>
          </w:divBdr>
        </w:div>
        <w:div w:id="1120612780">
          <w:marLeft w:val="480"/>
          <w:marRight w:val="0"/>
          <w:marTop w:val="0"/>
          <w:marBottom w:val="0"/>
          <w:divBdr>
            <w:top w:val="none" w:sz="0" w:space="0" w:color="auto"/>
            <w:left w:val="none" w:sz="0" w:space="0" w:color="auto"/>
            <w:bottom w:val="none" w:sz="0" w:space="0" w:color="auto"/>
            <w:right w:val="none" w:sz="0" w:space="0" w:color="auto"/>
          </w:divBdr>
        </w:div>
        <w:div w:id="570309739">
          <w:marLeft w:val="480"/>
          <w:marRight w:val="0"/>
          <w:marTop w:val="0"/>
          <w:marBottom w:val="0"/>
          <w:divBdr>
            <w:top w:val="none" w:sz="0" w:space="0" w:color="auto"/>
            <w:left w:val="none" w:sz="0" w:space="0" w:color="auto"/>
            <w:bottom w:val="none" w:sz="0" w:space="0" w:color="auto"/>
            <w:right w:val="none" w:sz="0" w:space="0" w:color="auto"/>
          </w:divBdr>
        </w:div>
        <w:div w:id="1558980073">
          <w:marLeft w:val="480"/>
          <w:marRight w:val="0"/>
          <w:marTop w:val="0"/>
          <w:marBottom w:val="0"/>
          <w:divBdr>
            <w:top w:val="none" w:sz="0" w:space="0" w:color="auto"/>
            <w:left w:val="none" w:sz="0" w:space="0" w:color="auto"/>
            <w:bottom w:val="none" w:sz="0" w:space="0" w:color="auto"/>
            <w:right w:val="none" w:sz="0" w:space="0" w:color="auto"/>
          </w:divBdr>
        </w:div>
        <w:div w:id="1540244359">
          <w:marLeft w:val="480"/>
          <w:marRight w:val="0"/>
          <w:marTop w:val="0"/>
          <w:marBottom w:val="0"/>
          <w:divBdr>
            <w:top w:val="none" w:sz="0" w:space="0" w:color="auto"/>
            <w:left w:val="none" w:sz="0" w:space="0" w:color="auto"/>
            <w:bottom w:val="none" w:sz="0" w:space="0" w:color="auto"/>
            <w:right w:val="none" w:sz="0" w:space="0" w:color="auto"/>
          </w:divBdr>
        </w:div>
        <w:div w:id="660886708">
          <w:marLeft w:val="480"/>
          <w:marRight w:val="0"/>
          <w:marTop w:val="0"/>
          <w:marBottom w:val="0"/>
          <w:divBdr>
            <w:top w:val="none" w:sz="0" w:space="0" w:color="auto"/>
            <w:left w:val="none" w:sz="0" w:space="0" w:color="auto"/>
            <w:bottom w:val="none" w:sz="0" w:space="0" w:color="auto"/>
            <w:right w:val="none" w:sz="0" w:space="0" w:color="auto"/>
          </w:divBdr>
        </w:div>
        <w:div w:id="806821918">
          <w:marLeft w:val="480"/>
          <w:marRight w:val="0"/>
          <w:marTop w:val="0"/>
          <w:marBottom w:val="0"/>
          <w:divBdr>
            <w:top w:val="none" w:sz="0" w:space="0" w:color="auto"/>
            <w:left w:val="none" w:sz="0" w:space="0" w:color="auto"/>
            <w:bottom w:val="none" w:sz="0" w:space="0" w:color="auto"/>
            <w:right w:val="none" w:sz="0" w:space="0" w:color="auto"/>
          </w:divBdr>
        </w:div>
        <w:div w:id="650794486">
          <w:marLeft w:val="480"/>
          <w:marRight w:val="0"/>
          <w:marTop w:val="0"/>
          <w:marBottom w:val="0"/>
          <w:divBdr>
            <w:top w:val="none" w:sz="0" w:space="0" w:color="auto"/>
            <w:left w:val="none" w:sz="0" w:space="0" w:color="auto"/>
            <w:bottom w:val="none" w:sz="0" w:space="0" w:color="auto"/>
            <w:right w:val="none" w:sz="0" w:space="0" w:color="auto"/>
          </w:divBdr>
        </w:div>
        <w:div w:id="1639456850">
          <w:marLeft w:val="480"/>
          <w:marRight w:val="0"/>
          <w:marTop w:val="0"/>
          <w:marBottom w:val="0"/>
          <w:divBdr>
            <w:top w:val="none" w:sz="0" w:space="0" w:color="auto"/>
            <w:left w:val="none" w:sz="0" w:space="0" w:color="auto"/>
            <w:bottom w:val="none" w:sz="0" w:space="0" w:color="auto"/>
            <w:right w:val="none" w:sz="0" w:space="0" w:color="auto"/>
          </w:divBdr>
        </w:div>
        <w:div w:id="1967464010">
          <w:marLeft w:val="480"/>
          <w:marRight w:val="0"/>
          <w:marTop w:val="0"/>
          <w:marBottom w:val="0"/>
          <w:divBdr>
            <w:top w:val="none" w:sz="0" w:space="0" w:color="auto"/>
            <w:left w:val="none" w:sz="0" w:space="0" w:color="auto"/>
            <w:bottom w:val="none" w:sz="0" w:space="0" w:color="auto"/>
            <w:right w:val="none" w:sz="0" w:space="0" w:color="auto"/>
          </w:divBdr>
        </w:div>
        <w:div w:id="2138982058">
          <w:marLeft w:val="480"/>
          <w:marRight w:val="0"/>
          <w:marTop w:val="0"/>
          <w:marBottom w:val="0"/>
          <w:divBdr>
            <w:top w:val="none" w:sz="0" w:space="0" w:color="auto"/>
            <w:left w:val="none" w:sz="0" w:space="0" w:color="auto"/>
            <w:bottom w:val="none" w:sz="0" w:space="0" w:color="auto"/>
            <w:right w:val="none" w:sz="0" w:space="0" w:color="auto"/>
          </w:divBdr>
        </w:div>
        <w:div w:id="2141874682">
          <w:marLeft w:val="480"/>
          <w:marRight w:val="0"/>
          <w:marTop w:val="0"/>
          <w:marBottom w:val="0"/>
          <w:divBdr>
            <w:top w:val="none" w:sz="0" w:space="0" w:color="auto"/>
            <w:left w:val="none" w:sz="0" w:space="0" w:color="auto"/>
            <w:bottom w:val="none" w:sz="0" w:space="0" w:color="auto"/>
            <w:right w:val="none" w:sz="0" w:space="0" w:color="auto"/>
          </w:divBdr>
        </w:div>
        <w:div w:id="941179993">
          <w:marLeft w:val="480"/>
          <w:marRight w:val="0"/>
          <w:marTop w:val="0"/>
          <w:marBottom w:val="0"/>
          <w:divBdr>
            <w:top w:val="none" w:sz="0" w:space="0" w:color="auto"/>
            <w:left w:val="none" w:sz="0" w:space="0" w:color="auto"/>
            <w:bottom w:val="none" w:sz="0" w:space="0" w:color="auto"/>
            <w:right w:val="none" w:sz="0" w:space="0" w:color="auto"/>
          </w:divBdr>
        </w:div>
        <w:div w:id="518281840">
          <w:marLeft w:val="480"/>
          <w:marRight w:val="0"/>
          <w:marTop w:val="0"/>
          <w:marBottom w:val="0"/>
          <w:divBdr>
            <w:top w:val="none" w:sz="0" w:space="0" w:color="auto"/>
            <w:left w:val="none" w:sz="0" w:space="0" w:color="auto"/>
            <w:bottom w:val="none" w:sz="0" w:space="0" w:color="auto"/>
            <w:right w:val="none" w:sz="0" w:space="0" w:color="auto"/>
          </w:divBdr>
        </w:div>
        <w:div w:id="282545204">
          <w:marLeft w:val="480"/>
          <w:marRight w:val="0"/>
          <w:marTop w:val="0"/>
          <w:marBottom w:val="0"/>
          <w:divBdr>
            <w:top w:val="none" w:sz="0" w:space="0" w:color="auto"/>
            <w:left w:val="none" w:sz="0" w:space="0" w:color="auto"/>
            <w:bottom w:val="none" w:sz="0" w:space="0" w:color="auto"/>
            <w:right w:val="none" w:sz="0" w:space="0" w:color="auto"/>
          </w:divBdr>
        </w:div>
        <w:div w:id="1963923274">
          <w:marLeft w:val="480"/>
          <w:marRight w:val="0"/>
          <w:marTop w:val="0"/>
          <w:marBottom w:val="0"/>
          <w:divBdr>
            <w:top w:val="none" w:sz="0" w:space="0" w:color="auto"/>
            <w:left w:val="none" w:sz="0" w:space="0" w:color="auto"/>
            <w:bottom w:val="none" w:sz="0" w:space="0" w:color="auto"/>
            <w:right w:val="none" w:sz="0" w:space="0" w:color="auto"/>
          </w:divBdr>
        </w:div>
        <w:div w:id="2046172580">
          <w:marLeft w:val="480"/>
          <w:marRight w:val="0"/>
          <w:marTop w:val="0"/>
          <w:marBottom w:val="0"/>
          <w:divBdr>
            <w:top w:val="none" w:sz="0" w:space="0" w:color="auto"/>
            <w:left w:val="none" w:sz="0" w:space="0" w:color="auto"/>
            <w:bottom w:val="none" w:sz="0" w:space="0" w:color="auto"/>
            <w:right w:val="none" w:sz="0" w:space="0" w:color="auto"/>
          </w:divBdr>
        </w:div>
        <w:div w:id="677537351">
          <w:marLeft w:val="480"/>
          <w:marRight w:val="0"/>
          <w:marTop w:val="0"/>
          <w:marBottom w:val="0"/>
          <w:divBdr>
            <w:top w:val="none" w:sz="0" w:space="0" w:color="auto"/>
            <w:left w:val="none" w:sz="0" w:space="0" w:color="auto"/>
            <w:bottom w:val="none" w:sz="0" w:space="0" w:color="auto"/>
            <w:right w:val="none" w:sz="0" w:space="0" w:color="auto"/>
          </w:divBdr>
        </w:div>
        <w:div w:id="1314682046">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about:blank" TargetMode="External"/><Relationship Id="rId29"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eader" Target="header1.xml"/><Relationship Id="rId8" Type="http://schemas.openxmlformats.org/officeDocument/2006/relationships/hyperlink" Target="about:blank" TargetMode="External"/><Relationship Id="rId51" Type="http://schemas.openxmlformats.org/officeDocument/2006/relationships/hyperlink" Target="about:blank" TargetMode="External"/><Relationship Id="rId3"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20" Type="http://schemas.openxmlformats.org/officeDocument/2006/relationships/hyperlink" Target="about:blank" TargetMode="External"/><Relationship Id="rId41" Type="http://schemas.openxmlformats.org/officeDocument/2006/relationships/hyperlink" Target="about:blank" TargetMode="External"/><Relationship Id="rId54"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fontTable" Target="fontTable.xml"/><Relationship Id="rId10"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4392</Words>
  <Characters>25038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Anthony Agwuenu</cp:lastModifiedBy>
  <cp:revision>3</cp:revision>
  <dcterms:created xsi:type="dcterms:W3CDTF">2021-08-30T13:14:00Z</dcterms:created>
  <dcterms:modified xsi:type="dcterms:W3CDTF">2021-08-30T17:43:00Z</dcterms:modified>
</cp:coreProperties>
</file>