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spacing w:after="160" w:line="259" w:lineRule="auto"/>
        <w:jc w:val="center"/>
        <w:rPr>
          <w:rFonts w:ascii="Times New Roman" w:cs="Times New Roman" w:eastAsia="Times New Roman" w:hAnsi="Times New Roman"/>
          <w:b/>
          <w:bCs/>
          <w:sz w:val="36"/>
          <w:szCs w:val="36"/>
        </w:rPr>
      </w:pPr>
    </w:p>
    <w:p w14:paraId="00000006">
      <w:pPr>
        <w:spacing w:after="160" w:line="259" w:lineRule="auto"/>
        <w:jc w:val="center"/>
        <w:rPr>
          <w:rFonts w:ascii="Times New Roman" w:cs="Times New Roman" w:eastAsia="Times New Roman" w:hAnsi="Times New Roman"/>
          <w:b/>
          <w:bCs/>
          <w:sz w:val="36"/>
          <w:szCs w:val="36"/>
        </w:rPr>
      </w:pPr>
    </w:p>
    <w:p w14:paraId="00000007">
      <w:pPr>
        <w:spacing w:after="160" w:line="259" w:lineRule="auto"/>
        <w:jc w:val="center"/>
        <w:rPr>
          <w:rFonts w:ascii="Times New Roman" w:cs="Times New Roman" w:eastAsia="Times New Roman" w:hAnsi="Times New Roman"/>
          <w:b/>
          <w:bCs/>
          <w:sz w:val="36"/>
          <w:szCs w:val="36"/>
        </w:rPr>
      </w:pPr>
    </w:p>
    <w:p w14:paraId="00000008">
      <w:pPr>
        <w:spacing w:after="160" w:line="259" w:lineRule="auto"/>
        <w:jc w:val="center"/>
        <w:rPr>
          <w:rFonts w:ascii="Times New Roman" w:cs="Times New Roman" w:eastAsia="Times New Roman" w:hAnsi="Times New Roman"/>
          <w:b/>
          <w:bCs/>
          <w:sz w:val="36"/>
          <w:szCs w:val="36"/>
        </w:rPr>
      </w:pPr>
    </w:p>
    <w:p w14:paraId="00000009">
      <w:pPr>
        <w:spacing w:after="160" w:line="259" w:lineRule="auto"/>
        <w:jc w:val="center"/>
        <w:rPr>
          <w:rFonts w:ascii="Times New Roman" w:cs="Times New Roman" w:eastAsia="Times New Roman" w:hAnsi="Times New Roman"/>
          <w:b/>
          <w:bCs/>
          <w:sz w:val="36"/>
          <w:szCs w:val="36"/>
        </w:rPr>
      </w:pPr>
      <w:r>
        <w:rPr>
          <w:rFonts w:ascii="Times New Roman" w:cs="Times New Roman" w:eastAsia="Times New Roman" w:hAnsi="Times New Roman"/>
          <w:b/>
          <w:bCs/>
          <w:sz w:val="36"/>
          <w:szCs w:val="36"/>
        </w:rPr>
        <w:drawing xmlns:mc="http://schemas.openxmlformats.org/markup-compatibility/2006">
          <wp:inline distT="0" distB="0" distL="0" distR="0">
            <wp:extent cx="3162741" cy="1381318"/>
            <wp:effectExtent l="0" t="0" r="0" b="0"/>
            <wp:docPr id="812246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46216" name="Picture 1"/>
                    <pic:cNvPicPr/>
                  </pic:nvPicPr>
                  <pic:blipFill>
                    <a:blip r:embed="rId14"/>
                    <a:srcRect/>
                    <a:stretch>
                      <a:fillRect/>
                    </a:stretch>
                  </pic:blipFill>
                  <pic:spPr>
                    <a:xfrm>
                      <a:off x="0" y="0"/>
                      <a:ext cx="3162741" cy="1381318"/>
                    </a:xfrm>
                    <a:prstGeom prst="rect">
                      <a:avLst/>
                    </a:prstGeom>
                  </pic:spPr>
                </pic:pic>
              </a:graphicData>
            </a:graphic>
          </wp:inline>
        </w:drawing>
      </w:r>
    </w:p>
    <w:p w14:paraId="0000000A">
      <w:pPr>
        <w:spacing w:after="160" w:line="259" w:lineRule="auto"/>
        <w:jc w:val="center"/>
        <w:rPr>
          <w:rFonts w:ascii="Times New Roman" w:cs="Times New Roman" w:eastAsia="Times New Roman" w:hAnsi="Times New Roman"/>
          <w:b/>
          <w:bCs/>
          <w:sz w:val="36"/>
          <w:szCs w:val="36"/>
        </w:rPr>
      </w:pPr>
      <w:r>
        <w:rPr>
          <w:rFonts w:ascii="Times New Roman" w:cs="Times New Roman" w:eastAsia="Times New Roman" w:hAnsi="Times New Roman"/>
          <w:b/>
          <w:bCs/>
          <w:sz w:val="36"/>
          <w:szCs w:val="36"/>
        </w:rPr>
        <w:t>LCLM6005</w:t>
      </w:r>
    </w:p>
    <w:p w14:paraId="0000000B">
      <w:pPr>
        <w:spacing w:after="160" w:line="259" w:lineRule="auto"/>
        <w:jc w:val="center"/>
        <w:rPr>
          <w:rFonts w:ascii="Times New Roman" w:cs="Times New Roman" w:eastAsia="Times New Roman" w:hAnsi="Times New Roman"/>
          <w:b/>
          <w:bCs/>
          <w:sz w:val="36"/>
          <w:szCs w:val="36"/>
        </w:rPr>
      </w:pPr>
      <w:r>
        <w:rPr>
          <w:rFonts w:ascii="Times New Roman" w:cs="Times New Roman" w:eastAsia="Times New Roman" w:hAnsi="Times New Roman"/>
          <w:b/>
          <w:bCs/>
          <w:sz w:val="36"/>
          <w:szCs w:val="36"/>
        </w:rPr>
        <w:t>Topic: Sustainability Practices and Their Effect on Consumer Trust in UK</w:t>
      </w:r>
      <w:r>
        <w:rPr>
          <w:rFonts w:ascii="Times New Roman" w:cs="Times New Roman" w:eastAsia="Times New Roman" w:hAnsi="Times New Roman"/>
          <w:b/>
          <w:bCs/>
          <w:sz w:val="36"/>
          <w:szCs w:val="36"/>
        </w:rPr>
        <w:t xml:space="preserve"> </w:t>
      </w:r>
      <w:r>
        <w:rPr>
          <w:rFonts w:ascii="Times New Roman" w:cs="Times New Roman" w:eastAsia="Times New Roman" w:hAnsi="Times New Roman"/>
          <w:b/>
          <w:bCs/>
          <w:sz w:val="36"/>
          <w:szCs w:val="36"/>
        </w:rPr>
        <w:t>Fashion Retail Industry</w:t>
      </w:r>
    </w:p>
    <w:p w14:paraId="0000000C">
      <w:pPr>
        <w:pStyle w:val="NoSpacing"/>
        <w:jc w:val="center"/>
        <w:rPr>
          <w:rFonts w:ascii="Times New Roman" w:cs="Times New Roman" w:hAnsi="Times New Roman"/>
          <w:sz w:val="28"/>
          <w:szCs w:val="28"/>
        </w:rPr>
      </w:pPr>
      <w:r>
        <w:rPr>
          <w:rFonts w:ascii="Times New Roman" w:cs="Times New Roman" w:hAnsi="Times New Roman"/>
          <w:sz w:val="28"/>
          <w:szCs w:val="28"/>
        </w:rPr>
        <w:t>Element 2: Research Process Reflection</w:t>
      </w:r>
    </w:p>
    <w:p w14:paraId="0000000D">
      <w:pPr>
        <w:spacing w:after="160" w:line="259" w:lineRule="auto"/>
        <w:jc w:val="center"/>
        <w:rPr>
          <w:rFonts w:ascii="Times New Roman" w:cs="Times New Roman" w:eastAsia="Times New Roman" w:hAnsi="Times New Roman"/>
          <w:b/>
          <w:bCs/>
          <w:sz w:val="36"/>
          <w:szCs w:val="36"/>
        </w:rPr>
      </w:pPr>
    </w:p>
    <w:p w14:paraId="0000000E">
      <w:pPr>
        <w:pStyle w:val="NoSpacing"/>
        <w:jc w:val="center"/>
        <w:rPr>
          <w:rFonts w:ascii="Times New Roman" w:cs="Times New Roman" w:hAnsi="Times New Roman"/>
          <w:sz w:val="24"/>
          <w:szCs w:val="24"/>
        </w:rPr>
      </w:pPr>
      <w:r>
        <w:rPr>
          <w:rFonts w:ascii="Times New Roman" w:cs="Times New Roman" w:hAnsi="Times New Roman"/>
          <w:sz w:val="24"/>
          <w:szCs w:val="24"/>
        </w:rPr>
        <w:t xml:space="preserve">Student Name: </w:t>
      </w:r>
      <w:r>
        <w:rPr>
          <w:rFonts w:ascii="Times New Roman" w:cs="Times New Roman" w:hAnsi="Times New Roman"/>
          <w:sz w:val="24"/>
          <w:szCs w:val="24"/>
        </w:rPr>
        <w:t>Hirsova</w:t>
      </w:r>
      <w:r>
        <w:rPr>
          <w:rFonts w:ascii="Times New Roman" w:cs="Times New Roman" w:hAnsi="Times New Roman"/>
          <w:sz w:val="24"/>
          <w:szCs w:val="24"/>
        </w:rPr>
        <w:t xml:space="preserve"> Livia</w:t>
      </w:r>
    </w:p>
    <w:p w14:paraId="0000000F">
      <w:pPr>
        <w:pStyle w:val="NoSpacing"/>
        <w:jc w:val="center"/>
        <w:rPr>
          <w:rFonts w:ascii="Times New Roman" w:cs="Times New Roman" w:hAnsi="Times New Roman"/>
          <w:sz w:val="24"/>
          <w:szCs w:val="24"/>
        </w:rPr>
      </w:pPr>
    </w:p>
    <w:p w14:paraId="00000010">
      <w:pPr>
        <w:pStyle w:val="NoSpacing"/>
        <w:jc w:val="center"/>
        <w:rPr>
          <w:rFonts w:ascii="Times New Roman" w:cs="Times New Roman" w:hAnsi="Times New Roman"/>
          <w:sz w:val="24"/>
          <w:szCs w:val="24"/>
        </w:rPr>
      </w:pPr>
      <w:r>
        <w:rPr>
          <w:rFonts w:ascii="Times New Roman" w:cs="Times New Roman" w:hAnsi="Times New Roman"/>
          <w:sz w:val="24"/>
          <w:szCs w:val="24"/>
        </w:rPr>
        <w:t>Student ID: 2238099</w:t>
      </w:r>
    </w:p>
    <w:p w14:paraId="00000011">
      <w:pPr>
        <w:pStyle w:val="NoSpacing"/>
        <w:jc w:val="center"/>
        <w:rPr>
          <w:rFonts w:asciiTheme="majorBidi" w:cstheme="majorBidi" w:hAnsiTheme="majorBidi"/>
          <w:color w:val="000000" w:themeColor="text1"/>
          <w:sz w:val="28"/>
          <w:szCs w:val="32"/>
          <w:lang w:val="en-IN"/>
          <w14:ligatures w14:val="standardContextual"/>
        </w:rPr>
      </w:pPr>
      <w:r>
        <w:rPr/>
        <w:br w:type="page"/>
      </w:r>
    </w:p>
    <w:p w14:paraId="00000012">
      <w:pPr>
        <w:pStyle w:val="Heading1"/>
        <w:rPr>
          <w:rFonts w:eastAsia="Times New Roman"/>
        </w:rPr>
      </w:pPr>
      <w:r>
        <w:rPr>
          <w:rFonts w:eastAsia="Times New Roman"/>
        </w:rPr>
        <w:t>Element 2: Research Process Reflection</w:t>
      </w:r>
    </w:p>
    <w:p w14:paraId="00000013">
      <w:pPr>
        <w:spacing w:line="480" w:lineRule="auto"/>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Experience Learning Cycle of Kolb (1984)</w:t>
      </w:r>
    </w:p>
    <w:p w14:paraId="00000014">
      <w:pPr>
        <w:spacing w:line="480" w:lineRule="auto"/>
        <w:rPr>
          <w:rFonts w:ascii="Times New Roman" w:cs="Times New Roman" w:eastAsia="Times New Roman" w:hAnsi="Times New Roman"/>
          <w:sz w:val="24"/>
          <w:szCs w:val="24"/>
        </w:rPr>
      </w:pPr>
      <w:r>
        <w:rPr>
          <w:rFonts w:ascii="Times New Roman" w:cs="Times New Roman" w:eastAsia="Times New Roman" w:hAnsi="Times New Roman"/>
          <w:b/>
          <w:bCs/>
          <w:sz w:val="24"/>
          <w:szCs w:val="24"/>
        </w:rPr>
        <w:t>Concrete Experience</w:t>
      </w:r>
    </w:p>
    <w:p w14:paraId="00000015">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concrete experience phase is described by directly being involved in a learning process. The study proposed is the sustainability practices and their impact on consumer trust in the UK fashion retail industry, which necessitated the planning and implementation of </w:t>
      </w:r>
      <w:r>
        <w:rPr>
          <w:rFonts w:ascii="Times New Roman" w:cs="Times New Roman" w:eastAsia="Times New Roman" w:hAnsi="Times New Roman"/>
          <w:sz w:val="24"/>
          <w:szCs w:val="24"/>
        </w:rPr>
        <w:t>independent research</w:t>
      </w:r>
      <w:r>
        <w:rPr>
          <w:rFonts w:ascii="Times New Roman" w:cs="Times New Roman" w:eastAsia="Times New Roman" w:hAnsi="Times New Roman"/>
          <w:sz w:val="24"/>
          <w:szCs w:val="24"/>
        </w:rPr>
        <w:t>. A modern issue was chosen, and it was the sustainability communication, transparency, and the phenomenon of greenwashing in the UK fashion retail market.</w:t>
      </w:r>
    </w:p>
    <w:p w14:paraId="00000016">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paper included the formulation of specific aims and objectives, the comprehensive review of the literature, which was based on the theories of Stakeholder Theory and </w:t>
      </w:r>
      <w:r>
        <w:rPr>
          <w:rFonts w:ascii="Times New Roman" w:cs="Times New Roman" w:eastAsia="Times New Roman" w:hAnsi="Times New Roman"/>
          <w:sz w:val="24"/>
          <w:szCs w:val="24"/>
        </w:rPr>
        <w:t>Signalling</w:t>
      </w:r>
      <w:r>
        <w:rPr>
          <w:rFonts w:ascii="Times New Roman" w:cs="Times New Roman" w:eastAsia="Times New Roman" w:hAnsi="Times New Roman"/>
          <w:sz w:val="24"/>
          <w:szCs w:val="24"/>
        </w:rPr>
        <w:t xml:space="preserve"> Theory, and the mixed-method research design (Rastogi et al., 2025). Thematic analysis was done on the second stage, and a primary survey on 25 respondents was conducted through Google Forms. The analysis of data was later done using descriptive statistics, and the results were associated with the applicable theoretical views. This involved strict time management, thinking and formal academic writing.</w:t>
      </w:r>
    </w:p>
    <w:p w14:paraId="00000017">
      <w:pPr>
        <w:spacing w:line="480" w:lineRule="auto"/>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Reflective Observation</w:t>
      </w:r>
    </w:p>
    <w:p w14:paraId="00000018">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Looking back at the process, it can be seen that there are strengths and challenges. The theoretical backgrounds allowed a sound conceptual guidance and helped to create a structure of discussion. The correspondence of the literature results and the results of the surveys, especially in regard to the significance of transparency in establishing trust, augmented confidence in the research design.</w:t>
      </w:r>
    </w:p>
    <w:p w14:paraId="00000019">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However, it was evident that there were constraints. Structural complexity was added to the literature review by using an initial integration of various theories (Ronda, 2024). The sample size of the study was too small to be </w:t>
      </w:r>
      <w:r>
        <w:rPr>
          <w:rFonts w:ascii="Times New Roman" w:cs="Times New Roman" w:eastAsia="Times New Roman" w:hAnsi="Times New Roman"/>
          <w:sz w:val="24"/>
          <w:szCs w:val="24"/>
        </w:rPr>
        <w:t>generalised</w:t>
      </w:r>
      <w:r>
        <w:rPr>
          <w:rFonts w:ascii="Times New Roman" w:cs="Times New Roman" w:eastAsia="Times New Roman" w:hAnsi="Times New Roman"/>
          <w:sz w:val="24"/>
          <w:szCs w:val="24"/>
        </w:rPr>
        <w:t xml:space="preserve">, and the survey data were self-reported, which could have been biased. Besides, even though the respondents reported having positive </w:t>
      </w:r>
      <w:r>
        <w:rPr>
          <w:rFonts w:ascii="Times New Roman" w:cs="Times New Roman" w:eastAsia="Times New Roman" w:hAnsi="Times New Roman"/>
          <w:sz w:val="24"/>
          <w:szCs w:val="24"/>
        </w:rPr>
        <w:t xml:space="preserve">attitudes towards sustainability, their </w:t>
      </w:r>
      <w:r>
        <w:rPr>
          <w:rFonts w:ascii="Times New Roman" w:cs="Times New Roman" w:eastAsia="Times New Roman" w:hAnsi="Times New Roman"/>
          <w:sz w:val="24"/>
          <w:szCs w:val="24"/>
        </w:rPr>
        <w:t>behavioural</w:t>
      </w:r>
      <w:r>
        <w:rPr>
          <w:rFonts w:ascii="Times New Roman" w:cs="Times New Roman" w:eastAsia="Times New Roman" w:hAnsi="Times New Roman"/>
          <w:sz w:val="24"/>
          <w:szCs w:val="24"/>
        </w:rPr>
        <w:t xml:space="preserve"> commitment was moderate, reflecting the attitude-</w:t>
      </w:r>
      <w:r>
        <w:rPr>
          <w:rFonts w:ascii="Times New Roman" w:cs="Times New Roman" w:eastAsia="Times New Roman" w:hAnsi="Times New Roman"/>
          <w:sz w:val="24"/>
          <w:szCs w:val="24"/>
        </w:rPr>
        <w:t>behaviour</w:t>
      </w:r>
      <w:r>
        <w:rPr>
          <w:rFonts w:ascii="Times New Roman" w:cs="Times New Roman" w:eastAsia="Times New Roman" w:hAnsi="Times New Roman"/>
          <w:sz w:val="24"/>
          <w:szCs w:val="24"/>
        </w:rPr>
        <w:t xml:space="preserve"> gap </w:t>
      </w:r>
      <w:r>
        <w:rPr>
          <w:rFonts w:ascii="Times New Roman" w:cs="Times New Roman" w:eastAsia="Times New Roman" w:hAnsi="Times New Roman"/>
          <w:sz w:val="24"/>
          <w:szCs w:val="24"/>
        </w:rPr>
        <w:t>emphasised</w:t>
      </w:r>
      <w:r>
        <w:rPr>
          <w:rFonts w:ascii="Times New Roman" w:cs="Times New Roman" w:eastAsia="Times New Roman" w:hAnsi="Times New Roman"/>
          <w:sz w:val="24"/>
          <w:szCs w:val="24"/>
        </w:rPr>
        <w:t xml:space="preserve"> in the current literature. This observation added to an insight into the complexity of consumer </w:t>
      </w:r>
      <w:r>
        <w:rPr>
          <w:rFonts w:ascii="Times New Roman" w:cs="Times New Roman" w:eastAsia="Times New Roman" w:hAnsi="Times New Roman"/>
          <w:sz w:val="24"/>
          <w:szCs w:val="24"/>
        </w:rPr>
        <w:t>behaviour</w:t>
      </w:r>
      <w:r>
        <w:rPr>
          <w:rFonts w:ascii="Times New Roman" w:cs="Times New Roman" w:eastAsia="Times New Roman" w:hAnsi="Times New Roman"/>
          <w:sz w:val="24"/>
          <w:szCs w:val="24"/>
        </w:rPr>
        <w:t>.</w:t>
      </w:r>
    </w:p>
    <w:p w14:paraId="0000001A">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b/>
          <w:bCs/>
          <w:sz w:val="24"/>
          <w:szCs w:val="24"/>
        </w:rPr>
        <w:t xml:space="preserve">Abstract </w:t>
      </w:r>
      <w:r>
        <w:rPr>
          <w:rFonts w:ascii="Times New Roman" w:cs="Times New Roman" w:eastAsia="Times New Roman" w:hAnsi="Times New Roman"/>
          <w:b/>
          <w:bCs/>
          <w:sz w:val="24"/>
          <w:szCs w:val="24"/>
        </w:rPr>
        <w:t>Conceptualisation</w:t>
      </w:r>
    </w:p>
    <w:p w14:paraId="0000001B">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 more solid conceptual comprehension was developed as a result of critical reflection. It was possible to understand that sustainability communication does not only represent a marketing tool, but it is also a trust-building strategy (Ronda, 2024). Transparency </w:t>
      </w:r>
      <w:r>
        <w:rPr>
          <w:rFonts w:ascii="Times New Roman" w:cs="Times New Roman" w:eastAsia="Times New Roman" w:hAnsi="Times New Roman"/>
          <w:sz w:val="24"/>
          <w:szCs w:val="24"/>
        </w:rPr>
        <w:t>neutralises</w:t>
      </w:r>
      <w:r>
        <w:rPr>
          <w:rFonts w:ascii="Times New Roman" w:cs="Times New Roman" w:eastAsia="Times New Roman" w:hAnsi="Times New Roman"/>
          <w:sz w:val="24"/>
          <w:szCs w:val="24"/>
        </w:rPr>
        <w:t xml:space="preserve"> information asymmetry, thus facilitating </w:t>
      </w:r>
      <w:r>
        <w:rPr>
          <w:rFonts w:ascii="Times New Roman" w:cs="Times New Roman" w:eastAsia="Times New Roman" w:hAnsi="Times New Roman"/>
          <w:sz w:val="24"/>
          <w:szCs w:val="24"/>
        </w:rPr>
        <w:t>Signalling</w:t>
      </w:r>
      <w:r>
        <w:rPr>
          <w:rFonts w:ascii="Times New Roman" w:cs="Times New Roman" w:eastAsia="Times New Roman" w:hAnsi="Times New Roman"/>
          <w:sz w:val="24"/>
          <w:szCs w:val="24"/>
        </w:rPr>
        <w:t xml:space="preserve"> Theory, whereas regular disclosure helps to integrate the relationships among the stakeholders according to the Stakeholder Theory.</w:t>
      </w:r>
    </w:p>
    <w:p w14:paraId="0000001C">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There was also greenhushing that was identified as a strategy paradox. Though it might help companies to reduce the risk of being accused of greenwashing, disclosing less can result in increasing </w:t>
      </w:r>
      <w:r>
        <w:rPr>
          <w:rFonts w:ascii="Times New Roman" w:cs="Times New Roman" w:eastAsia="Times New Roman" w:hAnsi="Times New Roman"/>
          <w:sz w:val="24"/>
          <w:szCs w:val="24"/>
        </w:rPr>
        <w:t>scepticism</w:t>
      </w:r>
      <w:r>
        <w:rPr>
          <w:rFonts w:ascii="Times New Roman" w:cs="Times New Roman" w:eastAsia="Times New Roman" w:hAnsi="Times New Roman"/>
          <w:sz w:val="24"/>
          <w:szCs w:val="24"/>
        </w:rPr>
        <w:t xml:space="preserve"> and loss of consumer trust. This understanding helped in the shift of the descriptive analysis to critical analysis of the </w:t>
      </w:r>
      <w:r>
        <w:rPr>
          <w:rFonts w:ascii="Times New Roman" w:cs="Times New Roman" w:eastAsia="Times New Roman" w:hAnsi="Times New Roman"/>
          <w:sz w:val="24"/>
          <w:szCs w:val="24"/>
        </w:rPr>
        <w:t>organisational</w:t>
      </w:r>
      <w:r>
        <w:rPr>
          <w:rFonts w:ascii="Times New Roman" w:cs="Times New Roman" w:eastAsia="Times New Roman" w:hAnsi="Times New Roman"/>
          <w:sz w:val="24"/>
          <w:szCs w:val="24"/>
        </w:rPr>
        <w:t xml:space="preserve"> strategy and reputation management.</w:t>
      </w:r>
    </w:p>
    <w:p w14:paraId="0000001D">
      <w:pPr>
        <w:spacing w:line="480" w:lineRule="auto"/>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Active Experimentation</w:t>
      </w:r>
    </w:p>
    <w:p w14:paraId="0000001E">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apply these lessons in future studies, it will be necessary to increase the sample size and use qualitative interviews of industry professionals to gain a deeper understanding. By using sophisticated statistical methods, the empirical validity will be improved, whereas better piloting of the surveys and better structuring plans will improve the research quality even more.</w:t>
      </w:r>
    </w:p>
    <w:p w14:paraId="0000001F">
      <w:pPr>
        <w:spacing w:line="48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At the professional level, this project has increased the knowledge on sustainability as a leadership role (Ronda, 2024). It is necessary to maintain stakeholder trust in the long term by providing transparent, evidence-based communication. On balance, the learning cycle developed by Kolb has allowed for critically assessing the research process and developing academic, analytical, and strategic skills.</w:t>
      </w:r>
    </w:p>
    <w:p w14:paraId="00000020">
      <w:pPr>
        <w:spacing w:after="160" w:line="259"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p w14:paraId="00000021">
      <w:pPr>
        <w:pStyle w:val="Heading1"/>
        <w:rPr>
          <w:rFonts w:eastAsia="Times New Roman"/>
        </w:rPr>
      </w:pPr>
      <w:r>
        <w:rPr>
          <w:rFonts w:eastAsia="Times New Roman"/>
        </w:rPr>
        <w:t>Reference List</w:t>
      </w:r>
    </w:p>
    <w:p w14:paraId="00000022">
      <w:pPr>
        <w:spacing w:before="200" w:after="200" w:line="480" w:lineRule="auto"/>
        <w:jc w:val="both"/>
        <w:rPr>
          <w:rFonts w:ascii="Times New Roman" w:cs="Times New Roman" w:eastAsia="Times New Roman" w:hAnsi="Times New Roman"/>
          <w:color w:val="1155cc"/>
          <w:sz w:val="24"/>
          <w:szCs w:val="24"/>
          <w:highlight w:val="white"/>
          <w:u w:val="single"/>
        </w:rPr>
      </w:pPr>
      <w:r>
        <w:rPr>
          <w:rFonts w:ascii="Times New Roman" w:cs="Times New Roman" w:eastAsia="Times New Roman" w:hAnsi="Times New Roman"/>
          <w:color w:val="222222"/>
          <w:sz w:val="24"/>
          <w:szCs w:val="24"/>
          <w:highlight w:val="white"/>
        </w:rPr>
        <w:t xml:space="preserve">Rastogi, N., Singh, J., Tyagi, S., Ahmad, V., Kumar, R., Singh, R., ... and Twala, B. (2025). Building trust through ESG: A study on consumer </w:t>
      </w:r>
      <w:r>
        <w:rPr>
          <w:rFonts w:ascii="Times New Roman" w:cs="Times New Roman" w:eastAsia="Times New Roman" w:hAnsi="Times New Roman"/>
          <w:color w:val="222222"/>
          <w:sz w:val="24"/>
          <w:szCs w:val="24"/>
          <w:highlight w:val="white"/>
        </w:rPr>
        <w:t>behaviour</w:t>
      </w:r>
      <w:r>
        <w:rPr>
          <w:rFonts w:ascii="Times New Roman" w:cs="Times New Roman" w:eastAsia="Times New Roman" w:hAnsi="Times New Roman"/>
          <w:color w:val="222222"/>
          <w:sz w:val="24"/>
          <w:szCs w:val="24"/>
          <w:highlight w:val="white"/>
        </w:rPr>
        <w:t xml:space="preserve"> in sustainable fashion. </w:t>
      </w:r>
      <w:r>
        <w:rPr>
          <w:rFonts w:ascii="Times New Roman" w:cs="Times New Roman" w:eastAsia="Times New Roman" w:hAnsi="Times New Roman"/>
          <w:i/>
          <w:iCs/>
          <w:color w:val="222222"/>
          <w:sz w:val="24"/>
          <w:szCs w:val="24"/>
          <w:highlight w:val="white"/>
        </w:rPr>
        <w:t>F1000Research</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iCs/>
          <w:color w:val="222222"/>
          <w:sz w:val="24"/>
          <w:szCs w:val="24"/>
          <w:highlight w:val="white"/>
        </w:rPr>
        <w:t>14</w:t>
      </w:r>
      <w:r>
        <w:rPr>
          <w:rFonts w:ascii="Times New Roman" w:cs="Times New Roman" w:eastAsia="Times New Roman" w:hAnsi="Times New Roman"/>
          <w:color w:val="222222"/>
          <w:sz w:val="24"/>
          <w:szCs w:val="24"/>
          <w:highlight w:val="white"/>
        </w:rPr>
        <w:t>, 97.</w:t>
      </w:r>
      <w:r>
        <w:rPr>
          <w:rFonts w:ascii="Times New Roman" w:cs="Times New Roman" w:eastAsia="Times New Roman" w:hAnsi="Times New Roman"/>
          <w:color w:val="222222"/>
          <w:sz w:val="24"/>
          <w:szCs w:val="24"/>
          <w:highlight w:val="white"/>
        </w:rPr>
        <w:fldChar w:fldCharType="begin"/>
      </w:r>
      <w:r>
        <w:rPr>
          <w:rFonts w:ascii="Times New Roman" w:cs="Times New Roman" w:eastAsia="Times New Roman" w:hAnsi="Times New Roman"/>
          <w:color w:val="222222"/>
          <w:sz w:val="24"/>
          <w:szCs w:val="24"/>
          <w:highlight w:val="white"/>
        </w:rPr>
        <w:instrText xml:space="preserve">HYPERLINK "https://f1000research.com/articles/14-97" </w:instrText>
      </w:r>
      <w:r>
        <w:rPr>
          <w:rFonts w:ascii="Times New Roman" w:cs="Times New Roman" w:eastAsia="Times New Roman" w:hAnsi="Times New Roman"/>
          <w:color w:val="222222"/>
          <w:sz w:val="24"/>
          <w:szCs w:val="24"/>
          <w:highlight w:val="white"/>
        </w:rPr>
        <w:fldChar w:fldCharType="separate"/>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1155cc"/>
          <w:sz w:val="24"/>
          <w:szCs w:val="24"/>
          <w:highlight w:val="white"/>
          <w:u w:val="single"/>
        </w:rPr>
        <w:fldChar w:fldCharType="end"/>
      </w:r>
      <w:r>
        <w:rPr>
          <w:rFonts w:ascii="Times New Roman" w:cs="Times New Roman" w:eastAsia="Times New Roman" w:hAnsi="Times New Roman"/>
          <w:color w:val="1155cc"/>
          <w:sz w:val="24"/>
          <w:szCs w:val="24"/>
          <w:highlight w:val="white"/>
          <w:u w:val="single"/>
        </w:rPr>
        <w:fldChar w:fldCharType="begin"/>
      </w:r>
      <w:r>
        <w:rPr>
          <w:rFonts w:ascii="Times New Roman" w:cs="Times New Roman" w:eastAsia="Times New Roman" w:hAnsi="Times New Roman"/>
          <w:color w:val="1155cc"/>
          <w:sz w:val="24"/>
          <w:szCs w:val="24"/>
          <w:highlight w:val="white"/>
          <w:u w:val="single"/>
        </w:rPr>
        <w:instrText xml:space="preserve">HYPERLINK "https://f1000research.com/articles/14-97" </w:instrText>
      </w:r>
      <w:r>
        <w:rPr>
          <w:rFonts w:ascii="Times New Roman" w:cs="Times New Roman" w:eastAsia="Times New Roman" w:hAnsi="Times New Roman"/>
          <w:color w:val="1155cc"/>
          <w:sz w:val="24"/>
          <w:szCs w:val="24"/>
          <w:highlight w:val="white"/>
          <w:u w:val="single"/>
        </w:rPr>
        <w:fldChar w:fldCharType="separate"/>
      </w:r>
      <w:r>
        <w:rPr>
          <w:rFonts w:ascii="Times New Roman" w:cs="Times New Roman" w:eastAsia="Times New Roman" w:hAnsi="Times New Roman"/>
          <w:color w:val="1155cc"/>
          <w:sz w:val="24"/>
          <w:szCs w:val="24"/>
          <w:highlight w:val="white"/>
          <w:u w:val="single"/>
        </w:rPr>
        <w:t>https://f1000research.com/articles/14-97</w:t>
      </w:r>
      <w:r>
        <w:rPr>
          <w:rFonts w:ascii="Times New Roman" w:cs="Times New Roman" w:eastAsia="Times New Roman" w:hAnsi="Times New Roman"/>
          <w:color w:val="1155cc"/>
          <w:sz w:val="24"/>
          <w:szCs w:val="24"/>
          <w:highlight w:val="white"/>
          <w:u w:val="single"/>
        </w:rPr>
        <w:fldChar w:fldCharType="end"/>
      </w:r>
    </w:p>
    <w:p w14:paraId="00000023">
      <w:pPr>
        <w:spacing w:before="200" w:after="200" w:line="480" w:lineRule="auto"/>
        <w:jc w:val="both"/>
        <w:rPr>
          <w:rFonts w:ascii="Times New Roman" w:cs="Times New Roman" w:eastAsia="Times New Roman" w:hAnsi="Times New Roman"/>
          <w:color w:val="1155cc"/>
          <w:sz w:val="24"/>
          <w:szCs w:val="24"/>
          <w:highlight w:val="white"/>
          <w:u w:val="single"/>
        </w:rPr>
      </w:pPr>
      <w:r>
        <w:rPr>
          <w:rFonts w:ascii="Times New Roman" w:cs="Times New Roman" w:eastAsia="Times New Roman" w:hAnsi="Times New Roman"/>
          <w:color w:val="222222"/>
          <w:sz w:val="24"/>
          <w:szCs w:val="24"/>
          <w:highlight w:val="white"/>
        </w:rPr>
        <w:t>Ronda, L. (2024). Overcoming barriers for sustainable fashion: bridging the attitude-</w:t>
      </w:r>
      <w:r>
        <w:rPr>
          <w:rFonts w:ascii="Times New Roman" w:cs="Times New Roman" w:eastAsia="Times New Roman" w:hAnsi="Times New Roman"/>
          <w:color w:val="222222"/>
          <w:sz w:val="24"/>
          <w:szCs w:val="24"/>
          <w:highlight w:val="white"/>
        </w:rPr>
        <w:t>behaviour</w:t>
      </w:r>
      <w:r>
        <w:rPr>
          <w:rFonts w:ascii="Times New Roman" w:cs="Times New Roman" w:eastAsia="Times New Roman" w:hAnsi="Times New Roman"/>
          <w:color w:val="222222"/>
          <w:sz w:val="24"/>
          <w:szCs w:val="24"/>
          <w:highlight w:val="white"/>
        </w:rPr>
        <w:t xml:space="preserve"> gap in retail. </w:t>
      </w:r>
      <w:r>
        <w:rPr>
          <w:rFonts w:ascii="Times New Roman" w:cs="Times New Roman" w:eastAsia="Times New Roman" w:hAnsi="Times New Roman"/>
          <w:i/>
          <w:iCs/>
          <w:color w:val="222222"/>
          <w:sz w:val="24"/>
          <w:szCs w:val="24"/>
          <w:highlight w:val="white"/>
        </w:rPr>
        <w:t>International journal of retail &amp; distribution management</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iCs/>
          <w:color w:val="222222"/>
          <w:sz w:val="24"/>
          <w:szCs w:val="24"/>
          <w:highlight w:val="white"/>
        </w:rPr>
        <w:t>52</w:t>
      </w:r>
      <w:r>
        <w:rPr>
          <w:rFonts w:ascii="Times New Roman" w:cs="Times New Roman" w:eastAsia="Times New Roman" w:hAnsi="Times New Roman"/>
          <w:color w:val="222222"/>
          <w:sz w:val="24"/>
          <w:szCs w:val="24"/>
          <w:highlight w:val="white"/>
        </w:rPr>
        <w:t>(1), pp.44-61.</w:t>
      </w:r>
      <w:r>
        <w:rPr>
          <w:rFonts w:ascii="Times New Roman" w:cs="Times New Roman" w:eastAsia="Times New Roman" w:hAnsi="Times New Roman"/>
          <w:color w:val="222222"/>
          <w:sz w:val="24"/>
          <w:szCs w:val="24"/>
          <w:highlight w:val="white"/>
        </w:rPr>
        <w:fldChar w:fldCharType="begin"/>
      </w:r>
      <w:r>
        <w:rPr>
          <w:rFonts w:ascii="Times New Roman" w:cs="Times New Roman" w:eastAsia="Times New Roman" w:hAnsi="Times New Roman"/>
          <w:color w:val="222222"/>
          <w:sz w:val="24"/>
          <w:szCs w:val="24"/>
          <w:highlight w:val="white"/>
        </w:rPr>
        <w:instrText xml:space="preserve">HYPERLINK "https://www.emerald.com/ijrdm/article/52/1/44/1232569" </w:instrText>
      </w:r>
      <w:r>
        <w:rPr>
          <w:rFonts w:ascii="Times New Roman" w:cs="Times New Roman" w:eastAsia="Times New Roman" w:hAnsi="Times New Roman"/>
          <w:color w:val="222222"/>
          <w:sz w:val="24"/>
          <w:szCs w:val="24"/>
          <w:highlight w:val="white"/>
        </w:rPr>
        <w:fldChar w:fldCharType="separate"/>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1155cc"/>
          <w:sz w:val="24"/>
          <w:szCs w:val="24"/>
          <w:highlight w:val="white"/>
          <w:u w:val="single"/>
        </w:rPr>
        <w:fldChar w:fldCharType="end"/>
      </w:r>
      <w:r>
        <w:rPr>
          <w:rFonts w:ascii="Times New Roman" w:cs="Times New Roman" w:eastAsia="Times New Roman" w:hAnsi="Times New Roman"/>
          <w:color w:val="1155cc"/>
          <w:sz w:val="24"/>
          <w:szCs w:val="24"/>
          <w:highlight w:val="white"/>
          <w:u w:val="single"/>
        </w:rPr>
        <w:fldChar w:fldCharType="begin"/>
      </w:r>
      <w:r>
        <w:rPr>
          <w:rFonts w:ascii="Times New Roman" w:cs="Times New Roman" w:eastAsia="Times New Roman" w:hAnsi="Times New Roman"/>
          <w:color w:val="1155cc"/>
          <w:sz w:val="24"/>
          <w:szCs w:val="24"/>
          <w:highlight w:val="white"/>
          <w:u w:val="single"/>
        </w:rPr>
        <w:instrText xml:space="preserve">HYPERLINK "https://www.emerald.com/ijrdm/article/52/1/44/1232569" </w:instrText>
      </w:r>
      <w:r>
        <w:rPr>
          <w:rFonts w:ascii="Times New Roman" w:cs="Times New Roman" w:eastAsia="Times New Roman" w:hAnsi="Times New Roman"/>
          <w:color w:val="1155cc"/>
          <w:sz w:val="24"/>
          <w:szCs w:val="24"/>
          <w:highlight w:val="white"/>
          <w:u w:val="single"/>
        </w:rPr>
        <w:fldChar w:fldCharType="separate"/>
      </w:r>
      <w:r>
        <w:rPr>
          <w:rFonts w:ascii="Times New Roman" w:cs="Times New Roman" w:eastAsia="Times New Roman" w:hAnsi="Times New Roman"/>
          <w:color w:val="1155cc"/>
          <w:sz w:val="24"/>
          <w:szCs w:val="24"/>
          <w:highlight w:val="white"/>
          <w:u w:val="single"/>
        </w:rPr>
        <w:t>https://www.emerald.com/ijrdm/article/52/1/44/1232569</w:t>
      </w:r>
      <w:r>
        <w:rPr>
          <w:rFonts w:ascii="Times New Roman" w:cs="Times New Roman" w:eastAsia="Times New Roman" w:hAnsi="Times New Roman"/>
          <w:color w:val="1155cc"/>
          <w:sz w:val="24"/>
          <w:szCs w:val="24"/>
          <w:highlight w:val="white"/>
          <w:u w:val="single"/>
        </w:rPr>
        <w:fldChar w:fldCharType="end"/>
      </w:r>
    </w:p>
    <w:p w14:paraId="00000024"/>
    <w:p w14:paraId="00000025">
      <w:pPr>
        <w:spacing w:line="480" w:lineRule="auto"/>
        <w:jc w:val="both"/>
        <w:rPr/>
      </w:pPr>
    </w:p>
    <w:sectPr>
      <w:footerReference w:type="default" r:id="rId15"/>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line="240" w:lineRule="auto"/>
        <w:rPr/>
      </w:pPr>
      <w:r>
        <w:rPr/>
        <w:separator/>
      </w:r>
    </w:p>
  </w:endnote>
  <w:endnote w:type="continuationSeparator" w:id="1">
    <w:p w14:paraId="00000004">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26">
    <w:pPr>
      <w:pStyle w:val="Footer"/>
      <w:jc w:val="right"/>
      <w:rPr/>
    </w:pPr>
    <w:r>
      <w:fldChar w:fldCharType="begin"/>
    </w:r>
    <w:r>
      <w:instrText xml:space="preserve"> PAGE   \* MERGEFORMAT </w:instrText>
    </w:r>
    <w:r>
      <w:fldChar w:fldCharType="separate"/>
    </w:r>
    <w:r>
      <w:t>2</w:t>
    </w:r>
    <w:r>
      <w:fldChar w:fldCharType="end"/>
    </w:r>
  </w:p>
  <w:p w14:paraId="00000027">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line="240" w:lineRule="auto"/>
        <w:rPr/>
      </w:pPr>
      <w:r>
        <w:rPr/>
        <w:separator/>
      </w:r>
    </w:p>
  </w:footnote>
  <w:footnote w:type="continuationSeparator" w:id="1">
    <w:p w14:paraId="00000002">
      <w:pPr>
        <w:spacing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A56"/>
    <w:rsid w:val="0015460C"/>
    <w:rsid w:val="003D0BE9"/>
    <w:rsid w:val="00402149"/>
    <w:rsid w:val="005E3238"/>
    <w:rsid w:val="005F30E7"/>
    <w:rsid w:val="007339BC"/>
    <w:rsid w:val="00815FDF"/>
    <w:rsid w:val="008E0EF5"/>
    <w:rsid w:val="00A03D0E"/>
    <w:rsid w:val="00AD24A2"/>
    <w:rsid w:val="00B35CBC"/>
    <w:rsid w:val="00B63F4D"/>
    <w:rsid w:val="00B645F5"/>
    <w:rsid w:val="00B71A56"/>
    <w:rsid w:val="00BF3E94"/>
    <w:rsid w:val="00C43322"/>
    <w:rsid w:val="00CF2C93"/>
    <w:rsid w:val="00DB0E7C"/>
    <w:rsid w:val="00E12C7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D3E37"/>
  <w15:chartTrackingRefBased/>
  <w15:docId w15:val="{072A0921-01F2-4F59-9DBD-BBA0605D6CEC}"/>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IN" w:bidi="ar-SA" w:eastAsia="en-US"/>
        <w14:ligatures w14:val="standardContextual"/>
      </w:rPr>
    </w:rPrDefault>
    <w:pPrDefault>
      <w:pPr>
        <w:spacing w:after="160" w:line="259" w:lineRule="auto"/>
      </w:pPr>
    </w:pPrDefault>
  </w:docDefaults>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d7d31"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pPr>
      <w:spacing w:after="0" w:line="276" w:lineRule="auto"/>
    </w:pPr>
    <w:rPr>
      <w:rFonts w:ascii="Arial" w:cs="Arial" w:eastAsia="Arial" w:hAnsi="Arial"/>
      <w:lang w:val="en-AU"/>
    </w:rPr>
  </w:style>
  <w:style w:type="paragraph" w:styleId="Heading1">
    <w:name w:val="Heading 1"/>
    <w:basedOn w:val="Normal"/>
    <w:next w:val="Normal"/>
    <w:link w:val="Heading1Char"/>
    <w:uiPriority w:val="9"/>
    <w:qFormat w:val="on"/>
    <w:pPr>
      <w:keepNext w:val="on"/>
      <w:keepLines w:val="on"/>
      <w:spacing w:before="240" w:line="360" w:lineRule="auto"/>
      <w:jc w:val="both"/>
    </w:pPr>
    <w:rPr>
      <w:rFonts w:asciiTheme="majorBidi" w:cstheme="majorBidi" w:eastAsiaTheme="majorEastAsia" w:hAnsiTheme="majorBidi"/>
      <w:b/>
      <w:color w:val="000000" w:themeColor="text1"/>
      <w:sz w:val="28"/>
      <w:szCs w:val="32"/>
      <w:lang w:val="en-IN"/>
      <w14:ligatures w14:val="standardContextual"/>
    </w:rPr>
  </w:style>
  <w:style w:type="paragraph" w:styleId="Heading2">
    <w:name w:val="Heading 2"/>
    <w:basedOn w:val="Normal"/>
    <w:next w:val="Normal"/>
    <w:link w:val="Heading2Char"/>
    <w:uiPriority w:val="9"/>
    <w:unhideWhenUsed w:val="on"/>
    <w:qFormat w:val="on"/>
    <w:pPr>
      <w:keepNext w:val="on"/>
      <w:keepLines w:val="on"/>
      <w:spacing w:before="240" w:after="240" w:line="480" w:lineRule="auto"/>
      <w:jc w:val="both"/>
    </w:pPr>
    <w:rPr>
      <w:rFonts w:asciiTheme="majorBidi" w:cstheme="majorBidi" w:eastAsiaTheme="majorEastAsia" w:hAnsiTheme="majorBidi"/>
      <w:b/>
      <w:color w:val="000000" w:themeColor="text1"/>
      <w:sz w:val="26"/>
      <w:szCs w:val="26"/>
      <w:lang w:val="en-IN"/>
      <w14:ligatures w14:val="standardContextual"/>
    </w:rPr>
  </w:style>
  <w:style w:type="paragraph" w:styleId="Heading3">
    <w:name w:val="Heading 3"/>
    <w:basedOn w:val="Normal"/>
    <w:next w:val="Normal"/>
    <w:link w:val="Heading3Char"/>
    <w:uiPriority w:val="9"/>
    <w:unhideWhenUsed w:val="on"/>
    <w:qFormat w:val="on"/>
    <w:pPr>
      <w:keepNext w:val="on"/>
      <w:keepLines w:val="on"/>
      <w:spacing w:before="40" w:line="360" w:lineRule="auto"/>
      <w:jc w:val="both"/>
    </w:pPr>
    <w:rPr>
      <w:rFonts w:asciiTheme="majorBidi" w:cstheme="majorBidi" w:eastAsiaTheme="majorEastAsia" w:hAnsiTheme="majorBidi"/>
      <w:b/>
      <w:color w:val="000000" w:themeColor="text1"/>
      <w:sz w:val="24"/>
      <w:szCs w:val="24"/>
      <w:lang w:val="en-GB"/>
      <w14:ligatures w14:val="standardContextual"/>
    </w:rPr>
  </w:style>
  <w:style w:type="paragraph" w:styleId="Heading4">
    <w:name w:val="Heading 4"/>
    <w:basedOn w:val="Normal"/>
    <w:next w:val="Normal"/>
    <w:link w:val="Heading4Char"/>
    <w:uiPriority w:val="9"/>
    <w:semiHidden w:val="on"/>
    <w:unhideWhenUsed w:val="on"/>
    <w:qFormat w:val="on"/>
    <w:pPr>
      <w:keepNext w:val="on"/>
      <w:keepLines w:val="on"/>
      <w:spacing w:before="80" w:after="40" w:line="360" w:lineRule="auto"/>
      <w:jc w:val="both"/>
    </w:pPr>
    <w:rPr>
      <w:rFonts w:asciiTheme="minorHAnsi" w:cstheme="majorBidi" w:eastAsiaTheme="majorEastAsia" w:hAnsiTheme="minorHAnsi"/>
      <w:i/>
      <w:iCs/>
      <w:color w:val="2f5395" w:themeColor="accent1" w:themeShade="bf"/>
      <w:sz w:val="24"/>
      <w:lang w:val="en-IN"/>
      <w14:ligatures w14:val="standardContextual"/>
    </w:rPr>
  </w:style>
  <w:style w:type="paragraph" w:styleId="Heading5">
    <w:name w:val="Heading 5"/>
    <w:basedOn w:val="Normal"/>
    <w:next w:val="Normal"/>
    <w:link w:val="Heading5Char"/>
    <w:uiPriority w:val="9"/>
    <w:semiHidden w:val="on"/>
    <w:unhideWhenUsed w:val="on"/>
    <w:qFormat w:val="on"/>
    <w:pPr>
      <w:keepNext w:val="on"/>
      <w:keepLines w:val="on"/>
      <w:spacing w:before="80" w:after="40" w:line="360" w:lineRule="auto"/>
      <w:jc w:val="both"/>
    </w:pPr>
    <w:rPr>
      <w:rFonts w:asciiTheme="minorHAnsi" w:cstheme="majorBidi" w:eastAsiaTheme="majorEastAsia" w:hAnsiTheme="minorHAnsi"/>
      <w:color w:val="2f5395" w:themeColor="accent1" w:themeShade="bf"/>
      <w:sz w:val="24"/>
      <w:lang w:val="en-IN"/>
      <w14:ligatures w14:val="standardContextual"/>
    </w:rPr>
  </w:style>
  <w:style w:type="paragraph" w:styleId="Heading6">
    <w:name w:val="Heading 6"/>
    <w:basedOn w:val="Normal"/>
    <w:next w:val="Normal"/>
    <w:link w:val="Heading6Char"/>
    <w:uiPriority w:val="9"/>
    <w:semiHidden w:val="on"/>
    <w:unhideWhenUsed w:val="on"/>
    <w:qFormat w:val="on"/>
    <w:pPr>
      <w:keepNext w:val="on"/>
      <w:keepLines w:val="on"/>
      <w:spacing w:before="40" w:line="360" w:lineRule="auto"/>
      <w:jc w:val="both"/>
    </w:pPr>
    <w:rPr>
      <w:rFonts w:asciiTheme="minorHAnsi" w:cstheme="majorBidi" w:eastAsiaTheme="majorEastAsia" w:hAnsiTheme="minorHAnsi"/>
      <w:i/>
      <w:iCs/>
      <w:color w:val="595959" w:themeColor="text1" w:themeTint="a6"/>
      <w:sz w:val="24"/>
      <w:lang w:val="en-IN"/>
      <w14:ligatures w14:val="standardContextual"/>
    </w:rPr>
  </w:style>
  <w:style w:type="paragraph" w:styleId="Heading7">
    <w:name w:val="Heading 7"/>
    <w:basedOn w:val="Normal"/>
    <w:next w:val="Normal"/>
    <w:link w:val="Heading7Char"/>
    <w:uiPriority w:val="9"/>
    <w:semiHidden w:val="on"/>
    <w:unhideWhenUsed w:val="on"/>
    <w:qFormat w:val="on"/>
    <w:pPr>
      <w:keepNext w:val="on"/>
      <w:keepLines w:val="on"/>
      <w:spacing w:before="40" w:line="360" w:lineRule="auto"/>
      <w:jc w:val="both"/>
    </w:pPr>
    <w:rPr>
      <w:rFonts w:asciiTheme="minorHAnsi" w:cstheme="majorBidi" w:eastAsiaTheme="majorEastAsia" w:hAnsiTheme="minorHAnsi"/>
      <w:color w:val="595959" w:themeColor="text1" w:themeTint="a6"/>
      <w:sz w:val="24"/>
      <w:lang w:val="en-IN"/>
      <w14:ligatures w14:val="standardContextual"/>
    </w:rPr>
  </w:style>
  <w:style w:type="paragraph" w:styleId="Heading8">
    <w:name w:val="Heading 8"/>
    <w:basedOn w:val="Normal"/>
    <w:next w:val="Normal"/>
    <w:link w:val="Heading8Char"/>
    <w:uiPriority w:val="9"/>
    <w:semiHidden w:val="on"/>
    <w:unhideWhenUsed w:val="on"/>
    <w:qFormat w:val="on"/>
    <w:pPr>
      <w:keepNext w:val="on"/>
      <w:keepLines w:val="on"/>
      <w:spacing w:line="360" w:lineRule="auto"/>
      <w:jc w:val="both"/>
    </w:pPr>
    <w:rPr>
      <w:rFonts w:asciiTheme="minorHAnsi" w:cstheme="majorBidi" w:eastAsiaTheme="majorEastAsia" w:hAnsiTheme="minorHAnsi"/>
      <w:i/>
      <w:iCs/>
      <w:color w:val="272727" w:themeColor="text1" w:themeTint="d8"/>
      <w:sz w:val="24"/>
      <w:lang w:val="en-IN"/>
      <w14:ligatures w14:val="standardContextual"/>
    </w:rPr>
  </w:style>
  <w:style w:type="paragraph" w:styleId="Heading9">
    <w:name w:val="Heading 9"/>
    <w:basedOn w:val="Normal"/>
    <w:next w:val="Normal"/>
    <w:link w:val="Heading9Char"/>
    <w:uiPriority w:val="9"/>
    <w:semiHidden w:val="on"/>
    <w:unhideWhenUsed w:val="on"/>
    <w:qFormat w:val="on"/>
    <w:pPr>
      <w:keepNext w:val="on"/>
      <w:keepLines w:val="on"/>
      <w:spacing w:line="360" w:lineRule="auto"/>
      <w:jc w:val="both"/>
    </w:pPr>
    <w:rPr>
      <w:rFonts w:asciiTheme="minorHAnsi" w:cstheme="majorBidi" w:eastAsiaTheme="majorEastAsia" w:hAnsiTheme="minorHAnsi"/>
      <w:color w:val="272727" w:themeColor="text1" w:themeTint="d8"/>
      <w:sz w:val="24"/>
      <w:lang w:val="en-IN"/>
      <w14:ligatures w14:val="standardContextual"/>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Bidi" w:cstheme="majorBidi" w:eastAsiaTheme="majorEastAsia" w:hAnsiTheme="majorBidi"/>
      <w:b/>
      <w:color w:val="000000" w:themeColor="text1"/>
      <w:sz w:val="28"/>
      <w:szCs w:val="32"/>
    </w:rPr>
  </w:style>
  <w:style w:type="character" w:customStyle="1" w:styleId="Heading2Char">
    <w:name w:val="Heading 2 Char"/>
    <w:basedOn w:val="DefaultParagraphFont"/>
    <w:link w:val="Heading2"/>
    <w:uiPriority w:val="9"/>
    <w:rPr>
      <w:rFonts w:asciiTheme="majorBidi" w:cstheme="majorBidi" w:eastAsiaTheme="majorEastAsia" w:hAnsiTheme="majorBidi"/>
      <w:b/>
      <w:color w:val="000000" w:themeColor="text1"/>
      <w:sz w:val="26"/>
      <w:szCs w:val="26"/>
    </w:rPr>
  </w:style>
  <w:style w:type="character" w:customStyle="1" w:styleId="Heading3Char">
    <w:name w:val="Heading 3 Char"/>
    <w:basedOn w:val="DefaultParagraphFont"/>
    <w:link w:val="Heading3"/>
    <w:uiPriority w:val="9"/>
    <w:rPr>
      <w:rFonts w:asciiTheme="majorBidi" w:cstheme="majorBidi" w:eastAsiaTheme="majorEastAsia" w:hAnsiTheme="majorBidi"/>
      <w:b/>
      <w:color w:val="000000" w:themeColor="text1"/>
      <w:sz w:val="24"/>
      <w:szCs w:val="24"/>
      <w:lang w:val="en-GB"/>
    </w:rPr>
  </w:style>
  <w:style w:type="character" w:customStyle="1" w:styleId="Heading4Char">
    <w:name w:val="Heading 4 Char"/>
    <w:basedOn w:val="DefaultParagraphFont"/>
    <w:link w:val="Heading4"/>
    <w:uiPriority w:val="9"/>
    <w:semiHidden w:val="on"/>
    <w:rPr>
      <w:rFonts w:cstheme="majorBidi" w:eastAsiaTheme="majorEastAsia"/>
      <w:i/>
      <w:iCs/>
      <w:color w:val="2f5395" w:themeColor="accent1" w:themeShade="bf"/>
      <w:sz w:val="24"/>
    </w:rPr>
  </w:style>
  <w:style w:type="character" w:customStyle="1" w:styleId="Heading5Char">
    <w:name w:val="Heading 5 Char"/>
    <w:basedOn w:val="DefaultParagraphFont"/>
    <w:link w:val="Heading5"/>
    <w:uiPriority w:val="9"/>
    <w:semiHidden w:val="on"/>
    <w:rPr>
      <w:rFonts w:cstheme="majorBidi" w:eastAsiaTheme="majorEastAsia"/>
      <w:color w:val="2f5395" w:themeColor="accent1" w:themeShade="bf"/>
      <w:sz w:val="24"/>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sz w:val="24"/>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sz w:val="24"/>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sz w:val="24"/>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sz w:val="24"/>
    </w:rPr>
  </w:style>
  <w:style w:type="paragraph" w:styleId="Title">
    <w:name w:val="Title"/>
    <w:basedOn w:val="Normal"/>
    <w:next w:val="Normal"/>
    <w:link w:val="TitleChar"/>
    <w:uiPriority w:val="10"/>
    <w:qFormat w:val="on"/>
    <w:pPr>
      <w:spacing w:after="80" w:line="240" w:lineRule="auto"/>
      <w:contextualSpacing w:val="on"/>
      <w:jc w:val="both"/>
    </w:pPr>
    <w:rPr>
      <w:rFonts w:asciiTheme="majorHAnsi" w:cstheme="majorBidi" w:eastAsiaTheme="majorEastAsia" w:hAnsiTheme="majorHAnsi"/>
      <w:spacing w:val="-10"/>
      <w:sz w:val="56"/>
      <w:szCs w:val="56"/>
      <w:lang w:val="en-IN"/>
      <w14:ligatures w14:val="standardContextual"/>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Subtitle">
    <w:name w:val="Subtitle"/>
    <w:basedOn w:val="Normal"/>
    <w:next w:val="Normal"/>
    <w:link w:val="SubtitleChar"/>
    <w:uiPriority w:val="11"/>
    <w:qFormat w:val="on"/>
    <w:pPr>
      <w:spacing w:before="240" w:after="160" w:line="360" w:lineRule="auto"/>
      <w:jc w:val="both"/>
    </w:pPr>
    <w:rPr>
      <w:rFonts w:asciiTheme="minorHAnsi" w:cstheme="majorBidi" w:eastAsiaTheme="majorEastAsia" w:hAnsiTheme="minorHAnsi"/>
      <w:color w:val="595959" w:themeColor="text1" w:themeTint="a6"/>
      <w:spacing w:val="15"/>
      <w:sz w:val="28"/>
      <w:szCs w:val="28"/>
      <w:lang w:val="en-IN"/>
      <w14:ligatures w14:val="standardContextual"/>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val="on"/>
    <w:pPr>
      <w:spacing w:before="160" w:after="160" w:line="360" w:lineRule="auto"/>
      <w:jc w:val="center"/>
    </w:pPr>
    <w:rPr>
      <w:rFonts w:asciiTheme="majorBidi" w:cstheme="minorBidi" w:eastAsiaTheme="minorHAnsi" w:hAnsiTheme="majorBidi"/>
      <w:i/>
      <w:iCs/>
      <w:color w:val="404040" w:themeColor="text1" w:themeTint="bf"/>
      <w:sz w:val="24"/>
      <w:lang w:val="en-IN"/>
      <w14:ligatures w14:val="standardContextual"/>
    </w:rPr>
  </w:style>
  <w:style w:type="character" w:customStyle="1" w:styleId="QuoteChar">
    <w:name w:val="Quote Char"/>
    <w:basedOn w:val="DefaultParagraphFont"/>
    <w:link w:val="Quote"/>
    <w:uiPriority w:val="29"/>
    <w:rPr>
      <w:rFonts w:asciiTheme="majorBidi" w:hAnsiTheme="majorBidi"/>
      <w:i/>
      <w:iCs/>
      <w:color w:val="404040" w:themeColor="text1" w:themeTint="bf"/>
      <w:sz w:val="24"/>
    </w:rPr>
  </w:style>
  <w:style w:type="paragraph" w:styleId="ListParagraph">
    <w:name w:val="List Paragraph"/>
    <w:basedOn w:val="Normal"/>
    <w:uiPriority w:val="34"/>
    <w:qFormat w:val="on"/>
    <w:pPr>
      <w:spacing w:before="240" w:after="240" w:line="360" w:lineRule="auto"/>
      <w:ind w:left="720"/>
      <w:contextualSpacing w:val="on"/>
      <w:jc w:val="both"/>
    </w:pPr>
    <w:rPr>
      <w:rFonts w:asciiTheme="majorBidi" w:cstheme="minorBidi" w:eastAsiaTheme="minorHAnsi" w:hAnsiTheme="majorBidi"/>
      <w:sz w:val="24"/>
      <w:lang w:val="en-IN"/>
      <w14:ligatures w14:val="standardContextual"/>
    </w:rPr>
  </w:style>
  <w:style w:type="character" w:styleId="IntenseEmphasis">
    <w:name w:val="Intense Emphasis"/>
    <w:basedOn w:val="DefaultParagraphFont"/>
    <w:uiPriority w:val="21"/>
    <w:qFormat w:val="on"/>
    <w:rPr>
      <w:i/>
      <w:iCs/>
      <w:color w:val="2f5395" w:themeColor="accent1" w:themeShade="bf"/>
    </w:rPr>
  </w:style>
  <w:style w:type="paragraph" w:styleId="IntenseQuote">
    <w:name w:val="Intense Quote"/>
    <w:basedOn w:val="Normal"/>
    <w:next w:val="Normal"/>
    <w:link w:val="IntenseQuoteChar"/>
    <w:uiPriority w:val="30"/>
    <w:qFormat w:val="on"/>
    <w:pPr>
      <w:pBdr>
        <w:top w:val="single" w:color="2f5395" w:themeColor="accent1" w:themeShade="bf" w:sz="4" w:space="10"/>
        <w:bottom w:val="single" w:color="2f5395" w:themeColor="accent1" w:themeShade="bf" w:sz="4" w:space="10"/>
      </w:pBdr>
      <w:spacing w:before="360" w:after="360" w:line="360" w:lineRule="auto"/>
      <w:ind w:left="864" w:right="864"/>
      <w:jc w:val="center"/>
    </w:pPr>
    <w:rPr>
      <w:rFonts w:asciiTheme="majorBidi" w:cstheme="minorBidi" w:eastAsiaTheme="minorHAnsi" w:hAnsiTheme="majorBidi"/>
      <w:i/>
      <w:iCs/>
      <w:color w:val="2f5395" w:themeColor="accent1" w:themeShade="bf"/>
      <w:sz w:val="24"/>
      <w:lang w:val="en-IN"/>
      <w14:ligatures w14:val="standardContextual"/>
    </w:rPr>
  </w:style>
  <w:style w:type="character" w:customStyle="1" w:styleId="IntenseQuoteChar">
    <w:name w:val="Intense Quote Char"/>
    <w:basedOn w:val="DefaultParagraphFont"/>
    <w:link w:val="IntenseQuote"/>
    <w:uiPriority w:val="30"/>
    <w:rPr>
      <w:rFonts w:asciiTheme="majorBidi" w:hAnsiTheme="majorBidi"/>
      <w:i/>
      <w:iCs/>
      <w:color w:val="2f5395" w:themeColor="accent1" w:themeShade="bf"/>
      <w:sz w:val="24"/>
    </w:rPr>
  </w:style>
  <w:style w:type="character" w:styleId="IntenseReference">
    <w:name w:val="Intense Reference"/>
    <w:basedOn w:val="DefaultParagraphFont"/>
    <w:uiPriority w:val="32"/>
    <w:qFormat w:val="on"/>
    <w:rPr>
      <w:b/>
      <w:bCs/>
      <w:smallCaps/>
      <w:color w:val="2f5395" w:themeColor="accent1" w:themeShade="bf"/>
      <w:spacing w:val="5"/>
    </w:rPr>
  </w:style>
  <w:style w:type="paragraph" w:styleId="NoSpacing">
    <w:name w:val="No Spacing"/>
    <w:uiPriority w:val="1"/>
    <w:qFormat w:val="on"/>
    <w:pPr>
      <w:spacing w:after="0" w:line="240" w:lineRule="auto"/>
    </w:pPr>
    <w:rPr>
      <w:rFonts w:ascii="Arial" w:cs="Arial" w:eastAsia="Arial" w:hAnsi="Arial"/>
      <w:lang w:val="en-AU"/>
    </w:r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rPr>
      <w:rFonts w:ascii="Arial" w:cs="Arial" w:eastAsia="Arial" w:hAnsi="Arial"/>
      <w:lang w:val="en-AU"/>
    </w:rPr>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rPr>
      <w:rFonts w:ascii="Arial" w:cs="Arial" w:eastAsia="Arial" w:hAnsi="Arial"/>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12" Type="http://schemas.openxmlformats.org/officeDocument/2006/relationships/fontTable" Target="fontTable.xml"/><Relationship Id="rId13" Type="http://schemas.openxmlformats.org/officeDocument/2006/relationships/theme" Target="theme/theme1.xml"/><Relationship Id="rId14" Type="http://schemas.openxmlformats.org/officeDocument/2006/relationships/image" Target="media/image2.png"/><Relationship Id="rId15" Type="http://schemas.openxmlformats.org/officeDocument/2006/relationships/footer" Target="footer1.xml"/><Relationship Id="rId2" Type="http://schemas.openxmlformats.org/officeDocument/2006/relationships/settings" Target="settings.xml"/><Relationship Id="rId4" Type="http://schemas.openxmlformats.org/officeDocument/2006/relationships/footnotes" Target="footnotes.xml"/><Relationship Id="rId5" Type="http://schemas.openxmlformats.org/officeDocument/2006/relationships/endnotes" Target="endnotes.xml"/><Relationship Id="rId3" Type="http://schemas.openxmlformats.org/officeDocument/2006/relationships/webSettings" Target="webSettings.xml"/><Relationship Id="rId7" Type="http://schemas.openxmlformats.org/officeDocument/2006/relationships/hyperlink" Target="https://f1000research.com/articles/14-97" TargetMode="External"/><Relationship Id="rId8" Type="http://schemas.openxmlformats.org/officeDocument/2006/relationships/hyperlink" Target="https://f1000research.com/articles/14-97" TargetMode="External"/><Relationship Id="rId9" Type="http://schemas.openxmlformats.org/officeDocument/2006/relationships/hyperlink" Target="https://www.emerald.com/ijrdm/article/52/1/44/1232569" TargetMode="External"/><Relationship Id="rId10" Type="http://schemas.openxmlformats.org/officeDocument/2006/relationships/hyperlink" Target="https://www.emerald.com/ijrdm/article/52/1/44/1232569"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715</Words>
  <Characters>4080</Characters>
  <DocSecurity>0</DocSecurity>
  <Lines>34</Lines>
  <Paragraphs>9</Paragraphs>
  <ScaleCrop>false</ScaleCrop>
  <Company/>
  <LinksUpToDate>false</LinksUpToDate>
  <CharactersWithSpaces>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Narcis Hirsova</dc:creator>
  <cp:lastModifiedBy>Narcis Hirsova</cp:lastModifiedBy>
</cp:coreProperties>
</file>