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5D6F3" w14:textId="77777777" w:rsidR="00A23745" w:rsidRPr="00A23745" w:rsidRDefault="00B72C39" w:rsidP="00A23745">
      <w:pPr>
        <w:spacing w:line="360" w:lineRule="auto"/>
        <w:jc w:val="center"/>
        <w:rPr>
          <w:rFonts w:cstheme="minorHAnsi"/>
          <w:sz w:val="40"/>
          <w:szCs w:val="40"/>
        </w:rPr>
      </w:pPr>
      <w:r w:rsidRPr="00A23745">
        <w:rPr>
          <w:rFonts w:cstheme="minorHAnsi"/>
          <w:sz w:val="40"/>
          <w:szCs w:val="40"/>
        </w:rPr>
        <w:t>BANKING FINANCIAL MANAGEMENT AND FINANCIAL MARKETS</w:t>
      </w:r>
    </w:p>
    <w:p w14:paraId="5871E27C" w14:textId="37971CBA" w:rsidR="00A23745" w:rsidRPr="00A23745" w:rsidRDefault="00A23745" w:rsidP="00A23745">
      <w:pPr>
        <w:spacing w:line="360" w:lineRule="auto"/>
        <w:jc w:val="center"/>
        <w:rPr>
          <w:rFonts w:cstheme="minorHAnsi"/>
          <w:sz w:val="40"/>
          <w:szCs w:val="40"/>
        </w:rPr>
      </w:pPr>
      <w:r w:rsidRPr="00A23745">
        <w:rPr>
          <w:rFonts w:cstheme="minorHAnsi"/>
          <w:sz w:val="40"/>
          <w:szCs w:val="40"/>
        </w:rPr>
        <w:t xml:space="preserve"> </w:t>
      </w:r>
      <w:r w:rsidRPr="00A23745">
        <w:rPr>
          <w:rFonts w:cstheme="minorHAnsi"/>
          <w:sz w:val="40"/>
          <w:szCs w:val="40"/>
        </w:rPr>
        <w:t>Patrisiya Todorova Gospodinova</w:t>
      </w:r>
    </w:p>
    <w:p w14:paraId="240A9913" w14:textId="77777777" w:rsidR="00A23745" w:rsidRPr="00A23745" w:rsidRDefault="00A23745" w:rsidP="00A23745">
      <w:pPr>
        <w:spacing w:line="360" w:lineRule="auto"/>
        <w:jc w:val="center"/>
        <w:rPr>
          <w:rFonts w:cstheme="minorHAnsi"/>
          <w:sz w:val="40"/>
          <w:szCs w:val="40"/>
        </w:rPr>
      </w:pPr>
      <w:r w:rsidRPr="00A23745">
        <w:rPr>
          <w:rFonts w:cstheme="minorHAnsi"/>
          <w:sz w:val="40"/>
          <w:szCs w:val="40"/>
        </w:rPr>
        <w:t>1602994</w:t>
      </w:r>
    </w:p>
    <w:p w14:paraId="459F2234" w14:textId="77777777" w:rsidR="00A23745" w:rsidRPr="00A23745" w:rsidRDefault="00A23745" w:rsidP="00A23745">
      <w:pPr>
        <w:spacing w:line="360" w:lineRule="auto"/>
        <w:jc w:val="center"/>
        <w:rPr>
          <w:rFonts w:cstheme="minorHAnsi"/>
          <w:sz w:val="40"/>
          <w:szCs w:val="40"/>
        </w:rPr>
      </w:pPr>
      <w:r w:rsidRPr="00A23745">
        <w:rPr>
          <w:rFonts w:cstheme="minorHAnsi"/>
          <w:sz w:val="40"/>
          <w:szCs w:val="40"/>
        </w:rPr>
        <w:t>University Of Wales</w:t>
      </w:r>
    </w:p>
    <w:p w14:paraId="04EFF67E" w14:textId="77777777" w:rsidR="00A23745" w:rsidRPr="00A23745" w:rsidRDefault="00A23745" w:rsidP="00A23745">
      <w:pPr>
        <w:spacing w:line="360" w:lineRule="auto"/>
        <w:jc w:val="center"/>
        <w:rPr>
          <w:rFonts w:cstheme="minorHAnsi"/>
          <w:sz w:val="40"/>
          <w:szCs w:val="40"/>
        </w:rPr>
      </w:pPr>
      <w:r w:rsidRPr="00A23745">
        <w:rPr>
          <w:rFonts w:cstheme="minorHAnsi"/>
          <w:sz w:val="40"/>
          <w:szCs w:val="40"/>
        </w:rPr>
        <w:t>Trinity Saint David</w:t>
      </w:r>
    </w:p>
    <w:p w14:paraId="4086CDE4" w14:textId="04CFEBD6" w:rsidR="00475A62" w:rsidRPr="00BB51F3" w:rsidRDefault="00475A62" w:rsidP="00A23745">
      <w:pPr>
        <w:pStyle w:val="Title"/>
        <w:spacing w:line="360" w:lineRule="auto"/>
        <w:jc w:val="center"/>
        <w:rPr>
          <w:rFonts w:asciiTheme="minorHAnsi" w:hAnsiTheme="minorHAnsi" w:cstheme="minorHAnsi"/>
          <w:sz w:val="24"/>
          <w:szCs w:val="24"/>
        </w:rPr>
      </w:pPr>
    </w:p>
    <w:p w14:paraId="62944EBE" w14:textId="3E17F4E5" w:rsidR="00A23745" w:rsidRPr="00BB51F3" w:rsidRDefault="00B72C39" w:rsidP="00A23745">
      <w:pPr>
        <w:spacing w:line="360" w:lineRule="auto"/>
        <w:jc w:val="center"/>
        <w:rPr>
          <w:rFonts w:cstheme="minorHAnsi"/>
          <w:sz w:val="24"/>
          <w:szCs w:val="24"/>
        </w:rPr>
      </w:pPr>
      <w:r w:rsidRPr="00BB51F3">
        <w:rPr>
          <w:rFonts w:cstheme="minorHAnsi"/>
          <w:sz w:val="24"/>
          <w:szCs w:val="24"/>
        </w:rPr>
        <w:br w:type="page"/>
      </w:r>
    </w:p>
    <w:sdt>
      <w:sdtPr>
        <w:rPr>
          <w:rFonts w:asciiTheme="minorHAnsi" w:eastAsiaTheme="minorHAnsi" w:hAnsiTheme="minorHAnsi" w:cstheme="minorHAnsi"/>
          <w:color w:val="auto"/>
          <w:sz w:val="24"/>
          <w:szCs w:val="24"/>
          <w:lang w:val="en-IN"/>
        </w:rPr>
        <w:id w:val="1958206078"/>
        <w:docPartObj>
          <w:docPartGallery w:val="Table of Contents"/>
          <w:docPartUnique/>
        </w:docPartObj>
      </w:sdtPr>
      <w:sdtEndPr>
        <w:rPr>
          <w:b/>
          <w:bCs/>
          <w:noProof/>
        </w:rPr>
      </w:sdtEndPr>
      <w:sdtContent>
        <w:p w14:paraId="664A73AE" w14:textId="49CC36B6" w:rsidR="00884293" w:rsidRPr="00BB51F3" w:rsidRDefault="00B72C39" w:rsidP="00BB51F3">
          <w:pPr>
            <w:pStyle w:val="TOCHeading"/>
            <w:spacing w:line="360" w:lineRule="auto"/>
            <w:jc w:val="both"/>
            <w:rPr>
              <w:rFonts w:asciiTheme="minorHAnsi" w:hAnsiTheme="minorHAnsi" w:cstheme="minorHAnsi"/>
              <w:sz w:val="24"/>
              <w:szCs w:val="24"/>
            </w:rPr>
          </w:pPr>
          <w:r w:rsidRPr="00BB51F3">
            <w:rPr>
              <w:rFonts w:asciiTheme="minorHAnsi" w:hAnsiTheme="minorHAnsi" w:cstheme="minorHAnsi"/>
              <w:sz w:val="24"/>
              <w:szCs w:val="24"/>
            </w:rPr>
            <w:t>Table of Contents</w:t>
          </w:r>
        </w:p>
        <w:p w14:paraId="76F1E5D1" w14:textId="144A9B58" w:rsidR="007B4D7D" w:rsidRDefault="00B72C39">
          <w:pPr>
            <w:pStyle w:val="TOC1"/>
            <w:tabs>
              <w:tab w:val="right" w:leader="dot" w:pos="9016"/>
            </w:tabs>
            <w:rPr>
              <w:rFonts w:eastAsiaTheme="minorEastAsia"/>
              <w:noProof/>
              <w:lang w:eastAsia="en-IN"/>
            </w:rPr>
          </w:pPr>
          <w:r w:rsidRPr="00BB51F3">
            <w:rPr>
              <w:rFonts w:cstheme="minorHAnsi"/>
              <w:sz w:val="24"/>
              <w:szCs w:val="24"/>
            </w:rPr>
            <w:fldChar w:fldCharType="begin"/>
          </w:r>
          <w:r w:rsidRPr="00BB51F3">
            <w:rPr>
              <w:rFonts w:cstheme="minorHAnsi"/>
              <w:sz w:val="24"/>
              <w:szCs w:val="24"/>
            </w:rPr>
            <w:instrText xml:space="preserve"> TOC \o "1-3" \h \z \u </w:instrText>
          </w:r>
          <w:r w:rsidRPr="00BB51F3">
            <w:rPr>
              <w:rFonts w:cstheme="minorHAnsi"/>
              <w:sz w:val="24"/>
              <w:szCs w:val="24"/>
            </w:rPr>
            <w:fldChar w:fldCharType="separate"/>
          </w:r>
          <w:hyperlink w:anchor="_Toc101817638" w:history="1">
            <w:r w:rsidRPr="0098070A">
              <w:rPr>
                <w:rStyle w:val="Hyperlink"/>
                <w:rFonts w:cstheme="minorHAnsi"/>
                <w:noProof/>
              </w:rPr>
              <w:t>INTRODUCTION</w:t>
            </w:r>
            <w:r>
              <w:rPr>
                <w:noProof/>
                <w:webHidden/>
              </w:rPr>
              <w:tab/>
            </w:r>
            <w:r>
              <w:rPr>
                <w:noProof/>
                <w:webHidden/>
              </w:rPr>
              <w:fldChar w:fldCharType="begin"/>
            </w:r>
            <w:r>
              <w:rPr>
                <w:noProof/>
                <w:webHidden/>
              </w:rPr>
              <w:instrText xml:space="preserve"> PAGEREF _Toc101817638 \h </w:instrText>
            </w:r>
            <w:r>
              <w:rPr>
                <w:noProof/>
                <w:webHidden/>
              </w:rPr>
            </w:r>
            <w:r>
              <w:rPr>
                <w:noProof/>
                <w:webHidden/>
              </w:rPr>
              <w:fldChar w:fldCharType="separate"/>
            </w:r>
            <w:r>
              <w:rPr>
                <w:noProof/>
                <w:webHidden/>
              </w:rPr>
              <w:t>3</w:t>
            </w:r>
            <w:r>
              <w:rPr>
                <w:noProof/>
                <w:webHidden/>
              </w:rPr>
              <w:fldChar w:fldCharType="end"/>
            </w:r>
          </w:hyperlink>
        </w:p>
        <w:p w14:paraId="390A7365" w14:textId="67C3C27C" w:rsidR="007B4D7D" w:rsidRDefault="00B72C39">
          <w:pPr>
            <w:pStyle w:val="TOC1"/>
            <w:tabs>
              <w:tab w:val="right" w:leader="dot" w:pos="9016"/>
            </w:tabs>
            <w:rPr>
              <w:rFonts w:eastAsiaTheme="minorEastAsia"/>
              <w:noProof/>
              <w:lang w:eastAsia="en-IN"/>
            </w:rPr>
          </w:pPr>
          <w:hyperlink w:anchor="_Toc101817639" w:history="1">
            <w:r w:rsidRPr="0098070A">
              <w:rPr>
                <w:rStyle w:val="Hyperlink"/>
                <w:rFonts w:cstheme="minorHAnsi"/>
                <w:noProof/>
              </w:rPr>
              <w:t>2008 FINANCIAL CRISIS</w:t>
            </w:r>
            <w:r>
              <w:rPr>
                <w:noProof/>
                <w:webHidden/>
              </w:rPr>
              <w:tab/>
            </w:r>
            <w:r>
              <w:rPr>
                <w:noProof/>
                <w:webHidden/>
              </w:rPr>
              <w:fldChar w:fldCharType="begin"/>
            </w:r>
            <w:r>
              <w:rPr>
                <w:noProof/>
                <w:webHidden/>
              </w:rPr>
              <w:instrText xml:space="preserve"> PAGEREF _Toc101817639 \h </w:instrText>
            </w:r>
            <w:r>
              <w:rPr>
                <w:noProof/>
                <w:webHidden/>
              </w:rPr>
            </w:r>
            <w:r>
              <w:rPr>
                <w:noProof/>
                <w:webHidden/>
              </w:rPr>
              <w:fldChar w:fldCharType="separate"/>
            </w:r>
            <w:r>
              <w:rPr>
                <w:noProof/>
                <w:webHidden/>
              </w:rPr>
              <w:t>4</w:t>
            </w:r>
            <w:r>
              <w:rPr>
                <w:noProof/>
                <w:webHidden/>
              </w:rPr>
              <w:fldChar w:fldCharType="end"/>
            </w:r>
          </w:hyperlink>
        </w:p>
        <w:p w14:paraId="60F9B5E4" w14:textId="11DCC1C7" w:rsidR="007B4D7D" w:rsidRDefault="00B72C39">
          <w:pPr>
            <w:pStyle w:val="TOC1"/>
            <w:tabs>
              <w:tab w:val="right" w:leader="dot" w:pos="9016"/>
            </w:tabs>
            <w:rPr>
              <w:rFonts w:eastAsiaTheme="minorEastAsia"/>
              <w:noProof/>
              <w:lang w:eastAsia="en-IN"/>
            </w:rPr>
          </w:pPr>
          <w:hyperlink w:anchor="_Toc101817640" w:history="1">
            <w:r w:rsidRPr="0098070A">
              <w:rPr>
                <w:rStyle w:val="Hyperlink"/>
                <w:rFonts w:cstheme="minorHAnsi"/>
                <w:noProof/>
              </w:rPr>
              <w:t>PART 1</w:t>
            </w:r>
            <w:r>
              <w:rPr>
                <w:noProof/>
                <w:webHidden/>
              </w:rPr>
              <w:tab/>
            </w:r>
            <w:r>
              <w:rPr>
                <w:noProof/>
                <w:webHidden/>
              </w:rPr>
              <w:fldChar w:fldCharType="begin"/>
            </w:r>
            <w:r>
              <w:rPr>
                <w:noProof/>
                <w:webHidden/>
              </w:rPr>
              <w:instrText xml:space="preserve"> </w:instrText>
            </w:r>
            <w:r>
              <w:rPr>
                <w:noProof/>
                <w:webHidden/>
              </w:rPr>
              <w:instrText xml:space="preserve">PAGEREF _Toc101817640 \h </w:instrText>
            </w:r>
            <w:r>
              <w:rPr>
                <w:noProof/>
                <w:webHidden/>
              </w:rPr>
            </w:r>
            <w:r>
              <w:rPr>
                <w:noProof/>
                <w:webHidden/>
              </w:rPr>
              <w:fldChar w:fldCharType="separate"/>
            </w:r>
            <w:r>
              <w:rPr>
                <w:noProof/>
                <w:webHidden/>
              </w:rPr>
              <w:t>5</w:t>
            </w:r>
            <w:r>
              <w:rPr>
                <w:noProof/>
                <w:webHidden/>
              </w:rPr>
              <w:fldChar w:fldCharType="end"/>
            </w:r>
          </w:hyperlink>
        </w:p>
        <w:p w14:paraId="66C3E19D" w14:textId="4255F67A" w:rsidR="007B4D7D" w:rsidRDefault="00B72C39">
          <w:pPr>
            <w:pStyle w:val="TOC2"/>
            <w:tabs>
              <w:tab w:val="right" w:leader="dot" w:pos="9016"/>
            </w:tabs>
            <w:rPr>
              <w:rFonts w:eastAsiaTheme="minorEastAsia"/>
              <w:noProof/>
              <w:lang w:eastAsia="en-IN"/>
            </w:rPr>
          </w:pPr>
          <w:hyperlink w:anchor="_Toc101817641" w:history="1">
            <w:r w:rsidRPr="0098070A">
              <w:rPr>
                <w:rStyle w:val="Hyperlink"/>
                <w:rFonts w:cstheme="minorHAnsi"/>
                <w:noProof/>
              </w:rPr>
              <w:t>KEY LAWS, REGULATIONS AND CONTRACTS THAT WERE ENACTED POST THE 2008 FINANCIAL CRISIS BY UK, US OR EU AUTHORITIES</w:t>
            </w:r>
            <w:r>
              <w:rPr>
                <w:noProof/>
                <w:webHidden/>
              </w:rPr>
              <w:tab/>
            </w:r>
            <w:r>
              <w:rPr>
                <w:noProof/>
                <w:webHidden/>
              </w:rPr>
              <w:fldChar w:fldCharType="begin"/>
            </w:r>
            <w:r>
              <w:rPr>
                <w:noProof/>
                <w:webHidden/>
              </w:rPr>
              <w:instrText xml:space="preserve"> PAGEREF _Toc10</w:instrText>
            </w:r>
            <w:r>
              <w:rPr>
                <w:noProof/>
                <w:webHidden/>
              </w:rPr>
              <w:instrText xml:space="preserve">1817641 \h </w:instrText>
            </w:r>
            <w:r>
              <w:rPr>
                <w:noProof/>
                <w:webHidden/>
              </w:rPr>
            </w:r>
            <w:r>
              <w:rPr>
                <w:noProof/>
                <w:webHidden/>
              </w:rPr>
              <w:fldChar w:fldCharType="separate"/>
            </w:r>
            <w:r>
              <w:rPr>
                <w:noProof/>
                <w:webHidden/>
              </w:rPr>
              <w:t>5</w:t>
            </w:r>
            <w:r>
              <w:rPr>
                <w:noProof/>
                <w:webHidden/>
              </w:rPr>
              <w:fldChar w:fldCharType="end"/>
            </w:r>
          </w:hyperlink>
        </w:p>
        <w:p w14:paraId="03B3328F" w14:textId="10BCB42D" w:rsidR="007B4D7D" w:rsidRDefault="00B72C39">
          <w:pPr>
            <w:pStyle w:val="TOC2"/>
            <w:tabs>
              <w:tab w:val="right" w:leader="dot" w:pos="9016"/>
            </w:tabs>
            <w:rPr>
              <w:rFonts w:eastAsiaTheme="minorEastAsia"/>
              <w:noProof/>
              <w:lang w:eastAsia="en-IN"/>
            </w:rPr>
          </w:pPr>
          <w:hyperlink w:anchor="_Toc101817642" w:history="1">
            <w:r w:rsidRPr="0098070A">
              <w:rPr>
                <w:rStyle w:val="Hyperlink"/>
                <w:rFonts w:cstheme="minorHAnsi"/>
                <w:noProof/>
              </w:rPr>
              <w:t>KEY PLAYERS IN THE FINANCIAL SYSTEM TO END THE FINANCIAL CRISES</w:t>
            </w:r>
            <w:r>
              <w:rPr>
                <w:noProof/>
                <w:webHidden/>
              </w:rPr>
              <w:tab/>
            </w:r>
            <w:r>
              <w:rPr>
                <w:noProof/>
                <w:webHidden/>
              </w:rPr>
              <w:fldChar w:fldCharType="begin"/>
            </w:r>
            <w:r>
              <w:rPr>
                <w:noProof/>
                <w:webHidden/>
              </w:rPr>
              <w:instrText xml:space="preserve"> PAGEREF _Toc101817642 \h </w:instrText>
            </w:r>
            <w:r>
              <w:rPr>
                <w:noProof/>
                <w:webHidden/>
              </w:rPr>
            </w:r>
            <w:r>
              <w:rPr>
                <w:noProof/>
                <w:webHidden/>
              </w:rPr>
              <w:fldChar w:fldCharType="separate"/>
            </w:r>
            <w:r>
              <w:rPr>
                <w:noProof/>
                <w:webHidden/>
              </w:rPr>
              <w:t>8</w:t>
            </w:r>
            <w:r>
              <w:rPr>
                <w:noProof/>
                <w:webHidden/>
              </w:rPr>
              <w:fldChar w:fldCharType="end"/>
            </w:r>
          </w:hyperlink>
        </w:p>
        <w:p w14:paraId="0CA7485B" w14:textId="70653B1C" w:rsidR="007B4D7D" w:rsidRDefault="00B72C39">
          <w:pPr>
            <w:pStyle w:val="TOC1"/>
            <w:tabs>
              <w:tab w:val="right" w:leader="dot" w:pos="9016"/>
            </w:tabs>
            <w:rPr>
              <w:rFonts w:eastAsiaTheme="minorEastAsia"/>
              <w:noProof/>
              <w:lang w:eastAsia="en-IN"/>
            </w:rPr>
          </w:pPr>
          <w:hyperlink w:anchor="_Toc101817643" w:history="1">
            <w:r w:rsidRPr="0098070A">
              <w:rPr>
                <w:rStyle w:val="Hyperlink"/>
                <w:rFonts w:cstheme="minorHAnsi"/>
                <w:noProof/>
              </w:rPr>
              <w:t>PART 2</w:t>
            </w:r>
            <w:r>
              <w:rPr>
                <w:noProof/>
                <w:webHidden/>
              </w:rPr>
              <w:tab/>
            </w:r>
            <w:r>
              <w:rPr>
                <w:noProof/>
                <w:webHidden/>
              </w:rPr>
              <w:fldChar w:fldCharType="begin"/>
            </w:r>
            <w:r>
              <w:rPr>
                <w:noProof/>
                <w:webHidden/>
              </w:rPr>
              <w:instrText xml:space="preserve"> PAGEREF _Toc101817643 \h </w:instrText>
            </w:r>
            <w:r>
              <w:rPr>
                <w:noProof/>
                <w:webHidden/>
              </w:rPr>
            </w:r>
            <w:r>
              <w:rPr>
                <w:noProof/>
                <w:webHidden/>
              </w:rPr>
              <w:fldChar w:fldCharType="separate"/>
            </w:r>
            <w:r>
              <w:rPr>
                <w:noProof/>
                <w:webHidden/>
              </w:rPr>
              <w:t>10</w:t>
            </w:r>
            <w:r>
              <w:rPr>
                <w:noProof/>
                <w:webHidden/>
              </w:rPr>
              <w:fldChar w:fldCharType="end"/>
            </w:r>
          </w:hyperlink>
        </w:p>
        <w:p w14:paraId="088F8B93" w14:textId="0E2EB83A" w:rsidR="007B4D7D" w:rsidRDefault="00B72C39">
          <w:pPr>
            <w:pStyle w:val="TOC2"/>
            <w:tabs>
              <w:tab w:val="right" w:leader="dot" w:pos="9016"/>
            </w:tabs>
            <w:rPr>
              <w:rFonts w:eastAsiaTheme="minorEastAsia"/>
              <w:noProof/>
              <w:lang w:eastAsia="en-IN"/>
            </w:rPr>
          </w:pPr>
          <w:hyperlink w:anchor="_Toc101817644" w:history="1">
            <w:r w:rsidRPr="0098070A">
              <w:rPr>
                <w:rStyle w:val="Hyperlink"/>
                <w:rFonts w:cstheme="minorHAnsi"/>
                <w:noProof/>
              </w:rPr>
              <w:t xml:space="preserve">CONTRIBUTION OF THESE </w:t>
            </w:r>
            <w:r w:rsidRPr="0098070A">
              <w:rPr>
                <w:rStyle w:val="Hyperlink"/>
                <w:rFonts w:cstheme="minorHAnsi"/>
                <w:noProof/>
              </w:rPr>
              <w:t>REFORMS IN STABILISING THE FINANCIAL SYSTEM AND DIFFERENT BANKING INSTITUTIONS POST THE 2008 CRISES</w:t>
            </w:r>
            <w:r>
              <w:rPr>
                <w:noProof/>
                <w:webHidden/>
              </w:rPr>
              <w:tab/>
            </w:r>
            <w:r>
              <w:rPr>
                <w:noProof/>
                <w:webHidden/>
              </w:rPr>
              <w:fldChar w:fldCharType="begin"/>
            </w:r>
            <w:r>
              <w:rPr>
                <w:noProof/>
                <w:webHidden/>
              </w:rPr>
              <w:instrText xml:space="preserve"> PAGEREF _Toc101817644 \h </w:instrText>
            </w:r>
            <w:r>
              <w:rPr>
                <w:noProof/>
                <w:webHidden/>
              </w:rPr>
            </w:r>
            <w:r>
              <w:rPr>
                <w:noProof/>
                <w:webHidden/>
              </w:rPr>
              <w:fldChar w:fldCharType="separate"/>
            </w:r>
            <w:r>
              <w:rPr>
                <w:noProof/>
                <w:webHidden/>
              </w:rPr>
              <w:t>10</w:t>
            </w:r>
            <w:r>
              <w:rPr>
                <w:noProof/>
                <w:webHidden/>
              </w:rPr>
              <w:fldChar w:fldCharType="end"/>
            </w:r>
          </w:hyperlink>
        </w:p>
        <w:p w14:paraId="05EA48F1" w14:textId="25FE2A69" w:rsidR="007B4D7D" w:rsidRDefault="00B72C39">
          <w:pPr>
            <w:pStyle w:val="TOC1"/>
            <w:tabs>
              <w:tab w:val="right" w:leader="dot" w:pos="9016"/>
            </w:tabs>
            <w:rPr>
              <w:rFonts w:eastAsiaTheme="minorEastAsia"/>
              <w:noProof/>
              <w:lang w:eastAsia="en-IN"/>
            </w:rPr>
          </w:pPr>
          <w:hyperlink w:anchor="_Toc101817645" w:history="1">
            <w:r w:rsidRPr="0098070A">
              <w:rPr>
                <w:rStyle w:val="Hyperlink"/>
                <w:rFonts w:cstheme="minorHAnsi"/>
                <w:noProof/>
              </w:rPr>
              <w:t>PART 3</w:t>
            </w:r>
            <w:r>
              <w:rPr>
                <w:noProof/>
                <w:webHidden/>
              </w:rPr>
              <w:tab/>
            </w:r>
            <w:r>
              <w:rPr>
                <w:noProof/>
                <w:webHidden/>
              </w:rPr>
              <w:fldChar w:fldCharType="begin"/>
            </w:r>
            <w:r>
              <w:rPr>
                <w:noProof/>
                <w:webHidden/>
              </w:rPr>
              <w:instrText xml:space="preserve"> PAGEREF _Toc101817</w:instrText>
            </w:r>
            <w:r>
              <w:rPr>
                <w:noProof/>
                <w:webHidden/>
              </w:rPr>
              <w:instrText xml:space="preserve">645 \h </w:instrText>
            </w:r>
            <w:r>
              <w:rPr>
                <w:noProof/>
                <w:webHidden/>
              </w:rPr>
            </w:r>
            <w:r>
              <w:rPr>
                <w:noProof/>
                <w:webHidden/>
              </w:rPr>
              <w:fldChar w:fldCharType="separate"/>
            </w:r>
            <w:r>
              <w:rPr>
                <w:noProof/>
                <w:webHidden/>
              </w:rPr>
              <w:t>12</w:t>
            </w:r>
            <w:r>
              <w:rPr>
                <w:noProof/>
                <w:webHidden/>
              </w:rPr>
              <w:fldChar w:fldCharType="end"/>
            </w:r>
          </w:hyperlink>
        </w:p>
        <w:p w14:paraId="07FD046B" w14:textId="66C3EE0B" w:rsidR="007B4D7D" w:rsidRDefault="00B72C39">
          <w:pPr>
            <w:pStyle w:val="TOC2"/>
            <w:tabs>
              <w:tab w:val="right" w:leader="dot" w:pos="9016"/>
            </w:tabs>
            <w:rPr>
              <w:rFonts w:eastAsiaTheme="minorEastAsia"/>
              <w:noProof/>
              <w:lang w:eastAsia="en-IN"/>
            </w:rPr>
          </w:pPr>
          <w:hyperlink w:anchor="_Toc101817646" w:history="1">
            <w:r w:rsidRPr="0098070A">
              <w:rPr>
                <w:rStyle w:val="Hyperlink"/>
                <w:rFonts w:cstheme="minorHAnsi"/>
                <w:noProof/>
              </w:rPr>
              <w:t>IMPACT OF REFORMS ON THE BUSINESS MODEL OF COMPANY</w:t>
            </w:r>
            <w:r>
              <w:rPr>
                <w:noProof/>
                <w:webHidden/>
              </w:rPr>
              <w:tab/>
            </w:r>
            <w:r>
              <w:rPr>
                <w:noProof/>
                <w:webHidden/>
              </w:rPr>
              <w:fldChar w:fldCharType="begin"/>
            </w:r>
            <w:r>
              <w:rPr>
                <w:noProof/>
                <w:webHidden/>
              </w:rPr>
              <w:instrText xml:space="preserve"> PAGEREF _Toc101817646 \h </w:instrText>
            </w:r>
            <w:r>
              <w:rPr>
                <w:noProof/>
                <w:webHidden/>
              </w:rPr>
            </w:r>
            <w:r>
              <w:rPr>
                <w:noProof/>
                <w:webHidden/>
              </w:rPr>
              <w:fldChar w:fldCharType="separate"/>
            </w:r>
            <w:r>
              <w:rPr>
                <w:noProof/>
                <w:webHidden/>
              </w:rPr>
              <w:t>12</w:t>
            </w:r>
            <w:r>
              <w:rPr>
                <w:noProof/>
                <w:webHidden/>
              </w:rPr>
              <w:fldChar w:fldCharType="end"/>
            </w:r>
          </w:hyperlink>
        </w:p>
        <w:p w14:paraId="109F3F8F" w14:textId="087E1576" w:rsidR="007B4D7D" w:rsidRDefault="00B72C39">
          <w:pPr>
            <w:pStyle w:val="TOC2"/>
            <w:tabs>
              <w:tab w:val="right" w:leader="dot" w:pos="9016"/>
            </w:tabs>
            <w:rPr>
              <w:rFonts w:eastAsiaTheme="minorEastAsia"/>
              <w:noProof/>
              <w:lang w:eastAsia="en-IN"/>
            </w:rPr>
          </w:pPr>
          <w:hyperlink w:anchor="_Toc101817647" w:history="1">
            <w:r w:rsidRPr="0098070A">
              <w:rPr>
                <w:rStyle w:val="Hyperlink"/>
                <w:rFonts w:cstheme="minorHAnsi"/>
                <w:noProof/>
              </w:rPr>
              <w:t>LEVEL OF COMPLIANCE/ NON-COMPLIANCE OF THE BUSINESS MODEL TO THESE REFORMS</w:t>
            </w:r>
            <w:r>
              <w:rPr>
                <w:noProof/>
                <w:webHidden/>
              </w:rPr>
              <w:tab/>
            </w:r>
            <w:r>
              <w:rPr>
                <w:noProof/>
                <w:webHidden/>
              </w:rPr>
              <w:fldChar w:fldCharType="begin"/>
            </w:r>
            <w:r>
              <w:rPr>
                <w:noProof/>
                <w:webHidden/>
              </w:rPr>
              <w:instrText xml:space="preserve"> PAGEREF _Toc101817647 \h </w:instrText>
            </w:r>
            <w:r>
              <w:rPr>
                <w:noProof/>
                <w:webHidden/>
              </w:rPr>
            </w:r>
            <w:r>
              <w:rPr>
                <w:noProof/>
                <w:webHidden/>
              </w:rPr>
              <w:fldChar w:fldCharType="separate"/>
            </w:r>
            <w:r>
              <w:rPr>
                <w:noProof/>
                <w:webHidden/>
              </w:rPr>
              <w:t>13</w:t>
            </w:r>
            <w:r>
              <w:rPr>
                <w:noProof/>
                <w:webHidden/>
              </w:rPr>
              <w:fldChar w:fldCharType="end"/>
            </w:r>
          </w:hyperlink>
        </w:p>
        <w:p w14:paraId="48561DC0" w14:textId="57E5C1A5" w:rsidR="007B4D7D" w:rsidRDefault="00B72C39">
          <w:pPr>
            <w:pStyle w:val="TOC1"/>
            <w:tabs>
              <w:tab w:val="right" w:leader="dot" w:pos="9016"/>
            </w:tabs>
            <w:rPr>
              <w:rFonts w:eastAsiaTheme="minorEastAsia"/>
              <w:noProof/>
              <w:lang w:eastAsia="en-IN"/>
            </w:rPr>
          </w:pPr>
          <w:hyperlink w:anchor="_Toc101817648" w:history="1">
            <w:r w:rsidRPr="0098070A">
              <w:rPr>
                <w:rStyle w:val="Hyperlink"/>
                <w:rFonts w:cstheme="minorHAnsi"/>
                <w:noProof/>
              </w:rPr>
              <w:t>CONCLUSION</w:t>
            </w:r>
            <w:r>
              <w:rPr>
                <w:noProof/>
                <w:webHidden/>
              </w:rPr>
              <w:tab/>
            </w:r>
            <w:r>
              <w:rPr>
                <w:noProof/>
                <w:webHidden/>
              </w:rPr>
              <w:fldChar w:fldCharType="begin"/>
            </w:r>
            <w:r>
              <w:rPr>
                <w:noProof/>
                <w:webHidden/>
              </w:rPr>
              <w:instrText xml:space="preserve"> PAGEREF _Toc101817648 \h </w:instrText>
            </w:r>
            <w:r>
              <w:rPr>
                <w:noProof/>
                <w:webHidden/>
              </w:rPr>
            </w:r>
            <w:r>
              <w:rPr>
                <w:noProof/>
                <w:webHidden/>
              </w:rPr>
              <w:fldChar w:fldCharType="separate"/>
            </w:r>
            <w:r>
              <w:rPr>
                <w:noProof/>
                <w:webHidden/>
              </w:rPr>
              <w:t>14</w:t>
            </w:r>
            <w:r>
              <w:rPr>
                <w:noProof/>
                <w:webHidden/>
              </w:rPr>
              <w:fldChar w:fldCharType="end"/>
            </w:r>
          </w:hyperlink>
        </w:p>
        <w:p w14:paraId="2AC02F8F" w14:textId="724F4BD2" w:rsidR="007B4D7D" w:rsidRDefault="00B72C39">
          <w:pPr>
            <w:pStyle w:val="TOC1"/>
            <w:tabs>
              <w:tab w:val="right" w:leader="dot" w:pos="9016"/>
            </w:tabs>
            <w:rPr>
              <w:rFonts w:eastAsiaTheme="minorEastAsia"/>
              <w:noProof/>
              <w:lang w:eastAsia="en-IN"/>
            </w:rPr>
          </w:pPr>
          <w:hyperlink w:anchor="_Toc101817649" w:history="1">
            <w:r w:rsidRPr="0098070A">
              <w:rPr>
                <w:rStyle w:val="Hyperlink"/>
                <w:rFonts w:cstheme="minorHAnsi"/>
                <w:noProof/>
              </w:rPr>
              <w:t>REFERENCE LIST</w:t>
            </w:r>
            <w:r>
              <w:rPr>
                <w:noProof/>
                <w:webHidden/>
              </w:rPr>
              <w:tab/>
            </w:r>
            <w:r>
              <w:rPr>
                <w:noProof/>
                <w:webHidden/>
              </w:rPr>
              <w:fldChar w:fldCharType="begin"/>
            </w:r>
            <w:r>
              <w:rPr>
                <w:noProof/>
                <w:webHidden/>
              </w:rPr>
              <w:instrText xml:space="preserve"> PAGEREF _Toc101817649 \h </w:instrText>
            </w:r>
            <w:r>
              <w:rPr>
                <w:noProof/>
                <w:webHidden/>
              </w:rPr>
            </w:r>
            <w:r>
              <w:rPr>
                <w:noProof/>
                <w:webHidden/>
              </w:rPr>
              <w:fldChar w:fldCharType="separate"/>
            </w:r>
            <w:r>
              <w:rPr>
                <w:noProof/>
                <w:webHidden/>
              </w:rPr>
              <w:t>15</w:t>
            </w:r>
            <w:r>
              <w:rPr>
                <w:noProof/>
                <w:webHidden/>
              </w:rPr>
              <w:fldChar w:fldCharType="end"/>
            </w:r>
          </w:hyperlink>
        </w:p>
        <w:p w14:paraId="5144CD3A" w14:textId="29ED4E80" w:rsidR="00884293" w:rsidRPr="00BB51F3" w:rsidRDefault="00B72C39" w:rsidP="00BB51F3">
          <w:pPr>
            <w:spacing w:line="360" w:lineRule="auto"/>
            <w:jc w:val="both"/>
            <w:rPr>
              <w:rFonts w:cstheme="minorHAnsi"/>
              <w:sz w:val="24"/>
              <w:szCs w:val="24"/>
            </w:rPr>
          </w:pPr>
          <w:r w:rsidRPr="00BB51F3">
            <w:rPr>
              <w:rFonts w:cstheme="minorHAnsi"/>
              <w:b/>
              <w:bCs/>
              <w:noProof/>
              <w:sz w:val="24"/>
              <w:szCs w:val="24"/>
            </w:rPr>
            <w:fldChar w:fldCharType="end"/>
          </w:r>
        </w:p>
      </w:sdtContent>
    </w:sdt>
    <w:p w14:paraId="7B8ED518" w14:textId="77777777" w:rsidR="00884293" w:rsidRPr="00BB51F3" w:rsidRDefault="00B72C39" w:rsidP="00BB51F3">
      <w:pPr>
        <w:spacing w:line="360" w:lineRule="auto"/>
        <w:jc w:val="both"/>
        <w:rPr>
          <w:rFonts w:cstheme="minorHAnsi"/>
          <w:sz w:val="24"/>
          <w:szCs w:val="24"/>
        </w:rPr>
      </w:pPr>
      <w:r w:rsidRPr="00BB51F3">
        <w:rPr>
          <w:rFonts w:cstheme="minorHAnsi"/>
          <w:sz w:val="24"/>
          <w:szCs w:val="24"/>
        </w:rPr>
        <w:br w:type="page"/>
      </w:r>
    </w:p>
    <w:p w14:paraId="3C6207E6" w14:textId="6D7D50BA" w:rsidR="0066583F" w:rsidRPr="00BB51F3" w:rsidRDefault="00B72C39" w:rsidP="00BB51F3">
      <w:pPr>
        <w:spacing w:line="360" w:lineRule="auto"/>
        <w:jc w:val="both"/>
        <w:rPr>
          <w:rFonts w:cstheme="minorHAnsi"/>
          <w:sz w:val="24"/>
          <w:szCs w:val="24"/>
        </w:rPr>
      </w:pPr>
      <w:r w:rsidRPr="00BB51F3">
        <w:rPr>
          <w:rFonts w:cstheme="minorHAnsi"/>
          <w:sz w:val="24"/>
          <w:szCs w:val="24"/>
        </w:rPr>
        <w:lastRenderedPageBreak/>
        <w:t>REPORT</w:t>
      </w:r>
    </w:p>
    <w:p w14:paraId="6B9F2FAD" w14:textId="7FAC006F" w:rsidR="002D6106" w:rsidRPr="00BB51F3" w:rsidRDefault="00B72C39" w:rsidP="00BB51F3">
      <w:pPr>
        <w:pStyle w:val="Heading1"/>
        <w:spacing w:line="360" w:lineRule="auto"/>
        <w:jc w:val="both"/>
        <w:rPr>
          <w:rFonts w:asciiTheme="minorHAnsi" w:hAnsiTheme="minorHAnsi" w:cstheme="minorHAnsi"/>
          <w:sz w:val="24"/>
          <w:szCs w:val="24"/>
        </w:rPr>
      </w:pPr>
      <w:bookmarkStart w:id="0" w:name="_Toc101817638"/>
      <w:r w:rsidRPr="00BB51F3">
        <w:rPr>
          <w:rFonts w:asciiTheme="minorHAnsi" w:hAnsiTheme="minorHAnsi" w:cstheme="minorHAnsi"/>
          <w:sz w:val="24"/>
          <w:szCs w:val="24"/>
        </w:rPr>
        <w:t>INTRODUCTION</w:t>
      </w:r>
      <w:bookmarkEnd w:id="0"/>
    </w:p>
    <w:p w14:paraId="0499944B" w14:textId="335EB124" w:rsidR="0066583F"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Banking involves an arena of institutions and laws which facilitate a wide range of financial services</w:t>
      </w:r>
      <w:r w:rsidR="009C0FA3" w:rsidRPr="00BB51F3">
        <w:rPr>
          <w:rFonts w:cstheme="minorHAnsi"/>
          <w:sz w:val="24"/>
          <w:szCs w:val="24"/>
        </w:rPr>
        <w:t xml:space="preserve"> whereas financial management deals with capital, the source of capital and its spending unit. </w:t>
      </w:r>
      <w:r w:rsidR="00884293" w:rsidRPr="00BB51F3">
        <w:rPr>
          <w:rFonts w:cstheme="minorHAnsi"/>
          <w:sz w:val="24"/>
          <w:szCs w:val="24"/>
        </w:rPr>
        <w:t xml:space="preserve"> Banking and financial management are important co</w:t>
      </w:r>
      <w:r w:rsidR="002D64B9" w:rsidRPr="00BB51F3">
        <w:rPr>
          <w:rFonts w:cstheme="minorHAnsi"/>
          <w:sz w:val="24"/>
          <w:szCs w:val="24"/>
        </w:rPr>
        <w:t xml:space="preserve">mponents o the financial market. The report will involve a deep discussion on banking and financial management and the effective working of financial markets </w:t>
      </w:r>
      <w:r w:rsidR="002E2026" w:rsidRPr="00BB51F3">
        <w:rPr>
          <w:rFonts w:cstheme="minorHAnsi"/>
          <w:sz w:val="24"/>
          <w:szCs w:val="24"/>
        </w:rPr>
        <w:t>to acquire the smooth functioning of the economy. Financial markets can manage the financial aspect of the country</w:t>
      </w:r>
      <w:r w:rsidR="00EF5164" w:rsidRPr="00BB51F3">
        <w:rPr>
          <w:rFonts w:cstheme="minorHAnsi"/>
          <w:sz w:val="24"/>
          <w:szCs w:val="24"/>
        </w:rPr>
        <w:t>. The financial market of the United Kingdom is Financial Times Stock Exchange (FTSE)</w:t>
      </w:r>
      <w:r w:rsidR="004352B6" w:rsidRPr="00BB51F3">
        <w:rPr>
          <w:rFonts w:cstheme="minorHAnsi"/>
          <w:sz w:val="24"/>
          <w:szCs w:val="24"/>
        </w:rPr>
        <w:t xml:space="preserve"> </w:t>
      </w:r>
      <w:r w:rsidR="004352B6" w:rsidRPr="00BB51F3">
        <w:rPr>
          <w:rFonts w:cstheme="minorHAnsi"/>
          <w:color w:val="222222"/>
          <w:sz w:val="24"/>
          <w:szCs w:val="24"/>
          <w:shd w:val="clear" w:color="auto" w:fill="FFFFFF"/>
        </w:rPr>
        <w:t>(Milanovic, 2022)</w:t>
      </w:r>
      <w:r w:rsidR="00EF5164" w:rsidRPr="00BB51F3">
        <w:rPr>
          <w:rFonts w:cstheme="minorHAnsi"/>
          <w:sz w:val="24"/>
          <w:szCs w:val="24"/>
        </w:rPr>
        <w:t>.</w:t>
      </w:r>
      <w:r w:rsidR="004352B6" w:rsidRPr="00BB51F3">
        <w:rPr>
          <w:rFonts w:cstheme="minorHAnsi"/>
          <w:sz w:val="24"/>
          <w:szCs w:val="24"/>
        </w:rPr>
        <w:t xml:space="preserve"> </w:t>
      </w:r>
      <w:r w:rsidR="00EF5164" w:rsidRPr="00BB51F3">
        <w:rPr>
          <w:rFonts w:cstheme="minorHAnsi"/>
          <w:sz w:val="24"/>
          <w:szCs w:val="24"/>
        </w:rPr>
        <w:t xml:space="preserve"> </w:t>
      </w:r>
    </w:p>
    <w:p w14:paraId="7EE3BB5F" w14:textId="0E22C53E" w:rsidR="00EF5164" w:rsidRPr="00BB51F3" w:rsidRDefault="00B72C39" w:rsidP="00BB51F3">
      <w:pPr>
        <w:spacing w:line="360" w:lineRule="auto"/>
        <w:jc w:val="both"/>
        <w:rPr>
          <w:rFonts w:cstheme="minorHAnsi"/>
          <w:sz w:val="24"/>
          <w:szCs w:val="24"/>
        </w:rPr>
      </w:pPr>
      <w:r w:rsidRPr="00BB51F3">
        <w:rPr>
          <w:rFonts w:cstheme="minorHAnsi"/>
          <w:sz w:val="24"/>
          <w:szCs w:val="24"/>
        </w:rPr>
        <w:t xml:space="preserve">The report will involve a detailed analysis 2008 financial crisis whereas the framework to which the financial crisis collapsed the whole economy and how the country overcome the financial crisis. </w:t>
      </w:r>
      <w:r w:rsidR="002F7918" w:rsidRPr="00BB51F3">
        <w:rPr>
          <w:rFonts w:cstheme="minorHAnsi"/>
          <w:sz w:val="24"/>
          <w:szCs w:val="24"/>
        </w:rPr>
        <w:t xml:space="preserve">The whole report will be divided into three segments. The first part will involve the regulations, contracts and regulations which were enacted by the UK, US or EU authorities after the 2008 financial crisis and other key players of the financial system. </w:t>
      </w:r>
      <w:r w:rsidR="00BB4839" w:rsidRPr="00BB51F3">
        <w:rPr>
          <w:rFonts w:cstheme="minorHAnsi"/>
          <w:sz w:val="24"/>
          <w:szCs w:val="24"/>
        </w:rPr>
        <w:t xml:space="preserve"> The second part will involve the reforms which paid their contribution to </w:t>
      </w:r>
      <w:r w:rsidR="00E65CA7" w:rsidRPr="00BB51F3">
        <w:rPr>
          <w:rFonts w:cstheme="minorHAnsi"/>
          <w:sz w:val="24"/>
          <w:szCs w:val="24"/>
        </w:rPr>
        <w:t>stabilising the financial system. It will also discuss the impact of reforms on the banking institutions after the 2008 cris</w:t>
      </w:r>
      <w:r w:rsidR="00C31C23" w:rsidRPr="00BB51F3">
        <w:rPr>
          <w:rFonts w:cstheme="minorHAnsi"/>
          <w:sz w:val="24"/>
          <w:szCs w:val="24"/>
        </w:rPr>
        <w:t>is.</w:t>
      </w:r>
      <w:r w:rsidR="008D0041" w:rsidRPr="00BB51F3">
        <w:rPr>
          <w:rFonts w:cstheme="minorHAnsi"/>
          <w:sz w:val="24"/>
          <w:szCs w:val="24"/>
        </w:rPr>
        <w:t xml:space="preserve"> </w:t>
      </w:r>
      <w:r w:rsidR="005C1B5D" w:rsidRPr="00BB51F3">
        <w:rPr>
          <w:rFonts w:cstheme="minorHAnsi"/>
          <w:sz w:val="24"/>
          <w:szCs w:val="24"/>
        </w:rPr>
        <w:t xml:space="preserve">The third segment involves the impact of reforms on a publicly listed company and the level of compliance/non-compliance to these reforms. The company chosen is Unilever plc. </w:t>
      </w:r>
    </w:p>
    <w:p w14:paraId="66F5A27A" w14:textId="591EBA38" w:rsidR="00FB6FF6"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Unilever plc in London, a United Kingdom-based multinational firm belongs to the</w:t>
      </w:r>
      <w:r w:rsidRPr="00BB51F3">
        <w:rPr>
          <w:rFonts w:cstheme="minorHAnsi"/>
          <w:sz w:val="24"/>
          <w:szCs w:val="24"/>
        </w:rPr>
        <w:t xml:space="preserve"> consumer goods industry of the United Kingdom. The firm is an established firm commenced in 1929 by William Lever, James Darcy Lever, Samuel van den Bergh, and Johann Schicht</w:t>
      </w:r>
      <w:r w:rsidR="004352B6" w:rsidRPr="00BB51F3">
        <w:rPr>
          <w:rFonts w:cstheme="minorHAnsi"/>
          <w:sz w:val="24"/>
          <w:szCs w:val="24"/>
        </w:rPr>
        <w:t xml:space="preserve"> </w:t>
      </w:r>
      <w:r w:rsidR="004352B6" w:rsidRPr="00BB51F3">
        <w:rPr>
          <w:rFonts w:cstheme="minorHAnsi"/>
          <w:color w:val="222222"/>
          <w:sz w:val="24"/>
          <w:szCs w:val="24"/>
          <w:shd w:val="clear" w:color="auto" w:fill="FFFFFF"/>
        </w:rPr>
        <w:t>(Akgun and Karatas, 2020)</w:t>
      </w:r>
      <w:r w:rsidRPr="00BB51F3">
        <w:rPr>
          <w:rFonts w:cstheme="minorHAnsi"/>
          <w:sz w:val="24"/>
          <w:szCs w:val="24"/>
        </w:rPr>
        <w:t>. The firm has a wide network and owns almost 400 brand</w:t>
      </w:r>
      <w:r w:rsidRPr="00BB51F3">
        <w:rPr>
          <w:rFonts w:cstheme="minorHAnsi"/>
          <w:sz w:val="24"/>
          <w:szCs w:val="24"/>
        </w:rPr>
        <w:t xml:space="preserve">s whereas the firm has an established network of 149,000. </w:t>
      </w:r>
    </w:p>
    <w:p w14:paraId="68C3F12D" w14:textId="77777777" w:rsidR="001E1D6E" w:rsidRPr="00BB51F3" w:rsidRDefault="00B72C39" w:rsidP="00BB51F3">
      <w:pPr>
        <w:spacing w:line="360" w:lineRule="auto"/>
        <w:jc w:val="both"/>
        <w:rPr>
          <w:rFonts w:eastAsiaTheme="majorEastAsia" w:cstheme="minorHAnsi"/>
          <w:color w:val="2F5496" w:themeColor="accent1" w:themeShade="BF"/>
          <w:sz w:val="24"/>
          <w:szCs w:val="24"/>
        </w:rPr>
      </w:pPr>
      <w:r w:rsidRPr="00BB51F3">
        <w:rPr>
          <w:rFonts w:cstheme="minorHAnsi"/>
          <w:sz w:val="24"/>
          <w:szCs w:val="24"/>
        </w:rPr>
        <w:br w:type="page"/>
      </w:r>
    </w:p>
    <w:p w14:paraId="012EDA09" w14:textId="4CA172F5" w:rsidR="002B7E42" w:rsidRPr="00BB51F3" w:rsidRDefault="00B72C39" w:rsidP="00BB51F3">
      <w:pPr>
        <w:pStyle w:val="Heading1"/>
        <w:spacing w:line="360" w:lineRule="auto"/>
        <w:jc w:val="both"/>
        <w:rPr>
          <w:rFonts w:asciiTheme="minorHAnsi" w:hAnsiTheme="minorHAnsi" w:cstheme="minorHAnsi"/>
          <w:sz w:val="24"/>
          <w:szCs w:val="24"/>
        </w:rPr>
      </w:pPr>
      <w:bookmarkStart w:id="1" w:name="_Toc101817639"/>
      <w:r w:rsidRPr="00BB51F3">
        <w:rPr>
          <w:rFonts w:asciiTheme="minorHAnsi" w:hAnsiTheme="minorHAnsi" w:cstheme="minorHAnsi"/>
          <w:sz w:val="24"/>
          <w:szCs w:val="24"/>
        </w:rPr>
        <w:lastRenderedPageBreak/>
        <w:t>2008 FINANCIAL CRISIS</w:t>
      </w:r>
      <w:bookmarkEnd w:id="1"/>
    </w:p>
    <w:p w14:paraId="08B09C27" w14:textId="74D12240" w:rsidR="007E0256"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The financial cr</w:t>
      </w:r>
      <w:r w:rsidR="00D33EDD" w:rsidRPr="00BB51F3">
        <w:rPr>
          <w:rFonts w:cstheme="minorHAnsi"/>
          <w:sz w:val="24"/>
          <w:szCs w:val="24"/>
        </w:rPr>
        <w:t>isis of 2008 is also known as the global financial crisis as it was a severe economic crisis faced by the whole world in the initial phase of the 21</w:t>
      </w:r>
      <w:r w:rsidR="00D33EDD" w:rsidRPr="00BB51F3">
        <w:rPr>
          <w:rFonts w:cstheme="minorHAnsi"/>
          <w:sz w:val="24"/>
          <w:szCs w:val="24"/>
          <w:vertAlign w:val="superscript"/>
        </w:rPr>
        <w:t>st</w:t>
      </w:r>
      <w:r w:rsidR="00D33EDD" w:rsidRPr="00BB51F3">
        <w:rPr>
          <w:rFonts w:cstheme="minorHAnsi"/>
          <w:sz w:val="24"/>
          <w:szCs w:val="24"/>
        </w:rPr>
        <w:t xml:space="preserve"> century only.  After the great depression faced the world in 1929, the crisis had a great impact on the world economy. One of the major factors of the 2007-2008 crisis was the collapse of 2008 which was experienced in 2007. The crisis abruptly affected the financial system of the United Kingdom whereas</w:t>
      </w:r>
      <w:r w:rsidR="003D140F" w:rsidRPr="00BB51F3">
        <w:rPr>
          <w:rFonts w:cstheme="minorHAnsi"/>
          <w:sz w:val="24"/>
          <w:szCs w:val="24"/>
        </w:rPr>
        <w:t xml:space="preserve"> many minor crimes were </w:t>
      </w:r>
      <w:proofErr w:type="gramStart"/>
      <w:r w:rsidR="003D140F" w:rsidRPr="00BB51F3">
        <w:rPr>
          <w:rFonts w:cstheme="minorHAnsi"/>
          <w:sz w:val="24"/>
          <w:szCs w:val="24"/>
        </w:rPr>
        <w:t>occurring</w:t>
      </w:r>
      <w:proofErr w:type="gramEnd"/>
      <w:r w:rsidR="003D140F" w:rsidRPr="00BB51F3">
        <w:rPr>
          <w:rFonts w:cstheme="minorHAnsi"/>
          <w:sz w:val="24"/>
          <w:szCs w:val="24"/>
        </w:rPr>
        <w:t xml:space="preserve"> and the high range of mortgages enhanced the crises level</w:t>
      </w:r>
      <w:r w:rsidR="004352B6" w:rsidRPr="00BB51F3">
        <w:rPr>
          <w:rFonts w:cstheme="minorHAnsi"/>
          <w:sz w:val="24"/>
          <w:szCs w:val="24"/>
        </w:rPr>
        <w:t xml:space="preserve"> </w:t>
      </w:r>
      <w:r w:rsidR="004352B6" w:rsidRPr="00BB51F3">
        <w:rPr>
          <w:rFonts w:cstheme="minorHAnsi"/>
          <w:color w:val="222222"/>
          <w:sz w:val="24"/>
          <w:szCs w:val="24"/>
          <w:shd w:val="clear" w:color="auto" w:fill="FFFFFF"/>
        </w:rPr>
        <w:t>(Notteboom et al., 2021)</w:t>
      </w:r>
      <w:r w:rsidR="003D140F" w:rsidRPr="00BB51F3">
        <w:rPr>
          <w:rFonts w:cstheme="minorHAnsi"/>
          <w:sz w:val="24"/>
          <w:szCs w:val="24"/>
        </w:rPr>
        <w:t xml:space="preserve">. </w:t>
      </w:r>
      <w:r w:rsidR="001A7B3D" w:rsidRPr="00BB51F3">
        <w:rPr>
          <w:rFonts w:cstheme="minorHAnsi"/>
          <w:sz w:val="24"/>
          <w:szCs w:val="24"/>
        </w:rPr>
        <w:t>Many big economies faced higher disruption due to the financial crisis of 2008.</w:t>
      </w:r>
      <w:r w:rsidR="00660229" w:rsidRPr="00BB51F3">
        <w:rPr>
          <w:rFonts w:cstheme="minorHAnsi"/>
          <w:sz w:val="24"/>
          <w:szCs w:val="24"/>
        </w:rPr>
        <w:t xml:space="preserve"> </w:t>
      </w:r>
    </w:p>
    <w:p w14:paraId="497C9D0A" w14:textId="026E6DC9" w:rsidR="001E1D6E" w:rsidRPr="00BB51F3" w:rsidRDefault="00B72C39" w:rsidP="00BB51F3">
      <w:pPr>
        <w:spacing w:line="360" w:lineRule="auto"/>
        <w:jc w:val="both"/>
        <w:rPr>
          <w:rFonts w:cstheme="minorHAnsi"/>
          <w:sz w:val="24"/>
          <w:szCs w:val="24"/>
        </w:rPr>
      </w:pPr>
      <w:r w:rsidRPr="00BB51F3">
        <w:rPr>
          <w:rFonts w:cstheme="minorHAnsi"/>
          <w:sz w:val="24"/>
          <w:szCs w:val="24"/>
        </w:rPr>
        <w:t>The cause</w:t>
      </w:r>
      <w:r w:rsidRPr="00BB51F3">
        <w:rPr>
          <w:rFonts w:cstheme="minorHAnsi"/>
          <w:sz w:val="24"/>
          <w:szCs w:val="24"/>
        </w:rPr>
        <w:t xml:space="preserve">s of the 2008 financial crisis involve the real estate boom, easy credit access and prices of the commodity. Many people were buying homes because of a single motive to sell the homes at higher prices. The </w:t>
      </w:r>
      <w:proofErr w:type="gramStart"/>
      <w:r w:rsidRPr="00BB51F3">
        <w:rPr>
          <w:rFonts w:cstheme="minorHAnsi"/>
          <w:sz w:val="24"/>
          <w:szCs w:val="24"/>
        </w:rPr>
        <w:t>higher-earning</w:t>
      </w:r>
      <w:proofErr w:type="gramEnd"/>
      <w:r w:rsidRPr="00BB51F3">
        <w:rPr>
          <w:rFonts w:cstheme="minorHAnsi"/>
          <w:sz w:val="24"/>
          <w:szCs w:val="24"/>
        </w:rPr>
        <w:t xml:space="preserve"> of profits attracted many people in</w:t>
      </w:r>
      <w:r w:rsidRPr="00BB51F3">
        <w:rPr>
          <w:rFonts w:cstheme="minorHAnsi"/>
          <w:sz w:val="24"/>
          <w:szCs w:val="24"/>
        </w:rPr>
        <w:t xml:space="preserve"> this process which result in degradation of the house prices. </w:t>
      </w:r>
      <w:r w:rsidR="007E0256" w:rsidRPr="00BB51F3">
        <w:rPr>
          <w:rFonts w:cstheme="minorHAnsi"/>
          <w:sz w:val="24"/>
          <w:szCs w:val="24"/>
        </w:rPr>
        <w:t xml:space="preserve">This boom leads to easy accessibility of credit which tighten the credit flow and made it impossible for the potential individuals to get financial help. All these aspects resulted in the hike in basic commodities. The crisis increased government spending whereas no money was left to the government and individuals. </w:t>
      </w:r>
      <w:r w:rsidR="00B21446" w:rsidRPr="00BB51F3">
        <w:rPr>
          <w:rFonts w:cstheme="minorHAnsi"/>
          <w:sz w:val="24"/>
          <w:szCs w:val="24"/>
        </w:rPr>
        <w:t xml:space="preserve">A massive decline in the currency rate was observed whereas a hike in basic prices imbalanced the whole economy. </w:t>
      </w:r>
    </w:p>
    <w:p w14:paraId="617660DB" w14:textId="0FD26830" w:rsidR="00AE4E81"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The financial cris</w:t>
      </w:r>
      <w:r w:rsidRPr="00BB51F3">
        <w:rPr>
          <w:rFonts w:cstheme="minorHAnsi"/>
          <w:sz w:val="24"/>
          <w:szCs w:val="24"/>
        </w:rPr>
        <w:t xml:space="preserve">is of 2007-2008 leads to bankruptcy whereas many big companies went bankrupt. </w:t>
      </w:r>
      <w:r w:rsidR="00E93965" w:rsidRPr="00BB51F3">
        <w:rPr>
          <w:rFonts w:cstheme="minorHAnsi"/>
          <w:sz w:val="24"/>
          <w:szCs w:val="24"/>
        </w:rPr>
        <w:t>Also, higher amounts of loans and mortgages closed the scope of financial help from everywhere. Though, the government provided bailouts and an option of merging too many banks to avoid collapse as almost every bank was under the framework of the financial crisis. The financial crisis was a major slowdown for the economy after the great depression</w:t>
      </w:r>
      <w:r w:rsidR="004352B6" w:rsidRPr="00BB51F3">
        <w:rPr>
          <w:rFonts w:cstheme="minorHAnsi"/>
          <w:sz w:val="24"/>
          <w:szCs w:val="24"/>
        </w:rPr>
        <w:t xml:space="preserve"> </w:t>
      </w:r>
      <w:r w:rsidR="004352B6" w:rsidRPr="00BB51F3">
        <w:rPr>
          <w:rFonts w:cstheme="minorHAnsi"/>
          <w:color w:val="222222"/>
          <w:sz w:val="24"/>
          <w:szCs w:val="24"/>
          <w:shd w:val="clear" w:color="auto" w:fill="FFFFFF"/>
        </w:rPr>
        <w:t>(Brigham and Ehrhardy, 2019)</w:t>
      </w:r>
      <w:r w:rsidR="00E93965" w:rsidRPr="00BB51F3">
        <w:rPr>
          <w:rFonts w:cstheme="minorHAnsi"/>
          <w:sz w:val="24"/>
          <w:szCs w:val="24"/>
        </w:rPr>
        <w:t>.</w:t>
      </w:r>
      <w:r w:rsidR="00AA3BF1" w:rsidRPr="00BB51F3">
        <w:rPr>
          <w:rFonts w:cstheme="minorHAnsi"/>
          <w:sz w:val="24"/>
          <w:szCs w:val="24"/>
        </w:rPr>
        <w:t xml:space="preserve"> </w:t>
      </w:r>
    </w:p>
    <w:p w14:paraId="4263D5EA" w14:textId="77777777" w:rsidR="004352B6" w:rsidRPr="00BB51F3" w:rsidRDefault="00B72C39" w:rsidP="00BB51F3">
      <w:pPr>
        <w:spacing w:line="360" w:lineRule="auto"/>
        <w:jc w:val="both"/>
        <w:rPr>
          <w:rFonts w:eastAsiaTheme="majorEastAsia" w:cstheme="minorHAnsi"/>
          <w:color w:val="2F5496" w:themeColor="accent1" w:themeShade="BF"/>
          <w:sz w:val="24"/>
          <w:szCs w:val="24"/>
        </w:rPr>
      </w:pPr>
      <w:r w:rsidRPr="00BB51F3">
        <w:rPr>
          <w:rFonts w:cstheme="minorHAnsi"/>
          <w:sz w:val="24"/>
          <w:szCs w:val="24"/>
        </w:rPr>
        <w:br w:type="page"/>
      </w:r>
    </w:p>
    <w:p w14:paraId="0A5A524A" w14:textId="15F3BB44" w:rsidR="002B7E42" w:rsidRPr="00BB51F3" w:rsidRDefault="00B72C39" w:rsidP="00BB51F3">
      <w:pPr>
        <w:pStyle w:val="Heading1"/>
        <w:spacing w:line="360" w:lineRule="auto"/>
        <w:jc w:val="both"/>
        <w:rPr>
          <w:rFonts w:asciiTheme="minorHAnsi" w:hAnsiTheme="minorHAnsi" w:cstheme="minorHAnsi"/>
          <w:sz w:val="24"/>
          <w:szCs w:val="24"/>
        </w:rPr>
      </w:pPr>
      <w:bookmarkStart w:id="2" w:name="_Toc101817640"/>
      <w:r w:rsidRPr="00BB51F3">
        <w:rPr>
          <w:rFonts w:asciiTheme="minorHAnsi" w:hAnsiTheme="minorHAnsi" w:cstheme="minorHAnsi"/>
          <w:sz w:val="24"/>
          <w:szCs w:val="24"/>
        </w:rPr>
        <w:lastRenderedPageBreak/>
        <w:t>PART 1</w:t>
      </w:r>
      <w:bookmarkEnd w:id="2"/>
      <w:r w:rsidRPr="00BB51F3">
        <w:rPr>
          <w:rFonts w:asciiTheme="minorHAnsi" w:hAnsiTheme="minorHAnsi" w:cstheme="minorHAnsi"/>
          <w:sz w:val="24"/>
          <w:szCs w:val="24"/>
        </w:rPr>
        <w:t xml:space="preserve"> </w:t>
      </w:r>
    </w:p>
    <w:p w14:paraId="1CABC194" w14:textId="71CFD294" w:rsidR="002B7E42" w:rsidRPr="00BB51F3" w:rsidRDefault="00B72C39" w:rsidP="00BB51F3">
      <w:pPr>
        <w:pStyle w:val="Heading2"/>
        <w:spacing w:line="360" w:lineRule="auto"/>
        <w:jc w:val="both"/>
        <w:rPr>
          <w:rFonts w:asciiTheme="minorHAnsi" w:hAnsiTheme="minorHAnsi" w:cstheme="minorHAnsi"/>
          <w:sz w:val="24"/>
          <w:szCs w:val="24"/>
        </w:rPr>
      </w:pPr>
      <w:bookmarkStart w:id="3" w:name="_Toc101817641"/>
      <w:r w:rsidRPr="00BB51F3">
        <w:rPr>
          <w:rFonts w:asciiTheme="minorHAnsi" w:hAnsiTheme="minorHAnsi" w:cstheme="minorHAnsi"/>
          <w:sz w:val="24"/>
          <w:szCs w:val="24"/>
        </w:rPr>
        <w:t xml:space="preserve">KEY LAWS, REGULATIONS AND </w:t>
      </w:r>
      <w:r w:rsidRPr="00BB51F3">
        <w:rPr>
          <w:rFonts w:asciiTheme="minorHAnsi" w:hAnsiTheme="minorHAnsi" w:cstheme="minorHAnsi"/>
          <w:sz w:val="24"/>
          <w:szCs w:val="24"/>
        </w:rPr>
        <w:t>CONTRACTS THAT WERE ENACTED POST THE 2008 FINANCIAL CRISIS BY UK, US OR EU AUTHORITIES</w:t>
      </w:r>
      <w:bookmarkEnd w:id="3"/>
    </w:p>
    <w:p w14:paraId="4CCE732C" w14:textId="1CCEE1C5" w:rsidR="00047A5C"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 xml:space="preserve">The international monetary fund (IMF) described the financial crisis as one of the major economic recessions whereas it was considered a backdrop for the economy of the </w:t>
      </w:r>
      <w:r w:rsidRPr="00BB51F3">
        <w:rPr>
          <w:rFonts w:cstheme="minorHAnsi"/>
          <w:sz w:val="24"/>
          <w:szCs w:val="24"/>
        </w:rPr>
        <w:t xml:space="preserve">United Kingdom. The United States US congress released legislation related to affordable housing and financing. Also, to manage the impact and stabilise the banking authorities, the government introduced </w:t>
      </w:r>
      <w:r w:rsidR="00B06E78" w:rsidRPr="00BB51F3">
        <w:rPr>
          <w:rFonts w:cstheme="minorHAnsi"/>
          <w:sz w:val="24"/>
          <w:szCs w:val="24"/>
        </w:rPr>
        <w:t>massive bailouts and fiscal policies to stop the collapse of the global financial system</w:t>
      </w:r>
      <w:r w:rsidR="004352B6" w:rsidRPr="00BB51F3">
        <w:rPr>
          <w:rFonts w:cstheme="minorHAnsi"/>
          <w:sz w:val="24"/>
          <w:szCs w:val="24"/>
        </w:rPr>
        <w:t xml:space="preserve"> </w:t>
      </w:r>
      <w:r w:rsidR="004352B6" w:rsidRPr="00BB51F3">
        <w:rPr>
          <w:rFonts w:cstheme="minorHAnsi"/>
          <w:color w:val="222222"/>
          <w:sz w:val="24"/>
          <w:szCs w:val="24"/>
          <w:shd w:val="clear" w:color="auto" w:fill="FFFFFF"/>
        </w:rPr>
        <w:t>(Martin et al., 2020)</w:t>
      </w:r>
      <w:r w:rsidR="00B06E78" w:rsidRPr="00BB51F3">
        <w:rPr>
          <w:rFonts w:cstheme="minorHAnsi"/>
          <w:sz w:val="24"/>
          <w:szCs w:val="24"/>
        </w:rPr>
        <w:t xml:space="preserve">. </w:t>
      </w:r>
      <w:r w:rsidR="00B54014" w:rsidRPr="00BB51F3">
        <w:rPr>
          <w:rFonts w:cstheme="minorHAnsi"/>
          <w:sz w:val="24"/>
          <w:szCs w:val="24"/>
        </w:rPr>
        <w:t>The president of the US, UK and European Union imposed multiple legislative responses to handle the financial crisis of 2008.</w:t>
      </w:r>
      <w:r w:rsidR="004569F6" w:rsidRPr="00BB51F3">
        <w:rPr>
          <w:rFonts w:cstheme="minorHAnsi"/>
          <w:sz w:val="24"/>
          <w:szCs w:val="24"/>
        </w:rPr>
        <w:t xml:space="preserve"> Some of the key Laws, regulations and contracts involved:</w:t>
      </w:r>
    </w:p>
    <w:p w14:paraId="5B4E69C5" w14:textId="15111576" w:rsidR="004569F6" w:rsidRPr="00BB51F3" w:rsidRDefault="00B72C39" w:rsidP="00BB51F3">
      <w:pPr>
        <w:spacing w:line="360" w:lineRule="auto"/>
        <w:jc w:val="both"/>
        <w:rPr>
          <w:rFonts w:cstheme="minorHAnsi"/>
          <w:b/>
          <w:bCs/>
          <w:sz w:val="24"/>
          <w:szCs w:val="24"/>
          <w:u w:val="single"/>
        </w:rPr>
      </w:pPr>
      <w:r w:rsidRPr="00BB51F3">
        <w:rPr>
          <w:rFonts w:cstheme="minorHAnsi"/>
          <w:b/>
          <w:bCs/>
          <w:sz w:val="24"/>
          <w:szCs w:val="24"/>
          <w:u w:val="single"/>
        </w:rPr>
        <w:t>Dodd-Frank W</w:t>
      </w:r>
      <w:r w:rsidRPr="00BB51F3">
        <w:rPr>
          <w:rFonts w:cstheme="minorHAnsi"/>
          <w:b/>
          <w:bCs/>
          <w:sz w:val="24"/>
          <w:szCs w:val="24"/>
          <w:u w:val="single"/>
        </w:rPr>
        <w:t>all Street Reform and Consumer Protection Act</w:t>
      </w:r>
    </w:p>
    <w:p w14:paraId="4B711EEB" w14:textId="3448F77D" w:rsidR="004569F6"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 xml:space="preserve">After the economic crisis in 2008, the Doss Frank act was initiated in 2010 as an emergency economic stabilization act. The act facilitated the bailout relief with </w:t>
      </w:r>
      <w:r w:rsidR="003146D9" w:rsidRPr="00BB51F3">
        <w:rPr>
          <w:rFonts w:cstheme="minorHAnsi"/>
          <w:sz w:val="24"/>
          <w:szCs w:val="24"/>
        </w:rPr>
        <w:t>$700 billion</w:t>
      </w:r>
      <w:r w:rsidR="00304232" w:rsidRPr="00BB51F3">
        <w:rPr>
          <w:rFonts w:cstheme="minorHAnsi"/>
          <w:sz w:val="24"/>
          <w:szCs w:val="24"/>
        </w:rPr>
        <w:t xml:space="preserve">. The act was signed in July 2010 whereas the main aim of the Dodd-Frank act was to set standards related to the financial trading markets and securities. Apart from that, the law enacted a new type of protection for the citizens of the US </w:t>
      </w:r>
      <w:r w:rsidR="008B7590" w:rsidRPr="00BB51F3">
        <w:rPr>
          <w:rFonts w:cstheme="minorHAnsi"/>
          <w:sz w:val="24"/>
          <w:szCs w:val="24"/>
        </w:rPr>
        <w:t xml:space="preserve">to secure and continuously monitor the financial interests of American consumers. </w:t>
      </w:r>
      <w:r w:rsidR="00BC2037" w:rsidRPr="00BB51F3">
        <w:rPr>
          <w:rFonts w:cstheme="minorHAnsi"/>
          <w:sz w:val="24"/>
          <w:szCs w:val="24"/>
        </w:rPr>
        <w:t>One such protection was the consumer financial protection bureau (CFPB). There were many regulations which got affected because Dodd-Frank Act</w:t>
      </w:r>
      <w:r w:rsidR="004352B6" w:rsidRPr="00BB51F3">
        <w:rPr>
          <w:rFonts w:cstheme="minorHAnsi"/>
          <w:sz w:val="24"/>
          <w:szCs w:val="24"/>
        </w:rPr>
        <w:t xml:space="preserve"> </w:t>
      </w:r>
      <w:r w:rsidR="004352B6" w:rsidRPr="00BB51F3">
        <w:rPr>
          <w:rFonts w:cstheme="minorHAnsi"/>
          <w:color w:val="222222"/>
          <w:sz w:val="24"/>
          <w:szCs w:val="24"/>
          <w:shd w:val="clear" w:color="auto" w:fill="FFFFFF"/>
        </w:rPr>
        <w:t>(Al Mulhairi and Nobanee, 2019)</w:t>
      </w:r>
      <w:r w:rsidR="00BC2037" w:rsidRPr="00BB51F3">
        <w:rPr>
          <w:rFonts w:cstheme="minorHAnsi"/>
          <w:sz w:val="24"/>
          <w:szCs w:val="24"/>
        </w:rPr>
        <w:t xml:space="preserve">. </w:t>
      </w:r>
    </w:p>
    <w:p w14:paraId="0FEAD3DF" w14:textId="572997D1" w:rsidR="00BC2037" w:rsidRPr="00BB51F3" w:rsidRDefault="00B72C39" w:rsidP="00BB51F3">
      <w:pPr>
        <w:spacing w:line="360" w:lineRule="auto"/>
        <w:jc w:val="both"/>
        <w:rPr>
          <w:rFonts w:cstheme="minorHAnsi"/>
          <w:sz w:val="24"/>
          <w:szCs w:val="24"/>
        </w:rPr>
      </w:pPr>
      <w:r w:rsidRPr="00BB51F3">
        <w:rPr>
          <w:rFonts w:cstheme="minorHAnsi"/>
          <w:sz w:val="24"/>
          <w:szCs w:val="24"/>
        </w:rPr>
        <w:t>Some of the p</w:t>
      </w:r>
      <w:r w:rsidRPr="00BB51F3">
        <w:rPr>
          <w:rFonts w:cstheme="minorHAnsi"/>
          <w:sz w:val="24"/>
          <w:szCs w:val="24"/>
        </w:rPr>
        <w:t xml:space="preserve">ast legislations of the economy which got influenced due by the wall street reform and consumer protection act </w:t>
      </w:r>
      <w:r w:rsidR="00CA6203" w:rsidRPr="00BB51F3">
        <w:rPr>
          <w:rFonts w:cstheme="minorHAnsi"/>
          <w:sz w:val="24"/>
          <w:szCs w:val="24"/>
        </w:rPr>
        <w:t xml:space="preserve">which were amended were: </w:t>
      </w:r>
    </w:p>
    <w:p w14:paraId="47176878" w14:textId="7E66DD6F" w:rsidR="00634D5C" w:rsidRPr="00BB51F3" w:rsidRDefault="00B72C39" w:rsidP="00BB51F3">
      <w:pPr>
        <w:spacing w:line="360" w:lineRule="auto"/>
        <w:jc w:val="both"/>
        <w:rPr>
          <w:rFonts w:cstheme="minorHAnsi"/>
          <w:sz w:val="24"/>
          <w:szCs w:val="24"/>
        </w:rPr>
      </w:pPr>
      <w:r w:rsidRPr="00BB51F3">
        <w:rPr>
          <w:rFonts w:cstheme="minorHAnsi"/>
          <w:sz w:val="24"/>
          <w:szCs w:val="24"/>
        </w:rPr>
        <w:t>Securities Act of 1933</w:t>
      </w:r>
    </w:p>
    <w:p w14:paraId="4B49EFF2" w14:textId="54FD3888" w:rsidR="00634D5C" w:rsidRPr="00BB51F3" w:rsidRDefault="00B72C39" w:rsidP="00BB51F3">
      <w:pPr>
        <w:spacing w:line="360" w:lineRule="auto"/>
        <w:jc w:val="both"/>
        <w:rPr>
          <w:rFonts w:cstheme="minorHAnsi"/>
          <w:sz w:val="24"/>
          <w:szCs w:val="24"/>
        </w:rPr>
      </w:pPr>
      <w:r w:rsidRPr="00BB51F3">
        <w:rPr>
          <w:rFonts w:cstheme="minorHAnsi"/>
          <w:sz w:val="24"/>
          <w:szCs w:val="24"/>
        </w:rPr>
        <w:t>The act amended the securities act of 1933 by amending some securities from the registration whe</w:t>
      </w:r>
      <w:r w:rsidRPr="00BB51F3">
        <w:rPr>
          <w:rFonts w:cstheme="minorHAnsi"/>
          <w:sz w:val="24"/>
          <w:szCs w:val="24"/>
        </w:rPr>
        <w:t xml:space="preserve">reas the exemption was only made for special securities issuance from accredited investors. The speciality of the investors was decided based on their net worth. </w:t>
      </w:r>
    </w:p>
    <w:p w14:paraId="52861618" w14:textId="5AEAD347" w:rsidR="00BC2037" w:rsidRPr="00BB51F3" w:rsidRDefault="00B72C39" w:rsidP="00BB51F3">
      <w:pPr>
        <w:spacing w:line="360" w:lineRule="auto"/>
        <w:jc w:val="both"/>
        <w:rPr>
          <w:rFonts w:cstheme="minorHAnsi"/>
          <w:sz w:val="24"/>
          <w:szCs w:val="24"/>
        </w:rPr>
      </w:pPr>
      <w:r w:rsidRPr="00BB51F3">
        <w:rPr>
          <w:rFonts w:cstheme="minorHAnsi"/>
          <w:sz w:val="24"/>
          <w:szCs w:val="24"/>
        </w:rPr>
        <w:t>Securities Exchange Act of 1934</w:t>
      </w:r>
    </w:p>
    <w:p w14:paraId="7DB83736" w14:textId="2557C4E0" w:rsidR="009B54B1"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There were many amendments involved in the Securities Exchang</w:t>
      </w:r>
      <w:r w:rsidRPr="00BB51F3">
        <w:rPr>
          <w:rFonts w:cstheme="minorHAnsi"/>
          <w:sz w:val="24"/>
          <w:szCs w:val="24"/>
        </w:rPr>
        <w:t xml:space="preserve">e Act of 1934 due to the Dodd-Frank consumer protection act. The amendments involve the creation of the Investor </w:t>
      </w:r>
      <w:r w:rsidRPr="00BB51F3">
        <w:rPr>
          <w:rFonts w:cstheme="minorHAnsi"/>
          <w:sz w:val="24"/>
          <w:szCs w:val="24"/>
        </w:rPr>
        <w:lastRenderedPageBreak/>
        <w:t>Advisory Committee (IAC)</w:t>
      </w:r>
      <w:r w:rsidR="003B5054" w:rsidRPr="00BB51F3">
        <w:rPr>
          <w:rFonts w:cstheme="minorHAnsi"/>
          <w:sz w:val="24"/>
          <w:szCs w:val="24"/>
        </w:rPr>
        <w:t xml:space="preserve">, the office of the investor advocate along with an ombudsman directed by the OIA. </w:t>
      </w:r>
      <w:r w:rsidR="00923281" w:rsidRPr="00BB51F3">
        <w:rPr>
          <w:rFonts w:cstheme="minorHAnsi"/>
          <w:sz w:val="24"/>
          <w:szCs w:val="24"/>
        </w:rPr>
        <w:t xml:space="preserve">The changes in the exchange act also covered the issues related to accountability, corporate governance and executive compensation whereas the main aim was to regulate the credit rating agencies. </w:t>
      </w:r>
      <w:r w:rsidR="00E61ED7" w:rsidRPr="00BB51F3">
        <w:rPr>
          <w:rFonts w:cstheme="minorHAnsi"/>
          <w:sz w:val="24"/>
          <w:szCs w:val="24"/>
        </w:rPr>
        <w:t>The changes involved the process of asset-backed securitization</w:t>
      </w:r>
      <w:r w:rsidR="00BB51F3" w:rsidRPr="00BB51F3">
        <w:rPr>
          <w:rFonts w:cstheme="minorHAnsi"/>
          <w:sz w:val="24"/>
          <w:szCs w:val="24"/>
        </w:rPr>
        <w:t xml:space="preserve"> </w:t>
      </w:r>
      <w:bookmarkStart w:id="4" w:name="_Hlk101817355"/>
      <w:r w:rsidR="00BB51F3" w:rsidRPr="00BB51F3">
        <w:rPr>
          <w:rFonts w:cstheme="minorHAnsi"/>
          <w:color w:val="222222"/>
          <w:sz w:val="24"/>
          <w:szCs w:val="24"/>
          <w:shd w:val="clear" w:color="auto" w:fill="FFFFFF"/>
        </w:rPr>
        <w:t>(Laeven and Valencia, 2018)</w:t>
      </w:r>
      <w:bookmarkEnd w:id="4"/>
      <w:r w:rsidR="00E61ED7" w:rsidRPr="00BB51F3">
        <w:rPr>
          <w:rFonts w:cstheme="minorHAnsi"/>
          <w:sz w:val="24"/>
          <w:szCs w:val="24"/>
        </w:rPr>
        <w:t xml:space="preserve">. The process was added to resolve the mortgage issue of the financial crisis whereas the asset-backed securitization process entirely concentrates </w:t>
      </w:r>
      <w:r w:rsidR="002047AA" w:rsidRPr="00BB51F3">
        <w:rPr>
          <w:rFonts w:cstheme="minorHAnsi"/>
          <w:sz w:val="24"/>
          <w:szCs w:val="24"/>
        </w:rPr>
        <w:t xml:space="preserve">on the mortgage-backed securitization than the asset-backed securitization. </w:t>
      </w:r>
    </w:p>
    <w:p w14:paraId="68219973" w14:textId="71F6240C" w:rsidR="00BC2037" w:rsidRPr="00BB51F3" w:rsidRDefault="00B72C39" w:rsidP="00BB51F3">
      <w:pPr>
        <w:spacing w:line="360" w:lineRule="auto"/>
        <w:jc w:val="both"/>
        <w:rPr>
          <w:rFonts w:cstheme="minorHAnsi"/>
          <w:sz w:val="24"/>
          <w:szCs w:val="24"/>
        </w:rPr>
      </w:pPr>
      <w:r w:rsidRPr="00BB51F3">
        <w:rPr>
          <w:rFonts w:cstheme="minorHAnsi"/>
          <w:sz w:val="24"/>
          <w:szCs w:val="24"/>
        </w:rPr>
        <w:t>Sarbanes Ox</w:t>
      </w:r>
      <w:r w:rsidRPr="00BB51F3">
        <w:rPr>
          <w:rFonts w:cstheme="minorHAnsi"/>
          <w:sz w:val="24"/>
          <w:szCs w:val="24"/>
        </w:rPr>
        <w:t>ley Act of 2002</w:t>
      </w:r>
    </w:p>
    <w:p w14:paraId="0AD1DB05" w14:textId="68F3F379" w:rsidR="00C03C1E"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The amendment in the Sarbanes Oxley Act by the Dodd-Frank act was related to the whistleblowers whereas the frank act added new protections for whistleblowers</w:t>
      </w:r>
      <w:r w:rsidR="002B4216" w:rsidRPr="00BB51F3">
        <w:rPr>
          <w:rFonts w:cstheme="minorHAnsi"/>
          <w:sz w:val="24"/>
          <w:szCs w:val="24"/>
        </w:rPr>
        <w:t>. Whistleblowers were a great asset for the government to deal with the global financial crisis as it was required to attain information regarding corruption, fraud, and selling and buying property at too low and too high prices</w:t>
      </w:r>
      <w:r w:rsidR="00BB51F3" w:rsidRPr="00BB51F3">
        <w:rPr>
          <w:rFonts w:cstheme="minorHAnsi"/>
          <w:sz w:val="24"/>
          <w:szCs w:val="24"/>
        </w:rPr>
        <w:t xml:space="preserve"> </w:t>
      </w:r>
      <w:bookmarkStart w:id="5" w:name="_Hlk101817323"/>
      <w:r w:rsidR="00BB51F3" w:rsidRPr="00BB51F3">
        <w:rPr>
          <w:rFonts w:cstheme="minorHAnsi"/>
          <w:color w:val="222222"/>
          <w:sz w:val="24"/>
          <w:szCs w:val="24"/>
          <w:shd w:val="clear" w:color="auto" w:fill="FFFFFF"/>
        </w:rPr>
        <w:t>(Prihartono et al., 2018)</w:t>
      </w:r>
      <w:bookmarkEnd w:id="5"/>
      <w:r w:rsidR="002B4216" w:rsidRPr="00BB51F3">
        <w:rPr>
          <w:rFonts w:cstheme="minorHAnsi"/>
          <w:sz w:val="24"/>
          <w:szCs w:val="24"/>
        </w:rPr>
        <w:t xml:space="preserve">. The idea of taking advantage of whistleblowers and acquiring meaningful information from them was appealing whereas the idea was financially rewarding for the finance institutions and to monitor their financial activities. </w:t>
      </w:r>
    </w:p>
    <w:p w14:paraId="2829D1D4" w14:textId="74FD4769" w:rsidR="00187C50" w:rsidRPr="00BB51F3" w:rsidRDefault="00B72C39" w:rsidP="00BB51F3">
      <w:pPr>
        <w:spacing w:line="360" w:lineRule="auto"/>
        <w:jc w:val="both"/>
        <w:rPr>
          <w:rFonts w:cstheme="minorHAnsi"/>
          <w:sz w:val="24"/>
          <w:szCs w:val="24"/>
        </w:rPr>
      </w:pPr>
      <w:r w:rsidRPr="00BB51F3">
        <w:rPr>
          <w:rFonts w:cstheme="minorHAnsi"/>
          <w:sz w:val="24"/>
          <w:szCs w:val="24"/>
        </w:rPr>
        <w:t>The Dodd-Frank act of consumer protection also involved numerous stand-alone provisions</w:t>
      </w:r>
      <w:r w:rsidR="0065045D" w:rsidRPr="00BB51F3">
        <w:rPr>
          <w:rFonts w:cstheme="minorHAnsi"/>
          <w:sz w:val="24"/>
          <w:szCs w:val="24"/>
        </w:rPr>
        <w:t>. The post-crisis enactments involve:</w:t>
      </w:r>
    </w:p>
    <w:p w14:paraId="33A96F98" w14:textId="1B966D67" w:rsidR="0065045D" w:rsidRPr="00BB51F3" w:rsidRDefault="00B72C39" w:rsidP="00BB51F3">
      <w:pPr>
        <w:spacing w:line="360" w:lineRule="auto"/>
        <w:jc w:val="both"/>
        <w:rPr>
          <w:rFonts w:cstheme="minorHAnsi"/>
          <w:sz w:val="24"/>
          <w:szCs w:val="24"/>
        </w:rPr>
      </w:pPr>
      <w:r w:rsidRPr="00BB51F3">
        <w:rPr>
          <w:rFonts w:cstheme="minorHAnsi"/>
          <w:sz w:val="24"/>
          <w:szCs w:val="24"/>
        </w:rPr>
        <w:t>Financial Stability Oversight Council</w:t>
      </w:r>
    </w:p>
    <w:p w14:paraId="74EFD54B" w14:textId="30A6367D" w:rsidR="0065045D"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The FSOC which is the Financial Stability Oversight Council was addressed in Title I of the action whereas the main aim of the provision was to improvise the systematic risks involved in the framework. The g</w:t>
      </w:r>
      <w:r w:rsidRPr="00BB51F3">
        <w:rPr>
          <w:rFonts w:cstheme="minorHAnsi"/>
          <w:sz w:val="24"/>
          <w:szCs w:val="24"/>
        </w:rPr>
        <w:t xml:space="preserve">overnment introduced SIFIs which were systematically important financial institutions whereas such institutions were too </w:t>
      </w:r>
      <w:proofErr w:type="gramStart"/>
      <w:r w:rsidRPr="00BB51F3">
        <w:rPr>
          <w:rFonts w:cstheme="minorHAnsi"/>
          <w:sz w:val="24"/>
          <w:szCs w:val="24"/>
        </w:rPr>
        <w:t>big</w:t>
      </w:r>
      <w:proofErr w:type="gramEnd"/>
      <w:r w:rsidRPr="00BB51F3">
        <w:rPr>
          <w:rFonts w:cstheme="minorHAnsi"/>
          <w:sz w:val="24"/>
          <w:szCs w:val="24"/>
        </w:rPr>
        <w:t xml:space="preserve"> and the core purpose of the oversight council was to monito</w:t>
      </w:r>
      <w:r w:rsidR="00165F3D" w:rsidRPr="00BB51F3">
        <w:rPr>
          <w:rFonts w:cstheme="minorHAnsi"/>
          <w:sz w:val="24"/>
          <w:szCs w:val="24"/>
        </w:rPr>
        <w:t>r</w:t>
      </w:r>
      <w:r w:rsidRPr="00BB51F3">
        <w:rPr>
          <w:rFonts w:cstheme="minorHAnsi"/>
          <w:sz w:val="24"/>
          <w:szCs w:val="24"/>
        </w:rPr>
        <w:t xml:space="preserve"> these institutions. </w:t>
      </w:r>
      <w:r w:rsidR="000E5F46" w:rsidRPr="00BB51F3">
        <w:rPr>
          <w:rFonts w:cstheme="minorHAnsi"/>
          <w:sz w:val="24"/>
          <w:szCs w:val="24"/>
        </w:rPr>
        <w:t xml:space="preserve">The voting members of the </w:t>
      </w:r>
      <w:r w:rsidR="00165F3D" w:rsidRPr="00BB51F3">
        <w:rPr>
          <w:rFonts w:cstheme="minorHAnsi"/>
          <w:sz w:val="24"/>
          <w:szCs w:val="24"/>
        </w:rPr>
        <w:t>financial stability oversight council were the head of the department of treasury, national credit union administration, insurance expert, federal reserve board, consumer financial protection bureau etc</w:t>
      </w:r>
      <w:r w:rsidR="00BB51F3" w:rsidRPr="00BB51F3">
        <w:rPr>
          <w:rFonts w:cstheme="minorHAnsi"/>
          <w:sz w:val="24"/>
          <w:szCs w:val="24"/>
        </w:rPr>
        <w:t xml:space="preserve"> </w:t>
      </w:r>
      <w:bookmarkStart w:id="6" w:name="_Hlk101817251"/>
      <w:r w:rsidR="00BB51F3" w:rsidRPr="00BB51F3">
        <w:rPr>
          <w:rFonts w:cstheme="minorHAnsi"/>
          <w:color w:val="222222"/>
          <w:sz w:val="24"/>
          <w:szCs w:val="24"/>
          <w:shd w:val="clear" w:color="auto" w:fill="FFFFFF"/>
        </w:rPr>
        <w:t>(Al Mulhairi and Nobanee, 2019)</w:t>
      </w:r>
      <w:bookmarkEnd w:id="6"/>
      <w:r w:rsidR="00313877" w:rsidRPr="00BB51F3">
        <w:rPr>
          <w:rFonts w:cstheme="minorHAnsi"/>
          <w:sz w:val="24"/>
          <w:szCs w:val="24"/>
        </w:rPr>
        <w:t>. The main aim of these amendments was to reduce the risks to the country's economy after the financial crisis</w:t>
      </w:r>
      <w:r w:rsidR="0085011A" w:rsidRPr="00BB51F3">
        <w:rPr>
          <w:rFonts w:cstheme="minorHAnsi"/>
          <w:sz w:val="24"/>
          <w:szCs w:val="24"/>
        </w:rPr>
        <w:t xml:space="preserve"> which was one of the major reasons that the amendment concentrated on the </w:t>
      </w:r>
      <w:r w:rsidR="008321B2" w:rsidRPr="00BB51F3">
        <w:rPr>
          <w:rFonts w:cstheme="minorHAnsi"/>
          <w:sz w:val="24"/>
          <w:szCs w:val="24"/>
        </w:rPr>
        <w:t xml:space="preserve">documentation and testing of business operations. </w:t>
      </w:r>
    </w:p>
    <w:p w14:paraId="751506AA" w14:textId="4326BA58" w:rsidR="0065045D" w:rsidRPr="00BB51F3" w:rsidRDefault="00B72C39" w:rsidP="00BB51F3">
      <w:pPr>
        <w:spacing w:line="360" w:lineRule="auto"/>
        <w:jc w:val="both"/>
        <w:rPr>
          <w:rFonts w:cstheme="minorHAnsi"/>
          <w:sz w:val="24"/>
          <w:szCs w:val="24"/>
        </w:rPr>
      </w:pPr>
      <w:r w:rsidRPr="00BB51F3">
        <w:rPr>
          <w:rFonts w:cstheme="minorHAnsi"/>
          <w:sz w:val="24"/>
          <w:szCs w:val="24"/>
        </w:rPr>
        <w:lastRenderedPageBreak/>
        <w:t>Volcker Rule</w:t>
      </w:r>
    </w:p>
    <w:p w14:paraId="3FC7ABEB" w14:textId="0E9C0147" w:rsidR="00A95D08" w:rsidRPr="00BB51F3" w:rsidRDefault="00B72C39" w:rsidP="00BB51F3">
      <w:pPr>
        <w:spacing w:line="360" w:lineRule="auto"/>
        <w:jc w:val="both"/>
        <w:rPr>
          <w:rFonts w:cstheme="minorHAnsi"/>
          <w:sz w:val="24"/>
          <w:szCs w:val="24"/>
        </w:rPr>
      </w:pPr>
      <w:r w:rsidRPr="00BB51F3">
        <w:rPr>
          <w:rFonts w:cstheme="minorHAnsi"/>
          <w:sz w:val="24"/>
          <w:szCs w:val="24"/>
        </w:rPr>
        <w:t xml:space="preserve">In </w:t>
      </w:r>
      <w:r w:rsidRPr="00BB51F3">
        <w:rPr>
          <w:rFonts w:cstheme="minorHAnsi"/>
          <w:sz w:val="24"/>
          <w:szCs w:val="24"/>
        </w:rPr>
        <w:t xml:space="preserve">the Dodd Frank's consumer protection act, Volcker Rule was added as a provision whereas the rule was designed to relate it to speculative investments. </w:t>
      </w:r>
      <w:r w:rsidR="000C7429" w:rsidRPr="00BB51F3">
        <w:rPr>
          <w:rFonts w:cstheme="minorHAnsi"/>
          <w:sz w:val="24"/>
          <w:szCs w:val="24"/>
        </w:rPr>
        <w:t xml:space="preserve"> It decreased the trading rights which were enabled by the proprietary traders who belong to large financial institutions. </w:t>
      </w:r>
    </w:p>
    <w:p w14:paraId="0FDE2479" w14:textId="7618FAA9" w:rsidR="0065045D" w:rsidRPr="00BB51F3" w:rsidRDefault="00B72C39" w:rsidP="00BB51F3">
      <w:pPr>
        <w:spacing w:line="360" w:lineRule="auto"/>
        <w:jc w:val="both"/>
        <w:rPr>
          <w:rFonts w:cstheme="minorHAnsi"/>
          <w:sz w:val="24"/>
          <w:szCs w:val="24"/>
        </w:rPr>
      </w:pPr>
      <w:r w:rsidRPr="00BB51F3">
        <w:rPr>
          <w:rFonts w:cstheme="minorHAnsi"/>
          <w:sz w:val="24"/>
          <w:szCs w:val="24"/>
        </w:rPr>
        <w:t>Consumer Financial Protection Bureau</w:t>
      </w:r>
    </w:p>
    <w:p w14:paraId="375510D8" w14:textId="30CF940D" w:rsidR="009F49DD"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 xml:space="preserve">The arena of the CFPB consumer financial protection bureau </w:t>
      </w:r>
      <w:r w:rsidR="00114714" w:rsidRPr="00BB51F3">
        <w:rPr>
          <w:rFonts w:cstheme="minorHAnsi"/>
          <w:sz w:val="24"/>
          <w:szCs w:val="24"/>
        </w:rPr>
        <w:t>was created to involve the sectors of market regimes, services, and financial products which are framed to benefit the consumers of the US. Along with other benefits, it also involves a wide variety of educational materials</w:t>
      </w:r>
      <w:r w:rsidR="00BB51F3" w:rsidRPr="00BB51F3">
        <w:rPr>
          <w:rFonts w:cstheme="minorHAnsi"/>
          <w:sz w:val="24"/>
          <w:szCs w:val="24"/>
        </w:rPr>
        <w:t xml:space="preserve"> </w:t>
      </w:r>
      <w:bookmarkStart w:id="7" w:name="_Hlk101817234"/>
      <w:r w:rsidR="00BB51F3" w:rsidRPr="00BB51F3">
        <w:rPr>
          <w:rFonts w:cstheme="minorHAnsi"/>
          <w:color w:val="222222"/>
          <w:sz w:val="24"/>
          <w:szCs w:val="24"/>
          <w:shd w:val="clear" w:color="auto" w:fill="FFFFFF"/>
        </w:rPr>
        <w:t>(Martin et al., 2020)</w:t>
      </w:r>
      <w:bookmarkEnd w:id="7"/>
      <w:r w:rsidR="00114714" w:rsidRPr="00BB51F3">
        <w:rPr>
          <w:rFonts w:cstheme="minorHAnsi"/>
          <w:sz w:val="24"/>
          <w:szCs w:val="24"/>
        </w:rPr>
        <w:t xml:space="preserve">. The financial crisis of 2008 </w:t>
      </w:r>
      <w:proofErr w:type="gramStart"/>
      <w:r w:rsidR="00BD361D" w:rsidRPr="00BB51F3">
        <w:rPr>
          <w:rFonts w:cstheme="minorHAnsi"/>
          <w:sz w:val="24"/>
          <w:szCs w:val="24"/>
        </w:rPr>
        <w:t>involved  too</w:t>
      </w:r>
      <w:proofErr w:type="gramEnd"/>
      <w:r w:rsidR="00BD361D" w:rsidRPr="00BB51F3">
        <w:rPr>
          <w:rFonts w:cstheme="minorHAnsi"/>
          <w:sz w:val="24"/>
          <w:szCs w:val="24"/>
        </w:rPr>
        <w:t xml:space="preserve"> many fraudulent practices, scams and corruption whereas the consumer financial protection bureau tried to maintain a strong framework to protect consumer rights and also threw light on the practices which were considered unfair</w:t>
      </w:r>
      <w:r w:rsidR="00890A97" w:rsidRPr="00BB51F3">
        <w:rPr>
          <w:rFonts w:cstheme="minorHAnsi"/>
          <w:sz w:val="24"/>
          <w:szCs w:val="24"/>
        </w:rPr>
        <w:t xml:space="preserve"> judicially by the US court system </w:t>
      </w:r>
    </w:p>
    <w:p w14:paraId="5F7F1959" w14:textId="167B53AB" w:rsidR="00E410B9" w:rsidRPr="007B4D7D" w:rsidRDefault="00B72C39" w:rsidP="00BB51F3">
      <w:pPr>
        <w:spacing w:line="360" w:lineRule="auto"/>
        <w:jc w:val="both"/>
        <w:rPr>
          <w:rFonts w:cstheme="minorHAnsi"/>
          <w:b/>
          <w:bCs/>
          <w:sz w:val="24"/>
          <w:szCs w:val="24"/>
          <w:u w:val="single"/>
        </w:rPr>
      </w:pPr>
      <w:r w:rsidRPr="007B4D7D">
        <w:rPr>
          <w:rFonts w:cstheme="minorHAnsi"/>
          <w:b/>
          <w:bCs/>
          <w:sz w:val="24"/>
          <w:szCs w:val="24"/>
          <w:u w:val="single"/>
        </w:rPr>
        <w:t>Emergency Economic Stabilization Act</w:t>
      </w:r>
    </w:p>
    <w:p w14:paraId="14457834" w14:textId="2DF45381" w:rsidR="00E410B9"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Another notable act passed by the US to stabilize the after-effects of the financial crisis of 2008 was the emergency Economic stabilization act. The act was passed while the financial crisis was about to end in October 2008. It was passed by congress. The</w:t>
      </w:r>
      <w:r w:rsidRPr="00BB51F3">
        <w:rPr>
          <w:rFonts w:cstheme="minorHAnsi"/>
          <w:sz w:val="24"/>
          <w:szCs w:val="24"/>
        </w:rPr>
        <w:t xml:space="preserve"> act allowed to purchase of "troubled assets" which involve mortgage bank securities and bank shares worth $700 billion to the Treasury. </w:t>
      </w:r>
      <w:r w:rsidR="00C95817" w:rsidRPr="00BB51F3">
        <w:rPr>
          <w:rFonts w:cstheme="minorHAnsi"/>
          <w:sz w:val="24"/>
          <w:szCs w:val="24"/>
        </w:rPr>
        <w:t>Many big institutions were the part of bailing out institutions such as American International Group (AIG), General Motors, JP Morgan, Citigroup, and Bank of America</w:t>
      </w:r>
      <w:r w:rsidR="00BB51F3" w:rsidRPr="00BB51F3">
        <w:rPr>
          <w:rFonts w:cstheme="minorHAnsi"/>
          <w:sz w:val="24"/>
          <w:szCs w:val="24"/>
        </w:rPr>
        <w:t xml:space="preserve"> </w:t>
      </w:r>
      <w:bookmarkStart w:id="8" w:name="_Hlk101817162"/>
      <w:r w:rsidR="00BB51F3" w:rsidRPr="00BB51F3">
        <w:rPr>
          <w:rFonts w:cstheme="minorHAnsi"/>
          <w:color w:val="222222"/>
          <w:sz w:val="24"/>
          <w:szCs w:val="24"/>
          <w:shd w:val="clear" w:color="auto" w:fill="FFFFFF"/>
        </w:rPr>
        <w:t>(Brigham and Ehrhardy, 2019)</w:t>
      </w:r>
      <w:bookmarkEnd w:id="8"/>
      <w:r w:rsidR="00C95817" w:rsidRPr="00BB51F3">
        <w:rPr>
          <w:rFonts w:cstheme="minorHAnsi"/>
          <w:sz w:val="24"/>
          <w:szCs w:val="24"/>
        </w:rPr>
        <w:t xml:space="preserve">. A troubled asset relief program was initiated to bail out these institutions whereas the program spent $426.4 billion on these institutions. The treasury of troubled assets resulted in the recovery of $441.7 billion.  </w:t>
      </w:r>
    </w:p>
    <w:p w14:paraId="1F76CB69" w14:textId="13C2C82C" w:rsidR="00BE58E8" w:rsidRPr="007B4D7D" w:rsidRDefault="00B72C39" w:rsidP="00BB51F3">
      <w:pPr>
        <w:spacing w:line="360" w:lineRule="auto"/>
        <w:jc w:val="both"/>
        <w:rPr>
          <w:rFonts w:cstheme="minorHAnsi"/>
          <w:b/>
          <w:bCs/>
          <w:sz w:val="24"/>
          <w:szCs w:val="24"/>
          <w:u w:val="single"/>
        </w:rPr>
      </w:pPr>
      <w:r w:rsidRPr="007B4D7D">
        <w:rPr>
          <w:rFonts w:cstheme="minorHAnsi"/>
          <w:b/>
          <w:bCs/>
          <w:sz w:val="24"/>
          <w:szCs w:val="24"/>
          <w:u w:val="single"/>
        </w:rPr>
        <w:t>New Regulatory Bodies</w:t>
      </w:r>
    </w:p>
    <w:p w14:paraId="3285F6FC" w14:textId="0B85912E" w:rsidR="00BE58E8"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Higher authorities such as the EU and US developed new regulations whereas to maintain new regulations, new regulatory bodies were developed. The main motive for generating new regulatory bodies</w:t>
      </w:r>
      <w:r w:rsidRPr="00BB51F3">
        <w:rPr>
          <w:rFonts w:cstheme="minorHAnsi"/>
          <w:sz w:val="24"/>
          <w:szCs w:val="24"/>
        </w:rPr>
        <w:t xml:space="preserve"> and new regulations was the securitization of debt, lending activities and banking. Also, each activity was introduced having in mind that these steps will not lead to another economic recession</w:t>
      </w:r>
      <w:r w:rsidR="00BB51F3" w:rsidRPr="00BB51F3">
        <w:rPr>
          <w:rFonts w:cstheme="minorHAnsi"/>
          <w:sz w:val="24"/>
          <w:szCs w:val="24"/>
        </w:rPr>
        <w:t xml:space="preserve"> </w:t>
      </w:r>
      <w:bookmarkStart w:id="9" w:name="_Hlk101817142"/>
      <w:r w:rsidR="00BB51F3" w:rsidRPr="00BB51F3">
        <w:rPr>
          <w:rFonts w:cstheme="minorHAnsi"/>
          <w:color w:val="222222"/>
          <w:sz w:val="24"/>
          <w:szCs w:val="24"/>
          <w:shd w:val="clear" w:color="auto" w:fill="FFFFFF"/>
        </w:rPr>
        <w:t>(Notteboom et al., 2021)</w:t>
      </w:r>
      <w:bookmarkEnd w:id="9"/>
      <w:r w:rsidRPr="00BB51F3">
        <w:rPr>
          <w:rFonts w:cstheme="minorHAnsi"/>
          <w:sz w:val="24"/>
          <w:szCs w:val="24"/>
        </w:rPr>
        <w:t>. The reforms entirely concentrate o</w:t>
      </w:r>
      <w:r w:rsidRPr="00BB51F3">
        <w:rPr>
          <w:rFonts w:cstheme="minorHAnsi"/>
          <w:sz w:val="24"/>
          <w:szCs w:val="24"/>
        </w:rPr>
        <w:t xml:space="preserve">n protecting consumer rights and economic recovery. </w:t>
      </w:r>
    </w:p>
    <w:p w14:paraId="4C6CE4B3" w14:textId="047C8E90" w:rsidR="00DD661D" w:rsidRPr="007B4D7D" w:rsidRDefault="00B72C39" w:rsidP="00BB51F3">
      <w:pPr>
        <w:spacing w:line="360" w:lineRule="auto"/>
        <w:jc w:val="both"/>
        <w:rPr>
          <w:rFonts w:cstheme="minorHAnsi"/>
          <w:b/>
          <w:bCs/>
          <w:sz w:val="24"/>
          <w:szCs w:val="24"/>
          <w:u w:val="single"/>
        </w:rPr>
      </w:pPr>
      <w:r w:rsidRPr="007B4D7D">
        <w:rPr>
          <w:rFonts w:cstheme="minorHAnsi"/>
          <w:b/>
          <w:bCs/>
          <w:sz w:val="24"/>
          <w:szCs w:val="24"/>
          <w:u w:val="single"/>
        </w:rPr>
        <w:lastRenderedPageBreak/>
        <w:t>The European Securities and Markets Authority</w:t>
      </w:r>
    </w:p>
    <w:p w14:paraId="3975CCDB" w14:textId="0A37DCE1" w:rsidR="00DD661D" w:rsidRPr="00BB51F3" w:rsidRDefault="00B72C39" w:rsidP="00BB51F3">
      <w:pPr>
        <w:spacing w:line="360" w:lineRule="auto"/>
        <w:jc w:val="both"/>
        <w:rPr>
          <w:rFonts w:cstheme="minorHAnsi"/>
          <w:sz w:val="24"/>
          <w:szCs w:val="24"/>
        </w:rPr>
      </w:pPr>
      <w:r w:rsidRPr="00BB51F3">
        <w:rPr>
          <w:rFonts w:cstheme="minorHAnsi"/>
          <w:sz w:val="24"/>
          <w:szCs w:val="24"/>
        </w:rPr>
        <w:t xml:space="preserve">The ESMA stands for European securities and market authority is an independent market authority that deals with the investors associated with the EU whereas the authority also monitors whether the investors abide by the regulations and rules or not. </w:t>
      </w:r>
      <w:r w:rsidR="00C458DA" w:rsidRPr="00BB51F3">
        <w:rPr>
          <w:rFonts w:cstheme="minorHAnsi"/>
          <w:sz w:val="24"/>
          <w:szCs w:val="24"/>
        </w:rPr>
        <w:t xml:space="preserve">The securities and markets authority involves a single rulebook which is pertained to be followed by all member countries whereas the main motive of ESMA is to create a safe infrastructure and secure market. ESMA aims to ensure transparency in the market. </w:t>
      </w:r>
      <w:r w:rsidR="00284976" w:rsidRPr="00BB51F3">
        <w:rPr>
          <w:rFonts w:cstheme="minorHAnsi"/>
          <w:sz w:val="24"/>
          <w:szCs w:val="24"/>
        </w:rPr>
        <w:t xml:space="preserve"> </w:t>
      </w:r>
    </w:p>
    <w:p w14:paraId="1C216C1F" w14:textId="2D53EA9E" w:rsidR="00284976"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 xml:space="preserve">The </w:t>
      </w:r>
      <w:r w:rsidRPr="00BB51F3">
        <w:rPr>
          <w:rFonts w:cstheme="minorHAnsi"/>
          <w:sz w:val="24"/>
          <w:szCs w:val="24"/>
        </w:rPr>
        <w:t>operational structure of ESMA involves the representatives from each country along with the regulating authorities of the European Union</w:t>
      </w:r>
      <w:r w:rsidR="00BB51F3" w:rsidRPr="00BB51F3">
        <w:rPr>
          <w:rFonts w:cstheme="minorHAnsi"/>
          <w:sz w:val="24"/>
          <w:szCs w:val="24"/>
        </w:rPr>
        <w:t xml:space="preserve"> </w:t>
      </w:r>
      <w:bookmarkStart w:id="10" w:name="_Hlk101817123"/>
      <w:r w:rsidR="00BB51F3" w:rsidRPr="00BB51F3">
        <w:rPr>
          <w:rFonts w:cstheme="minorHAnsi"/>
          <w:color w:val="222222"/>
          <w:sz w:val="24"/>
          <w:szCs w:val="24"/>
          <w:shd w:val="clear" w:color="auto" w:fill="FFFFFF"/>
        </w:rPr>
        <w:t>(Akgun and Karatas, 2020)</w:t>
      </w:r>
      <w:bookmarkEnd w:id="10"/>
      <w:r w:rsidRPr="00BB51F3">
        <w:rPr>
          <w:rFonts w:cstheme="minorHAnsi"/>
          <w:sz w:val="24"/>
          <w:szCs w:val="24"/>
        </w:rPr>
        <w:t>. The processes are completed with the help of market stakeholders and member countries wherea</w:t>
      </w:r>
      <w:r w:rsidRPr="00BB51F3">
        <w:rPr>
          <w:rFonts w:cstheme="minorHAnsi"/>
          <w:sz w:val="24"/>
          <w:szCs w:val="24"/>
        </w:rPr>
        <w:t xml:space="preserve">s ESMA tries to boost the preparations for future economic crises. Its objective is to generate a healthy response if any financial emergency like the great depression and the financial crisis of 2008 will occur again. </w:t>
      </w:r>
    </w:p>
    <w:p w14:paraId="2F0251A6" w14:textId="74A84DEE" w:rsidR="001C3915" w:rsidRPr="007B4D7D" w:rsidRDefault="00B72C39" w:rsidP="00BB51F3">
      <w:pPr>
        <w:spacing w:line="360" w:lineRule="auto"/>
        <w:jc w:val="both"/>
        <w:rPr>
          <w:rFonts w:cstheme="minorHAnsi"/>
          <w:b/>
          <w:bCs/>
          <w:sz w:val="24"/>
          <w:szCs w:val="24"/>
          <w:u w:val="single"/>
        </w:rPr>
      </w:pPr>
      <w:r w:rsidRPr="007B4D7D">
        <w:rPr>
          <w:rFonts w:cstheme="minorHAnsi"/>
          <w:b/>
          <w:bCs/>
          <w:sz w:val="24"/>
          <w:szCs w:val="24"/>
          <w:u w:val="single"/>
        </w:rPr>
        <w:t>The Bail-In Method</w:t>
      </w:r>
    </w:p>
    <w:p w14:paraId="77C294AD" w14:textId="264DFAF9" w:rsidR="001C3915"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The Bail-in metho</w:t>
      </w:r>
      <w:r w:rsidRPr="00BB51F3">
        <w:rPr>
          <w:rFonts w:cstheme="minorHAnsi"/>
          <w:sz w:val="24"/>
          <w:szCs w:val="24"/>
        </w:rPr>
        <w:t>d is an alternative method to bailout which is initiated by the banking institutions and government.</w:t>
      </w:r>
      <w:r w:rsidR="00970FCE" w:rsidRPr="00BB51F3">
        <w:rPr>
          <w:rFonts w:cstheme="minorHAnsi"/>
          <w:sz w:val="24"/>
          <w:szCs w:val="24"/>
        </w:rPr>
        <w:t xml:space="preserve"> In a bailout, other banks rescue the failing institutions whereas, in a bail-in, the bank is the one which rescues itself</w:t>
      </w:r>
      <w:r w:rsidR="00BB51F3" w:rsidRPr="00BB51F3">
        <w:rPr>
          <w:rFonts w:cstheme="minorHAnsi"/>
          <w:sz w:val="24"/>
          <w:szCs w:val="24"/>
        </w:rPr>
        <w:t xml:space="preserve"> </w:t>
      </w:r>
      <w:bookmarkStart w:id="11" w:name="_Hlk101817107"/>
      <w:r w:rsidR="00BB51F3" w:rsidRPr="00BB51F3">
        <w:rPr>
          <w:rFonts w:cstheme="minorHAnsi"/>
          <w:color w:val="222222"/>
          <w:sz w:val="24"/>
          <w:szCs w:val="24"/>
          <w:shd w:val="clear" w:color="auto" w:fill="FFFFFF"/>
        </w:rPr>
        <w:t>(Milanovic, 2022)</w:t>
      </w:r>
      <w:bookmarkEnd w:id="11"/>
      <w:r w:rsidR="00970FCE" w:rsidRPr="00BB51F3">
        <w:rPr>
          <w:rFonts w:cstheme="minorHAnsi"/>
          <w:sz w:val="24"/>
          <w:szCs w:val="24"/>
        </w:rPr>
        <w:t xml:space="preserve">. </w:t>
      </w:r>
      <w:r w:rsidR="00555589" w:rsidRPr="00BB51F3">
        <w:rPr>
          <w:rFonts w:cstheme="minorHAnsi"/>
          <w:sz w:val="24"/>
          <w:szCs w:val="24"/>
        </w:rPr>
        <w:t xml:space="preserve"> The bail-in involves the cancellation of debts which the bank is owning to creditors. This helps the private entities by limiting the use of taxpayers' money. </w:t>
      </w:r>
    </w:p>
    <w:p w14:paraId="53DFC747" w14:textId="2616B878" w:rsidR="002B7E42" w:rsidRPr="00BB51F3" w:rsidRDefault="00B72C39" w:rsidP="00BB51F3">
      <w:pPr>
        <w:pStyle w:val="Heading2"/>
        <w:spacing w:line="360" w:lineRule="auto"/>
        <w:jc w:val="both"/>
        <w:rPr>
          <w:rFonts w:asciiTheme="minorHAnsi" w:hAnsiTheme="minorHAnsi" w:cstheme="minorHAnsi"/>
          <w:sz w:val="24"/>
          <w:szCs w:val="24"/>
        </w:rPr>
      </w:pPr>
      <w:bookmarkStart w:id="12" w:name="_Toc101817642"/>
      <w:r w:rsidRPr="00BB51F3">
        <w:rPr>
          <w:rFonts w:asciiTheme="minorHAnsi" w:hAnsiTheme="minorHAnsi" w:cstheme="minorHAnsi"/>
          <w:sz w:val="24"/>
          <w:szCs w:val="24"/>
        </w:rPr>
        <w:t>KEY PLAYERS IN THE FINANCIAL SYSTEM TO END THE FINANCIAL CRISES</w:t>
      </w:r>
      <w:bookmarkEnd w:id="12"/>
      <w:r w:rsidRPr="00BB51F3">
        <w:rPr>
          <w:rFonts w:asciiTheme="minorHAnsi" w:hAnsiTheme="minorHAnsi" w:cstheme="minorHAnsi"/>
          <w:sz w:val="24"/>
          <w:szCs w:val="24"/>
        </w:rPr>
        <w:t xml:space="preserve"> </w:t>
      </w:r>
    </w:p>
    <w:p w14:paraId="50AF9B13" w14:textId="264D127A" w:rsidR="002A339A" w:rsidRPr="00BB51F3" w:rsidRDefault="00B72C39" w:rsidP="00BB51F3">
      <w:pPr>
        <w:spacing w:line="360" w:lineRule="auto"/>
        <w:jc w:val="both"/>
        <w:rPr>
          <w:rFonts w:cstheme="minorHAnsi"/>
          <w:sz w:val="24"/>
          <w:szCs w:val="24"/>
        </w:rPr>
      </w:pPr>
      <w:r w:rsidRPr="00BB51F3">
        <w:rPr>
          <w:rFonts w:cstheme="minorHAnsi"/>
          <w:sz w:val="24"/>
          <w:szCs w:val="24"/>
        </w:rPr>
        <w:t xml:space="preserve">The 2008 financial crisis generated </w:t>
      </w:r>
      <w:r w:rsidRPr="00BB51F3">
        <w:rPr>
          <w:rFonts w:cstheme="minorHAnsi"/>
          <w:sz w:val="24"/>
          <w:szCs w:val="24"/>
        </w:rPr>
        <w:t>havoc on the world's economy whereas the financial crises brought the economy to the bottom. It was highly difficult to end the financial crises whereas efforts of some key players in the financial system leas to the end of financial crises. Key players in</w:t>
      </w:r>
      <w:r w:rsidRPr="00BB51F3">
        <w:rPr>
          <w:rFonts w:cstheme="minorHAnsi"/>
          <w:sz w:val="24"/>
          <w:szCs w:val="24"/>
        </w:rPr>
        <w:t xml:space="preserve"> the financial system were:</w:t>
      </w:r>
    </w:p>
    <w:p w14:paraId="75CA9514" w14:textId="1A25CAE8" w:rsidR="002A339A" w:rsidRPr="00BB51F3" w:rsidRDefault="00B72C39" w:rsidP="00BB51F3">
      <w:pPr>
        <w:spacing w:line="360" w:lineRule="auto"/>
        <w:jc w:val="both"/>
        <w:rPr>
          <w:rFonts w:cstheme="minorHAnsi"/>
          <w:sz w:val="24"/>
          <w:szCs w:val="24"/>
        </w:rPr>
      </w:pPr>
      <w:r w:rsidRPr="00BB51F3">
        <w:rPr>
          <w:rFonts w:cstheme="minorHAnsi"/>
          <w:sz w:val="24"/>
          <w:szCs w:val="24"/>
        </w:rPr>
        <w:t>Steven Mnuchin</w:t>
      </w:r>
    </w:p>
    <w:p w14:paraId="36E5ED17" w14:textId="7DEDEF21" w:rsidR="002A339A" w:rsidRPr="00BB51F3" w:rsidRDefault="00B72C39" w:rsidP="00BB51F3">
      <w:pPr>
        <w:spacing w:line="360" w:lineRule="auto"/>
        <w:jc w:val="both"/>
        <w:rPr>
          <w:rFonts w:cstheme="minorHAnsi"/>
          <w:sz w:val="24"/>
          <w:szCs w:val="24"/>
        </w:rPr>
      </w:pPr>
      <w:r w:rsidRPr="00BB51F3">
        <w:rPr>
          <w:rFonts w:cstheme="minorHAnsi"/>
          <w:sz w:val="24"/>
          <w:szCs w:val="24"/>
        </w:rPr>
        <w:t xml:space="preserve">Mr Steven Mnuchin is the co-founder of Dune Capital Management his current position is United States Treasury Secretary. </w:t>
      </w:r>
      <w:r w:rsidR="0009009B" w:rsidRPr="00BB51F3">
        <w:rPr>
          <w:rFonts w:cstheme="minorHAnsi"/>
          <w:sz w:val="24"/>
          <w:szCs w:val="24"/>
        </w:rPr>
        <w:t xml:space="preserve"> While the financial crisis was in process, </w:t>
      </w:r>
      <w:r w:rsidR="000C2E3F" w:rsidRPr="00BB51F3">
        <w:rPr>
          <w:rFonts w:cstheme="minorHAnsi"/>
          <w:sz w:val="24"/>
          <w:szCs w:val="24"/>
        </w:rPr>
        <w:t xml:space="preserve">Steven Mnuchin </w:t>
      </w:r>
      <w:proofErr w:type="gramStart"/>
      <w:r w:rsidR="000C2E3F" w:rsidRPr="00BB51F3">
        <w:rPr>
          <w:rFonts w:cstheme="minorHAnsi"/>
          <w:sz w:val="24"/>
          <w:szCs w:val="24"/>
        </w:rPr>
        <w:t>lead</w:t>
      </w:r>
      <w:proofErr w:type="gramEnd"/>
      <w:r w:rsidR="000C2E3F" w:rsidRPr="00BB51F3">
        <w:rPr>
          <w:rFonts w:cstheme="minorHAnsi"/>
          <w:sz w:val="24"/>
          <w:szCs w:val="24"/>
        </w:rPr>
        <w:t xml:space="preserve"> a team of investors in early 2009 and the group of investors purchased mortgage lender </w:t>
      </w:r>
      <w:r w:rsidR="000C2E3F" w:rsidRPr="00BB51F3">
        <w:rPr>
          <w:rFonts w:cstheme="minorHAnsi"/>
          <w:sz w:val="24"/>
          <w:szCs w:val="24"/>
        </w:rPr>
        <w:lastRenderedPageBreak/>
        <w:t>Indy Mac</w:t>
      </w:r>
      <w:r w:rsidR="00BB51F3" w:rsidRPr="00BB51F3">
        <w:rPr>
          <w:rFonts w:cstheme="minorHAnsi"/>
          <w:sz w:val="24"/>
          <w:szCs w:val="24"/>
        </w:rPr>
        <w:t xml:space="preserve"> </w:t>
      </w:r>
      <w:r w:rsidR="00BB51F3" w:rsidRPr="00BB51F3">
        <w:rPr>
          <w:rFonts w:cstheme="minorHAnsi"/>
          <w:color w:val="222222"/>
          <w:sz w:val="24"/>
          <w:szCs w:val="24"/>
          <w:shd w:val="clear" w:color="auto" w:fill="FFFFFF"/>
        </w:rPr>
        <w:t>(Akan and Tevfik, 2020)</w:t>
      </w:r>
      <w:r w:rsidR="000C2E3F" w:rsidRPr="00BB51F3">
        <w:rPr>
          <w:rFonts w:cstheme="minorHAnsi"/>
          <w:sz w:val="24"/>
          <w:szCs w:val="24"/>
        </w:rPr>
        <w:t>. After purchasing it, he ran the bank until it got sold out in 2015.</w:t>
      </w:r>
    </w:p>
    <w:p w14:paraId="4A0C9431" w14:textId="2E994503" w:rsidR="0062328F" w:rsidRPr="00BB51F3" w:rsidRDefault="00B72C39" w:rsidP="00BB51F3">
      <w:pPr>
        <w:spacing w:line="360" w:lineRule="auto"/>
        <w:jc w:val="both"/>
        <w:rPr>
          <w:rFonts w:cstheme="minorHAnsi"/>
          <w:sz w:val="24"/>
          <w:szCs w:val="24"/>
        </w:rPr>
      </w:pPr>
      <w:r w:rsidRPr="00BB51F3">
        <w:rPr>
          <w:rFonts w:cstheme="minorHAnsi"/>
          <w:sz w:val="24"/>
          <w:szCs w:val="24"/>
        </w:rPr>
        <w:t>Ben Bernanke</w:t>
      </w:r>
    </w:p>
    <w:p w14:paraId="48F961C0" w14:textId="5F0F2D97" w:rsidR="0062328F"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Ben Bernanke was the chairman of the Federal Reserve in 2008 whereas currently, he</w:t>
      </w:r>
      <w:r w:rsidRPr="00BB51F3">
        <w:rPr>
          <w:rFonts w:cstheme="minorHAnsi"/>
          <w:sz w:val="24"/>
          <w:szCs w:val="24"/>
        </w:rPr>
        <w:t xml:space="preserve"> is a senior adviser in Citadel &amp; PIMCO. </w:t>
      </w:r>
      <w:r w:rsidR="00767453" w:rsidRPr="00BB51F3">
        <w:rPr>
          <w:rFonts w:cstheme="minorHAnsi"/>
          <w:sz w:val="24"/>
          <w:szCs w:val="24"/>
        </w:rPr>
        <w:t xml:space="preserve">As the cash in the financial system got nearly frozen in the financial crises, Ben Bernanke </w:t>
      </w:r>
      <w:proofErr w:type="gramStart"/>
      <w:r w:rsidR="00767453" w:rsidRPr="00BB51F3">
        <w:rPr>
          <w:rFonts w:cstheme="minorHAnsi"/>
          <w:sz w:val="24"/>
          <w:szCs w:val="24"/>
        </w:rPr>
        <w:t>facilitate</w:t>
      </w:r>
      <w:proofErr w:type="gramEnd"/>
      <w:r w:rsidR="00767453" w:rsidRPr="00BB51F3">
        <w:rPr>
          <w:rFonts w:cstheme="minorHAnsi"/>
          <w:sz w:val="24"/>
          <w:szCs w:val="24"/>
        </w:rPr>
        <w:t xml:space="preserve"> the framework with a dozen lending facilities to pump cash into the financial system and maintain the cash flow</w:t>
      </w:r>
      <w:r w:rsidR="00BB51F3" w:rsidRPr="00BB51F3">
        <w:rPr>
          <w:rFonts w:cstheme="minorHAnsi"/>
          <w:sz w:val="24"/>
          <w:szCs w:val="24"/>
        </w:rPr>
        <w:t xml:space="preserve"> </w:t>
      </w:r>
      <w:r w:rsidR="00BB51F3" w:rsidRPr="00BB51F3">
        <w:rPr>
          <w:rFonts w:cstheme="minorHAnsi"/>
          <w:color w:val="222222"/>
          <w:sz w:val="24"/>
          <w:szCs w:val="24"/>
          <w:shd w:val="clear" w:color="auto" w:fill="FFFFFF"/>
        </w:rPr>
        <w:t>(Risk, 2020).</w:t>
      </w:r>
      <w:r w:rsidR="00767453" w:rsidRPr="00BB51F3">
        <w:rPr>
          <w:rFonts w:cstheme="minorHAnsi"/>
          <w:sz w:val="24"/>
          <w:szCs w:val="24"/>
        </w:rPr>
        <w:t xml:space="preserve"> The process supported liquidity </w:t>
      </w:r>
      <w:proofErr w:type="gramStart"/>
      <w:r w:rsidR="00767453" w:rsidRPr="00BB51F3">
        <w:rPr>
          <w:rFonts w:cstheme="minorHAnsi"/>
          <w:sz w:val="24"/>
          <w:szCs w:val="24"/>
        </w:rPr>
        <w:t>and also</w:t>
      </w:r>
      <w:proofErr w:type="gramEnd"/>
      <w:r w:rsidR="00767453" w:rsidRPr="00BB51F3">
        <w:rPr>
          <w:rFonts w:cstheme="minorHAnsi"/>
          <w:sz w:val="24"/>
          <w:szCs w:val="24"/>
        </w:rPr>
        <w:t xml:space="preserve"> result in a decline in the securities prices which help the firms to cope with the financial crises.</w:t>
      </w:r>
    </w:p>
    <w:p w14:paraId="771B3251" w14:textId="76E33119" w:rsidR="00767453" w:rsidRPr="00BB51F3" w:rsidRDefault="00B72C39" w:rsidP="00BB51F3">
      <w:pPr>
        <w:spacing w:line="360" w:lineRule="auto"/>
        <w:jc w:val="both"/>
        <w:rPr>
          <w:rFonts w:cstheme="minorHAnsi"/>
          <w:sz w:val="24"/>
          <w:szCs w:val="24"/>
        </w:rPr>
      </w:pPr>
      <w:r w:rsidRPr="00BB51F3">
        <w:rPr>
          <w:rFonts w:cstheme="minorHAnsi"/>
          <w:sz w:val="24"/>
          <w:szCs w:val="24"/>
        </w:rPr>
        <w:t>Tim Geithner</w:t>
      </w:r>
    </w:p>
    <w:p w14:paraId="5AA7FD4C" w14:textId="09B72822" w:rsidR="00AD2F55"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 xml:space="preserve">Tim Geithner was the president of the federal reserve bank of New York in 2008 whereas </w:t>
      </w:r>
      <w:r w:rsidRPr="00BB51F3">
        <w:rPr>
          <w:rFonts w:cstheme="minorHAnsi"/>
          <w:sz w:val="24"/>
          <w:szCs w:val="24"/>
        </w:rPr>
        <w:t xml:space="preserve">currently, he is the president of Warburg Pincus. </w:t>
      </w:r>
      <w:r w:rsidR="007B6E84" w:rsidRPr="00BB51F3">
        <w:rPr>
          <w:rFonts w:cstheme="minorHAnsi"/>
          <w:sz w:val="24"/>
          <w:szCs w:val="24"/>
        </w:rPr>
        <w:t xml:space="preserve">He handled the response of the government to the financial crises and became treasury secretary under Barack Obama. </w:t>
      </w:r>
      <w:r w:rsidRPr="00BB51F3">
        <w:rPr>
          <w:rFonts w:cstheme="minorHAnsi"/>
          <w:sz w:val="24"/>
          <w:szCs w:val="24"/>
        </w:rPr>
        <w:t>It helped in catalysing the investment process and managing the mortgage</w:t>
      </w:r>
      <w:r w:rsidR="00BB51F3" w:rsidRPr="00BB51F3">
        <w:rPr>
          <w:rFonts w:cstheme="minorHAnsi"/>
          <w:sz w:val="24"/>
          <w:szCs w:val="24"/>
        </w:rPr>
        <w:t xml:space="preserve"> </w:t>
      </w:r>
      <w:r w:rsidR="00BB51F3" w:rsidRPr="00BB51F3">
        <w:rPr>
          <w:rFonts w:cstheme="minorHAnsi"/>
          <w:color w:val="222222"/>
          <w:sz w:val="24"/>
          <w:szCs w:val="24"/>
          <w:shd w:val="clear" w:color="auto" w:fill="FFFFFF"/>
        </w:rPr>
        <w:t>(Leo et al., 2019)</w:t>
      </w:r>
      <w:r w:rsidRPr="00BB51F3">
        <w:rPr>
          <w:rFonts w:cstheme="minorHAnsi"/>
          <w:sz w:val="24"/>
          <w:szCs w:val="24"/>
        </w:rPr>
        <w:t>.</w:t>
      </w:r>
      <w:r w:rsidR="00103754" w:rsidRPr="00BB51F3">
        <w:rPr>
          <w:rFonts w:cstheme="minorHAnsi"/>
          <w:sz w:val="24"/>
          <w:szCs w:val="24"/>
        </w:rPr>
        <w:t xml:space="preserve"> </w:t>
      </w:r>
    </w:p>
    <w:p w14:paraId="6E53151C" w14:textId="2FFA6E92" w:rsidR="00D929DF" w:rsidRPr="00BB51F3" w:rsidRDefault="00B72C39" w:rsidP="00BB51F3">
      <w:pPr>
        <w:spacing w:line="360" w:lineRule="auto"/>
        <w:jc w:val="both"/>
        <w:rPr>
          <w:rFonts w:cstheme="minorHAnsi"/>
          <w:sz w:val="24"/>
          <w:szCs w:val="24"/>
        </w:rPr>
      </w:pPr>
      <w:r w:rsidRPr="00BB51F3">
        <w:rPr>
          <w:rFonts w:cstheme="minorHAnsi"/>
          <w:sz w:val="24"/>
          <w:szCs w:val="24"/>
        </w:rPr>
        <w:t>Larry Fink</w:t>
      </w:r>
    </w:p>
    <w:p w14:paraId="3570A20B" w14:textId="42261BE1" w:rsidR="00D929DF" w:rsidRPr="00BB51F3" w:rsidRDefault="00B72C39" w:rsidP="00BB51F3">
      <w:pPr>
        <w:spacing w:line="360" w:lineRule="auto"/>
        <w:jc w:val="both"/>
        <w:rPr>
          <w:rFonts w:cstheme="minorHAnsi"/>
          <w:sz w:val="24"/>
          <w:szCs w:val="24"/>
        </w:rPr>
      </w:pPr>
      <w:r w:rsidRPr="00BB51F3">
        <w:rPr>
          <w:rFonts w:cstheme="minorHAnsi"/>
          <w:sz w:val="24"/>
          <w:szCs w:val="24"/>
        </w:rPr>
        <w:t xml:space="preserve">Larry Fink was the CEO of BlackRock Inc. </w:t>
      </w:r>
      <w:r w:rsidR="00DD20D1" w:rsidRPr="00BB51F3">
        <w:rPr>
          <w:rFonts w:cstheme="minorHAnsi"/>
          <w:sz w:val="24"/>
          <w:szCs w:val="24"/>
        </w:rPr>
        <w:t xml:space="preserve">in 2008 during the financial crisis whereas currently, he is in the same position. </w:t>
      </w:r>
      <w:r w:rsidR="00FB0DC6" w:rsidRPr="00BB51F3">
        <w:rPr>
          <w:rFonts w:cstheme="minorHAnsi"/>
          <w:sz w:val="24"/>
          <w:szCs w:val="24"/>
        </w:rPr>
        <w:t xml:space="preserve"> He provided trusted advice to the government. Also, he aids the Federal bank with a bond-buying program. This leads to a decrease in the market prices of different commodities. </w:t>
      </w:r>
    </w:p>
    <w:p w14:paraId="1B1BD675" w14:textId="77777777" w:rsidR="00CF0645" w:rsidRPr="00BB51F3" w:rsidRDefault="00CF0645" w:rsidP="00BB51F3">
      <w:pPr>
        <w:spacing w:line="360" w:lineRule="auto"/>
        <w:jc w:val="both"/>
        <w:rPr>
          <w:rFonts w:cstheme="minorHAnsi"/>
          <w:sz w:val="24"/>
          <w:szCs w:val="24"/>
        </w:rPr>
      </w:pPr>
    </w:p>
    <w:p w14:paraId="7D6552D0" w14:textId="77777777" w:rsidR="007B4D7D" w:rsidRDefault="00B72C39">
      <w:pPr>
        <w:rPr>
          <w:rFonts w:eastAsiaTheme="majorEastAsia" w:cstheme="minorHAnsi"/>
          <w:color w:val="2F5496" w:themeColor="accent1" w:themeShade="BF"/>
          <w:sz w:val="24"/>
          <w:szCs w:val="24"/>
        </w:rPr>
      </w:pPr>
      <w:r>
        <w:rPr>
          <w:rFonts w:cstheme="minorHAnsi"/>
          <w:sz w:val="24"/>
          <w:szCs w:val="24"/>
        </w:rPr>
        <w:br w:type="page"/>
      </w:r>
    </w:p>
    <w:p w14:paraId="2B080742" w14:textId="69264D03" w:rsidR="002B7E42" w:rsidRPr="00BB51F3" w:rsidRDefault="00B72C39" w:rsidP="00BB51F3">
      <w:pPr>
        <w:pStyle w:val="Heading1"/>
        <w:spacing w:line="360" w:lineRule="auto"/>
        <w:jc w:val="both"/>
        <w:rPr>
          <w:rFonts w:asciiTheme="minorHAnsi" w:hAnsiTheme="minorHAnsi" w:cstheme="minorHAnsi"/>
          <w:sz w:val="24"/>
          <w:szCs w:val="24"/>
        </w:rPr>
      </w:pPr>
      <w:bookmarkStart w:id="13" w:name="_Toc101817643"/>
      <w:r w:rsidRPr="00BB51F3">
        <w:rPr>
          <w:rFonts w:asciiTheme="minorHAnsi" w:hAnsiTheme="minorHAnsi" w:cstheme="minorHAnsi"/>
          <w:sz w:val="24"/>
          <w:szCs w:val="24"/>
        </w:rPr>
        <w:lastRenderedPageBreak/>
        <w:t>PART 2</w:t>
      </w:r>
      <w:bookmarkEnd w:id="13"/>
      <w:r w:rsidRPr="00BB51F3">
        <w:rPr>
          <w:rFonts w:asciiTheme="minorHAnsi" w:hAnsiTheme="minorHAnsi" w:cstheme="minorHAnsi"/>
          <w:sz w:val="24"/>
          <w:szCs w:val="24"/>
        </w:rPr>
        <w:t xml:space="preserve"> </w:t>
      </w:r>
    </w:p>
    <w:p w14:paraId="0BD1E016" w14:textId="77777777" w:rsidR="00F04298" w:rsidRPr="00BB51F3" w:rsidRDefault="00B72C39" w:rsidP="00BB51F3">
      <w:pPr>
        <w:pStyle w:val="Heading2"/>
        <w:spacing w:line="360" w:lineRule="auto"/>
        <w:jc w:val="both"/>
        <w:rPr>
          <w:rFonts w:asciiTheme="minorHAnsi" w:hAnsiTheme="minorHAnsi" w:cstheme="minorHAnsi"/>
          <w:sz w:val="24"/>
          <w:szCs w:val="24"/>
        </w:rPr>
      </w:pPr>
      <w:bookmarkStart w:id="14" w:name="_Toc101817644"/>
      <w:r w:rsidRPr="00BB51F3">
        <w:rPr>
          <w:rFonts w:asciiTheme="minorHAnsi" w:hAnsiTheme="minorHAnsi" w:cstheme="minorHAnsi"/>
          <w:sz w:val="24"/>
          <w:szCs w:val="24"/>
        </w:rPr>
        <w:t>THE CONTRIBUTION OF THESE REFORMS IN STABILISING THE FINANCIAL SYSTEM AND DIFFERENT BANKING INSTITUTIONS POST THE 2008 CRISES</w:t>
      </w:r>
      <w:bookmarkEnd w:id="14"/>
      <w:r w:rsidRPr="00BB51F3">
        <w:rPr>
          <w:rFonts w:asciiTheme="minorHAnsi" w:hAnsiTheme="minorHAnsi" w:cstheme="minorHAnsi"/>
          <w:sz w:val="24"/>
          <w:szCs w:val="24"/>
        </w:rPr>
        <w:t xml:space="preserve"> </w:t>
      </w:r>
    </w:p>
    <w:p w14:paraId="0EA70AD6" w14:textId="57DB012A" w:rsidR="006C7351" w:rsidRPr="00BB51F3" w:rsidRDefault="00B72C39" w:rsidP="00BB51F3">
      <w:pPr>
        <w:spacing w:line="360" w:lineRule="auto"/>
        <w:jc w:val="both"/>
        <w:rPr>
          <w:rFonts w:cstheme="minorHAnsi"/>
          <w:sz w:val="24"/>
          <w:szCs w:val="24"/>
        </w:rPr>
      </w:pPr>
      <w:r w:rsidRPr="00BB51F3">
        <w:rPr>
          <w:rFonts w:cstheme="minorHAnsi"/>
          <w:sz w:val="24"/>
          <w:szCs w:val="24"/>
        </w:rPr>
        <w:t xml:space="preserve">The ability of these financial reforms has been a topic for debate for a decade whereas these reforms uplift the levels of financial and economic development. </w:t>
      </w:r>
      <w:r w:rsidR="001963C8" w:rsidRPr="00BB51F3">
        <w:rPr>
          <w:rFonts w:cstheme="minorHAnsi"/>
          <w:sz w:val="24"/>
          <w:szCs w:val="24"/>
        </w:rPr>
        <w:t>The reforms generated by the authorities aim to promote a stable, efficient and competitive banking sector whereas these reforms generated an impact on the macroeconomy of the legal sy</w:t>
      </w:r>
      <w:r w:rsidR="008A1262" w:rsidRPr="00BB51F3">
        <w:rPr>
          <w:rFonts w:cstheme="minorHAnsi"/>
          <w:sz w:val="24"/>
          <w:szCs w:val="24"/>
        </w:rPr>
        <w:t>stem.</w:t>
      </w:r>
    </w:p>
    <w:p w14:paraId="07C890B6" w14:textId="019F7D7D" w:rsidR="008A1262"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 xml:space="preserve">These reforms enabled improvised the legal system whereas it enhanced </w:t>
      </w:r>
      <w:r w:rsidR="00382670" w:rsidRPr="00BB51F3">
        <w:rPr>
          <w:rFonts w:cstheme="minorHAnsi"/>
          <w:sz w:val="24"/>
          <w:szCs w:val="24"/>
        </w:rPr>
        <w:t>the process of capitalising on the system risks</w:t>
      </w:r>
      <w:r w:rsidR="00BB51F3" w:rsidRPr="00BB51F3">
        <w:rPr>
          <w:rFonts w:cstheme="minorHAnsi"/>
          <w:sz w:val="24"/>
          <w:szCs w:val="24"/>
        </w:rPr>
        <w:t xml:space="preserve"> </w:t>
      </w:r>
      <w:r w:rsidR="00BB51F3" w:rsidRPr="00BB51F3">
        <w:rPr>
          <w:rFonts w:cstheme="minorHAnsi"/>
          <w:color w:val="222222"/>
          <w:sz w:val="24"/>
          <w:szCs w:val="24"/>
          <w:shd w:val="clear" w:color="auto" w:fill="FFFFFF"/>
        </w:rPr>
        <w:t>(Laeven and Valencia, 2018)</w:t>
      </w:r>
      <w:r w:rsidR="00382670" w:rsidRPr="00BB51F3">
        <w:rPr>
          <w:rFonts w:cstheme="minorHAnsi"/>
          <w:sz w:val="24"/>
          <w:szCs w:val="24"/>
        </w:rPr>
        <w:t xml:space="preserve">. </w:t>
      </w:r>
      <w:r w:rsidR="00A933E9" w:rsidRPr="00BB51F3">
        <w:rPr>
          <w:rFonts w:cstheme="minorHAnsi"/>
          <w:sz w:val="24"/>
          <w:szCs w:val="24"/>
        </w:rPr>
        <w:t xml:space="preserve"> These reforms help the authorities to take an extra step in supporting the financial market whereas these reforms lead to the steps like setting the rates of federal funds and designating the monetary policy. </w:t>
      </w:r>
      <w:r w:rsidR="007A57F5" w:rsidRPr="00BB51F3">
        <w:rPr>
          <w:rFonts w:cstheme="minorHAnsi"/>
          <w:sz w:val="24"/>
          <w:szCs w:val="24"/>
        </w:rPr>
        <w:t xml:space="preserve">Also, the facilitation acquired because of these reforms helped in setting new standards to catalyse the lending activities in normal and emergency state. </w:t>
      </w:r>
      <w:r w:rsidR="00E83E9A" w:rsidRPr="00BB51F3">
        <w:rPr>
          <w:rFonts w:cstheme="minorHAnsi"/>
          <w:sz w:val="24"/>
          <w:szCs w:val="24"/>
        </w:rPr>
        <w:t>Dodd-Frank act helped in protecting customer rights whereas it played a great role in removing the practice of fraudulent actions</w:t>
      </w:r>
      <w:r w:rsidR="004352B6" w:rsidRPr="00BB51F3">
        <w:rPr>
          <w:rFonts w:cstheme="minorHAnsi"/>
          <w:sz w:val="24"/>
          <w:szCs w:val="24"/>
        </w:rPr>
        <w:t xml:space="preserve"> </w:t>
      </w:r>
      <w:r w:rsidR="004352B6" w:rsidRPr="00BB51F3">
        <w:rPr>
          <w:rFonts w:cstheme="minorHAnsi"/>
          <w:color w:val="222222"/>
          <w:sz w:val="24"/>
          <w:szCs w:val="24"/>
          <w:shd w:val="clear" w:color="auto" w:fill="FFFFFF"/>
        </w:rPr>
        <w:t>(Prihartono et al., 2018)</w:t>
      </w:r>
      <w:r w:rsidR="00E83E9A" w:rsidRPr="00BB51F3">
        <w:rPr>
          <w:rFonts w:cstheme="minorHAnsi"/>
          <w:sz w:val="24"/>
          <w:szCs w:val="24"/>
        </w:rPr>
        <w:t xml:space="preserve">.  The federal reserve started the practice of stress testing on banks whereas these factors helped in maximising the arena of the banking sector and polishing its structure. </w:t>
      </w:r>
      <w:r w:rsidR="00FA3343" w:rsidRPr="00BB51F3">
        <w:rPr>
          <w:rFonts w:cstheme="minorHAnsi"/>
          <w:sz w:val="24"/>
          <w:szCs w:val="24"/>
        </w:rPr>
        <w:t xml:space="preserve">Two types of stress testing were imposed on banks which were comprehensive capital analysis and review (CCAR) and (DFAST) Dodd-Frank Act supervisory stress testing. </w:t>
      </w:r>
    </w:p>
    <w:p w14:paraId="677450B0" w14:textId="67FC29BE" w:rsidR="002B7E42" w:rsidRPr="00BB51F3" w:rsidRDefault="00B72C39" w:rsidP="00BB51F3">
      <w:pPr>
        <w:spacing w:line="360" w:lineRule="auto"/>
        <w:jc w:val="both"/>
        <w:rPr>
          <w:rFonts w:cstheme="minorHAnsi"/>
          <w:sz w:val="24"/>
          <w:szCs w:val="24"/>
        </w:rPr>
      </w:pPr>
      <w:r w:rsidRPr="00BB51F3">
        <w:rPr>
          <w:rFonts w:cstheme="minorHAnsi"/>
          <w:sz w:val="24"/>
          <w:szCs w:val="24"/>
        </w:rPr>
        <w:t xml:space="preserve">One unexpected outcome of the reforms was observed which was its impact on the </w:t>
      </w:r>
      <w:proofErr w:type="gramStart"/>
      <w:r w:rsidRPr="00BB51F3">
        <w:rPr>
          <w:rFonts w:cstheme="minorHAnsi"/>
          <w:sz w:val="24"/>
          <w:szCs w:val="24"/>
        </w:rPr>
        <w:t>Smaller</w:t>
      </w:r>
      <w:proofErr w:type="gramEnd"/>
      <w:r w:rsidRPr="00BB51F3">
        <w:rPr>
          <w:rFonts w:cstheme="minorHAnsi"/>
          <w:sz w:val="24"/>
          <w:szCs w:val="24"/>
        </w:rPr>
        <w:t xml:space="preserve"> banks. It was required for the authorities to impose regulations by seeing whether the regulations were apt for smaller or larger banks or not. The small banks got penal</w:t>
      </w:r>
      <w:r w:rsidRPr="00BB51F3">
        <w:rPr>
          <w:rFonts w:cstheme="minorHAnsi"/>
          <w:sz w:val="24"/>
          <w:szCs w:val="24"/>
        </w:rPr>
        <w:t xml:space="preserve">ized as the same pressure of regulations which were carried out by large banks was carried out by small banks. The smaller banks were unable to handle the additional paperwork and focus on the necessities required to comply with the regulations </w:t>
      </w:r>
      <w:r w:rsidR="00D3239A" w:rsidRPr="00BB51F3">
        <w:rPr>
          <w:rFonts w:cstheme="minorHAnsi"/>
          <w:sz w:val="24"/>
          <w:szCs w:val="24"/>
        </w:rPr>
        <w:t xml:space="preserve">Which created hindrance in the smaller banks. </w:t>
      </w:r>
    </w:p>
    <w:p w14:paraId="4FDA5A67" w14:textId="669E3546" w:rsidR="006D236B"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Though, through these reforms, many significant changes were observed to stabilise the financial aspect and different banking institutions. The significant changes involve the inclusion of regulatory and legal framework whereas the components involve inves</w:t>
      </w:r>
      <w:r w:rsidRPr="00BB51F3">
        <w:rPr>
          <w:rFonts w:cstheme="minorHAnsi"/>
          <w:sz w:val="24"/>
          <w:szCs w:val="24"/>
        </w:rPr>
        <w:t xml:space="preserve">tment management, securities offerings and corporate governance. </w:t>
      </w:r>
      <w:r w:rsidR="00236421" w:rsidRPr="00BB51F3">
        <w:rPr>
          <w:rFonts w:cstheme="minorHAnsi"/>
          <w:sz w:val="24"/>
          <w:szCs w:val="24"/>
        </w:rPr>
        <w:t xml:space="preserve"> These reforms played a great </w:t>
      </w:r>
      <w:r w:rsidR="00236421" w:rsidRPr="00BB51F3">
        <w:rPr>
          <w:rFonts w:cstheme="minorHAnsi"/>
          <w:sz w:val="24"/>
          <w:szCs w:val="24"/>
        </w:rPr>
        <w:lastRenderedPageBreak/>
        <w:t xml:space="preserve">role in doubling the level of protection for the consumers. </w:t>
      </w:r>
      <w:r w:rsidR="000C7B94" w:rsidRPr="00BB51F3">
        <w:rPr>
          <w:rFonts w:cstheme="minorHAnsi"/>
          <w:sz w:val="24"/>
          <w:szCs w:val="24"/>
        </w:rPr>
        <w:t xml:space="preserve"> The banking institutions benefitted </w:t>
      </w:r>
      <w:r w:rsidR="0038504A" w:rsidRPr="00BB51F3">
        <w:rPr>
          <w:rFonts w:cstheme="minorHAnsi"/>
          <w:sz w:val="24"/>
          <w:szCs w:val="24"/>
        </w:rPr>
        <w:t>as these reforms involved an oversight for the important banking institutions</w:t>
      </w:r>
      <w:r w:rsidR="004352B6" w:rsidRPr="00BB51F3">
        <w:rPr>
          <w:rFonts w:cstheme="minorHAnsi"/>
          <w:sz w:val="24"/>
          <w:szCs w:val="24"/>
        </w:rPr>
        <w:t xml:space="preserve"> </w:t>
      </w:r>
      <w:r w:rsidR="004352B6" w:rsidRPr="00BB51F3">
        <w:rPr>
          <w:rFonts w:cstheme="minorHAnsi"/>
          <w:color w:val="222222"/>
          <w:sz w:val="24"/>
          <w:szCs w:val="24"/>
          <w:shd w:val="clear" w:color="auto" w:fill="FFFFFF"/>
        </w:rPr>
        <w:t>(Al Ahbabi and Nobanee, 2019)</w:t>
      </w:r>
      <w:r w:rsidR="0038504A" w:rsidRPr="00BB51F3">
        <w:rPr>
          <w:rFonts w:cstheme="minorHAnsi"/>
          <w:sz w:val="24"/>
          <w:szCs w:val="24"/>
        </w:rPr>
        <w:t xml:space="preserve">. The oversight involves the regulations for lending. It primarily focused on mortgage lending. Apart from that, the regulations were involved for all companies that are held by banks. Overall, these reforms have a positive influence and helped the financial system in attaining stability. </w:t>
      </w:r>
      <w:r w:rsidR="00F265A3" w:rsidRPr="00BB51F3">
        <w:rPr>
          <w:rFonts w:cstheme="minorHAnsi"/>
          <w:sz w:val="24"/>
          <w:szCs w:val="24"/>
        </w:rPr>
        <w:t xml:space="preserve"> </w:t>
      </w:r>
    </w:p>
    <w:p w14:paraId="65160738" w14:textId="77777777" w:rsidR="004352B6" w:rsidRPr="00BB51F3" w:rsidRDefault="00B72C39" w:rsidP="00BB51F3">
      <w:pPr>
        <w:spacing w:line="360" w:lineRule="auto"/>
        <w:jc w:val="both"/>
        <w:rPr>
          <w:rFonts w:eastAsiaTheme="majorEastAsia" w:cstheme="minorHAnsi"/>
          <w:color w:val="2F5496" w:themeColor="accent1" w:themeShade="BF"/>
          <w:sz w:val="24"/>
          <w:szCs w:val="24"/>
        </w:rPr>
      </w:pPr>
      <w:r w:rsidRPr="00BB51F3">
        <w:rPr>
          <w:rFonts w:cstheme="minorHAnsi"/>
          <w:sz w:val="24"/>
          <w:szCs w:val="24"/>
        </w:rPr>
        <w:br w:type="page"/>
      </w:r>
    </w:p>
    <w:p w14:paraId="343D4B16" w14:textId="25CA8326" w:rsidR="002B7E42" w:rsidRPr="00BB51F3" w:rsidRDefault="00B72C39" w:rsidP="00BB51F3">
      <w:pPr>
        <w:pStyle w:val="Heading1"/>
        <w:spacing w:line="360" w:lineRule="auto"/>
        <w:jc w:val="both"/>
        <w:rPr>
          <w:rFonts w:asciiTheme="minorHAnsi" w:hAnsiTheme="minorHAnsi" w:cstheme="minorHAnsi"/>
          <w:sz w:val="24"/>
          <w:szCs w:val="24"/>
        </w:rPr>
      </w:pPr>
      <w:bookmarkStart w:id="15" w:name="_Toc101817645"/>
      <w:r w:rsidRPr="00BB51F3">
        <w:rPr>
          <w:rFonts w:asciiTheme="minorHAnsi" w:hAnsiTheme="minorHAnsi" w:cstheme="minorHAnsi"/>
          <w:sz w:val="24"/>
          <w:szCs w:val="24"/>
        </w:rPr>
        <w:lastRenderedPageBreak/>
        <w:t>PART 3</w:t>
      </w:r>
      <w:bookmarkEnd w:id="15"/>
      <w:r w:rsidRPr="00BB51F3">
        <w:rPr>
          <w:rFonts w:asciiTheme="minorHAnsi" w:hAnsiTheme="minorHAnsi" w:cstheme="minorHAnsi"/>
          <w:sz w:val="24"/>
          <w:szCs w:val="24"/>
        </w:rPr>
        <w:t xml:space="preserve"> </w:t>
      </w:r>
    </w:p>
    <w:p w14:paraId="422BE009" w14:textId="6233382E" w:rsidR="002B7E42" w:rsidRPr="00BB51F3" w:rsidRDefault="00B72C39" w:rsidP="00BB51F3">
      <w:pPr>
        <w:pStyle w:val="Heading2"/>
        <w:spacing w:line="360" w:lineRule="auto"/>
        <w:jc w:val="both"/>
        <w:rPr>
          <w:rFonts w:asciiTheme="minorHAnsi" w:hAnsiTheme="minorHAnsi" w:cstheme="minorHAnsi"/>
          <w:sz w:val="24"/>
          <w:szCs w:val="24"/>
        </w:rPr>
      </w:pPr>
      <w:bookmarkStart w:id="16" w:name="_Toc101817646"/>
      <w:r w:rsidRPr="00BB51F3">
        <w:rPr>
          <w:rFonts w:asciiTheme="minorHAnsi" w:hAnsiTheme="minorHAnsi" w:cstheme="minorHAnsi"/>
          <w:sz w:val="24"/>
          <w:szCs w:val="24"/>
        </w:rPr>
        <w:t>IMPACT OF REFORMS ON THE BUSINESS MODEL OF THE COMPANY</w:t>
      </w:r>
      <w:bookmarkEnd w:id="16"/>
      <w:r w:rsidRPr="00BB51F3">
        <w:rPr>
          <w:rFonts w:asciiTheme="minorHAnsi" w:hAnsiTheme="minorHAnsi" w:cstheme="minorHAnsi"/>
          <w:sz w:val="24"/>
          <w:szCs w:val="24"/>
        </w:rPr>
        <w:t xml:space="preserve"> </w:t>
      </w:r>
    </w:p>
    <w:p w14:paraId="61FF1EF1" w14:textId="45C73919" w:rsidR="00F265A3" w:rsidRPr="00BB51F3" w:rsidRDefault="00B72C39" w:rsidP="00BB51F3">
      <w:pPr>
        <w:spacing w:line="360" w:lineRule="auto"/>
        <w:jc w:val="both"/>
        <w:rPr>
          <w:rFonts w:cstheme="minorHAnsi"/>
          <w:sz w:val="24"/>
          <w:szCs w:val="24"/>
        </w:rPr>
      </w:pPr>
      <w:r w:rsidRPr="00BB51F3">
        <w:rPr>
          <w:rFonts w:cstheme="minorHAnsi"/>
          <w:sz w:val="24"/>
          <w:szCs w:val="24"/>
        </w:rPr>
        <w:t xml:space="preserve">Unilever is an established firm whereas </w:t>
      </w:r>
      <w:r w:rsidR="00F23146" w:rsidRPr="00BB51F3">
        <w:rPr>
          <w:rFonts w:cstheme="minorHAnsi"/>
          <w:sz w:val="24"/>
          <w:szCs w:val="24"/>
        </w:rPr>
        <w:t>the firm is standing in the competition in the market of the United Kingdom since 1929. The firm is an old firm whereas great competitor in the consumer goods industry of Britain. The firm is situated in London whereas, during the time of the financial crisis of 2008, the United Kingdom was a major part of the European Union.</w:t>
      </w:r>
    </w:p>
    <w:p w14:paraId="06E65112" w14:textId="7DD66AC2" w:rsidR="00F23146"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The product line of the brand involves food, condiments, well</w:t>
      </w:r>
      <w:r w:rsidR="007C63D1" w:rsidRPr="00BB51F3">
        <w:rPr>
          <w:rFonts w:cstheme="minorHAnsi"/>
          <w:sz w:val="24"/>
          <w:szCs w:val="24"/>
        </w:rPr>
        <w:t>-</w:t>
      </w:r>
      <w:r w:rsidRPr="00BB51F3">
        <w:rPr>
          <w:rFonts w:cstheme="minorHAnsi"/>
          <w:sz w:val="24"/>
          <w:szCs w:val="24"/>
        </w:rPr>
        <w:t>b</w:t>
      </w:r>
      <w:r w:rsidR="007C63D1" w:rsidRPr="00BB51F3">
        <w:rPr>
          <w:rFonts w:cstheme="minorHAnsi"/>
          <w:sz w:val="24"/>
          <w:szCs w:val="24"/>
        </w:rPr>
        <w:t>ei</w:t>
      </w:r>
      <w:r w:rsidRPr="00BB51F3">
        <w:rPr>
          <w:rFonts w:cstheme="minorHAnsi"/>
          <w:sz w:val="24"/>
          <w:szCs w:val="24"/>
        </w:rPr>
        <w:t>ng vitamins, toothpaste, coffee, supplem</w:t>
      </w:r>
      <w:r w:rsidR="007C63D1" w:rsidRPr="00BB51F3">
        <w:rPr>
          <w:rFonts w:cstheme="minorHAnsi"/>
          <w:sz w:val="24"/>
          <w:szCs w:val="24"/>
        </w:rPr>
        <w:t>en</w:t>
      </w:r>
      <w:r w:rsidRPr="00BB51F3">
        <w:rPr>
          <w:rFonts w:cstheme="minorHAnsi"/>
          <w:sz w:val="24"/>
          <w:szCs w:val="24"/>
        </w:rPr>
        <w:t xml:space="preserve">ts etc whereas the industrial framework of Unilever involves three core sectors which were beauty and personal care, home care, foods and </w:t>
      </w:r>
      <w:r w:rsidRPr="00BB51F3">
        <w:rPr>
          <w:rFonts w:cstheme="minorHAnsi"/>
          <w:sz w:val="24"/>
          <w:szCs w:val="24"/>
        </w:rPr>
        <w:t>refreshments</w:t>
      </w:r>
      <w:r w:rsidR="004352B6" w:rsidRPr="00BB51F3">
        <w:rPr>
          <w:rFonts w:cstheme="minorHAnsi"/>
          <w:sz w:val="24"/>
          <w:szCs w:val="24"/>
        </w:rPr>
        <w:t xml:space="preserve"> </w:t>
      </w:r>
      <w:r w:rsidR="004352B6" w:rsidRPr="00BB51F3">
        <w:rPr>
          <w:rFonts w:cstheme="minorHAnsi"/>
          <w:color w:val="222222"/>
          <w:sz w:val="24"/>
          <w:szCs w:val="24"/>
          <w:shd w:val="clear" w:color="auto" w:fill="FFFFFF"/>
        </w:rPr>
        <w:t>(Al Brejki and Nobanee, 2019)</w:t>
      </w:r>
      <w:r w:rsidRPr="00BB51F3">
        <w:rPr>
          <w:rFonts w:cstheme="minorHAnsi"/>
          <w:sz w:val="24"/>
          <w:szCs w:val="24"/>
        </w:rPr>
        <w:t xml:space="preserve">. </w:t>
      </w:r>
      <w:r w:rsidR="00420B95" w:rsidRPr="00BB51F3">
        <w:rPr>
          <w:rFonts w:cstheme="minorHAnsi"/>
          <w:sz w:val="24"/>
          <w:szCs w:val="24"/>
        </w:rPr>
        <w:t>The total network of the firm currently is 149,000 whereas in 2008 also, the form possessed a wide operational network.</w:t>
      </w:r>
      <w:r w:rsidR="00E03E17" w:rsidRPr="00BB51F3">
        <w:rPr>
          <w:rFonts w:cstheme="minorHAnsi"/>
          <w:sz w:val="24"/>
          <w:szCs w:val="24"/>
        </w:rPr>
        <w:t xml:space="preserve"> There are many acquisitions </w:t>
      </w:r>
      <w:r w:rsidR="00667687" w:rsidRPr="00BB51F3">
        <w:rPr>
          <w:rFonts w:cstheme="minorHAnsi"/>
          <w:sz w:val="24"/>
          <w:szCs w:val="24"/>
        </w:rPr>
        <w:t>with which Unilever plc is associated which involve Lipton, Dollar shave club, Alberto Culver, Brooke bond etc.</w:t>
      </w:r>
    </w:p>
    <w:p w14:paraId="77A806AD" w14:textId="76DB15BC" w:rsidR="00667687"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 xml:space="preserve">A huge rise in the prices of the commodity was observed due to the financial crises. Unilever plc is a consumer goods </w:t>
      </w:r>
      <w:proofErr w:type="gramStart"/>
      <w:r w:rsidRPr="00BB51F3">
        <w:rPr>
          <w:rFonts w:cstheme="minorHAnsi"/>
          <w:sz w:val="24"/>
          <w:szCs w:val="24"/>
        </w:rPr>
        <w:t>industry</w:t>
      </w:r>
      <w:proofErr w:type="gramEnd"/>
      <w:r w:rsidRPr="00BB51F3">
        <w:rPr>
          <w:rFonts w:cstheme="minorHAnsi"/>
          <w:sz w:val="24"/>
          <w:szCs w:val="24"/>
        </w:rPr>
        <w:t xml:space="preserve"> and its business model is highly customer-centric. The brand highly concentrates on its brand reputation whereas the financial cr</w:t>
      </w:r>
      <w:r w:rsidRPr="00BB51F3">
        <w:rPr>
          <w:rFonts w:cstheme="minorHAnsi"/>
          <w:sz w:val="24"/>
          <w:szCs w:val="24"/>
        </w:rPr>
        <w:t xml:space="preserve">ises directly affected the </w:t>
      </w:r>
      <w:r w:rsidR="004A32A2" w:rsidRPr="00BB51F3">
        <w:rPr>
          <w:rFonts w:cstheme="minorHAnsi"/>
          <w:sz w:val="24"/>
          <w:szCs w:val="24"/>
        </w:rPr>
        <w:t>business model of the firm</w:t>
      </w:r>
      <w:r w:rsidR="004352B6" w:rsidRPr="00BB51F3">
        <w:rPr>
          <w:rFonts w:cstheme="minorHAnsi"/>
          <w:sz w:val="24"/>
          <w:szCs w:val="24"/>
        </w:rPr>
        <w:t xml:space="preserve"> </w:t>
      </w:r>
      <w:r w:rsidR="004352B6" w:rsidRPr="00BB51F3">
        <w:rPr>
          <w:rFonts w:cstheme="minorHAnsi"/>
          <w:color w:val="222222"/>
          <w:sz w:val="24"/>
          <w:szCs w:val="24"/>
          <w:shd w:val="clear" w:color="auto" w:fill="FFFFFF"/>
        </w:rPr>
        <w:t>(Al Mulhairi and Nobanee, 2019)</w:t>
      </w:r>
      <w:r w:rsidR="004A32A2" w:rsidRPr="00BB51F3">
        <w:rPr>
          <w:rFonts w:cstheme="minorHAnsi"/>
          <w:sz w:val="24"/>
          <w:szCs w:val="24"/>
        </w:rPr>
        <w:t xml:space="preserve">. It increased the supply rate in the business organisation and decreased the demand. The customers couldn't bear the expensive prices of the basic and necessary commodities. </w:t>
      </w:r>
      <w:r w:rsidR="00513486" w:rsidRPr="00BB51F3">
        <w:rPr>
          <w:rFonts w:cstheme="minorHAnsi"/>
          <w:sz w:val="24"/>
          <w:szCs w:val="24"/>
        </w:rPr>
        <w:t xml:space="preserve">According to statistics, Unilever plc had experienced massive rates of information during and after the 2008 financial crisis. </w:t>
      </w:r>
    </w:p>
    <w:p w14:paraId="3D97B7AD" w14:textId="4CF9E420" w:rsidR="00513486"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The production cost was highly affected. Some of the main items of the Unilever plc are shampoo, detergent and icecreams. It</w:t>
      </w:r>
      <w:r w:rsidRPr="00BB51F3">
        <w:rPr>
          <w:rFonts w:cstheme="minorHAnsi"/>
          <w:sz w:val="24"/>
          <w:szCs w:val="24"/>
        </w:rPr>
        <w:t xml:space="preserve"> has been observed by the firm that the manufacturing cost was increasing on a rapid basis during the financial crisis of 2008</w:t>
      </w:r>
      <w:r w:rsidR="004352B6" w:rsidRPr="00BB51F3">
        <w:rPr>
          <w:rFonts w:cstheme="minorHAnsi"/>
          <w:sz w:val="24"/>
          <w:szCs w:val="24"/>
        </w:rPr>
        <w:t xml:space="preserve"> </w:t>
      </w:r>
      <w:r w:rsidR="004352B6" w:rsidRPr="00BB51F3">
        <w:rPr>
          <w:rFonts w:cstheme="minorHAnsi"/>
          <w:color w:val="222222"/>
          <w:sz w:val="24"/>
          <w:szCs w:val="24"/>
          <w:shd w:val="clear" w:color="auto" w:fill="FFFFFF"/>
        </w:rPr>
        <w:t>(Brigham and Ehrhardy, 2019)</w:t>
      </w:r>
      <w:r w:rsidRPr="00BB51F3">
        <w:rPr>
          <w:rFonts w:cstheme="minorHAnsi"/>
          <w:sz w:val="24"/>
          <w:szCs w:val="24"/>
        </w:rPr>
        <w:t xml:space="preserve">. The prices of the raw materials which are utilised in producing these necessary items have reached </w:t>
      </w:r>
      <w:r w:rsidRPr="00BB51F3">
        <w:rPr>
          <w:rFonts w:cstheme="minorHAnsi"/>
          <w:sz w:val="24"/>
          <w:szCs w:val="24"/>
        </w:rPr>
        <w:t xml:space="preserve">the next level whereas the prices were increasing at a very fast pace. The firm was experiencing no profitability </w:t>
      </w:r>
      <w:r w:rsidR="00D6076D" w:rsidRPr="00BB51F3">
        <w:rPr>
          <w:rFonts w:cstheme="minorHAnsi"/>
          <w:sz w:val="24"/>
          <w:szCs w:val="24"/>
        </w:rPr>
        <w:t>and deployed any profitability goals.</w:t>
      </w:r>
      <w:r w:rsidR="000919E2" w:rsidRPr="00BB51F3">
        <w:rPr>
          <w:rFonts w:cstheme="minorHAnsi"/>
          <w:sz w:val="24"/>
          <w:szCs w:val="24"/>
        </w:rPr>
        <w:t xml:space="preserve"> Also, Unilever plc experienced a massive decline in its </w:t>
      </w:r>
      <w:r w:rsidR="00BF78C2" w:rsidRPr="00BB51F3">
        <w:rPr>
          <w:rFonts w:cstheme="minorHAnsi"/>
          <w:sz w:val="24"/>
          <w:szCs w:val="24"/>
        </w:rPr>
        <w:t>share prices. The higher cost of raw materials was a growing concern during the financial crisis for Unilever.</w:t>
      </w:r>
      <w:r w:rsidR="00C24E6C" w:rsidRPr="00BB51F3">
        <w:rPr>
          <w:rFonts w:cstheme="minorHAnsi"/>
          <w:sz w:val="24"/>
          <w:szCs w:val="24"/>
        </w:rPr>
        <w:t xml:space="preserve"> Also, the freight costs of crude oil, soybean oil, and palm oil resulted in the enhancement of the price of goods in the consumer goods industry of the United Kingdom. </w:t>
      </w:r>
    </w:p>
    <w:p w14:paraId="6F0F54B3" w14:textId="187B3B82" w:rsidR="00672895"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lastRenderedPageBreak/>
        <w:t>The reforms which were e</w:t>
      </w:r>
      <w:r w:rsidRPr="00BB51F3">
        <w:rPr>
          <w:rFonts w:cstheme="minorHAnsi"/>
          <w:sz w:val="24"/>
          <w:szCs w:val="24"/>
        </w:rPr>
        <w:t>nacted by higher authorities helped the firm in managing its stability during the financial crises whereas it also helped in building financial stability to manage the cost of raw material</w:t>
      </w:r>
      <w:r w:rsidR="004352B6" w:rsidRPr="00BB51F3">
        <w:rPr>
          <w:rFonts w:cstheme="minorHAnsi"/>
          <w:sz w:val="24"/>
          <w:szCs w:val="24"/>
        </w:rPr>
        <w:t xml:space="preserve">s </w:t>
      </w:r>
      <w:r w:rsidR="004352B6" w:rsidRPr="00BB51F3">
        <w:rPr>
          <w:rFonts w:cstheme="minorHAnsi"/>
          <w:color w:val="222222"/>
          <w:sz w:val="24"/>
          <w:szCs w:val="24"/>
          <w:shd w:val="clear" w:color="auto" w:fill="FFFFFF"/>
        </w:rPr>
        <w:t>(Notteboom et al., 2021)</w:t>
      </w:r>
      <w:r w:rsidRPr="00BB51F3">
        <w:rPr>
          <w:rFonts w:cstheme="minorHAnsi"/>
          <w:sz w:val="24"/>
          <w:szCs w:val="24"/>
        </w:rPr>
        <w:t>. The reforms help in setting the prices o</w:t>
      </w:r>
      <w:r w:rsidRPr="00BB51F3">
        <w:rPr>
          <w:rFonts w:cstheme="minorHAnsi"/>
          <w:sz w:val="24"/>
          <w:szCs w:val="24"/>
        </w:rPr>
        <w:t xml:space="preserve">f commodities manageable which leads to the easy availability of raw materials to Unilever plc. This decreased the production cost and help it to frame its business model effectively. </w:t>
      </w:r>
      <w:r w:rsidR="000C596B" w:rsidRPr="00BB51F3">
        <w:rPr>
          <w:rFonts w:cstheme="minorHAnsi"/>
          <w:sz w:val="24"/>
          <w:szCs w:val="24"/>
        </w:rPr>
        <w:t xml:space="preserve">The revenue of Unilever plc rose by 5% in the second quarter of the financial crisis whereas the decrease in sales improvised the commodity prices too. The sales growth in the operational framework of Unilever plc was observed to 5% from 3% which is an unexpected hike in the phase of financial crises whereas the growth was observed due to financial reforms. </w:t>
      </w:r>
    </w:p>
    <w:p w14:paraId="58C43B8B" w14:textId="0A57F183" w:rsidR="007E3BCF" w:rsidRPr="00BB51F3" w:rsidRDefault="00B72C39" w:rsidP="00BB51F3">
      <w:pPr>
        <w:pStyle w:val="Heading2"/>
        <w:spacing w:line="360" w:lineRule="auto"/>
        <w:jc w:val="both"/>
        <w:rPr>
          <w:rFonts w:asciiTheme="minorHAnsi" w:hAnsiTheme="minorHAnsi" w:cstheme="minorHAnsi"/>
          <w:sz w:val="24"/>
          <w:szCs w:val="24"/>
        </w:rPr>
      </w:pPr>
      <w:bookmarkStart w:id="17" w:name="_Toc101817647"/>
      <w:r w:rsidRPr="00BB51F3">
        <w:rPr>
          <w:rFonts w:asciiTheme="minorHAnsi" w:hAnsiTheme="minorHAnsi" w:cstheme="minorHAnsi"/>
          <w:sz w:val="24"/>
          <w:szCs w:val="24"/>
        </w:rPr>
        <w:t>LEVEL OF COMPLIANCE/ NON-COMPLIANCE OF THE BUSINESS MODEL TO THESE REFORMS</w:t>
      </w:r>
      <w:bookmarkEnd w:id="17"/>
      <w:r w:rsidRPr="00BB51F3">
        <w:rPr>
          <w:rFonts w:asciiTheme="minorHAnsi" w:hAnsiTheme="minorHAnsi" w:cstheme="minorHAnsi"/>
          <w:sz w:val="24"/>
          <w:szCs w:val="24"/>
        </w:rPr>
        <w:t xml:space="preserve"> </w:t>
      </w:r>
    </w:p>
    <w:p w14:paraId="0E04881E" w14:textId="2CA99F01" w:rsidR="00417018"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sz w:val="24"/>
          <w:szCs w:val="24"/>
        </w:rPr>
        <w:t xml:space="preserve">The compliance involves that each partner associated with the Unilever plc </w:t>
      </w:r>
      <w:r w:rsidRPr="00BB51F3">
        <w:rPr>
          <w:rFonts w:cstheme="minorHAnsi"/>
          <w:sz w:val="24"/>
          <w:szCs w:val="24"/>
        </w:rPr>
        <w:t>should be able to follow all the policies and procedures and should agree with each of the rules and regulations. The compliance levels are observed by law as the partners associated with the business organi</w:t>
      </w:r>
      <w:r w:rsidR="00FC0B3B" w:rsidRPr="00BB51F3">
        <w:rPr>
          <w:rFonts w:cstheme="minorHAnsi"/>
          <w:sz w:val="24"/>
          <w:szCs w:val="24"/>
        </w:rPr>
        <w:t>sation</w:t>
      </w:r>
      <w:r w:rsidRPr="00BB51F3">
        <w:rPr>
          <w:rFonts w:cstheme="minorHAnsi"/>
          <w:sz w:val="24"/>
          <w:szCs w:val="24"/>
        </w:rPr>
        <w:t xml:space="preserve"> are required to be observed and monitored </w:t>
      </w:r>
      <w:r w:rsidRPr="00BB51F3">
        <w:rPr>
          <w:rFonts w:cstheme="minorHAnsi"/>
          <w:sz w:val="24"/>
          <w:szCs w:val="24"/>
        </w:rPr>
        <w:t>by law</w:t>
      </w:r>
      <w:r w:rsidR="004352B6" w:rsidRPr="00BB51F3">
        <w:rPr>
          <w:rFonts w:cstheme="minorHAnsi"/>
          <w:sz w:val="24"/>
          <w:szCs w:val="24"/>
        </w:rPr>
        <w:t xml:space="preserve"> </w:t>
      </w:r>
      <w:r w:rsidR="004352B6" w:rsidRPr="00BB51F3">
        <w:rPr>
          <w:rFonts w:cstheme="minorHAnsi"/>
          <w:color w:val="222222"/>
          <w:sz w:val="24"/>
          <w:szCs w:val="24"/>
          <w:shd w:val="clear" w:color="auto" w:fill="FFFFFF"/>
        </w:rPr>
        <w:t>(Akgun and Karatas, 2020)</w:t>
      </w:r>
      <w:r w:rsidRPr="00BB51F3">
        <w:rPr>
          <w:rFonts w:cstheme="minorHAnsi"/>
          <w:sz w:val="24"/>
          <w:szCs w:val="24"/>
        </w:rPr>
        <w:t xml:space="preserve">. Apart from the legal framework, the compliance level can also be observed by the recognized stock exchange, law, regulatory bodies and authority. </w:t>
      </w:r>
      <w:r w:rsidR="00E57A58" w:rsidRPr="00BB51F3">
        <w:rPr>
          <w:rFonts w:cstheme="minorHAnsi"/>
          <w:sz w:val="24"/>
          <w:szCs w:val="24"/>
        </w:rPr>
        <w:t xml:space="preserve"> Also, even in a financial crisis, the firm is required to perform all the services according to the framework of lawful procedures, rules, and policies which were enacted by the board of Unilever plc. </w:t>
      </w:r>
      <w:r w:rsidR="00FC0B3B" w:rsidRPr="00BB51F3">
        <w:rPr>
          <w:rFonts w:cstheme="minorHAnsi"/>
          <w:sz w:val="24"/>
          <w:szCs w:val="24"/>
        </w:rPr>
        <w:t xml:space="preserve">The legal system of a business organisation is required to abide by the </w:t>
      </w:r>
      <w:r w:rsidR="00442E7E" w:rsidRPr="00BB51F3">
        <w:rPr>
          <w:rFonts w:cstheme="minorHAnsi"/>
          <w:sz w:val="24"/>
          <w:szCs w:val="24"/>
        </w:rPr>
        <w:t>company, its acquisitions, its s</w:t>
      </w:r>
      <w:r w:rsidRPr="00BB51F3">
        <w:rPr>
          <w:rFonts w:cstheme="minorHAnsi"/>
          <w:sz w:val="24"/>
          <w:szCs w:val="24"/>
        </w:rPr>
        <w:t>u</w:t>
      </w:r>
      <w:r w:rsidR="00442E7E" w:rsidRPr="00BB51F3">
        <w:rPr>
          <w:rFonts w:cstheme="minorHAnsi"/>
          <w:sz w:val="24"/>
          <w:szCs w:val="24"/>
        </w:rPr>
        <w:t>bsidiaries, directors, officers and employees</w:t>
      </w:r>
      <w:r w:rsidR="004352B6" w:rsidRPr="00BB51F3">
        <w:rPr>
          <w:rFonts w:cstheme="minorHAnsi"/>
          <w:sz w:val="24"/>
          <w:szCs w:val="24"/>
        </w:rPr>
        <w:t xml:space="preserve"> </w:t>
      </w:r>
      <w:r w:rsidR="004352B6" w:rsidRPr="00BB51F3">
        <w:rPr>
          <w:rFonts w:cstheme="minorHAnsi"/>
          <w:color w:val="222222"/>
          <w:sz w:val="24"/>
          <w:szCs w:val="24"/>
          <w:shd w:val="clear" w:color="auto" w:fill="FFFFFF"/>
        </w:rPr>
        <w:t>(Milanovic, 2022)</w:t>
      </w:r>
      <w:r w:rsidR="00442E7E" w:rsidRPr="00BB51F3">
        <w:rPr>
          <w:rFonts w:cstheme="minorHAnsi"/>
          <w:sz w:val="24"/>
          <w:szCs w:val="24"/>
        </w:rPr>
        <w:t>.</w:t>
      </w:r>
      <w:r w:rsidRPr="00BB51F3">
        <w:rPr>
          <w:rFonts w:cstheme="minorHAnsi"/>
          <w:sz w:val="24"/>
          <w:szCs w:val="24"/>
        </w:rPr>
        <w:t xml:space="preserve"> All the subsidiaries and company stakeholders are required to comply with the foreign corrupt practices act.</w:t>
      </w:r>
    </w:p>
    <w:p w14:paraId="200B14ED" w14:textId="185D395F" w:rsidR="00417018" w:rsidRPr="00BB51F3" w:rsidRDefault="00B72C39" w:rsidP="00BB51F3">
      <w:pPr>
        <w:spacing w:line="360" w:lineRule="auto"/>
        <w:jc w:val="both"/>
        <w:rPr>
          <w:rFonts w:cstheme="minorHAnsi"/>
          <w:sz w:val="24"/>
          <w:szCs w:val="24"/>
        </w:rPr>
      </w:pPr>
      <w:r w:rsidRPr="00BB51F3">
        <w:rPr>
          <w:rFonts w:cstheme="minorHAnsi"/>
          <w:sz w:val="24"/>
          <w:szCs w:val="24"/>
        </w:rPr>
        <w:t>Unilever plc is required to agree that the business organisation will ensure to protect the reserved securi</w:t>
      </w:r>
      <w:r w:rsidRPr="00BB51F3">
        <w:rPr>
          <w:rFonts w:cstheme="minorHAnsi"/>
          <w:sz w:val="24"/>
          <w:szCs w:val="24"/>
        </w:rPr>
        <w:t xml:space="preserve">ties whereas the securities will be restricted as it is needed according to FINRA or FINRA rules from the transfer, assignment, pledge, rules for three months. </w:t>
      </w:r>
    </w:p>
    <w:p w14:paraId="78DA5015" w14:textId="77777777" w:rsidR="007B4D7D" w:rsidRDefault="00B72C39">
      <w:pPr>
        <w:rPr>
          <w:rFonts w:eastAsiaTheme="majorEastAsia" w:cstheme="minorHAnsi"/>
          <w:color w:val="2F5496" w:themeColor="accent1" w:themeShade="BF"/>
          <w:sz w:val="24"/>
          <w:szCs w:val="24"/>
        </w:rPr>
      </w:pPr>
      <w:r>
        <w:rPr>
          <w:rFonts w:cstheme="minorHAnsi"/>
          <w:sz w:val="24"/>
          <w:szCs w:val="24"/>
        </w:rPr>
        <w:br w:type="page"/>
      </w:r>
    </w:p>
    <w:p w14:paraId="7F3CAC2B" w14:textId="3326F6E4" w:rsidR="007E3BCF" w:rsidRPr="00BB51F3" w:rsidRDefault="00B72C39" w:rsidP="00BB51F3">
      <w:pPr>
        <w:pStyle w:val="Heading1"/>
        <w:spacing w:line="360" w:lineRule="auto"/>
        <w:jc w:val="both"/>
        <w:rPr>
          <w:rFonts w:asciiTheme="minorHAnsi" w:hAnsiTheme="minorHAnsi" w:cstheme="minorHAnsi"/>
          <w:sz w:val="24"/>
          <w:szCs w:val="24"/>
        </w:rPr>
      </w:pPr>
      <w:bookmarkStart w:id="18" w:name="_Toc101817648"/>
      <w:r w:rsidRPr="00BB51F3">
        <w:rPr>
          <w:rFonts w:asciiTheme="minorHAnsi" w:hAnsiTheme="minorHAnsi" w:cstheme="minorHAnsi"/>
          <w:sz w:val="24"/>
          <w:szCs w:val="24"/>
        </w:rPr>
        <w:lastRenderedPageBreak/>
        <w:t>CONCLUSION</w:t>
      </w:r>
      <w:bookmarkEnd w:id="18"/>
    </w:p>
    <w:p w14:paraId="71555C41" w14:textId="1BBFCBD7" w:rsidR="004441CA" w:rsidRPr="00BB51F3" w:rsidRDefault="00B72C39" w:rsidP="00BB51F3">
      <w:pPr>
        <w:spacing w:line="360" w:lineRule="auto"/>
        <w:jc w:val="both"/>
        <w:rPr>
          <w:rFonts w:cstheme="minorHAnsi"/>
          <w:sz w:val="24"/>
          <w:szCs w:val="24"/>
        </w:rPr>
      </w:pPr>
      <w:r w:rsidRPr="00BB51F3">
        <w:rPr>
          <w:rFonts w:cstheme="minorHAnsi"/>
          <w:sz w:val="24"/>
          <w:szCs w:val="24"/>
        </w:rPr>
        <w:t xml:space="preserve">The report set a deep understanding </w:t>
      </w:r>
      <w:r w:rsidR="005374BB" w:rsidRPr="00BB51F3">
        <w:rPr>
          <w:rFonts w:cstheme="minorHAnsi"/>
          <w:sz w:val="24"/>
          <w:szCs w:val="24"/>
        </w:rPr>
        <w:t>related to the financial aspect of the United Kingdom's economy</w:t>
      </w:r>
      <w:r w:rsidR="009928E0" w:rsidRPr="00BB51F3">
        <w:rPr>
          <w:rFonts w:cstheme="minorHAnsi"/>
          <w:sz w:val="24"/>
          <w:szCs w:val="24"/>
        </w:rPr>
        <w:t xml:space="preserve">. The whole report revolved around banking and financial management and the involvement of the financial market in running the economy of the country smoothly. </w:t>
      </w:r>
      <w:r w:rsidR="007B6BFD" w:rsidRPr="00BB51F3">
        <w:rPr>
          <w:rFonts w:cstheme="minorHAnsi"/>
          <w:sz w:val="24"/>
          <w:szCs w:val="24"/>
        </w:rPr>
        <w:t>The report concluded that it is important to initiate effective financial reforms in the financial system as it enhances the efficacy of the financial aspect of the country and helps the country to deal with the financial crisis.</w:t>
      </w:r>
    </w:p>
    <w:p w14:paraId="27FBBED0" w14:textId="372E208B" w:rsidR="007B6BFD" w:rsidRPr="00BB51F3" w:rsidRDefault="00B72C39" w:rsidP="00BB51F3">
      <w:pPr>
        <w:spacing w:line="360" w:lineRule="auto"/>
        <w:jc w:val="both"/>
        <w:rPr>
          <w:rFonts w:cstheme="minorHAnsi"/>
          <w:sz w:val="24"/>
          <w:szCs w:val="24"/>
        </w:rPr>
      </w:pPr>
      <w:r w:rsidRPr="00BB51F3">
        <w:rPr>
          <w:rFonts w:cstheme="minorHAnsi"/>
          <w:sz w:val="24"/>
          <w:szCs w:val="24"/>
        </w:rPr>
        <w:t xml:space="preserve">The report is framed to perform </w:t>
      </w:r>
      <w:r w:rsidR="00F9223E" w:rsidRPr="00BB51F3">
        <w:rPr>
          <w:rFonts w:cstheme="minorHAnsi"/>
          <w:sz w:val="24"/>
          <w:szCs w:val="24"/>
        </w:rPr>
        <w:t xml:space="preserve">a deep analysis </w:t>
      </w:r>
      <w:r w:rsidR="003B40EE" w:rsidRPr="00BB51F3">
        <w:rPr>
          <w:rFonts w:cstheme="minorHAnsi"/>
          <w:sz w:val="24"/>
          <w:szCs w:val="24"/>
        </w:rPr>
        <w:t xml:space="preserve">of the financial crisis of 2008. The 2008 financial crisis was highly disruptive for the financial system whereas the crisis commenced in 2007 when the real estate market countries began to collapse. The report involved the response of banks and markets to deal with the degradation caused by the crisis and save the economy from recession. </w:t>
      </w:r>
      <w:r w:rsidR="00D63FC6" w:rsidRPr="00BB51F3">
        <w:rPr>
          <w:rFonts w:cstheme="minorHAnsi"/>
          <w:sz w:val="24"/>
          <w:szCs w:val="24"/>
        </w:rPr>
        <w:t xml:space="preserve"> The report set deep learning related to the financial assets, </w:t>
      </w:r>
      <w:r w:rsidR="009B18E9" w:rsidRPr="00BB51F3">
        <w:rPr>
          <w:rFonts w:cstheme="minorHAnsi"/>
          <w:sz w:val="24"/>
          <w:szCs w:val="24"/>
        </w:rPr>
        <w:t xml:space="preserve">operation of financial markets and role and application of finance theory along with bank management and performance with bank institutions. </w:t>
      </w:r>
    </w:p>
    <w:p w14:paraId="48799884" w14:textId="7649F807" w:rsidR="00F633DE" w:rsidRPr="00BB51F3" w:rsidRDefault="00B72C39" w:rsidP="00BB51F3">
      <w:pPr>
        <w:spacing w:line="360" w:lineRule="auto"/>
        <w:jc w:val="both"/>
        <w:rPr>
          <w:rFonts w:cstheme="minorHAnsi"/>
          <w:sz w:val="24"/>
          <w:szCs w:val="24"/>
        </w:rPr>
      </w:pPr>
      <w:r w:rsidRPr="00BB51F3">
        <w:rPr>
          <w:rFonts w:cstheme="minorHAnsi"/>
          <w:sz w:val="24"/>
          <w:szCs w:val="24"/>
        </w:rPr>
        <w:t>The report was d</w:t>
      </w:r>
      <w:r w:rsidRPr="00BB51F3">
        <w:rPr>
          <w:rFonts w:cstheme="minorHAnsi"/>
          <w:sz w:val="24"/>
          <w:szCs w:val="24"/>
        </w:rPr>
        <w:t>ivided into three segments. The first segment involved the legal aspects involved in the economy post-financial crisis. It discussed the regulations, contracts and laws which were enacted by EU, US and UK authorities. Also, it depicted the key players of t</w:t>
      </w:r>
      <w:r w:rsidRPr="00BB51F3">
        <w:rPr>
          <w:rFonts w:cstheme="minorHAnsi"/>
          <w:sz w:val="24"/>
          <w:szCs w:val="24"/>
        </w:rPr>
        <w:t xml:space="preserve">he financial system who contributed to ending the financial crisis. The second segment involves the impact of these reforms on the </w:t>
      </w:r>
      <w:r w:rsidR="007F186F" w:rsidRPr="00BB51F3">
        <w:rPr>
          <w:rFonts w:cstheme="minorHAnsi"/>
          <w:sz w:val="24"/>
          <w:szCs w:val="24"/>
        </w:rPr>
        <w:t xml:space="preserve">process of stabilising the financial system of the country and other banking institutions the country after the financial crises of 2007-2008. Also, the report analysed the business model of Unilever plc and relate it with the </w:t>
      </w:r>
      <w:r w:rsidR="00D33169" w:rsidRPr="00BB51F3">
        <w:rPr>
          <w:rFonts w:cstheme="minorHAnsi"/>
          <w:sz w:val="24"/>
          <w:szCs w:val="24"/>
        </w:rPr>
        <w:t xml:space="preserve">reforms and their impact on the business model. Also, the level of compliance and non-compliance to the reforms is measured. </w:t>
      </w:r>
      <w:r w:rsidR="00956085" w:rsidRPr="00BB51F3">
        <w:rPr>
          <w:rFonts w:cstheme="minorHAnsi"/>
          <w:sz w:val="24"/>
          <w:szCs w:val="24"/>
        </w:rPr>
        <w:t xml:space="preserve"> Unilever plc is an established firm in the consumer goods industry of the United Kingdom. The firm was established in 1929 and possesses a strong financial framework and has an impactful contribution to the financial system of the United Kingdom.</w:t>
      </w:r>
    </w:p>
    <w:p w14:paraId="1482AF67" w14:textId="77777777" w:rsidR="007B4D7D" w:rsidRDefault="00B72C39">
      <w:pPr>
        <w:rPr>
          <w:rFonts w:eastAsiaTheme="majorEastAsia" w:cstheme="minorHAnsi"/>
          <w:color w:val="2F5496" w:themeColor="accent1" w:themeShade="BF"/>
          <w:sz w:val="24"/>
          <w:szCs w:val="24"/>
        </w:rPr>
      </w:pPr>
      <w:r>
        <w:rPr>
          <w:rFonts w:cstheme="minorHAnsi"/>
          <w:sz w:val="24"/>
          <w:szCs w:val="24"/>
        </w:rPr>
        <w:br w:type="page"/>
      </w:r>
    </w:p>
    <w:p w14:paraId="2129A74E" w14:textId="6A3F2BDD" w:rsidR="007E3BCF" w:rsidRPr="00BB51F3" w:rsidRDefault="00B72C39" w:rsidP="00BB51F3">
      <w:pPr>
        <w:pStyle w:val="Heading1"/>
        <w:spacing w:line="360" w:lineRule="auto"/>
        <w:jc w:val="both"/>
        <w:rPr>
          <w:rFonts w:asciiTheme="minorHAnsi" w:hAnsiTheme="minorHAnsi" w:cstheme="minorHAnsi"/>
          <w:sz w:val="24"/>
          <w:szCs w:val="24"/>
        </w:rPr>
      </w:pPr>
      <w:bookmarkStart w:id="19" w:name="_Toc101817649"/>
      <w:r w:rsidRPr="00BB51F3">
        <w:rPr>
          <w:rFonts w:asciiTheme="minorHAnsi" w:hAnsiTheme="minorHAnsi" w:cstheme="minorHAnsi"/>
          <w:sz w:val="24"/>
          <w:szCs w:val="24"/>
        </w:rPr>
        <w:lastRenderedPageBreak/>
        <w:t>REFERENCE LIST</w:t>
      </w:r>
      <w:bookmarkEnd w:id="19"/>
      <w:r w:rsidRPr="00BB51F3">
        <w:rPr>
          <w:rFonts w:asciiTheme="minorHAnsi" w:hAnsiTheme="minorHAnsi" w:cstheme="minorHAnsi"/>
          <w:sz w:val="24"/>
          <w:szCs w:val="24"/>
        </w:rPr>
        <w:t xml:space="preserve"> </w:t>
      </w:r>
    </w:p>
    <w:p w14:paraId="4D373BE7"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Akan, M. and Tevfik, A.T. (2020). Fundamentals of finance. In </w:t>
      </w:r>
      <w:r w:rsidRPr="00BB51F3">
        <w:rPr>
          <w:rFonts w:cstheme="minorHAnsi"/>
          <w:i/>
          <w:iCs/>
          <w:color w:val="222222"/>
          <w:sz w:val="24"/>
          <w:szCs w:val="24"/>
          <w:shd w:val="clear" w:color="auto" w:fill="FFFFFF"/>
        </w:rPr>
        <w:t>Fundamentals of Finance</w:t>
      </w:r>
      <w:r w:rsidRPr="00BB51F3">
        <w:rPr>
          <w:rFonts w:cstheme="minorHAnsi"/>
          <w:color w:val="222222"/>
          <w:sz w:val="24"/>
          <w:szCs w:val="24"/>
          <w:shd w:val="clear" w:color="auto" w:fill="FFFFFF"/>
        </w:rPr>
        <w:t>. De Gruyter.</w:t>
      </w:r>
    </w:p>
    <w:p w14:paraId="5B01F4D8"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Akgün, A.I. and Karataş, A.M. (2020). Investigating the relationship between working capital management and business performance: Evidence from the 2008 fina</w:t>
      </w:r>
      <w:r w:rsidRPr="00BB51F3">
        <w:rPr>
          <w:rFonts w:cstheme="minorHAnsi"/>
          <w:color w:val="222222"/>
          <w:sz w:val="24"/>
          <w:szCs w:val="24"/>
          <w:shd w:val="clear" w:color="auto" w:fill="FFFFFF"/>
        </w:rPr>
        <w:t>ncial crisis of EU-28. </w:t>
      </w:r>
      <w:r w:rsidRPr="00BB51F3">
        <w:rPr>
          <w:rFonts w:cstheme="minorHAnsi"/>
          <w:i/>
          <w:iCs/>
          <w:color w:val="222222"/>
          <w:sz w:val="24"/>
          <w:szCs w:val="24"/>
          <w:shd w:val="clear" w:color="auto" w:fill="FFFFFF"/>
        </w:rPr>
        <w:t>International Journal of Managerial Finance</w:t>
      </w:r>
      <w:r w:rsidRPr="00BB51F3">
        <w:rPr>
          <w:rFonts w:cstheme="minorHAnsi"/>
          <w:color w:val="222222"/>
          <w:sz w:val="24"/>
          <w:szCs w:val="24"/>
          <w:shd w:val="clear" w:color="auto" w:fill="FFFFFF"/>
        </w:rPr>
        <w:t>.</w:t>
      </w:r>
    </w:p>
    <w:p w14:paraId="751AD9D5"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Al Breiki, M. and Nobanee, H. (2019). The role of financial management in promoting sustainable business practices and development. </w:t>
      </w:r>
      <w:r w:rsidRPr="00BB51F3">
        <w:rPr>
          <w:rFonts w:cstheme="minorHAnsi"/>
          <w:i/>
          <w:iCs/>
          <w:color w:val="222222"/>
          <w:sz w:val="24"/>
          <w:szCs w:val="24"/>
          <w:shd w:val="clear" w:color="auto" w:fill="FFFFFF"/>
        </w:rPr>
        <w:t>Available at SSRN 3472404</w:t>
      </w:r>
      <w:r w:rsidRPr="00BB51F3">
        <w:rPr>
          <w:rFonts w:cstheme="minorHAnsi"/>
          <w:color w:val="222222"/>
          <w:sz w:val="24"/>
          <w:szCs w:val="24"/>
          <w:shd w:val="clear" w:color="auto" w:fill="FFFFFF"/>
        </w:rPr>
        <w:t>.</w:t>
      </w:r>
    </w:p>
    <w:p w14:paraId="2223B8A4"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Al Muhairi, M. and Nobanee, H</w:t>
      </w:r>
      <w:r w:rsidRPr="00BB51F3">
        <w:rPr>
          <w:rFonts w:cstheme="minorHAnsi"/>
          <w:color w:val="222222"/>
          <w:sz w:val="24"/>
          <w:szCs w:val="24"/>
          <w:shd w:val="clear" w:color="auto" w:fill="FFFFFF"/>
        </w:rPr>
        <w:t>. (2019). Sustainable financial management. </w:t>
      </w:r>
      <w:r w:rsidRPr="00BB51F3">
        <w:rPr>
          <w:rFonts w:cstheme="minorHAnsi"/>
          <w:i/>
          <w:iCs/>
          <w:color w:val="222222"/>
          <w:sz w:val="24"/>
          <w:szCs w:val="24"/>
          <w:shd w:val="clear" w:color="auto" w:fill="FFFFFF"/>
        </w:rPr>
        <w:t>Available at SSRN 3472417</w:t>
      </w:r>
      <w:r w:rsidRPr="00BB51F3">
        <w:rPr>
          <w:rFonts w:cstheme="minorHAnsi"/>
          <w:color w:val="222222"/>
          <w:sz w:val="24"/>
          <w:szCs w:val="24"/>
          <w:shd w:val="clear" w:color="auto" w:fill="FFFFFF"/>
        </w:rPr>
        <w:t>.</w:t>
      </w:r>
    </w:p>
    <w:p w14:paraId="4F6F3395"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Brigham, E.F. and Ehrhardt, M.C. (2019). </w:t>
      </w:r>
      <w:r w:rsidRPr="00BB51F3">
        <w:rPr>
          <w:rFonts w:cstheme="minorHAnsi"/>
          <w:i/>
          <w:iCs/>
          <w:color w:val="222222"/>
          <w:sz w:val="24"/>
          <w:szCs w:val="24"/>
          <w:shd w:val="clear" w:color="auto" w:fill="FFFFFF"/>
        </w:rPr>
        <w:t>Financial management: Theory &amp; practice</w:t>
      </w:r>
      <w:r w:rsidRPr="00BB51F3">
        <w:rPr>
          <w:rFonts w:cstheme="minorHAnsi"/>
          <w:color w:val="222222"/>
          <w:sz w:val="24"/>
          <w:szCs w:val="24"/>
          <w:shd w:val="clear" w:color="auto" w:fill="FFFFFF"/>
        </w:rPr>
        <w:t>. Cengage Learning.</w:t>
      </w:r>
    </w:p>
    <w:p w14:paraId="781ACA52"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Cao, L. (2022). AI in Finance: Challenges, Techniques, and Opportunities. </w:t>
      </w:r>
      <w:r w:rsidRPr="00BB51F3">
        <w:rPr>
          <w:rFonts w:cstheme="minorHAnsi"/>
          <w:i/>
          <w:iCs/>
          <w:color w:val="222222"/>
          <w:sz w:val="24"/>
          <w:szCs w:val="24"/>
          <w:shd w:val="clear" w:color="auto" w:fill="FFFFFF"/>
        </w:rPr>
        <w:t>ACM Computi</w:t>
      </w:r>
      <w:r w:rsidRPr="00BB51F3">
        <w:rPr>
          <w:rFonts w:cstheme="minorHAnsi"/>
          <w:i/>
          <w:iCs/>
          <w:color w:val="222222"/>
          <w:sz w:val="24"/>
          <w:szCs w:val="24"/>
          <w:shd w:val="clear" w:color="auto" w:fill="FFFFFF"/>
        </w:rPr>
        <w:t>ng Surveys (CSUR)</w:t>
      </w:r>
      <w:r w:rsidRPr="00BB51F3">
        <w:rPr>
          <w:rFonts w:cstheme="minorHAnsi"/>
          <w:color w:val="222222"/>
          <w:sz w:val="24"/>
          <w:szCs w:val="24"/>
          <w:shd w:val="clear" w:color="auto" w:fill="FFFFFF"/>
        </w:rPr>
        <w:t>, </w:t>
      </w:r>
      <w:r w:rsidRPr="00BB51F3">
        <w:rPr>
          <w:rFonts w:cstheme="minorHAnsi"/>
          <w:i/>
          <w:iCs/>
          <w:color w:val="222222"/>
          <w:sz w:val="24"/>
          <w:szCs w:val="24"/>
          <w:shd w:val="clear" w:color="auto" w:fill="FFFFFF"/>
        </w:rPr>
        <w:t>55</w:t>
      </w:r>
      <w:r w:rsidRPr="00BB51F3">
        <w:rPr>
          <w:rFonts w:cstheme="minorHAnsi"/>
          <w:color w:val="222222"/>
          <w:sz w:val="24"/>
          <w:szCs w:val="24"/>
          <w:shd w:val="clear" w:color="auto" w:fill="FFFFFF"/>
        </w:rPr>
        <w:t>(3), pp.1-38.</w:t>
      </w:r>
    </w:p>
    <w:p w14:paraId="36D09AE9"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 xml:space="preserve">Egger, D.J., Gambella, C., Marecek, J., McFaddin, S., Mevissen, M., Raymond, R., Simonetto, A., Woerner, S. and Yndurain, E. (2020). Quantum computing for finance: State-of-the-art and </w:t>
      </w:r>
      <w:proofErr w:type="gramStart"/>
      <w:r w:rsidRPr="00BB51F3">
        <w:rPr>
          <w:rFonts w:cstheme="minorHAnsi"/>
          <w:color w:val="222222"/>
          <w:sz w:val="24"/>
          <w:szCs w:val="24"/>
          <w:shd w:val="clear" w:color="auto" w:fill="FFFFFF"/>
        </w:rPr>
        <w:t>future prospects</w:t>
      </w:r>
      <w:proofErr w:type="gramEnd"/>
      <w:r w:rsidRPr="00BB51F3">
        <w:rPr>
          <w:rFonts w:cstheme="minorHAnsi"/>
          <w:color w:val="222222"/>
          <w:sz w:val="24"/>
          <w:szCs w:val="24"/>
          <w:shd w:val="clear" w:color="auto" w:fill="FFFFFF"/>
        </w:rPr>
        <w:t>. </w:t>
      </w:r>
      <w:r w:rsidRPr="00BB51F3">
        <w:rPr>
          <w:rFonts w:cstheme="minorHAnsi"/>
          <w:i/>
          <w:iCs/>
          <w:color w:val="222222"/>
          <w:sz w:val="24"/>
          <w:szCs w:val="24"/>
          <w:shd w:val="clear" w:color="auto" w:fill="FFFFFF"/>
        </w:rPr>
        <w:t xml:space="preserve">IEEE </w:t>
      </w:r>
      <w:r w:rsidRPr="00BB51F3">
        <w:rPr>
          <w:rFonts w:cstheme="minorHAnsi"/>
          <w:i/>
          <w:iCs/>
          <w:color w:val="222222"/>
          <w:sz w:val="24"/>
          <w:szCs w:val="24"/>
          <w:shd w:val="clear" w:color="auto" w:fill="FFFFFF"/>
        </w:rPr>
        <w:t>Transactions on Quantum Engineering</w:t>
      </w:r>
      <w:r w:rsidRPr="00BB51F3">
        <w:rPr>
          <w:rFonts w:cstheme="minorHAnsi"/>
          <w:color w:val="222222"/>
          <w:sz w:val="24"/>
          <w:szCs w:val="24"/>
          <w:shd w:val="clear" w:color="auto" w:fill="FFFFFF"/>
        </w:rPr>
        <w:t>, </w:t>
      </w:r>
      <w:r w:rsidRPr="00BB51F3">
        <w:rPr>
          <w:rFonts w:cstheme="minorHAnsi"/>
          <w:i/>
          <w:iCs/>
          <w:color w:val="222222"/>
          <w:sz w:val="24"/>
          <w:szCs w:val="24"/>
          <w:shd w:val="clear" w:color="auto" w:fill="FFFFFF"/>
        </w:rPr>
        <w:t>1</w:t>
      </w:r>
      <w:r w:rsidRPr="00BB51F3">
        <w:rPr>
          <w:rFonts w:cstheme="minorHAnsi"/>
          <w:color w:val="222222"/>
          <w:sz w:val="24"/>
          <w:szCs w:val="24"/>
          <w:shd w:val="clear" w:color="auto" w:fill="FFFFFF"/>
        </w:rPr>
        <w:t>, pp.1-24.</w:t>
      </w:r>
    </w:p>
    <w:p w14:paraId="7BD39E81"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Goodell, J.W. (2020). COVID-19 and finance: Agendas for future research. </w:t>
      </w:r>
      <w:r w:rsidRPr="00BB51F3">
        <w:rPr>
          <w:rFonts w:cstheme="minorHAnsi"/>
          <w:i/>
          <w:iCs/>
          <w:color w:val="222222"/>
          <w:sz w:val="24"/>
          <w:szCs w:val="24"/>
          <w:shd w:val="clear" w:color="auto" w:fill="FFFFFF"/>
        </w:rPr>
        <w:t>Finance Research Letters</w:t>
      </w:r>
      <w:r w:rsidRPr="00BB51F3">
        <w:rPr>
          <w:rFonts w:cstheme="minorHAnsi"/>
          <w:color w:val="222222"/>
          <w:sz w:val="24"/>
          <w:szCs w:val="24"/>
          <w:shd w:val="clear" w:color="auto" w:fill="FFFFFF"/>
        </w:rPr>
        <w:t>, </w:t>
      </w:r>
      <w:r w:rsidRPr="00BB51F3">
        <w:rPr>
          <w:rFonts w:cstheme="minorHAnsi"/>
          <w:i/>
          <w:iCs/>
          <w:color w:val="222222"/>
          <w:sz w:val="24"/>
          <w:szCs w:val="24"/>
          <w:shd w:val="clear" w:color="auto" w:fill="FFFFFF"/>
        </w:rPr>
        <w:t>35</w:t>
      </w:r>
      <w:r w:rsidRPr="00BB51F3">
        <w:rPr>
          <w:rFonts w:cstheme="minorHAnsi"/>
          <w:color w:val="222222"/>
          <w:sz w:val="24"/>
          <w:szCs w:val="24"/>
          <w:shd w:val="clear" w:color="auto" w:fill="FFFFFF"/>
        </w:rPr>
        <w:t>, p.101512.</w:t>
      </w:r>
    </w:p>
    <w:p w14:paraId="0074AE1B"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Laeven, M.L. and Valencia, M.F. (2018). </w:t>
      </w:r>
      <w:r w:rsidRPr="00BB51F3">
        <w:rPr>
          <w:rFonts w:cstheme="minorHAnsi"/>
          <w:i/>
          <w:iCs/>
          <w:color w:val="222222"/>
          <w:sz w:val="24"/>
          <w:szCs w:val="24"/>
          <w:shd w:val="clear" w:color="auto" w:fill="FFFFFF"/>
        </w:rPr>
        <w:t>Systemic banking crises revisited</w:t>
      </w:r>
      <w:r w:rsidRPr="00BB51F3">
        <w:rPr>
          <w:rFonts w:cstheme="minorHAnsi"/>
          <w:color w:val="222222"/>
          <w:sz w:val="24"/>
          <w:szCs w:val="24"/>
          <w:shd w:val="clear" w:color="auto" w:fill="FFFFFF"/>
        </w:rPr>
        <w:t>. International Monet</w:t>
      </w:r>
      <w:r w:rsidRPr="00BB51F3">
        <w:rPr>
          <w:rFonts w:cstheme="minorHAnsi"/>
          <w:color w:val="222222"/>
          <w:sz w:val="24"/>
          <w:szCs w:val="24"/>
          <w:shd w:val="clear" w:color="auto" w:fill="FFFFFF"/>
        </w:rPr>
        <w:t>ary Fund.</w:t>
      </w:r>
    </w:p>
    <w:p w14:paraId="17480360"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Leo, M., Sharma, S. and Maddulety, K. (2019). Machine learning in banking risk management: A literature review. </w:t>
      </w:r>
      <w:r w:rsidRPr="00BB51F3">
        <w:rPr>
          <w:rFonts w:cstheme="minorHAnsi"/>
          <w:i/>
          <w:iCs/>
          <w:color w:val="222222"/>
          <w:sz w:val="24"/>
          <w:szCs w:val="24"/>
          <w:shd w:val="clear" w:color="auto" w:fill="FFFFFF"/>
        </w:rPr>
        <w:t>Risks</w:t>
      </w:r>
      <w:r w:rsidRPr="00BB51F3">
        <w:rPr>
          <w:rFonts w:cstheme="minorHAnsi"/>
          <w:color w:val="222222"/>
          <w:sz w:val="24"/>
          <w:szCs w:val="24"/>
          <w:shd w:val="clear" w:color="auto" w:fill="FFFFFF"/>
        </w:rPr>
        <w:t>, </w:t>
      </w:r>
      <w:r w:rsidRPr="00BB51F3">
        <w:rPr>
          <w:rFonts w:cstheme="minorHAnsi"/>
          <w:i/>
          <w:iCs/>
          <w:color w:val="222222"/>
          <w:sz w:val="24"/>
          <w:szCs w:val="24"/>
          <w:shd w:val="clear" w:color="auto" w:fill="FFFFFF"/>
        </w:rPr>
        <w:t>7</w:t>
      </w:r>
      <w:r w:rsidRPr="00BB51F3">
        <w:rPr>
          <w:rFonts w:cstheme="minorHAnsi"/>
          <w:color w:val="222222"/>
          <w:sz w:val="24"/>
          <w:szCs w:val="24"/>
          <w:shd w:val="clear" w:color="auto" w:fill="FFFFFF"/>
        </w:rPr>
        <w:t>(1), p.29.</w:t>
      </w:r>
    </w:p>
    <w:p w14:paraId="40B62AE1"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Martin, J.D., Keown, A.J. and Titman, S., (2020). </w:t>
      </w:r>
      <w:r w:rsidRPr="00BB51F3">
        <w:rPr>
          <w:rFonts w:cstheme="minorHAnsi"/>
          <w:i/>
          <w:iCs/>
          <w:color w:val="222222"/>
          <w:sz w:val="24"/>
          <w:szCs w:val="24"/>
          <w:shd w:val="clear" w:color="auto" w:fill="FFFFFF"/>
        </w:rPr>
        <w:t>Financial management: principles and applications</w:t>
      </w:r>
      <w:r w:rsidRPr="00BB51F3">
        <w:rPr>
          <w:rFonts w:cstheme="minorHAnsi"/>
          <w:color w:val="222222"/>
          <w:sz w:val="24"/>
          <w:szCs w:val="24"/>
          <w:shd w:val="clear" w:color="auto" w:fill="FFFFFF"/>
        </w:rPr>
        <w:t>. Prentice Hall.</w:t>
      </w:r>
    </w:p>
    <w:p w14:paraId="2797D723" w14:textId="54442E5C" w:rsidR="004352B6" w:rsidRPr="00BB51F3" w:rsidRDefault="00B72C39" w:rsidP="00BB51F3">
      <w:pPr>
        <w:spacing w:line="360" w:lineRule="auto"/>
        <w:jc w:val="both"/>
        <w:rPr>
          <w:rFonts w:cstheme="minorHAnsi"/>
          <w:color w:val="222222"/>
          <w:sz w:val="24"/>
          <w:szCs w:val="24"/>
          <w:shd w:val="clear" w:color="auto" w:fill="FFFFFF"/>
        </w:rPr>
      </w:pPr>
      <w:r w:rsidRPr="00BB51F3">
        <w:rPr>
          <w:rFonts w:cstheme="minorHAnsi"/>
          <w:color w:val="222222"/>
          <w:sz w:val="24"/>
          <w:szCs w:val="24"/>
          <w:shd w:val="clear" w:color="auto" w:fill="FFFFFF"/>
        </w:rPr>
        <w:t>Milanovic, B. (2022). After the financial crisis: The evolution of the global income distribution between 2008 and 2013. </w:t>
      </w:r>
      <w:r w:rsidRPr="00BB51F3">
        <w:rPr>
          <w:rFonts w:cstheme="minorHAnsi"/>
          <w:i/>
          <w:iCs/>
          <w:color w:val="222222"/>
          <w:sz w:val="24"/>
          <w:szCs w:val="24"/>
          <w:shd w:val="clear" w:color="auto" w:fill="FFFFFF"/>
        </w:rPr>
        <w:t>Review of Income and Wealth</w:t>
      </w:r>
      <w:r w:rsidRPr="00BB51F3">
        <w:rPr>
          <w:rFonts w:cstheme="minorHAnsi"/>
          <w:color w:val="222222"/>
          <w:sz w:val="24"/>
          <w:szCs w:val="24"/>
          <w:shd w:val="clear" w:color="auto" w:fill="FFFFFF"/>
        </w:rPr>
        <w:t>, </w:t>
      </w:r>
      <w:r w:rsidRPr="00BB51F3">
        <w:rPr>
          <w:rFonts w:cstheme="minorHAnsi"/>
          <w:i/>
          <w:iCs/>
          <w:color w:val="222222"/>
          <w:sz w:val="24"/>
          <w:szCs w:val="24"/>
          <w:shd w:val="clear" w:color="auto" w:fill="FFFFFF"/>
        </w:rPr>
        <w:t>68</w:t>
      </w:r>
      <w:r w:rsidRPr="00BB51F3">
        <w:rPr>
          <w:rFonts w:cstheme="minorHAnsi"/>
          <w:color w:val="222222"/>
          <w:sz w:val="24"/>
          <w:szCs w:val="24"/>
          <w:shd w:val="clear" w:color="auto" w:fill="FFFFFF"/>
        </w:rPr>
        <w:t>(1), pp.43-73.</w:t>
      </w:r>
    </w:p>
    <w:p w14:paraId="56B3676C" w14:textId="238546D1"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lastRenderedPageBreak/>
        <w:t xml:space="preserve">M.R.D. and Asandimitra, N. (2018). Analysis factors influencing financial </w:t>
      </w:r>
      <w:r w:rsidRPr="00BB51F3">
        <w:rPr>
          <w:rFonts w:cstheme="minorHAnsi"/>
          <w:color w:val="222222"/>
          <w:sz w:val="24"/>
          <w:szCs w:val="24"/>
          <w:shd w:val="clear" w:color="auto" w:fill="FFFFFF"/>
        </w:rPr>
        <w:t>management behaviour. </w:t>
      </w:r>
      <w:r w:rsidRPr="00BB51F3">
        <w:rPr>
          <w:rFonts w:cstheme="minorHAnsi"/>
          <w:i/>
          <w:iCs/>
          <w:color w:val="222222"/>
          <w:sz w:val="24"/>
          <w:szCs w:val="24"/>
          <w:shd w:val="clear" w:color="auto" w:fill="FFFFFF"/>
        </w:rPr>
        <w:t>International Journal of Academic Research in Business and Social Sciences</w:t>
      </w:r>
      <w:r w:rsidRPr="00BB51F3">
        <w:rPr>
          <w:rFonts w:cstheme="minorHAnsi"/>
          <w:color w:val="222222"/>
          <w:sz w:val="24"/>
          <w:szCs w:val="24"/>
          <w:shd w:val="clear" w:color="auto" w:fill="FFFFFF"/>
        </w:rPr>
        <w:t>, </w:t>
      </w:r>
      <w:r w:rsidRPr="00BB51F3">
        <w:rPr>
          <w:rFonts w:cstheme="minorHAnsi"/>
          <w:i/>
          <w:iCs/>
          <w:color w:val="222222"/>
          <w:sz w:val="24"/>
          <w:szCs w:val="24"/>
          <w:shd w:val="clear" w:color="auto" w:fill="FFFFFF"/>
        </w:rPr>
        <w:t>8</w:t>
      </w:r>
      <w:r w:rsidRPr="00BB51F3">
        <w:rPr>
          <w:rFonts w:cstheme="minorHAnsi"/>
          <w:color w:val="222222"/>
          <w:sz w:val="24"/>
          <w:szCs w:val="24"/>
          <w:shd w:val="clear" w:color="auto" w:fill="FFFFFF"/>
        </w:rPr>
        <w:t>(8), pp.308-326.</w:t>
      </w:r>
    </w:p>
    <w:p w14:paraId="07253056"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Notteboom, T., Pallis, T. and Rodrigue, J.P. (2021). Disruptions and resilience in global container shipping and ports: the COVID-19 pandemi</w:t>
      </w:r>
      <w:r w:rsidRPr="00BB51F3">
        <w:rPr>
          <w:rFonts w:cstheme="minorHAnsi"/>
          <w:color w:val="222222"/>
          <w:sz w:val="24"/>
          <w:szCs w:val="24"/>
          <w:shd w:val="clear" w:color="auto" w:fill="FFFFFF"/>
        </w:rPr>
        <w:t>c versus the 2008–2009 financial crisis. </w:t>
      </w:r>
      <w:r w:rsidRPr="00BB51F3">
        <w:rPr>
          <w:rFonts w:cstheme="minorHAnsi"/>
          <w:i/>
          <w:iCs/>
          <w:color w:val="222222"/>
          <w:sz w:val="24"/>
          <w:szCs w:val="24"/>
          <w:shd w:val="clear" w:color="auto" w:fill="FFFFFF"/>
        </w:rPr>
        <w:t>Maritime Economics &amp; Logistics</w:t>
      </w:r>
      <w:r w:rsidRPr="00BB51F3">
        <w:rPr>
          <w:rFonts w:cstheme="minorHAnsi"/>
          <w:color w:val="222222"/>
          <w:sz w:val="24"/>
          <w:szCs w:val="24"/>
          <w:shd w:val="clear" w:color="auto" w:fill="FFFFFF"/>
        </w:rPr>
        <w:t>, </w:t>
      </w:r>
      <w:r w:rsidRPr="00BB51F3">
        <w:rPr>
          <w:rFonts w:cstheme="minorHAnsi"/>
          <w:i/>
          <w:iCs/>
          <w:color w:val="222222"/>
          <w:sz w:val="24"/>
          <w:szCs w:val="24"/>
          <w:shd w:val="clear" w:color="auto" w:fill="FFFFFF"/>
        </w:rPr>
        <w:t>23</w:t>
      </w:r>
      <w:r w:rsidRPr="00BB51F3">
        <w:rPr>
          <w:rFonts w:cstheme="minorHAnsi"/>
          <w:color w:val="222222"/>
          <w:sz w:val="24"/>
          <w:szCs w:val="24"/>
          <w:shd w:val="clear" w:color="auto" w:fill="FFFFFF"/>
        </w:rPr>
        <w:t>(2), pp.179-210.</w:t>
      </w:r>
    </w:p>
    <w:p w14:paraId="38BC05D2"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Prihartono Al Ahbabi, A.R. and Nobanee, H. (2019). Conceptual building of sustainable financial management &amp; sustainable financial growth. </w:t>
      </w:r>
      <w:r w:rsidRPr="00BB51F3">
        <w:rPr>
          <w:rFonts w:cstheme="minorHAnsi"/>
          <w:i/>
          <w:iCs/>
          <w:color w:val="222222"/>
          <w:sz w:val="24"/>
          <w:szCs w:val="24"/>
          <w:shd w:val="clear" w:color="auto" w:fill="FFFFFF"/>
        </w:rPr>
        <w:t>Available at SSRN 3472313</w:t>
      </w:r>
      <w:r w:rsidRPr="00BB51F3">
        <w:rPr>
          <w:rFonts w:cstheme="minorHAnsi"/>
          <w:color w:val="222222"/>
          <w:sz w:val="24"/>
          <w:szCs w:val="24"/>
          <w:shd w:val="clear" w:color="auto" w:fill="FFFFFF"/>
        </w:rPr>
        <w:t>.</w:t>
      </w:r>
    </w:p>
    <w:p w14:paraId="20381412" w14:textId="77777777" w:rsidR="004352B6" w:rsidRPr="00BB51F3" w:rsidRDefault="00B72C39" w:rsidP="00BB51F3">
      <w:pPr>
        <w:spacing w:line="360" w:lineRule="auto"/>
        <w:jc w:val="both"/>
        <w:rPr>
          <w:rFonts w:cstheme="minorHAnsi"/>
          <w:sz w:val="24"/>
          <w:szCs w:val="24"/>
        </w:rPr>
      </w:pPr>
      <w:r w:rsidRPr="00BB51F3">
        <w:rPr>
          <w:rFonts w:cstheme="minorHAnsi"/>
          <w:color w:val="222222"/>
          <w:sz w:val="24"/>
          <w:szCs w:val="24"/>
          <w:shd w:val="clear" w:color="auto" w:fill="FFFFFF"/>
        </w:rPr>
        <w:t>Risk, C.R.I.I. (2020). A fundamental reshaping of finance.</w:t>
      </w:r>
    </w:p>
    <w:p w14:paraId="55EC6DB4" w14:textId="17D5C9D0" w:rsidR="0066583F" w:rsidRPr="00BB51F3" w:rsidRDefault="0066583F" w:rsidP="00BB51F3">
      <w:pPr>
        <w:spacing w:line="360" w:lineRule="auto"/>
        <w:jc w:val="both"/>
        <w:rPr>
          <w:rFonts w:cstheme="minorHAnsi"/>
          <w:sz w:val="24"/>
          <w:szCs w:val="24"/>
        </w:rPr>
      </w:pPr>
    </w:p>
    <w:sectPr w:rsidR="0066583F" w:rsidRPr="00BB51F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E0348" w14:textId="77777777" w:rsidR="00B72C39" w:rsidRDefault="00B72C39">
      <w:pPr>
        <w:spacing w:after="0" w:line="240" w:lineRule="auto"/>
      </w:pPr>
      <w:r>
        <w:separator/>
      </w:r>
    </w:p>
  </w:endnote>
  <w:endnote w:type="continuationSeparator" w:id="0">
    <w:p w14:paraId="4CEC4962" w14:textId="77777777" w:rsidR="00B72C39" w:rsidRDefault="00B72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3290978"/>
      <w:docPartObj>
        <w:docPartGallery w:val="Page Numbers (Bottom of Page)"/>
        <w:docPartUnique/>
      </w:docPartObj>
    </w:sdtPr>
    <w:sdtEndPr>
      <w:rPr>
        <w:noProof/>
      </w:rPr>
    </w:sdtEndPr>
    <w:sdtContent>
      <w:p w14:paraId="1D01ADC4" w14:textId="5244346B" w:rsidR="002D6106" w:rsidRDefault="00B72C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FE9533" w14:textId="77777777" w:rsidR="002D6106" w:rsidRDefault="002D6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30CA2" w14:textId="77777777" w:rsidR="00B72C39" w:rsidRDefault="00B72C39">
      <w:pPr>
        <w:spacing w:after="0" w:line="240" w:lineRule="auto"/>
      </w:pPr>
      <w:r>
        <w:separator/>
      </w:r>
    </w:p>
  </w:footnote>
  <w:footnote w:type="continuationSeparator" w:id="0">
    <w:p w14:paraId="266A59A1" w14:textId="77777777" w:rsidR="00B72C39" w:rsidRDefault="00B72C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43B52"/>
    <w:multiLevelType w:val="hybridMultilevel"/>
    <w:tmpl w:val="DD523764"/>
    <w:lvl w:ilvl="0" w:tplc="1304CA66">
      <w:start w:val="1"/>
      <w:numFmt w:val="decimal"/>
      <w:lvlText w:val="%1."/>
      <w:lvlJc w:val="left"/>
      <w:pPr>
        <w:ind w:left="720" w:hanging="360"/>
      </w:pPr>
    </w:lvl>
    <w:lvl w:ilvl="1" w:tplc="31FE3AFA" w:tentative="1">
      <w:start w:val="1"/>
      <w:numFmt w:val="lowerLetter"/>
      <w:lvlText w:val="%2."/>
      <w:lvlJc w:val="left"/>
      <w:pPr>
        <w:ind w:left="1440" w:hanging="360"/>
      </w:pPr>
    </w:lvl>
    <w:lvl w:ilvl="2" w:tplc="1CC6557A" w:tentative="1">
      <w:start w:val="1"/>
      <w:numFmt w:val="lowerRoman"/>
      <w:lvlText w:val="%3."/>
      <w:lvlJc w:val="right"/>
      <w:pPr>
        <w:ind w:left="2160" w:hanging="180"/>
      </w:pPr>
    </w:lvl>
    <w:lvl w:ilvl="3" w:tplc="98DE19CE" w:tentative="1">
      <w:start w:val="1"/>
      <w:numFmt w:val="decimal"/>
      <w:lvlText w:val="%4."/>
      <w:lvlJc w:val="left"/>
      <w:pPr>
        <w:ind w:left="2880" w:hanging="360"/>
      </w:pPr>
    </w:lvl>
    <w:lvl w:ilvl="4" w:tplc="70F87C6A" w:tentative="1">
      <w:start w:val="1"/>
      <w:numFmt w:val="lowerLetter"/>
      <w:lvlText w:val="%5."/>
      <w:lvlJc w:val="left"/>
      <w:pPr>
        <w:ind w:left="3600" w:hanging="360"/>
      </w:pPr>
    </w:lvl>
    <w:lvl w:ilvl="5" w:tplc="7576B70C" w:tentative="1">
      <w:start w:val="1"/>
      <w:numFmt w:val="lowerRoman"/>
      <w:lvlText w:val="%6."/>
      <w:lvlJc w:val="right"/>
      <w:pPr>
        <w:ind w:left="4320" w:hanging="180"/>
      </w:pPr>
    </w:lvl>
    <w:lvl w:ilvl="6" w:tplc="BDC6EDBC" w:tentative="1">
      <w:start w:val="1"/>
      <w:numFmt w:val="decimal"/>
      <w:lvlText w:val="%7."/>
      <w:lvlJc w:val="left"/>
      <w:pPr>
        <w:ind w:left="5040" w:hanging="360"/>
      </w:pPr>
    </w:lvl>
    <w:lvl w:ilvl="7" w:tplc="D19E52CC" w:tentative="1">
      <w:start w:val="1"/>
      <w:numFmt w:val="lowerLetter"/>
      <w:lvlText w:val="%8."/>
      <w:lvlJc w:val="left"/>
      <w:pPr>
        <w:ind w:left="5760" w:hanging="360"/>
      </w:pPr>
    </w:lvl>
    <w:lvl w:ilvl="8" w:tplc="B672E7EC" w:tentative="1">
      <w:start w:val="1"/>
      <w:numFmt w:val="lowerRoman"/>
      <w:lvlText w:val="%9."/>
      <w:lvlJc w:val="right"/>
      <w:pPr>
        <w:ind w:left="6480" w:hanging="180"/>
      </w:pPr>
    </w:lvl>
  </w:abstractNum>
  <w:abstractNum w:abstractNumId="1" w15:restartNumberingAfterBreak="0">
    <w:nsid w:val="1C645A39"/>
    <w:multiLevelType w:val="hybridMultilevel"/>
    <w:tmpl w:val="19D2DE4C"/>
    <w:lvl w:ilvl="0" w:tplc="0F069930">
      <w:start w:val="1"/>
      <w:numFmt w:val="decimal"/>
      <w:lvlText w:val="%1."/>
      <w:lvlJc w:val="left"/>
      <w:pPr>
        <w:ind w:left="720" w:hanging="360"/>
      </w:pPr>
    </w:lvl>
    <w:lvl w:ilvl="1" w:tplc="4F804286" w:tentative="1">
      <w:start w:val="1"/>
      <w:numFmt w:val="lowerLetter"/>
      <w:lvlText w:val="%2."/>
      <w:lvlJc w:val="left"/>
      <w:pPr>
        <w:ind w:left="1440" w:hanging="360"/>
      </w:pPr>
    </w:lvl>
    <w:lvl w:ilvl="2" w:tplc="826257FE" w:tentative="1">
      <w:start w:val="1"/>
      <w:numFmt w:val="lowerRoman"/>
      <w:lvlText w:val="%3."/>
      <w:lvlJc w:val="right"/>
      <w:pPr>
        <w:ind w:left="2160" w:hanging="180"/>
      </w:pPr>
    </w:lvl>
    <w:lvl w:ilvl="3" w:tplc="3790FF28" w:tentative="1">
      <w:start w:val="1"/>
      <w:numFmt w:val="decimal"/>
      <w:lvlText w:val="%4."/>
      <w:lvlJc w:val="left"/>
      <w:pPr>
        <w:ind w:left="2880" w:hanging="360"/>
      </w:pPr>
    </w:lvl>
    <w:lvl w:ilvl="4" w:tplc="2E98D5DA" w:tentative="1">
      <w:start w:val="1"/>
      <w:numFmt w:val="lowerLetter"/>
      <w:lvlText w:val="%5."/>
      <w:lvlJc w:val="left"/>
      <w:pPr>
        <w:ind w:left="3600" w:hanging="360"/>
      </w:pPr>
    </w:lvl>
    <w:lvl w:ilvl="5" w:tplc="B7DAC17C" w:tentative="1">
      <w:start w:val="1"/>
      <w:numFmt w:val="lowerRoman"/>
      <w:lvlText w:val="%6."/>
      <w:lvlJc w:val="right"/>
      <w:pPr>
        <w:ind w:left="4320" w:hanging="180"/>
      </w:pPr>
    </w:lvl>
    <w:lvl w:ilvl="6" w:tplc="4124600A" w:tentative="1">
      <w:start w:val="1"/>
      <w:numFmt w:val="decimal"/>
      <w:lvlText w:val="%7."/>
      <w:lvlJc w:val="left"/>
      <w:pPr>
        <w:ind w:left="5040" w:hanging="360"/>
      </w:pPr>
    </w:lvl>
    <w:lvl w:ilvl="7" w:tplc="BE4626AE" w:tentative="1">
      <w:start w:val="1"/>
      <w:numFmt w:val="lowerLetter"/>
      <w:lvlText w:val="%8."/>
      <w:lvlJc w:val="left"/>
      <w:pPr>
        <w:ind w:left="5760" w:hanging="360"/>
      </w:pPr>
    </w:lvl>
    <w:lvl w:ilvl="8" w:tplc="319C94EC" w:tentative="1">
      <w:start w:val="1"/>
      <w:numFmt w:val="lowerRoman"/>
      <w:lvlText w:val="%9."/>
      <w:lvlJc w:val="right"/>
      <w:pPr>
        <w:ind w:left="6480" w:hanging="180"/>
      </w:pPr>
    </w:lvl>
  </w:abstractNum>
  <w:num w:numId="1" w16cid:durableId="245652218">
    <w:abstractNumId w:val="0"/>
  </w:num>
  <w:num w:numId="2" w16cid:durableId="5006593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628"/>
    <w:rsid w:val="00047A5C"/>
    <w:rsid w:val="0009009B"/>
    <w:rsid w:val="000919E2"/>
    <w:rsid w:val="000C2E3F"/>
    <w:rsid w:val="000C596B"/>
    <w:rsid w:val="000C7429"/>
    <w:rsid w:val="000C7B94"/>
    <w:rsid w:val="000E5F46"/>
    <w:rsid w:val="00103754"/>
    <w:rsid w:val="00114714"/>
    <w:rsid w:val="00165F3D"/>
    <w:rsid w:val="00187C50"/>
    <w:rsid w:val="001963C8"/>
    <w:rsid w:val="001A7B3D"/>
    <w:rsid w:val="001C3915"/>
    <w:rsid w:val="001E1D6E"/>
    <w:rsid w:val="002047AA"/>
    <w:rsid w:val="00236421"/>
    <w:rsid w:val="00284976"/>
    <w:rsid w:val="002A339A"/>
    <w:rsid w:val="002B4216"/>
    <w:rsid w:val="002B7E42"/>
    <w:rsid w:val="002D6106"/>
    <w:rsid w:val="002D64B9"/>
    <w:rsid w:val="002E2026"/>
    <w:rsid w:val="002F7918"/>
    <w:rsid w:val="00304232"/>
    <w:rsid w:val="00313877"/>
    <w:rsid w:val="003146D9"/>
    <w:rsid w:val="00382670"/>
    <w:rsid w:val="0038504A"/>
    <w:rsid w:val="00391848"/>
    <w:rsid w:val="003B40EE"/>
    <w:rsid w:val="003B5054"/>
    <w:rsid w:val="003D140F"/>
    <w:rsid w:val="00417018"/>
    <w:rsid w:val="00420B95"/>
    <w:rsid w:val="004272EB"/>
    <w:rsid w:val="004352B6"/>
    <w:rsid w:val="00442E7E"/>
    <w:rsid w:val="004441CA"/>
    <w:rsid w:val="004569F6"/>
    <w:rsid w:val="00475A62"/>
    <w:rsid w:val="0048520F"/>
    <w:rsid w:val="004A32A2"/>
    <w:rsid w:val="00513486"/>
    <w:rsid w:val="005374BB"/>
    <w:rsid w:val="00555589"/>
    <w:rsid w:val="005C1B5D"/>
    <w:rsid w:val="0062328F"/>
    <w:rsid w:val="00634D5C"/>
    <w:rsid w:val="00647D67"/>
    <w:rsid w:val="0065045D"/>
    <w:rsid w:val="00660229"/>
    <w:rsid w:val="0066583F"/>
    <w:rsid w:val="00667687"/>
    <w:rsid w:val="00672895"/>
    <w:rsid w:val="00683024"/>
    <w:rsid w:val="006B68A1"/>
    <w:rsid w:val="006C7351"/>
    <w:rsid w:val="006D236B"/>
    <w:rsid w:val="00767453"/>
    <w:rsid w:val="007A57F5"/>
    <w:rsid w:val="007B4D7D"/>
    <w:rsid w:val="007B6BFD"/>
    <w:rsid w:val="007B6E84"/>
    <w:rsid w:val="007C63D1"/>
    <w:rsid w:val="007E0256"/>
    <w:rsid w:val="007E3BCF"/>
    <w:rsid w:val="007F186F"/>
    <w:rsid w:val="00822E2F"/>
    <w:rsid w:val="008321B2"/>
    <w:rsid w:val="0085011A"/>
    <w:rsid w:val="00884293"/>
    <w:rsid w:val="00887940"/>
    <w:rsid w:val="00890A97"/>
    <w:rsid w:val="008A1262"/>
    <w:rsid w:val="008B7590"/>
    <w:rsid w:val="008D0041"/>
    <w:rsid w:val="008E0DC8"/>
    <w:rsid w:val="00912A20"/>
    <w:rsid w:val="00923281"/>
    <w:rsid w:val="00951628"/>
    <w:rsid w:val="00956085"/>
    <w:rsid w:val="0096736B"/>
    <w:rsid w:val="00970FCE"/>
    <w:rsid w:val="0098070A"/>
    <w:rsid w:val="009928E0"/>
    <w:rsid w:val="009B18E9"/>
    <w:rsid w:val="009B54B1"/>
    <w:rsid w:val="009C0FA3"/>
    <w:rsid w:val="009F49DD"/>
    <w:rsid w:val="00A23745"/>
    <w:rsid w:val="00A933E9"/>
    <w:rsid w:val="00A95D08"/>
    <w:rsid w:val="00AA3BF1"/>
    <w:rsid w:val="00AB3602"/>
    <w:rsid w:val="00AD2F55"/>
    <w:rsid w:val="00AE4E81"/>
    <w:rsid w:val="00B06E78"/>
    <w:rsid w:val="00B21446"/>
    <w:rsid w:val="00B54014"/>
    <w:rsid w:val="00B72C39"/>
    <w:rsid w:val="00BB3E93"/>
    <w:rsid w:val="00BB4839"/>
    <w:rsid w:val="00BB51F3"/>
    <w:rsid w:val="00BC2037"/>
    <w:rsid w:val="00BD361D"/>
    <w:rsid w:val="00BE58E8"/>
    <w:rsid w:val="00BF78C2"/>
    <w:rsid w:val="00C03C1E"/>
    <w:rsid w:val="00C24E6C"/>
    <w:rsid w:val="00C31C23"/>
    <w:rsid w:val="00C458DA"/>
    <w:rsid w:val="00C95817"/>
    <w:rsid w:val="00CA2897"/>
    <w:rsid w:val="00CA6203"/>
    <w:rsid w:val="00CB7242"/>
    <w:rsid w:val="00CF0645"/>
    <w:rsid w:val="00D3239A"/>
    <w:rsid w:val="00D33169"/>
    <w:rsid w:val="00D33EDD"/>
    <w:rsid w:val="00D475C4"/>
    <w:rsid w:val="00D6076D"/>
    <w:rsid w:val="00D63FC6"/>
    <w:rsid w:val="00D929DF"/>
    <w:rsid w:val="00DA5A11"/>
    <w:rsid w:val="00DD20D1"/>
    <w:rsid w:val="00DD661D"/>
    <w:rsid w:val="00E03E17"/>
    <w:rsid w:val="00E36E7D"/>
    <w:rsid w:val="00E410B9"/>
    <w:rsid w:val="00E5472D"/>
    <w:rsid w:val="00E57A58"/>
    <w:rsid w:val="00E61ED7"/>
    <w:rsid w:val="00E65CA7"/>
    <w:rsid w:val="00E83E9A"/>
    <w:rsid w:val="00E93965"/>
    <w:rsid w:val="00EF5164"/>
    <w:rsid w:val="00F04298"/>
    <w:rsid w:val="00F23146"/>
    <w:rsid w:val="00F265A3"/>
    <w:rsid w:val="00F633DE"/>
    <w:rsid w:val="00F9223E"/>
    <w:rsid w:val="00FA3343"/>
    <w:rsid w:val="00FB0DC6"/>
    <w:rsid w:val="00FB6FF6"/>
    <w:rsid w:val="00FC0B3B"/>
    <w:rsid w:val="00FD2C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3217A"/>
  <w15:chartTrackingRefBased/>
  <w15:docId w15:val="{8D54C756-B4EC-48B3-AE65-294DE804A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842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42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D6106"/>
    <w:pPr>
      <w:spacing w:after="0" w:line="240" w:lineRule="auto"/>
      <w:contextualSpacing/>
    </w:pPr>
    <w:rPr>
      <w:rFonts w:asciiTheme="majorHAnsi" w:eastAsiaTheme="majorEastAsia" w:hAnsiTheme="majorHAnsi" w:cstheme="majorBidi"/>
      <w:color w:val="44546A" w:themeColor="text2"/>
      <w:spacing w:val="-10"/>
      <w:kern w:val="28"/>
      <w:sz w:val="56"/>
      <w:szCs w:val="56"/>
      <w:u w:val="single"/>
    </w:rPr>
  </w:style>
  <w:style w:type="character" w:customStyle="1" w:styleId="TitleChar">
    <w:name w:val="Title Char"/>
    <w:basedOn w:val="DefaultParagraphFont"/>
    <w:link w:val="Title"/>
    <w:uiPriority w:val="10"/>
    <w:rsid w:val="002D6106"/>
    <w:rPr>
      <w:rFonts w:asciiTheme="majorHAnsi" w:eastAsiaTheme="majorEastAsia" w:hAnsiTheme="majorHAnsi" w:cstheme="majorBidi"/>
      <w:color w:val="44546A" w:themeColor="text2"/>
      <w:spacing w:val="-10"/>
      <w:kern w:val="28"/>
      <w:sz w:val="56"/>
      <w:szCs w:val="56"/>
      <w:u w:val="single"/>
    </w:rPr>
  </w:style>
  <w:style w:type="paragraph" w:styleId="Header">
    <w:name w:val="header"/>
    <w:basedOn w:val="Normal"/>
    <w:link w:val="HeaderChar"/>
    <w:uiPriority w:val="99"/>
    <w:unhideWhenUsed/>
    <w:rsid w:val="002D61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106"/>
  </w:style>
  <w:style w:type="paragraph" w:styleId="Footer">
    <w:name w:val="footer"/>
    <w:basedOn w:val="Normal"/>
    <w:link w:val="FooterChar"/>
    <w:uiPriority w:val="99"/>
    <w:unhideWhenUsed/>
    <w:rsid w:val="002D61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106"/>
  </w:style>
  <w:style w:type="character" w:customStyle="1" w:styleId="Heading1Char">
    <w:name w:val="Heading 1 Char"/>
    <w:basedOn w:val="DefaultParagraphFont"/>
    <w:link w:val="Heading1"/>
    <w:uiPriority w:val="9"/>
    <w:rsid w:val="008842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8429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84293"/>
    <w:pPr>
      <w:outlineLvl w:val="9"/>
    </w:pPr>
    <w:rPr>
      <w:lang w:val="en-US"/>
    </w:rPr>
  </w:style>
  <w:style w:type="paragraph" w:styleId="TOC1">
    <w:name w:val="toc 1"/>
    <w:basedOn w:val="Normal"/>
    <w:next w:val="Normal"/>
    <w:autoRedefine/>
    <w:uiPriority w:val="39"/>
    <w:unhideWhenUsed/>
    <w:rsid w:val="00884293"/>
    <w:pPr>
      <w:spacing w:after="100"/>
    </w:pPr>
  </w:style>
  <w:style w:type="paragraph" w:styleId="TOC2">
    <w:name w:val="toc 2"/>
    <w:basedOn w:val="Normal"/>
    <w:next w:val="Normal"/>
    <w:autoRedefine/>
    <w:uiPriority w:val="39"/>
    <w:unhideWhenUsed/>
    <w:rsid w:val="00884293"/>
    <w:pPr>
      <w:spacing w:after="100"/>
      <w:ind w:left="220"/>
    </w:pPr>
  </w:style>
  <w:style w:type="character" w:styleId="Hyperlink">
    <w:name w:val="Hyperlink"/>
    <w:basedOn w:val="DefaultParagraphFont"/>
    <w:uiPriority w:val="99"/>
    <w:unhideWhenUsed/>
    <w:rsid w:val="00884293"/>
    <w:rPr>
      <w:color w:val="0563C1" w:themeColor="hyperlink"/>
      <w:u w:val="single"/>
    </w:rPr>
  </w:style>
  <w:style w:type="paragraph" w:styleId="ListParagraph">
    <w:name w:val="List Paragraph"/>
    <w:basedOn w:val="Normal"/>
    <w:uiPriority w:val="34"/>
    <w:qFormat/>
    <w:rsid w:val="004852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CEB6CC-BA9C-47A6-88F3-BF5E96363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4110</Words>
  <Characters>23427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rupam sharma</dc:creator>
  <cp:lastModifiedBy>patrisiya gospodinova</cp:lastModifiedBy>
  <cp:revision>2</cp:revision>
  <dcterms:created xsi:type="dcterms:W3CDTF">2022-05-06T12:15:00Z</dcterms:created>
  <dcterms:modified xsi:type="dcterms:W3CDTF">2022-05-06T12:15:00Z</dcterms:modified>
</cp:coreProperties>
</file>