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4BF13D3" wp14:paraId="2C078E63" wp14:textId="33BF705F">
      <w:pPr>
        <w:spacing w:line="360" w:lineRule="auto"/>
        <w:jc w:val="center"/>
        <w:rPr>
          <w:b w:val="1"/>
          <w:bCs w:val="1"/>
          <w:sz w:val="44"/>
          <w:szCs w:val="44"/>
          <w:u w:val="single"/>
        </w:rPr>
      </w:pPr>
      <w:r w:rsidRPr="74BF13D3" w:rsidR="2719CC97">
        <w:rPr>
          <w:b w:val="1"/>
          <w:bCs w:val="1"/>
          <w:sz w:val="44"/>
          <w:szCs w:val="44"/>
          <w:u w:val="single"/>
        </w:rPr>
        <w:t>Child Relocation – Part B</w:t>
      </w:r>
    </w:p>
    <w:p w:rsidR="4194FDA2" w:rsidP="74BF13D3" w:rsidRDefault="4194FDA2" w14:paraId="12F46798" w14:textId="5838DAAE">
      <w:pPr>
        <w:spacing w:line="360" w:lineRule="auto"/>
        <w:jc w:val="left"/>
        <w:rPr>
          <w:b w:val="1"/>
          <w:bCs w:val="1"/>
          <w:sz w:val="24"/>
          <w:szCs w:val="24"/>
          <w:u w:val="none"/>
        </w:rPr>
      </w:pPr>
      <w:r w:rsidRPr="74BF13D3" w:rsidR="4194FDA2">
        <w:rPr>
          <w:b w:val="1"/>
          <w:bCs w:val="1"/>
          <w:sz w:val="24"/>
          <w:szCs w:val="24"/>
          <w:u w:val="none"/>
        </w:rPr>
        <w:t>B1 – Explanation of Legal Problem</w:t>
      </w:r>
    </w:p>
    <w:p w:rsidR="3BF88433" w:rsidP="74BF13D3" w:rsidRDefault="3BF88433" w14:paraId="5154EEF0" w14:textId="4A322A7D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4BF13D3" w:rsidR="3BF88433">
        <w:rPr>
          <w:b w:val="0"/>
          <w:bCs w:val="0"/>
          <w:sz w:val="24"/>
          <w:szCs w:val="24"/>
          <w:u w:val="none"/>
        </w:rPr>
        <w:t xml:space="preserve">Child relocation </w:t>
      </w:r>
      <w:r w:rsidRPr="74BF13D3" w:rsidR="3FF19ABF">
        <w:rPr>
          <w:b w:val="0"/>
          <w:bCs w:val="0"/>
          <w:sz w:val="24"/>
          <w:szCs w:val="24"/>
          <w:u w:val="none"/>
        </w:rPr>
        <w:t xml:space="preserve">refers to the situation whereby one parent wishes to move away, usually abroad, with their child </w:t>
      </w:r>
      <w:r w:rsidRPr="74BF13D3" w:rsidR="79365E20">
        <w:rPr>
          <w:b w:val="0"/>
          <w:bCs w:val="0"/>
          <w:sz w:val="24"/>
          <w:szCs w:val="24"/>
          <w:u w:val="none"/>
        </w:rPr>
        <w:t>without the other parent.</w:t>
      </w:r>
      <w:r w:rsidRPr="74BF13D3" w:rsidR="76E34BA7">
        <w:rPr>
          <w:b w:val="0"/>
          <w:bCs w:val="0"/>
          <w:sz w:val="24"/>
          <w:szCs w:val="24"/>
          <w:u w:val="none"/>
        </w:rPr>
        <w:t xml:space="preserve"> Internal relocation does not </w:t>
      </w:r>
      <w:r w:rsidRPr="74BF13D3" w:rsidR="76E34BA7">
        <w:rPr>
          <w:b w:val="0"/>
          <w:bCs w:val="0"/>
          <w:sz w:val="24"/>
          <w:szCs w:val="24"/>
          <w:u w:val="none"/>
        </w:rPr>
        <w:t>generally cause</w:t>
      </w:r>
      <w:r w:rsidRPr="74BF13D3" w:rsidR="76E34BA7">
        <w:rPr>
          <w:b w:val="0"/>
          <w:bCs w:val="0"/>
          <w:sz w:val="24"/>
          <w:szCs w:val="24"/>
          <w:u w:val="none"/>
        </w:rPr>
        <w:t xml:space="preserve"> any issues as it is less complex, especially in te</w:t>
      </w:r>
      <w:r w:rsidRPr="74BF13D3" w:rsidR="239488BC">
        <w:rPr>
          <w:b w:val="0"/>
          <w:bCs w:val="0"/>
          <w:sz w:val="24"/>
          <w:szCs w:val="24"/>
          <w:u w:val="none"/>
        </w:rPr>
        <w:t>rms of contact with the distant parent</w:t>
      </w:r>
      <w:r w:rsidRPr="74BF13D3" w:rsidR="44E38E3E">
        <w:rPr>
          <w:b w:val="0"/>
          <w:bCs w:val="0"/>
          <w:sz w:val="24"/>
          <w:szCs w:val="24"/>
          <w:u w:val="none"/>
        </w:rPr>
        <w:t>; international relocation is significantly more complex</w:t>
      </w:r>
      <w:r w:rsidRPr="74BF13D3" w:rsidR="1DEE1C6C">
        <w:rPr>
          <w:b w:val="0"/>
          <w:bCs w:val="0"/>
          <w:sz w:val="24"/>
          <w:szCs w:val="24"/>
          <w:u w:val="none"/>
        </w:rPr>
        <w:t xml:space="preserve">, with the case of ‘Payne v Payne’ (2001) providing guidance in the matter. In this case, the mother was from </w:t>
      </w:r>
      <w:bookmarkStart w:name="_Int_TAl5VSut" w:id="1022059131"/>
      <w:r w:rsidRPr="74BF13D3" w:rsidR="1DEE1C6C">
        <w:rPr>
          <w:b w:val="0"/>
          <w:bCs w:val="0"/>
          <w:sz w:val="24"/>
          <w:szCs w:val="24"/>
          <w:u w:val="none"/>
        </w:rPr>
        <w:t>New Zealand</w:t>
      </w:r>
      <w:bookmarkEnd w:id="1022059131"/>
      <w:r w:rsidRPr="74BF13D3" w:rsidR="1DEE1C6C">
        <w:rPr>
          <w:b w:val="0"/>
          <w:bCs w:val="0"/>
          <w:sz w:val="24"/>
          <w:szCs w:val="24"/>
          <w:u w:val="none"/>
        </w:rPr>
        <w:t xml:space="preserve"> and the father was from the UK, and when they separated, the mother appl</w:t>
      </w:r>
      <w:r w:rsidRPr="74BF13D3" w:rsidR="68CFF751">
        <w:rPr>
          <w:b w:val="0"/>
          <w:bCs w:val="0"/>
          <w:sz w:val="24"/>
          <w:szCs w:val="24"/>
          <w:u w:val="none"/>
        </w:rPr>
        <w:t xml:space="preserve">ied under section 13, subsection 1b of the </w:t>
      </w:r>
      <w:r w:rsidRPr="74BF13D3" w:rsidR="68CFF751">
        <w:rPr>
          <w:b w:val="0"/>
          <w:bCs w:val="0"/>
          <w:i w:val="1"/>
          <w:iCs w:val="1"/>
          <w:sz w:val="24"/>
          <w:szCs w:val="24"/>
          <w:u w:val="none"/>
        </w:rPr>
        <w:t>Children Act 1989</w:t>
      </w:r>
      <w:r w:rsidRPr="74BF13D3" w:rsidR="68CFF751">
        <w:rPr>
          <w:b w:val="0"/>
          <w:bCs w:val="0"/>
          <w:i w:val="0"/>
          <w:iCs w:val="0"/>
          <w:sz w:val="24"/>
          <w:szCs w:val="24"/>
          <w:u w:val="none"/>
        </w:rPr>
        <w:t xml:space="preserve"> to permanently move her child out of the UK</w:t>
      </w:r>
      <w:r w:rsidRPr="74BF13D3" w:rsidR="5F41E232">
        <w:rPr>
          <w:b w:val="0"/>
          <w:bCs w:val="0"/>
          <w:i w:val="0"/>
          <w:iCs w:val="0"/>
          <w:sz w:val="24"/>
          <w:szCs w:val="24"/>
          <w:u w:val="none"/>
        </w:rPr>
        <w:t xml:space="preserve">, which was allowed despite the father appealing. Section 13, subsection 1b of the </w:t>
      </w:r>
      <w:r w:rsidRPr="74BF13D3" w:rsidR="5F41E232">
        <w:rPr>
          <w:b w:val="0"/>
          <w:bCs w:val="0"/>
          <w:i w:val="1"/>
          <w:iCs w:val="1"/>
          <w:sz w:val="24"/>
          <w:szCs w:val="24"/>
          <w:u w:val="none"/>
        </w:rPr>
        <w:t>Children Act 1989</w:t>
      </w:r>
      <w:r w:rsidRPr="74BF13D3" w:rsidR="3843F819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74BF13D3" w:rsidR="3843F819">
        <w:rPr>
          <w:b w:val="0"/>
          <w:bCs w:val="0"/>
          <w:i w:val="0"/>
          <w:iCs w:val="0"/>
          <w:sz w:val="24"/>
          <w:szCs w:val="24"/>
          <w:u w:val="none"/>
        </w:rPr>
        <w:t xml:space="preserve">states that </w:t>
      </w:r>
      <w:r w:rsidRPr="74BF13D3" w:rsidR="14D4A685">
        <w:rPr>
          <w:b w:val="0"/>
          <w:bCs w:val="0"/>
          <w:i w:val="0"/>
          <w:iCs w:val="0"/>
          <w:sz w:val="24"/>
          <w:szCs w:val="24"/>
          <w:u w:val="none"/>
        </w:rPr>
        <w:t xml:space="preserve">where a child arrangements order is in force </w:t>
      </w:r>
      <w:r w:rsidRPr="74BF13D3" w:rsidR="14D4A685">
        <w:rPr>
          <w:b w:val="0"/>
          <w:bCs w:val="0"/>
          <w:i w:val="0"/>
          <w:iCs w:val="0"/>
          <w:sz w:val="24"/>
          <w:szCs w:val="24"/>
          <w:u w:val="none"/>
        </w:rPr>
        <w:t>regarding</w:t>
      </w:r>
      <w:r w:rsidRPr="74BF13D3" w:rsidR="14D4A685">
        <w:rPr>
          <w:b w:val="0"/>
          <w:bCs w:val="0"/>
          <w:i w:val="0"/>
          <w:iCs w:val="0"/>
          <w:sz w:val="24"/>
          <w:szCs w:val="24"/>
          <w:u w:val="none"/>
        </w:rPr>
        <w:t xml:space="preserve"> a child, no one can remove them from the UK without either the written consent of anyone with parental responsibility </w:t>
      </w:r>
      <w:r w:rsidRPr="74BF13D3" w:rsidR="53730E5A">
        <w:rPr>
          <w:b w:val="0"/>
          <w:bCs w:val="0"/>
          <w:i w:val="0"/>
          <w:iCs w:val="0"/>
          <w:sz w:val="24"/>
          <w:szCs w:val="24"/>
          <w:u w:val="none"/>
        </w:rPr>
        <w:t xml:space="preserve">for the child, or permission from the court. </w:t>
      </w:r>
      <w:r w:rsidRPr="74BF13D3" w:rsidR="783BB741">
        <w:rPr>
          <w:b w:val="0"/>
          <w:bCs w:val="0"/>
          <w:i w:val="0"/>
          <w:iCs w:val="0"/>
          <w:sz w:val="24"/>
          <w:szCs w:val="24"/>
          <w:u w:val="none"/>
        </w:rPr>
        <w:t xml:space="preserve">The case of ‘Payne v Payne’ (2001) established that the child’s welfare </w:t>
      </w:r>
      <w:r w:rsidRPr="74BF13D3" w:rsidR="59C8838C">
        <w:rPr>
          <w:b w:val="0"/>
          <w:bCs w:val="0"/>
          <w:i w:val="0"/>
          <w:iCs w:val="0"/>
          <w:sz w:val="24"/>
          <w:szCs w:val="24"/>
          <w:u w:val="none"/>
        </w:rPr>
        <w:t xml:space="preserve">is paramount, meaning that the child’s best interests should always be put first and is what should drive the decision a certain way, </w:t>
      </w:r>
      <w:r w:rsidRPr="74BF13D3" w:rsidR="25963A20">
        <w:rPr>
          <w:b w:val="0"/>
          <w:bCs w:val="0"/>
          <w:i w:val="0"/>
          <w:iCs w:val="0"/>
          <w:sz w:val="24"/>
          <w:szCs w:val="24"/>
          <w:u w:val="none"/>
        </w:rPr>
        <w:t>so the courts will look at</w:t>
      </w:r>
      <w:r w:rsidRPr="74BF13D3" w:rsidR="75D48DB0">
        <w:rPr>
          <w:b w:val="0"/>
          <w:bCs w:val="0"/>
          <w:i w:val="0"/>
          <w:iCs w:val="0"/>
          <w:sz w:val="24"/>
          <w:szCs w:val="24"/>
          <w:u w:val="none"/>
        </w:rPr>
        <w:t xml:space="preserve"> the primary carer’s reasonable proposals and their impact in great detail.</w:t>
      </w:r>
      <w:r w:rsidRPr="74BF13D3" w:rsidR="63BE9E31">
        <w:rPr>
          <w:b w:val="0"/>
          <w:bCs w:val="0"/>
          <w:i w:val="0"/>
          <w:iCs w:val="0"/>
          <w:sz w:val="24"/>
          <w:szCs w:val="24"/>
          <w:u w:val="none"/>
        </w:rPr>
        <w:t xml:space="preserve"> Section 1 of the </w:t>
      </w:r>
      <w:r w:rsidRPr="74BF13D3" w:rsidR="63BE9E31">
        <w:rPr>
          <w:b w:val="0"/>
          <w:bCs w:val="0"/>
          <w:i w:val="1"/>
          <w:iCs w:val="1"/>
          <w:sz w:val="24"/>
          <w:szCs w:val="24"/>
          <w:u w:val="none"/>
        </w:rPr>
        <w:t xml:space="preserve">Children Act 1989 </w:t>
      </w:r>
      <w:r w:rsidRPr="74BF13D3" w:rsidR="63BE9E31">
        <w:rPr>
          <w:b w:val="0"/>
          <w:bCs w:val="0"/>
          <w:i w:val="0"/>
          <w:iCs w:val="0"/>
          <w:sz w:val="24"/>
          <w:szCs w:val="24"/>
          <w:u w:val="none"/>
        </w:rPr>
        <w:t xml:space="preserve">further emphasises the importance of the child’s welfare, stating, “when a court determines any question with respect to the upbringing of a child </w:t>
      </w:r>
      <w:r w:rsidRPr="74BF13D3" w:rsidR="40B89CAE">
        <w:rPr>
          <w:b w:val="0"/>
          <w:bCs w:val="0"/>
          <w:i w:val="0"/>
          <w:iCs w:val="0"/>
          <w:sz w:val="24"/>
          <w:szCs w:val="24"/>
          <w:u w:val="none"/>
        </w:rPr>
        <w:t>or the administration of a child’s property or the application of any income arising from it, the child’s welfare shall be the court’s paramount consideration.</w:t>
      </w:r>
      <w:r w:rsidRPr="74BF13D3" w:rsidR="65BC3ABC">
        <w:rPr>
          <w:b w:val="0"/>
          <w:bCs w:val="0"/>
          <w:i w:val="0"/>
          <w:iCs w:val="0"/>
          <w:sz w:val="24"/>
          <w:szCs w:val="24"/>
          <w:u w:val="none"/>
        </w:rPr>
        <w:t>”</w:t>
      </w:r>
      <w:r w:rsidRPr="74BF13D3" w:rsidR="3E2FB1C0">
        <w:rPr>
          <w:b w:val="0"/>
          <w:bCs w:val="0"/>
          <w:i w:val="0"/>
          <w:iCs w:val="0"/>
          <w:sz w:val="24"/>
          <w:szCs w:val="24"/>
          <w:u w:val="none"/>
        </w:rPr>
        <w:t xml:space="preserve"> In that case, it was also noted that relocation cases often involve some common factors, for example, the applicant for removal </w:t>
      </w:r>
      <w:r w:rsidRPr="74BF13D3" w:rsidR="7F2E3440">
        <w:rPr>
          <w:b w:val="0"/>
          <w:bCs w:val="0"/>
          <w:i w:val="0"/>
          <w:iCs w:val="0"/>
          <w:sz w:val="24"/>
          <w:szCs w:val="24"/>
          <w:u w:val="none"/>
        </w:rPr>
        <w:t>is usually the mother of the child and the primary caregiver, the reason for the move derives from remarriage or the parent returning to country of origin</w:t>
      </w:r>
      <w:r w:rsidRPr="74BF13D3" w:rsidR="0C39EC03">
        <w:rPr>
          <w:b w:val="0"/>
          <w:bCs w:val="0"/>
          <w:i w:val="0"/>
          <w:iCs w:val="0"/>
          <w:sz w:val="24"/>
          <w:szCs w:val="24"/>
          <w:u w:val="none"/>
        </w:rPr>
        <w:t xml:space="preserve">, and the father’s opposition comes from having less contact and influence on the child. </w:t>
      </w:r>
    </w:p>
    <w:p w:rsidR="288745A7" w:rsidP="74BF13D3" w:rsidRDefault="288745A7" w14:paraId="1418E036" w14:textId="1D7C0A7D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none"/>
        </w:rPr>
      </w:pPr>
      <w:r w:rsidRPr="74BF13D3" w:rsidR="288745A7">
        <w:rPr>
          <w:b w:val="1"/>
          <w:bCs w:val="1"/>
          <w:i w:val="0"/>
          <w:iCs w:val="0"/>
          <w:sz w:val="24"/>
          <w:szCs w:val="24"/>
          <w:u w:val="none"/>
        </w:rPr>
        <w:t>B2 – Challenges Faced</w:t>
      </w:r>
    </w:p>
    <w:p w:rsidR="2F4D9709" w:rsidP="74BF13D3" w:rsidRDefault="2F4D9709" w14:paraId="6D5E5800" w14:textId="1955944E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4BF13D3" w:rsidR="2F4D9709">
        <w:rPr>
          <w:b w:val="0"/>
          <w:bCs w:val="0"/>
          <w:i w:val="0"/>
          <w:iCs w:val="0"/>
          <w:sz w:val="24"/>
          <w:szCs w:val="24"/>
          <w:u w:val="none"/>
        </w:rPr>
        <w:t xml:space="preserve">Since child relocation can become </w:t>
      </w:r>
      <w:r w:rsidRPr="74BF13D3" w:rsidR="2F4D9709">
        <w:rPr>
          <w:b w:val="0"/>
          <w:bCs w:val="0"/>
          <w:i w:val="0"/>
          <w:iCs w:val="0"/>
          <w:sz w:val="24"/>
          <w:szCs w:val="24"/>
          <w:u w:val="none"/>
        </w:rPr>
        <w:t>very complicated</w:t>
      </w:r>
      <w:r w:rsidRPr="74BF13D3" w:rsidR="2F4D9709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74BF13D3" w:rsidR="62932157">
        <w:rPr>
          <w:b w:val="0"/>
          <w:bCs w:val="0"/>
          <w:i w:val="0"/>
          <w:iCs w:val="0"/>
          <w:sz w:val="24"/>
          <w:szCs w:val="24"/>
          <w:u w:val="none"/>
        </w:rPr>
        <w:t xml:space="preserve">many issues can arise. One key challenge that could be faced is mentioned in a report from 2009 by Marilyn Freeman, which found that </w:t>
      </w:r>
      <w:r w:rsidRPr="74BF13D3" w:rsidR="00ADBBAC">
        <w:rPr>
          <w:b w:val="0"/>
          <w:bCs w:val="0"/>
          <w:i w:val="0"/>
          <w:iCs w:val="0"/>
          <w:sz w:val="24"/>
          <w:szCs w:val="24"/>
          <w:u w:val="none"/>
        </w:rPr>
        <w:t xml:space="preserve">the law prioritised the interests of the applicants, which as previously stated is usually the mother of the child, over that of the children’s, almost </w:t>
      </w:r>
      <w:r w:rsidRPr="74BF13D3" w:rsidR="432950C7">
        <w:rPr>
          <w:b w:val="0"/>
          <w:bCs w:val="0"/>
          <w:i w:val="0"/>
          <w:iCs w:val="0"/>
          <w:sz w:val="24"/>
          <w:szCs w:val="24"/>
          <w:u w:val="none"/>
        </w:rPr>
        <w:t>paralleling the mother’s interests with the child’s, and that father’s should not even bother appealing or arguing against it as it would be more beneficial to tr</w:t>
      </w:r>
      <w:r w:rsidRPr="74BF13D3" w:rsidR="4CD08AE7">
        <w:rPr>
          <w:b w:val="0"/>
          <w:bCs w:val="0"/>
          <w:i w:val="0"/>
          <w:iCs w:val="0"/>
          <w:sz w:val="24"/>
          <w:szCs w:val="24"/>
          <w:u w:val="none"/>
        </w:rPr>
        <w:t xml:space="preserve">y to make good contact arrangements instead (George and Gallwey, 2016). This clear imbalance causes a problem </w:t>
      </w:r>
      <w:r w:rsidRPr="74BF13D3" w:rsidR="6641AC01">
        <w:rPr>
          <w:b w:val="0"/>
          <w:bCs w:val="0"/>
          <w:i w:val="0"/>
          <w:iCs w:val="0"/>
          <w:sz w:val="24"/>
          <w:szCs w:val="24"/>
          <w:u w:val="none"/>
        </w:rPr>
        <w:t>as parents, specifically fathers, may feel disadvantaged</w:t>
      </w:r>
      <w:r w:rsidRPr="74BF13D3" w:rsidR="2755DCCE">
        <w:rPr>
          <w:b w:val="0"/>
          <w:bCs w:val="0"/>
          <w:i w:val="0"/>
          <w:iCs w:val="0"/>
          <w:sz w:val="24"/>
          <w:szCs w:val="24"/>
          <w:u w:val="none"/>
        </w:rPr>
        <w:t xml:space="preserve"> within the legal system and may feel like they </w:t>
      </w:r>
      <w:bookmarkStart w:name="_Int_FkMdnjh0" w:id="991982592"/>
      <w:r w:rsidRPr="74BF13D3" w:rsidR="2755DCCE">
        <w:rPr>
          <w:b w:val="0"/>
          <w:bCs w:val="0"/>
          <w:i w:val="0"/>
          <w:iCs w:val="0"/>
          <w:sz w:val="24"/>
          <w:szCs w:val="24"/>
          <w:u w:val="none"/>
        </w:rPr>
        <w:t>have to</w:t>
      </w:r>
      <w:bookmarkEnd w:id="991982592"/>
      <w:r w:rsidRPr="74BF13D3" w:rsidR="2755DCCE">
        <w:rPr>
          <w:b w:val="0"/>
          <w:bCs w:val="0"/>
          <w:i w:val="0"/>
          <w:iCs w:val="0"/>
          <w:sz w:val="24"/>
          <w:szCs w:val="24"/>
          <w:u w:val="none"/>
        </w:rPr>
        <w:t xml:space="preserve"> settle for an arrangement that they do not fully agree with so that they have some form of contact with their child.</w:t>
      </w:r>
      <w:r w:rsidRPr="74BF13D3" w:rsidR="24EB7973">
        <w:rPr>
          <w:b w:val="0"/>
          <w:bCs w:val="0"/>
          <w:i w:val="0"/>
          <w:iCs w:val="0"/>
          <w:sz w:val="24"/>
          <w:szCs w:val="24"/>
          <w:u w:val="none"/>
        </w:rPr>
        <w:t xml:space="preserve"> According to Atkinson (2010), another issue faced </w:t>
      </w:r>
      <w:bookmarkStart w:name="_Int_wPw74T0u" w:id="2086308551"/>
      <w:r w:rsidRPr="74BF13D3" w:rsidR="24EB7973">
        <w:rPr>
          <w:b w:val="0"/>
          <w:bCs w:val="0"/>
          <w:i w:val="0"/>
          <w:iCs w:val="0"/>
          <w:sz w:val="24"/>
          <w:szCs w:val="24"/>
          <w:u w:val="none"/>
        </w:rPr>
        <w:t>in regard to</w:t>
      </w:r>
      <w:bookmarkEnd w:id="2086308551"/>
      <w:r w:rsidRPr="74BF13D3" w:rsidR="24EB7973">
        <w:rPr>
          <w:b w:val="0"/>
          <w:bCs w:val="0"/>
          <w:i w:val="0"/>
          <w:iCs w:val="0"/>
          <w:sz w:val="24"/>
          <w:szCs w:val="24"/>
          <w:u w:val="none"/>
        </w:rPr>
        <w:t xml:space="preserve"> child relocation is that decisions can be unpredictable as each case </w:t>
      </w:r>
      <w:r w:rsidRPr="74BF13D3" w:rsidR="54F0A9F4">
        <w:rPr>
          <w:b w:val="0"/>
          <w:bCs w:val="0"/>
          <w:i w:val="0"/>
          <w:iCs w:val="0"/>
          <w:sz w:val="24"/>
          <w:szCs w:val="24"/>
          <w:u w:val="none"/>
        </w:rPr>
        <w:t xml:space="preserve">is decided based on the individual facts, </w:t>
      </w:r>
      <w:r w:rsidRPr="74BF13D3" w:rsidR="54F0A9F4">
        <w:rPr>
          <w:b w:val="0"/>
          <w:bCs w:val="0"/>
          <w:i w:val="0"/>
          <w:iCs w:val="0"/>
          <w:sz w:val="24"/>
          <w:szCs w:val="24"/>
          <w:u w:val="none"/>
        </w:rPr>
        <w:t>essentially based</w:t>
      </w:r>
      <w:r w:rsidRPr="74BF13D3" w:rsidR="54F0A9F4">
        <w:rPr>
          <w:b w:val="0"/>
          <w:bCs w:val="0"/>
          <w:i w:val="0"/>
          <w:iCs w:val="0"/>
          <w:sz w:val="24"/>
          <w:szCs w:val="24"/>
          <w:u w:val="none"/>
        </w:rPr>
        <w:t xml:space="preserve"> on a case-by-case basis, meaning that it is difficult to </w:t>
      </w:r>
      <w:r w:rsidRPr="74BF13D3" w:rsidR="54F0A9F4">
        <w:rPr>
          <w:b w:val="0"/>
          <w:bCs w:val="0"/>
          <w:i w:val="0"/>
          <w:iCs w:val="0"/>
          <w:sz w:val="24"/>
          <w:szCs w:val="24"/>
          <w:u w:val="none"/>
        </w:rPr>
        <w:t>determine</w:t>
      </w:r>
      <w:r w:rsidRPr="74BF13D3" w:rsidR="54F0A9F4">
        <w:rPr>
          <w:b w:val="0"/>
          <w:bCs w:val="0"/>
          <w:i w:val="0"/>
          <w:iCs w:val="0"/>
          <w:sz w:val="24"/>
          <w:szCs w:val="24"/>
          <w:u w:val="none"/>
        </w:rPr>
        <w:t xml:space="preserve"> what the </w:t>
      </w:r>
      <w:r w:rsidRPr="74BF13D3" w:rsidR="03B3DF4F">
        <w:rPr>
          <w:b w:val="0"/>
          <w:bCs w:val="0"/>
          <w:i w:val="0"/>
          <w:iCs w:val="0"/>
          <w:sz w:val="24"/>
          <w:szCs w:val="24"/>
          <w:u w:val="none"/>
        </w:rPr>
        <w:t>outcome</w:t>
      </w:r>
      <w:r w:rsidRPr="74BF13D3" w:rsidR="66276D62">
        <w:rPr>
          <w:b w:val="0"/>
          <w:bCs w:val="0"/>
          <w:i w:val="0"/>
          <w:iCs w:val="0"/>
          <w:sz w:val="24"/>
          <w:szCs w:val="24"/>
          <w:u w:val="none"/>
        </w:rPr>
        <w:t xml:space="preserve"> will be. This can become problematic as parents may want to prepare for a certain outcome, which they will not be able to do so if they cannot</w:t>
      </w:r>
      <w:r w:rsidRPr="74BF13D3" w:rsidR="553C27C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4BF13D3" w:rsidR="5F26A037">
        <w:rPr>
          <w:b w:val="0"/>
          <w:bCs w:val="0"/>
          <w:i w:val="0"/>
          <w:iCs w:val="0"/>
          <w:sz w:val="24"/>
          <w:szCs w:val="24"/>
          <w:u w:val="none"/>
        </w:rPr>
        <w:t>anticipate</w:t>
      </w:r>
      <w:r w:rsidRPr="74BF13D3" w:rsidR="5F26A037">
        <w:rPr>
          <w:b w:val="0"/>
          <w:bCs w:val="0"/>
          <w:i w:val="0"/>
          <w:iCs w:val="0"/>
          <w:sz w:val="24"/>
          <w:szCs w:val="24"/>
          <w:u w:val="none"/>
        </w:rPr>
        <w:t xml:space="preserve"> what the decision will be.</w:t>
      </w:r>
    </w:p>
    <w:p w:rsidR="622648E9" w:rsidP="74BF13D3" w:rsidRDefault="622648E9" w14:paraId="31BE9B63" w14:textId="4F86E74D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4BF13D3" w:rsidR="622648E9">
        <w:rPr>
          <w:b w:val="0"/>
          <w:bCs w:val="0"/>
          <w:i w:val="0"/>
          <w:iCs w:val="0"/>
          <w:sz w:val="24"/>
          <w:szCs w:val="24"/>
          <w:u w:val="none"/>
        </w:rPr>
        <w:t xml:space="preserve">On one hand, the legal system could be considered </w:t>
      </w:r>
      <w:r w:rsidRPr="74BF13D3" w:rsidR="03FCF131">
        <w:rPr>
          <w:b w:val="0"/>
          <w:bCs w:val="0"/>
          <w:i w:val="0"/>
          <w:iCs w:val="0"/>
          <w:sz w:val="24"/>
          <w:szCs w:val="24"/>
          <w:u w:val="none"/>
        </w:rPr>
        <w:t>effective as the child’s welfare is the central and main goal of every case and outcome. The courts will make their decisions based on what is the child’s best interests</w:t>
      </w:r>
      <w:r w:rsidRPr="74BF13D3" w:rsidR="34308F91">
        <w:rPr>
          <w:b w:val="0"/>
          <w:bCs w:val="0"/>
          <w:i w:val="0"/>
          <w:iCs w:val="0"/>
          <w:sz w:val="24"/>
          <w:szCs w:val="24"/>
          <w:u w:val="none"/>
        </w:rPr>
        <w:t xml:space="preserve"> at that moment in time, and in the future. </w:t>
      </w:r>
      <w:r w:rsidRPr="74BF13D3" w:rsidR="739D74BD">
        <w:rPr>
          <w:b w:val="0"/>
          <w:bCs w:val="0"/>
          <w:i w:val="0"/>
          <w:iCs w:val="0"/>
          <w:sz w:val="24"/>
          <w:szCs w:val="24"/>
          <w:u w:val="none"/>
        </w:rPr>
        <w:t xml:space="preserve">The fact that decisions are made based on the facts of that case alone, rather than being </w:t>
      </w:r>
      <w:r w:rsidRPr="74BF13D3" w:rsidR="739D74BD">
        <w:rPr>
          <w:b w:val="0"/>
          <w:bCs w:val="0"/>
          <w:i w:val="0"/>
          <w:iCs w:val="0"/>
          <w:sz w:val="24"/>
          <w:szCs w:val="24"/>
          <w:u w:val="none"/>
        </w:rPr>
        <w:t>determined</w:t>
      </w:r>
      <w:r w:rsidRPr="74BF13D3" w:rsidR="739D74BD">
        <w:rPr>
          <w:b w:val="0"/>
          <w:bCs w:val="0"/>
          <w:i w:val="0"/>
          <w:iCs w:val="0"/>
          <w:sz w:val="24"/>
          <w:szCs w:val="24"/>
          <w:u w:val="none"/>
        </w:rPr>
        <w:t xml:space="preserve"> by </w:t>
      </w:r>
      <w:r w:rsidRPr="74BF13D3" w:rsidR="739D74BD">
        <w:rPr>
          <w:b w:val="0"/>
          <w:bCs w:val="0"/>
          <w:i w:val="0"/>
          <w:iCs w:val="0"/>
          <w:sz w:val="24"/>
          <w:szCs w:val="24"/>
          <w:u w:val="none"/>
        </w:rPr>
        <w:t>previous</w:t>
      </w:r>
      <w:r w:rsidRPr="74BF13D3" w:rsidR="739D74BD">
        <w:rPr>
          <w:b w:val="0"/>
          <w:bCs w:val="0"/>
          <w:i w:val="0"/>
          <w:iCs w:val="0"/>
          <w:sz w:val="24"/>
          <w:szCs w:val="24"/>
          <w:u w:val="none"/>
        </w:rPr>
        <w:t xml:space="preserve"> cases, allows for flexibility and means that so many </w:t>
      </w:r>
      <w:r w:rsidRPr="74BF13D3" w:rsidR="739D74BD">
        <w:rPr>
          <w:b w:val="0"/>
          <w:bCs w:val="0"/>
          <w:i w:val="0"/>
          <w:iCs w:val="0"/>
          <w:sz w:val="24"/>
          <w:szCs w:val="24"/>
          <w:u w:val="none"/>
        </w:rPr>
        <w:t>different factors</w:t>
      </w:r>
      <w:r w:rsidRPr="74BF13D3" w:rsidR="739D74B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4BF13D3" w:rsidR="0C4C9CAC">
        <w:rPr>
          <w:b w:val="0"/>
          <w:bCs w:val="0"/>
          <w:i w:val="0"/>
          <w:iCs w:val="0"/>
          <w:sz w:val="24"/>
          <w:szCs w:val="24"/>
          <w:u w:val="none"/>
        </w:rPr>
        <w:t>can be considered in each case</w:t>
      </w:r>
      <w:r w:rsidRPr="74BF13D3" w:rsidR="5B95C0BD">
        <w:rPr>
          <w:b w:val="0"/>
          <w:bCs w:val="0"/>
          <w:i w:val="0"/>
          <w:iCs w:val="0"/>
          <w:sz w:val="24"/>
          <w:szCs w:val="24"/>
          <w:u w:val="none"/>
        </w:rPr>
        <w:t xml:space="preserve">, such as cultural differences, economic factors, and </w:t>
      </w:r>
      <w:r w:rsidRPr="74BF13D3" w:rsidR="0CE19EB1">
        <w:rPr>
          <w:b w:val="0"/>
          <w:bCs w:val="0"/>
          <w:i w:val="0"/>
          <w:iCs w:val="0"/>
          <w:sz w:val="24"/>
          <w:szCs w:val="24"/>
          <w:u w:val="none"/>
        </w:rPr>
        <w:t>environmental influences. On the other hand</w:t>
      </w:r>
      <w:r w:rsidRPr="74BF13D3" w:rsidR="4CAA619B">
        <w:rPr>
          <w:b w:val="0"/>
          <w:bCs w:val="0"/>
          <w:i w:val="0"/>
          <w:iCs w:val="0"/>
          <w:sz w:val="24"/>
          <w:szCs w:val="24"/>
          <w:u w:val="none"/>
        </w:rPr>
        <w:t xml:space="preserve">, it could also be considered ineffective in some areas. The complexity of relocation cases </w:t>
      </w:r>
      <w:r w:rsidRPr="74BF13D3" w:rsidR="21FEBDCD">
        <w:rPr>
          <w:b w:val="0"/>
          <w:bCs w:val="0"/>
          <w:i w:val="0"/>
          <w:iCs w:val="0"/>
          <w:sz w:val="24"/>
          <w:szCs w:val="24"/>
          <w:u w:val="none"/>
        </w:rPr>
        <w:t>means</w:t>
      </w:r>
      <w:r w:rsidRPr="74BF13D3" w:rsidR="4CAA619B">
        <w:rPr>
          <w:b w:val="0"/>
          <w:bCs w:val="0"/>
          <w:i w:val="0"/>
          <w:iCs w:val="0"/>
          <w:sz w:val="24"/>
          <w:szCs w:val="24"/>
          <w:u w:val="none"/>
        </w:rPr>
        <w:t xml:space="preserve"> that </w:t>
      </w:r>
      <w:r w:rsidRPr="74BF13D3" w:rsidR="5F267805">
        <w:rPr>
          <w:b w:val="0"/>
          <w:bCs w:val="0"/>
          <w:i w:val="0"/>
          <w:iCs w:val="0"/>
          <w:sz w:val="24"/>
          <w:szCs w:val="24"/>
          <w:u w:val="none"/>
        </w:rPr>
        <w:t>cases</w:t>
      </w:r>
      <w:r w:rsidRPr="74BF13D3" w:rsidR="00CD2B9A">
        <w:rPr>
          <w:b w:val="0"/>
          <w:bCs w:val="0"/>
          <w:i w:val="0"/>
          <w:iCs w:val="0"/>
          <w:sz w:val="24"/>
          <w:szCs w:val="24"/>
          <w:u w:val="none"/>
        </w:rPr>
        <w:t xml:space="preserve"> can take a while to go through court, causing significant delay and stress. This could become a problem, especially in cases where jobs or visas have been arranged a</w:t>
      </w:r>
      <w:r w:rsidRPr="74BF13D3" w:rsidR="22CB0408">
        <w:rPr>
          <w:b w:val="0"/>
          <w:bCs w:val="0"/>
          <w:i w:val="0"/>
          <w:iCs w:val="0"/>
          <w:sz w:val="24"/>
          <w:szCs w:val="24"/>
          <w:u w:val="none"/>
        </w:rPr>
        <w:t xml:space="preserve">nd could </w:t>
      </w:r>
      <w:r w:rsidRPr="74BF13D3" w:rsidR="2D2FD578">
        <w:rPr>
          <w:b w:val="0"/>
          <w:bCs w:val="0"/>
          <w:i w:val="0"/>
          <w:iCs w:val="0"/>
          <w:sz w:val="24"/>
          <w:szCs w:val="24"/>
          <w:u w:val="none"/>
        </w:rPr>
        <w:t>expire and</w:t>
      </w:r>
      <w:r w:rsidRPr="74BF13D3" w:rsidR="22CB0408">
        <w:rPr>
          <w:b w:val="0"/>
          <w:bCs w:val="0"/>
          <w:i w:val="0"/>
          <w:iCs w:val="0"/>
          <w:sz w:val="24"/>
          <w:szCs w:val="24"/>
          <w:u w:val="none"/>
        </w:rPr>
        <w:t xml:space="preserve"> could also create an unstable environment for the child to grow up in, damaging the child’s welfare.</w:t>
      </w:r>
      <w:r w:rsidRPr="74BF13D3" w:rsidR="61F0354D">
        <w:rPr>
          <w:b w:val="0"/>
          <w:bCs w:val="0"/>
          <w:i w:val="0"/>
          <w:iCs w:val="0"/>
          <w:sz w:val="24"/>
          <w:szCs w:val="24"/>
          <w:u w:val="none"/>
        </w:rPr>
        <w:t xml:space="preserve"> Also, despite the flexibility being considered a strength</w:t>
      </w:r>
      <w:r w:rsidRPr="74BF13D3" w:rsidR="1FF22F07">
        <w:rPr>
          <w:b w:val="0"/>
          <w:bCs w:val="0"/>
          <w:i w:val="0"/>
          <w:iCs w:val="0"/>
          <w:sz w:val="24"/>
          <w:szCs w:val="24"/>
          <w:u w:val="none"/>
        </w:rPr>
        <w:t xml:space="preserve">, the inconsistency in decisions also poses a substantial disadvantage to </w:t>
      </w:r>
      <w:r w:rsidRPr="74BF13D3" w:rsidR="37ADC512">
        <w:rPr>
          <w:b w:val="0"/>
          <w:bCs w:val="0"/>
          <w:i w:val="0"/>
          <w:iCs w:val="0"/>
          <w:sz w:val="24"/>
          <w:szCs w:val="24"/>
          <w:u w:val="none"/>
        </w:rPr>
        <w:t>the parties involved in the case</w:t>
      </w:r>
      <w:r w:rsidRPr="74BF13D3" w:rsidR="35A332E9">
        <w:rPr>
          <w:b w:val="0"/>
          <w:bCs w:val="0"/>
          <w:i w:val="0"/>
          <w:iCs w:val="0"/>
          <w:sz w:val="24"/>
          <w:szCs w:val="24"/>
          <w:u w:val="none"/>
        </w:rPr>
        <w:t xml:space="preserve"> as they cannot fully prepare themselves for certain outcomes.</w:t>
      </w:r>
    </w:p>
    <w:p w:rsidR="35A332E9" w:rsidP="74BF13D3" w:rsidRDefault="35A332E9" w14:paraId="6535F3C1" w14:textId="46E1D201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none"/>
        </w:rPr>
      </w:pPr>
      <w:r w:rsidRPr="74BF13D3" w:rsidR="35A332E9">
        <w:rPr>
          <w:b w:val="1"/>
          <w:bCs w:val="1"/>
          <w:i w:val="0"/>
          <w:iCs w:val="0"/>
          <w:sz w:val="24"/>
          <w:szCs w:val="24"/>
          <w:u w:val="none"/>
        </w:rPr>
        <w:t>B3 – Analysis</w:t>
      </w:r>
    </w:p>
    <w:p w:rsidR="5EEE5479" w:rsidP="74BF13D3" w:rsidRDefault="5EEE5479" w14:paraId="37FCEB00" w14:textId="6B1CF24A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4BF13D3" w:rsidR="5EEE5479">
        <w:rPr>
          <w:b w:val="0"/>
          <w:bCs w:val="0"/>
          <w:i w:val="0"/>
          <w:iCs w:val="0"/>
          <w:sz w:val="24"/>
          <w:szCs w:val="24"/>
          <w:u w:val="none"/>
        </w:rPr>
        <w:t xml:space="preserve">Within </w:t>
      </w:r>
      <w:r w:rsidRPr="74BF13D3" w:rsidR="4272463C">
        <w:rPr>
          <w:b w:val="0"/>
          <w:bCs w:val="0"/>
          <w:i w:val="0"/>
          <w:iCs w:val="0"/>
          <w:sz w:val="24"/>
          <w:szCs w:val="24"/>
          <w:u w:val="none"/>
        </w:rPr>
        <w:t xml:space="preserve">the resource, clear language has been used to explain what relocation is and what it entails in the UK without leaning too much into </w:t>
      </w:r>
      <w:r w:rsidRPr="74BF13D3" w:rsidR="4CDB5474">
        <w:rPr>
          <w:b w:val="0"/>
          <w:bCs w:val="0"/>
          <w:i w:val="0"/>
          <w:iCs w:val="0"/>
          <w:sz w:val="24"/>
          <w:szCs w:val="24"/>
          <w:u w:val="none"/>
        </w:rPr>
        <w:t xml:space="preserve">technical legal language, meaning lay people will be able to understand it and access it without the need of further explanation in regard to </w:t>
      </w:r>
      <w:r w:rsidRPr="74BF13D3" w:rsidR="7D2BA187">
        <w:rPr>
          <w:b w:val="0"/>
          <w:bCs w:val="0"/>
          <w:i w:val="0"/>
          <w:iCs w:val="0"/>
          <w:sz w:val="24"/>
          <w:szCs w:val="24"/>
          <w:u w:val="none"/>
        </w:rPr>
        <w:t>the basics of relocation. There is a clear structure, making the article easy to follow</w:t>
      </w:r>
      <w:r w:rsidRPr="74BF13D3" w:rsidR="1F919729">
        <w:rPr>
          <w:b w:val="0"/>
          <w:bCs w:val="0"/>
          <w:i w:val="0"/>
          <w:iCs w:val="0"/>
          <w:sz w:val="24"/>
          <w:szCs w:val="24"/>
          <w:u w:val="none"/>
        </w:rPr>
        <w:t xml:space="preserve">, especially for those with little to no legal knowledge or experience. The amount of detail </w:t>
      </w:r>
      <w:r w:rsidRPr="74BF13D3" w:rsidR="5AD9D1AE">
        <w:rPr>
          <w:b w:val="0"/>
          <w:bCs w:val="0"/>
          <w:i w:val="0"/>
          <w:iCs w:val="0"/>
          <w:sz w:val="24"/>
          <w:szCs w:val="24"/>
          <w:u w:val="none"/>
        </w:rPr>
        <w:t>included,</w:t>
      </w:r>
      <w:r w:rsidRPr="74BF13D3" w:rsidR="1F91972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4BF13D3" w:rsidR="36F3E908">
        <w:rPr>
          <w:b w:val="0"/>
          <w:bCs w:val="0"/>
          <w:i w:val="0"/>
          <w:iCs w:val="0"/>
          <w:sz w:val="24"/>
          <w:szCs w:val="24"/>
          <w:u w:val="none"/>
        </w:rPr>
        <w:t>and the tone of</w:t>
      </w:r>
      <w:r w:rsidRPr="74BF13D3" w:rsidR="1F919729">
        <w:rPr>
          <w:b w:val="0"/>
          <w:bCs w:val="0"/>
          <w:i w:val="0"/>
          <w:iCs w:val="0"/>
          <w:sz w:val="24"/>
          <w:szCs w:val="24"/>
          <w:u w:val="none"/>
        </w:rPr>
        <w:t xml:space="preserve"> the article is suitable for a magazine</w:t>
      </w:r>
      <w:r w:rsidRPr="74BF13D3" w:rsidR="696FB2AD">
        <w:rPr>
          <w:b w:val="0"/>
          <w:bCs w:val="0"/>
          <w:i w:val="0"/>
          <w:iCs w:val="0"/>
          <w:sz w:val="24"/>
          <w:szCs w:val="24"/>
          <w:u w:val="none"/>
        </w:rPr>
        <w:t xml:space="preserve"> as it does not overwhelm the reader and is educational, but not too formal</w:t>
      </w:r>
      <w:r w:rsidRPr="74BF13D3" w:rsidR="025747C3">
        <w:rPr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22FC6F9B" w:rsidP="74BF13D3" w:rsidRDefault="22FC6F9B" w14:paraId="01C1EB71" w14:textId="1FC60F26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4BF13D3" w:rsidR="22FC6F9B">
        <w:rPr>
          <w:b w:val="0"/>
          <w:bCs w:val="0"/>
          <w:i w:val="0"/>
          <w:iCs w:val="0"/>
          <w:sz w:val="24"/>
          <w:szCs w:val="24"/>
          <w:u w:val="none"/>
        </w:rPr>
        <w:t xml:space="preserve">However, the resource </w:t>
      </w:r>
      <w:r w:rsidRPr="74BF13D3" w:rsidR="4A9C6869">
        <w:rPr>
          <w:b w:val="0"/>
          <w:bCs w:val="0"/>
          <w:i w:val="0"/>
          <w:iCs w:val="0"/>
          <w:sz w:val="24"/>
          <w:szCs w:val="24"/>
          <w:u w:val="none"/>
        </w:rPr>
        <w:t>could have more depth, specifically involving more recent case law and how section 1 of the Children Act 1989 governs the child’s welfare.</w:t>
      </w:r>
      <w:r w:rsidRPr="74BF13D3" w:rsidR="5B91CCEC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74BF13D3" w:rsidR="1DDC0E3C">
        <w:rPr>
          <w:b w:val="0"/>
          <w:bCs w:val="0"/>
          <w:i w:val="0"/>
          <w:iCs w:val="0"/>
          <w:sz w:val="24"/>
          <w:szCs w:val="24"/>
          <w:u w:val="none"/>
        </w:rPr>
        <w:t>Certain</w:t>
      </w:r>
      <w:r w:rsidRPr="74BF13D3" w:rsidR="5B91CCEC">
        <w:rPr>
          <w:b w:val="0"/>
          <w:bCs w:val="0"/>
          <w:i w:val="0"/>
          <w:iCs w:val="0"/>
          <w:sz w:val="24"/>
          <w:szCs w:val="24"/>
          <w:u w:val="none"/>
        </w:rPr>
        <w:t xml:space="preserve"> topics, such as internal relocation</w:t>
      </w:r>
      <w:r w:rsidRPr="74BF13D3" w:rsidR="397DB429">
        <w:rPr>
          <w:b w:val="0"/>
          <w:bCs w:val="0"/>
          <w:i w:val="0"/>
          <w:iCs w:val="0"/>
          <w:sz w:val="24"/>
          <w:szCs w:val="24"/>
          <w:u w:val="none"/>
        </w:rPr>
        <w:t xml:space="preserve"> could have been expanded on more, including case law. There is also the lack of a conclu</w:t>
      </w:r>
      <w:r w:rsidRPr="74BF13D3" w:rsidR="434D689D">
        <w:rPr>
          <w:b w:val="0"/>
          <w:bCs w:val="0"/>
          <w:i w:val="0"/>
          <w:iCs w:val="0"/>
          <w:sz w:val="24"/>
          <w:szCs w:val="24"/>
          <w:u w:val="none"/>
        </w:rPr>
        <w:t>sion, which, had it been included, could have helped the reader summarise the article and have a generic overview of relocation</w:t>
      </w:r>
      <w:r w:rsidRPr="74BF13D3" w:rsidR="6281885E">
        <w:rPr>
          <w:b w:val="0"/>
          <w:bCs w:val="0"/>
          <w:i w:val="0"/>
          <w:iCs w:val="0"/>
          <w:sz w:val="24"/>
          <w:szCs w:val="24"/>
          <w:u w:val="none"/>
        </w:rPr>
        <w:t xml:space="preserve">. There are also no images or bold features that would capture someone’s attention, or even </w:t>
      </w:r>
      <w:r w:rsidRPr="74BF13D3" w:rsidR="6281885E">
        <w:rPr>
          <w:b w:val="0"/>
          <w:bCs w:val="0"/>
          <w:i w:val="0"/>
          <w:iCs w:val="0"/>
          <w:sz w:val="24"/>
          <w:szCs w:val="24"/>
          <w:u w:val="none"/>
        </w:rPr>
        <w:t>maintain</w:t>
      </w:r>
      <w:r w:rsidRPr="74BF13D3" w:rsidR="6281885E">
        <w:rPr>
          <w:b w:val="0"/>
          <w:bCs w:val="0"/>
          <w:i w:val="0"/>
          <w:iCs w:val="0"/>
          <w:sz w:val="24"/>
          <w:szCs w:val="24"/>
          <w:u w:val="none"/>
        </w:rPr>
        <w:t xml:space="preserve"> it, which </w:t>
      </w:r>
      <w:r w:rsidRPr="74BF13D3" w:rsidR="28C61C92">
        <w:rPr>
          <w:b w:val="0"/>
          <w:bCs w:val="0"/>
          <w:i w:val="0"/>
          <w:iCs w:val="0"/>
          <w:sz w:val="24"/>
          <w:szCs w:val="24"/>
          <w:u w:val="none"/>
        </w:rPr>
        <w:t>could make the article be considered boring or unappealing.</w:t>
      </w:r>
    </w:p>
    <w:p w:rsidR="70D58C87" w:rsidP="74BF13D3" w:rsidRDefault="70D58C87" w14:paraId="5998085A" w14:textId="0804088D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4BF13D3" w:rsidR="70D58C87">
        <w:rPr>
          <w:b w:val="0"/>
          <w:bCs w:val="0"/>
          <w:i w:val="0"/>
          <w:iCs w:val="0"/>
          <w:sz w:val="24"/>
          <w:szCs w:val="24"/>
          <w:u w:val="none"/>
        </w:rPr>
        <w:t xml:space="preserve">If the magazine article </w:t>
      </w:r>
      <w:r w:rsidRPr="74BF13D3" w:rsidR="70D58C87">
        <w:rPr>
          <w:b w:val="0"/>
          <w:bCs w:val="0"/>
          <w:i w:val="0"/>
          <w:iCs w:val="0"/>
          <w:sz w:val="24"/>
          <w:szCs w:val="24"/>
          <w:u w:val="none"/>
        </w:rPr>
        <w:t>was</w:t>
      </w:r>
      <w:r w:rsidRPr="74BF13D3" w:rsidR="70D58C87">
        <w:rPr>
          <w:b w:val="0"/>
          <w:bCs w:val="0"/>
          <w:i w:val="0"/>
          <w:iCs w:val="0"/>
          <w:sz w:val="24"/>
          <w:szCs w:val="24"/>
          <w:u w:val="none"/>
        </w:rPr>
        <w:t xml:space="preserve"> to be created again, it would be beneficial to a</w:t>
      </w:r>
      <w:r w:rsidRPr="74BF13D3" w:rsidR="10EC3550">
        <w:rPr>
          <w:b w:val="0"/>
          <w:bCs w:val="0"/>
          <w:i w:val="0"/>
          <w:iCs w:val="0"/>
          <w:sz w:val="24"/>
          <w:szCs w:val="24"/>
          <w:u w:val="none"/>
        </w:rPr>
        <w:t xml:space="preserve">dd more attractive features, such as images and colour, to appeal to a reader. More information would be given </w:t>
      </w:r>
      <w:r w:rsidRPr="74BF13D3" w:rsidR="10EC3550">
        <w:rPr>
          <w:b w:val="0"/>
          <w:bCs w:val="0"/>
          <w:i w:val="0"/>
          <w:iCs w:val="0"/>
          <w:sz w:val="24"/>
          <w:szCs w:val="24"/>
          <w:u w:val="none"/>
        </w:rPr>
        <w:t>regarding</w:t>
      </w:r>
      <w:r w:rsidRPr="74BF13D3" w:rsidR="10EC3550">
        <w:rPr>
          <w:b w:val="0"/>
          <w:bCs w:val="0"/>
          <w:i w:val="0"/>
          <w:iCs w:val="0"/>
          <w:sz w:val="24"/>
          <w:szCs w:val="24"/>
          <w:u w:val="none"/>
        </w:rPr>
        <w:t xml:space="preserve"> internal relocation, </w:t>
      </w:r>
      <w:r w:rsidRPr="74BF13D3" w:rsidR="034658F7">
        <w:rPr>
          <w:b w:val="0"/>
          <w:bCs w:val="0"/>
          <w:i w:val="0"/>
          <w:iCs w:val="0"/>
          <w:sz w:val="24"/>
          <w:szCs w:val="24"/>
          <w:u w:val="none"/>
        </w:rPr>
        <w:t xml:space="preserve">and more depth would be added to the information already included with respect to international relocation. The article would also </w:t>
      </w:r>
      <w:r w:rsidRPr="74BF13D3" w:rsidR="1815394D">
        <w:rPr>
          <w:b w:val="0"/>
          <w:bCs w:val="0"/>
          <w:i w:val="0"/>
          <w:iCs w:val="0"/>
          <w:sz w:val="24"/>
          <w:szCs w:val="24"/>
          <w:u w:val="none"/>
        </w:rPr>
        <w:t>have a summary or conclusion at the end to finish the article with a brief overview of relocation to help the reader understand what they have read.</w:t>
      </w:r>
    </w:p>
    <w:p w:rsidR="74BF13D3" w:rsidP="74BF13D3" w:rsidRDefault="74BF13D3" w14:paraId="45862772" w14:textId="52E4E5C7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74BF13D3" w:rsidP="74BF13D3" w:rsidRDefault="74BF13D3" w14:paraId="24888D93" w14:textId="01A76B15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74BF13D3" w:rsidP="74BF13D3" w:rsidRDefault="74BF13D3" w14:paraId="5C2C549D" w14:textId="704682C2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74BF13D3" w:rsidP="74BF13D3" w:rsidRDefault="74BF13D3" w14:paraId="633C82B4" w14:textId="1F643143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74BF13D3" w:rsidP="74BF13D3" w:rsidRDefault="74BF13D3" w14:paraId="37FD96B9" w14:textId="223D1828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74BF13D3" w:rsidP="74BF13D3" w:rsidRDefault="74BF13D3" w14:paraId="72F3E40A" w14:textId="7949420E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74BF13D3" w:rsidP="74BF13D3" w:rsidRDefault="74BF13D3" w14:paraId="77E87946" w14:textId="0C2F2634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74BF13D3" w:rsidP="74BF13D3" w:rsidRDefault="74BF13D3" w14:paraId="34D694B4" w14:textId="2DD56C20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74BF13D3" w:rsidP="74BF13D3" w:rsidRDefault="74BF13D3" w14:paraId="1161FFC0" w14:textId="046003A8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74BF13D3" w:rsidP="74BF13D3" w:rsidRDefault="74BF13D3" w14:paraId="501F0890" w14:textId="37A350D4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</w:p>
    <w:p w:rsidR="1815394D" w:rsidP="74BF13D3" w:rsidRDefault="1815394D" w14:paraId="2D29BE5E" w14:textId="18661156">
      <w:pPr>
        <w:spacing w:line="360" w:lineRule="auto"/>
        <w:jc w:val="left"/>
        <w:rPr>
          <w:b w:val="1"/>
          <w:bCs w:val="1"/>
          <w:i w:val="0"/>
          <w:iCs w:val="0"/>
          <w:sz w:val="24"/>
          <w:szCs w:val="24"/>
          <w:u w:val="single"/>
        </w:rPr>
      </w:pPr>
      <w:r w:rsidRPr="74BF13D3" w:rsidR="1815394D">
        <w:rPr>
          <w:b w:val="1"/>
          <w:bCs w:val="1"/>
          <w:i w:val="0"/>
          <w:iCs w:val="0"/>
          <w:sz w:val="24"/>
          <w:szCs w:val="24"/>
          <w:u w:val="single"/>
        </w:rPr>
        <w:t>References</w:t>
      </w:r>
    </w:p>
    <w:p w:rsidR="5C14653C" w:rsidP="74BF13D3" w:rsidRDefault="5C14653C" w14:paraId="1F96769E" w14:textId="1BC2FBC4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</w:rPr>
      </w:pPr>
      <w:r w:rsidRPr="74BF13D3" w:rsidR="5C14653C">
        <w:rPr>
          <w:b w:val="0"/>
          <w:bCs w:val="0"/>
          <w:i w:val="0"/>
          <w:iCs w:val="0"/>
          <w:sz w:val="24"/>
          <w:szCs w:val="24"/>
          <w:u w:val="none"/>
        </w:rPr>
        <w:t xml:space="preserve">Atkinson, J. (2010) ‘The law of relocation of children’, </w:t>
      </w:r>
      <w:r w:rsidRPr="74BF13D3" w:rsidR="5C14653C">
        <w:rPr>
          <w:b w:val="0"/>
          <w:bCs w:val="0"/>
          <w:i w:val="1"/>
          <w:iCs w:val="1"/>
          <w:sz w:val="24"/>
          <w:szCs w:val="24"/>
          <w:u w:val="none"/>
        </w:rPr>
        <w:t xml:space="preserve">Behavioural Sciences &amp; the Law, </w:t>
      </w:r>
      <w:r w:rsidRPr="74BF13D3" w:rsidR="18922449">
        <w:rPr>
          <w:b w:val="0"/>
          <w:bCs w:val="0"/>
          <w:i w:val="0"/>
          <w:iCs w:val="0"/>
          <w:sz w:val="24"/>
          <w:szCs w:val="24"/>
          <w:u w:val="none"/>
        </w:rPr>
        <w:t>28(4), pp. 563-579. Available at:</w:t>
      </w:r>
      <w:r w:rsidRPr="74BF13D3" w:rsidR="7FCBC35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4c4deb6839d74ceb">
        <w:r w:rsidRPr="74BF13D3" w:rsidR="7FCBC354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https://research-ebsco-com.ezproxy.uwtsd.ac.uk/c/onvpsy/viewer/pdf/sirlylsrnz</w:t>
        </w:r>
      </w:hyperlink>
      <w:r w:rsidRPr="74BF13D3" w:rsidR="7FCBC354">
        <w:rPr>
          <w:b w:val="0"/>
          <w:bCs w:val="0"/>
          <w:i w:val="0"/>
          <w:iCs w:val="0"/>
          <w:sz w:val="24"/>
          <w:szCs w:val="24"/>
          <w:u w:val="none"/>
        </w:rPr>
        <w:t xml:space="preserve"> (Accessed: 20 November 2025).</w:t>
      </w:r>
    </w:p>
    <w:p w:rsidR="32632105" w:rsidP="74BF13D3" w:rsidRDefault="32632105" w14:paraId="102185F8" w14:textId="501CD5AC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4BF13D3" w:rsidR="32632105">
        <w:rPr>
          <w:b w:val="0"/>
          <w:bCs w:val="0"/>
          <w:i w:val="0"/>
          <w:iCs w:val="0"/>
          <w:sz w:val="24"/>
          <w:szCs w:val="24"/>
          <w:u w:val="none"/>
        </w:rPr>
        <w:t>Carmody, T. (2007) ‘Child Relocation: An Intractable International Family Law Problem</w:t>
      </w:r>
      <w:r w:rsidRPr="74BF13D3" w:rsidR="1FC44347">
        <w:rPr>
          <w:b w:val="0"/>
          <w:bCs w:val="0"/>
          <w:i w:val="0"/>
          <w:iCs w:val="0"/>
          <w:sz w:val="24"/>
          <w:szCs w:val="24"/>
          <w:u w:val="none"/>
        </w:rPr>
        <w:t xml:space="preserve">’, </w:t>
      </w:r>
      <w:r w:rsidRPr="74BF13D3" w:rsidR="1FC44347">
        <w:rPr>
          <w:b w:val="0"/>
          <w:bCs w:val="0"/>
          <w:i w:val="1"/>
          <w:iCs w:val="1"/>
          <w:sz w:val="24"/>
          <w:szCs w:val="24"/>
          <w:u w:val="none"/>
        </w:rPr>
        <w:t xml:space="preserve">Family Court Review, </w:t>
      </w:r>
      <w:r w:rsidRPr="74BF13D3" w:rsidR="1FC44347">
        <w:rPr>
          <w:b w:val="0"/>
          <w:bCs w:val="0"/>
          <w:i w:val="0"/>
          <w:iCs w:val="0"/>
          <w:sz w:val="24"/>
          <w:szCs w:val="24"/>
          <w:u w:val="none"/>
        </w:rPr>
        <w:t>45(2)</w:t>
      </w:r>
      <w:r w:rsidRPr="74BF13D3" w:rsidR="39DDAC03">
        <w:rPr>
          <w:b w:val="0"/>
          <w:bCs w:val="0"/>
          <w:i w:val="0"/>
          <w:iCs w:val="0"/>
          <w:sz w:val="24"/>
          <w:szCs w:val="24"/>
          <w:u w:val="none"/>
        </w:rPr>
        <w:t xml:space="preserve">, pp. 214-246. Available at: </w:t>
      </w:r>
      <w:hyperlink r:id="R07b0640f12fc41b7">
        <w:r w:rsidRPr="74BF13D3" w:rsidR="39DDAC03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https://doi.org/10.1111/j.1744-1617.2007.00140.x</w:t>
        </w:r>
      </w:hyperlink>
      <w:r w:rsidRPr="74BF13D3" w:rsidR="7856F6C6">
        <w:rPr>
          <w:b w:val="0"/>
          <w:bCs w:val="0"/>
          <w:i w:val="0"/>
          <w:iCs w:val="0"/>
          <w:sz w:val="24"/>
          <w:szCs w:val="24"/>
          <w:u w:val="none"/>
        </w:rPr>
        <w:t xml:space="preserve"> (Accessed: 20 November 2025).</w:t>
      </w:r>
    </w:p>
    <w:p w:rsidR="456142BA" w:rsidP="74BF13D3" w:rsidRDefault="456142BA" w14:paraId="211F1CE3" w14:textId="5786F60F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4BF13D3" w:rsidR="456142BA">
        <w:rPr>
          <w:b w:val="0"/>
          <w:bCs w:val="0"/>
          <w:i w:val="1"/>
          <w:iCs w:val="1"/>
          <w:sz w:val="24"/>
          <w:szCs w:val="24"/>
          <w:u w:val="none"/>
        </w:rPr>
        <w:t xml:space="preserve">Children Act 1989, </w:t>
      </w:r>
      <w:r w:rsidRPr="74BF13D3" w:rsidR="456142BA">
        <w:rPr>
          <w:b w:val="0"/>
          <w:bCs w:val="0"/>
          <w:i w:val="0"/>
          <w:iCs w:val="0"/>
          <w:sz w:val="24"/>
          <w:szCs w:val="24"/>
          <w:u w:val="none"/>
        </w:rPr>
        <w:t xml:space="preserve">c. 41. Available at: </w:t>
      </w:r>
      <w:hyperlink r:id="R40495e6e677f439e">
        <w:r w:rsidRPr="74BF13D3" w:rsidR="456142BA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https://www.legislation.gov.uk/ukpga/1989/41/contents</w:t>
        </w:r>
      </w:hyperlink>
      <w:r w:rsidRPr="74BF13D3" w:rsidR="456142BA">
        <w:rPr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74BF13D3" w:rsidR="7245BF85">
        <w:rPr>
          <w:b w:val="0"/>
          <w:bCs w:val="0"/>
          <w:i w:val="0"/>
          <w:iCs w:val="0"/>
          <w:sz w:val="24"/>
          <w:szCs w:val="24"/>
          <w:u w:val="none"/>
        </w:rPr>
        <w:t>Accessed: 20 November 2025).</w:t>
      </w:r>
    </w:p>
    <w:p w:rsidR="7245BF85" w:rsidP="74BF13D3" w:rsidRDefault="7245BF85" w14:paraId="54EBC972" w14:textId="49C5DCDC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4BF13D3" w:rsidR="7245BF85">
        <w:rPr>
          <w:b w:val="0"/>
          <w:bCs w:val="0"/>
          <w:i w:val="0"/>
          <w:iCs w:val="0"/>
          <w:sz w:val="24"/>
          <w:szCs w:val="24"/>
          <w:u w:val="none"/>
        </w:rPr>
        <w:t xml:space="preserve">George, </w:t>
      </w:r>
      <w:r w:rsidRPr="74BF13D3" w:rsidR="7245BF85">
        <w:rPr>
          <w:b w:val="0"/>
          <w:bCs w:val="0"/>
          <w:i w:val="0"/>
          <w:iCs w:val="0"/>
          <w:sz w:val="24"/>
          <w:szCs w:val="24"/>
          <w:u w:val="none"/>
        </w:rPr>
        <w:t>R.</w:t>
      </w:r>
      <w:r w:rsidRPr="74BF13D3" w:rsidR="7245BF85">
        <w:rPr>
          <w:b w:val="0"/>
          <w:bCs w:val="0"/>
          <w:i w:val="0"/>
          <w:iCs w:val="0"/>
          <w:sz w:val="24"/>
          <w:szCs w:val="24"/>
          <w:u w:val="none"/>
        </w:rPr>
        <w:t xml:space="preserve"> and Gallwey, A. (2016) ‘How do parents experience relocation disputes in the family courts?’, </w:t>
      </w:r>
      <w:r w:rsidRPr="74BF13D3" w:rsidR="7245BF85">
        <w:rPr>
          <w:b w:val="0"/>
          <w:bCs w:val="0"/>
          <w:i w:val="1"/>
          <w:iCs w:val="1"/>
          <w:sz w:val="24"/>
          <w:szCs w:val="24"/>
          <w:u w:val="none"/>
        </w:rPr>
        <w:t>Journal of S</w:t>
      </w:r>
      <w:r w:rsidRPr="74BF13D3" w:rsidR="2FF43E02">
        <w:rPr>
          <w:b w:val="0"/>
          <w:bCs w:val="0"/>
          <w:i w:val="1"/>
          <w:iCs w:val="1"/>
          <w:sz w:val="24"/>
          <w:szCs w:val="24"/>
          <w:u w:val="none"/>
        </w:rPr>
        <w:t xml:space="preserve">ocial Welfare and Family Law, </w:t>
      </w:r>
      <w:r w:rsidRPr="74BF13D3" w:rsidR="2FF43E02">
        <w:rPr>
          <w:b w:val="0"/>
          <w:bCs w:val="0"/>
          <w:i w:val="0"/>
          <w:iCs w:val="0"/>
          <w:sz w:val="24"/>
          <w:szCs w:val="24"/>
          <w:u w:val="none"/>
        </w:rPr>
        <w:t xml:space="preserve">38(4), pp. 394-412. Available at: </w:t>
      </w:r>
      <w:hyperlink r:id="Ref289ad27f83473c">
        <w:r w:rsidRPr="74BF13D3" w:rsidR="49416A7F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https://doi-org.ezproxy.uwtsd.ac.uk/10.1080/09649069.2016.1239347</w:t>
        </w:r>
      </w:hyperlink>
      <w:r w:rsidRPr="74BF13D3" w:rsidR="49416A7F">
        <w:rPr>
          <w:b w:val="0"/>
          <w:bCs w:val="0"/>
          <w:i w:val="0"/>
          <w:iCs w:val="0"/>
          <w:sz w:val="24"/>
          <w:szCs w:val="24"/>
          <w:u w:val="none"/>
        </w:rPr>
        <w:t xml:space="preserve"> (Accessed: 20 November 2025).</w:t>
      </w:r>
    </w:p>
    <w:p w:rsidR="7856F6C6" w:rsidP="74BF13D3" w:rsidRDefault="7856F6C6" w14:paraId="52EC5C1E" w14:textId="0608E9CC">
      <w:pPr>
        <w:spacing w:line="360" w:lineRule="auto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74BF13D3" w:rsidR="7856F6C6">
        <w:rPr>
          <w:b w:val="0"/>
          <w:bCs w:val="0"/>
          <w:i w:val="0"/>
          <w:iCs w:val="0"/>
          <w:sz w:val="24"/>
          <w:szCs w:val="24"/>
          <w:u w:val="none"/>
        </w:rPr>
        <w:t xml:space="preserve">‘Payne v Payne’ (2001) 1 FLR, 1052. </w:t>
      </w:r>
      <w:r w:rsidRPr="74BF13D3" w:rsidR="7856F6C6">
        <w:rPr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74BF13D3" w:rsidR="304DBE94">
        <w:rPr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d7c60ba05be94a8a">
        <w:r w:rsidRPr="74BF13D3" w:rsidR="2DB7BDAE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https://librarysearch.uwtsd.ac.uk/permalink/44WHELF_UWTSD/11c0l68/alma99100475802402421</w:t>
        </w:r>
      </w:hyperlink>
      <w:r w:rsidRPr="74BF13D3" w:rsidR="2DB7BDAE">
        <w:rPr>
          <w:b w:val="0"/>
          <w:bCs w:val="0"/>
          <w:i w:val="0"/>
          <w:iCs w:val="0"/>
          <w:sz w:val="24"/>
          <w:szCs w:val="24"/>
          <w:u w:val="none"/>
        </w:rPr>
        <w:t xml:space="preserve"> (Accessed: 20 November 2025).</w:t>
      </w:r>
    </w:p>
    <w:p w:rsidR="74BF13D3" w:rsidP="74BF13D3" w:rsidRDefault="74BF13D3" w14:paraId="1BC698AA" w14:textId="5BC2801D">
      <w:pPr>
        <w:spacing w:line="360" w:lineRule="auto"/>
        <w:jc w:val="left"/>
        <w:rPr>
          <w:b w:val="1"/>
          <w:bCs w:val="1"/>
          <w:sz w:val="24"/>
          <w:szCs w:val="24"/>
          <w:u w:val="none"/>
        </w:rPr>
      </w:pPr>
    </w:p>
    <w:p w:rsidR="74BF13D3" w:rsidP="74BF13D3" w:rsidRDefault="74BF13D3" w14:paraId="6DF1BAF2" w14:textId="6FC7FBA0">
      <w:pPr>
        <w:jc w:val="center"/>
        <w:rPr>
          <w:b w:val="1"/>
          <w:bCs w:val="1"/>
          <w:sz w:val="44"/>
          <w:szCs w:val="44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kMdnjh0" int2:invalidationBookmarkName="" int2:hashCode="5cEnj+BQkBZE21" int2:id="M40TyUX3">
      <int2:state int2:type="style" int2:value="Rejected"/>
    </int2:bookmark>
    <int2:bookmark int2:bookmarkName="_Int_wPw74T0u" int2:invalidationBookmarkName="" int2:hashCode="V9CnXcV+ZGgRNM" int2:id="pKdOlCGg">
      <int2:state int2:type="style" int2:value="Rejected"/>
    </int2:bookmark>
    <int2:bookmark int2:bookmarkName="_Int_TAl5VSut" int2:invalidationBookmarkName="" int2:hashCode="oiOOkZB/okNqal" int2:id="NHb3CN8W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C595A5"/>
    <w:rsid w:val="00ADBBAC"/>
    <w:rsid w:val="00CD2B9A"/>
    <w:rsid w:val="025747C3"/>
    <w:rsid w:val="02DC4193"/>
    <w:rsid w:val="034658F7"/>
    <w:rsid w:val="03B3DF4F"/>
    <w:rsid w:val="03BF487D"/>
    <w:rsid w:val="03FCF131"/>
    <w:rsid w:val="052885D8"/>
    <w:rsid w:val="069070FE"/>
    <w:rsid w:val="094E0FD9"/>
    <w:rsid w:val="096ED9B4"/>
    <w:rsid w:val="099A58EE"/>
    <w:rsid w:val="0A9AB35D"/>
    <w:rsid w:val="0BF60AAC"/>
    <w:rsid w:val="0BF686CD"/>
    <w:rsid w:val="0C39EC03"/>
    <w:rsid w:val="0C4C9CAC"/>
    <w:rsid w:val="0CA4962D"/>
    <w:rsid w:val="0CE19EB1"/>
    <w:rsid w:val="0D37799B"/>
    <w:rsid w:val="0D908313"/>
    <w:rsid w:val="0E9E3375"/>
    <w:rsid w:val="0EB08816"/>
    <w:rsid w:val="0EB47B7E"/>
    <w:rsid w:val="0EE0DAA8"/>
    <w:rsid w:val="0FDE0EB8"/>
    <w:rsid w:val="1098DEAD"/>
    <w:rsid w:val="10EC3550"/>
    <w:rsid w:val="11A06647"/>
    <w:rsid w:val="11A881C5"/>
    <w:rsid w:val="122D39AF"/>
    <w:rsid w:val="13271438"/>
    <w:rsid w:val="13FCE9C4"/>
    <w:rsid w:val="14D4A685"/>
    <w:rsid w:val="1692DB7C"/>
    <w:rsid w:val="16E02A55"/>
    <w:rsid w:val="1815394D"/>
    <w:rsid w:val="1878F5B4"/>
    <w:rsid w:val="18922449"/>
    <w:rsid w:val="1A47E7F8"/>
    <w:rsid w:val="1B335EB7"/>
    <w:rsid w:val="1DDC0E3C"/>
    <w:rsid w:val="1DEE1C6C"/>
    <w:rsid w:val="1ED6166C"/>
    <w:rsid w:val="1F3DD61E"/>
    <w:rsid w:val="1F782FE3"/>
    <w:rsid w:val="1F919729"/>
    <w:rsid w:val="1FC44347"/>
    <w:rsid w:val="1FC586A4"/>
    <w:rsid w:val="1FF22F07"/>
    <w:rsid w:val="21FEBDCD"/>
    <w:rsid w:val="22B4108F"/>
    <w:rsid w:val="22CB0408"/>
    <w:rsid w:val="22FC6F9B"/>
    <w:rsid w:val="239488BC"/>
    <w:rsid w:val="24EB7973"/>
    <w:rsid w:val="25963A20"/>
    <w:rsid w:val="25D5CB95"/>
    <w:rsid w:val="267DEB4C"/>
    <w:rsid w:val="2719CC97"/>
    <w:rsid w:val="2755DCCE"/>
    <w:rsid w:val="288745A7"/>
    <w:rsid w:val="28C61C92"/>
    <w:rsid w:val="2A22CE24"/>
    <w:rsid w:val="2B2928A8"/>
    <w:rsid w:val="2D2FD578"/>
    <w:rsid w:val="2DB7BDAE"/>
    <w:rsid w:val="2E086A68"/>
    <w:rsid w:val="2F026EA2"/>
    <w:rsid w:val="2F4D9709"/>
    <w:rsid w:val="2FF43E02"/>
    <w:rsid w:val="304DBE94"/>
    <w:rsid w:val="3079B935"/>
    <w:rsid w:val="32632105"/>
    <w:rsid w:val="33002EBB"/>
    <w:rsid w:val="34308F91"/>
    <w:rsid w:val="35A332E9"/>
    <w:rsid w:val="35CD201D"/>
    <w:rsid w:val="35EEEB9B"/>
    <w:rsid w:val="36219CD5"/>
    <w:rsid w:val="3671AE85"/>
    <w:rsid w:val="36F3E908"/>
    <w:rsid w:val="378058A8"/>
    <w:rsid w:val="379B09A7"/>
    <w:rsid w:val="37ADC512"/>
    <w:rsid w:val="3843F819"/>
    <w:rsid w:val="38A2ACF8"/>
    <w:rsid w:val="3971DACF"/>
    <w:rsid w:val="397DB429"/>
    <w:rsid w:val="3993F000"/>
    <w:rsid w:val="39DDAC03"/>
    <w:rsid w:val="3BB42D88"/>
    <w:rsid w:val="3BF88433"/>
    <w:rsid w:val="3C209FE8"/>
    <w:rsid w:val="3C2CE05B"/>
    <w:rsid w:val="3C41B467"/>
    <w:rsid w:val="3E2FB1C0"/>
    <w:rsid w:val="3E31F9BE"/>
    <w:rsid w:val="3E4B0616"/>
    <w:rsid w:val="3EE6BE55"/>
    <w:rsid w:val="3FB941F1"/>
    <w:rsid w:val="3FF19ABF"/>
    <w:rsid w:val="40B89CAE"/>
    <w:rsid w:val="40C595A5"/>
    <w:rsid w:val="4194FDA2"/>
    <w:rsid w:val="4272463C"/>
    <w:rsid w:val="432950C7"/>
    <w:rsid w:val="433C19EB"/>
    <w:rsid w:val="434D689D"/>
    <w:rsid w:val="44E38E3E"/>
    <w:rsid w:val="44F2D084"/>
    <w:rsid w:val="456142BA"/>
    <w:rsid w:val="468E838C"/>
    <w:rsid w:val="46E4F704"/>
    <w:rsid w:val="4850BE08"/>
    <w:rsid w:val="49416A7F"/>
    <w:rsid w:val="49828256"/>
    <w:rsid w:val="49EC933A"/>
    <w:rsid w:val="49F6824B"/>
    <w:rsid w:val="4A9C6869"/>
    <w:rsid w:val="4CAA619B"/>
    <w:rsid w:val="4CD08AE7"/>
    <w:rsid w:val="4CDB5474"/>
    <w:rsid w:val="4D8DF129"/>
    <w:rsid w:val="4E0B25A2"/>
    <w:rsid w:val="4EE64ED8"/>
    <w:rsid w:val="500072EA"/>
    <w:rsid w:val="512E9427"/>
    <w:rsid w:val="528661D1"/>
    <w:rsid w:val="53730E5A"/>
    <w:rsid w:val="53B02441"/>
    <w:rsid w:val="53B59BB7"/>
    <w:rsid w:val="5403431F"/>
    <w:rsid w:val="5466C30F"/>
    <w:rsid w:val="549DF106"/>
    <w:rsid w:val="54A7C4CC"/>
    <w:rsid w:val="54F0A9F4"/>
    <w:rsid w:val="553C27C1"/>
    <w:rsid w:val="56697FF6"/>
    <w:rsid w:val="57745A30"/>
    <w:rsid w:val="58818A7E"/>
    <w:rsid w:val="595BEA49"/>
    <w:rsid w:val="59C8838C"/>
    <w:rsid w:val="5AD9D1AE"/>
    <w:rsid w:val="5B277DA2"/>
    <w:rsid w:val="5B91CCEC"/>
    <w:rsid w:val="5B95C0BD"/>
    <w:rsid w:val="5C14653C"/>
    <w:rsid w:val="5D963C72"/>
    <w:rsid w:val="5E0EC3EC"/>
    <w:rsid w:val="5E7FAE5B"/>
    <w:rsid w:val="5EEE5479"/>
    <w:rsid w:val="5F267805"/>
    <w:rsid w:val="5F26A037"/>
    <w:rsid w:val="5F41E232"/>
    <w:rsid w:val="5F9145C4"/>
    <w:rsid w:val="601C62E4"/>
    <w:rsid w:val="604DC8E0"/>
    <w:rsid w:val="60F3716D"/>
    <w:rsid w:val="61564756"/>
    <w:rsid w:val="617E3095"/>
    <w:rsid w:val="61DFCD63"/>
    <w:rsid w:val="61F0354D"/>
    <w:rsid w:val="622648E9"/>
    <w:rsid w:val="62468AFE"/>
    <w:rsid w:val="6281885E"/>
    <w:rsid w:val="62932157"/>
    <w:rsid w:val="630907AF"/>
    <w:rsid w:val="63BE9E31"/>
    <w:rsid w:val="63E916FC"/>
    <w:rsid w:val="644C11E4"/>
    <w:rsid w:val="6455293D"/>
    <w:rsid w:val="64AADCB5"/>
    <w:rsid w:val="657E0AE8"/>
    <w:rsid w:val="65BC3ABC"/>
    <w:rsid w:val="6624EDC4"/>
    <w:rsid w:val="66271BA7"/>
    <w:rsid w:val="66276D62"/>
    <w:rsid w:val="6641AC01"/>
    <w:rsid w:val="664CFA28"/>
    <w:rsid w:val="675D8CD2"/>
    <w:rsid w:val="68CFF751"/>
    <w:rsid w:val="696FB2AD"/>
    <w:rsid w:val="6CB7176A"/>
    <w:rsid w:val="6D783E22"/>
    <w:rsid w:val="6DFC5786"/>
    <w:rsid w:val="6F0528FB"/>
    <w:rsid w:val="6F75E1B0"/>
    <w:rsid w:val="70CE3941"/>
    <w:rsid w:val="70D58C87"/>
    <w:rsid w:val="7245BF85"/>
    <w:rsid w:val="7281A080"/>
    <w:rsid w:val="72E1F9D7"/>
    <w:rsid w:val="7314F6FC"/>
    <w:rsid w:val="73608599"/>
    <w:rsid w:val="73761A57"/>
    <w:rsid w:val="739D74BD"/>
    <w:rsid w:val="73CA8493"/>
    <w:rsid w:val="74BF13D3"/>
    <w:rsid w:val="75031582"/>
    <w:rsid w:val="75D48DB0"/>
    <w:rsid w:val="767A1700"/>
    <w:rsid w:val="76E34BA7"/>
    <w:rsid w:val="77FDDD22"/>
    <w:rsid w:val="783BB741"/>
    <w:rsid w:val="7856F6C6"/>
    <w:rsid w:val="78C603E6"/>
    <w:rsid w:val="78EF474F"/>
    <w:rsid w:val="78F427D3"/>
    <w:rsid w:val="78F5D3DA"/>
    <w:rsid w:val="79365E20"/>
    <w:rsid w:val="79629A0F"/>
    <w:rsid w:val="7A1A237E"/>
    <w:rsid w:val="7A28EC87"/>
    <w:rsid w:val="7AFCB37E"/>
    <w:rsid w:val="7D2BA187"/>
    <w:rsid w:val="7D3AA0AF"/>
    <w:rsid w:val="7EA94E5D"/>
    <w:rsid w:val="7F29EE9F"/>
    <w:rsid w:val="7F2E3440"/>
    <w:rsid w:val="7F6DB01D"/>
    <w:rsid w:val="7FCBC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595A5"/>
  <w15:chartTrackingRefBased/>
  <w15:docId w15:val="{248BD821-635E-4173-8F44-40745A2F36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4BF13D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4BF13D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4BF13D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4BF13D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4BF13D3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4BF13D3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4BF13D3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4BF13D3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4BF13D3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4BF13D3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74BF13D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74BF13D3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4BF13D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4BF13D3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4BF13D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research-ebsco-com.ezproxy.uwtsd.ac.uk/c/onvpsy/viewer/pdf/sirlylsrnz" TargetMode="External" Id="R4c4deb6839d74ceb" /><Relationship Type="http://schemas.openxmlformats.org/officeDocument/2006/relationships/hyperlink" Target="https://doi.org/10.1111/j.1744-1617.2007.00140.x" TargetMode="External" Id="R07b0640f12fc41b7" /><Relationship Type="http://schemas.openxmlformats.org/officeDocument/2006/relationships/hyperlink" Target="https://www.legislation.gov.uk/ukpga/1989/41/contents" TargetMode="External" Id="R40495e6e677f439e" /><Relationship Type="http://schemas.openxmlformats.org/officeDocument/2006/relationships/hyperlink" Target="https://doi-org.ezproxy.uwtsd.ac.uk/10.1080/09649069.2016.1239347" TargetMode="External" Id="Ref289ad27f83473c" /><Relationship Type="http://schemas.openxmlformats.org/officeDocument/2006/relationships/hyperlink" Target="https://librarysearch.uwtsd.ac.uk/permalink/44WHELF_UWTSD/11c0l68/alma99100475802402421" TargetMode="External" Id="Rd7c60ba05be94a8a" /><Relationship Type="http://schemas.microsoft.com/office/2020/10/relationships/intelligence" Target="intelligence2.xml" Id="Rab42240e815f4b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2025-11-24T20:01:27.7521767Z</dcterms:created>
  <dcterms:modified xsi:type="dcterms:W3CDTF">2025-11-24T23:02:33.1159858Z</dcterms:modified>
  <dc:creator>Calan Wilkins (2400656)</dc:creator>
  <lastModifiedBy>Calan Wilkins (2400656)</lastModifiedBy>
</coreProperties>
</file>