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57"/>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u w:val="single"/>
          <w:shd w:fill="auto" w:val="clear"/>
        </w:rPr>
        <w:t xml:space="preserve">Code of Ethical and Professional Practice</w:t>
      </w:r>
    </w:p>
    <w:p>
      <w:pPr>
        <w:spacing w:before="0" w:after="0" w:line="257"/>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pacing w:before="0" w:after="160" w:line="264"/>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Case Study</w:t>
      </w:r>
    </w:p>
    <w:p>
      <w:pPr>
        <w:spacing w:before="0" w:after="160" w:line="264"/>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Inter Luxe Hotel Group is a multinational hotel chain with 800 properties in 25 countries. The hotels are based in coastal resorts and cities. In coastal resorts, customers are mainly those on holiday. In cities, the customer base is more diverse and includes sightseers and business customers. Both groups of customers have high expectations. You work as a People Advisor in the People Function of a cluster of eight hotels. Inter Luxe Hotel Group employs graduate trainees who spend time in different functions to enable them to develop knowledge and understanding of the whole business. A graduate trainee will soon be starting their placement in your function, and you are responsible for their learning during this placement.</w:t>
      </w:r>
    </w:p>
    <w:p>
      <w:pPr>
        <w:spacing w:before="0" w:after="160" w:line="279"/>
        <w:ind w:right="0" w:left="0" w:firstLine="0"/>
        <w:jc w:val="left"/>
        <w:rPr>
          <w:rFonts w:ascii="Calibri" w:hAnsi="Calibri" w:cs="Calibri" w:eastAsia="Calibri"/>
          <w:color w:val="000000"/>
          <w:spacing w:val="0"/>
          <w:position w:val="0"/>
          <w:sz w:val="22"/>
          <w:shd w:fill="auto" w:val="clear"/>
        </w:rPr>
      </w:pPr>
    </w:p>
    <w:p>
      <w:pPr>
        <w:spacing w:before="0" w:after="160" w:line="279"/>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Task five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Guidance document (learning and development)</w:t>
      </w:r>
    </w:p>
    <w:p>
      <w:pPr>
        <w:spacing w:before="0" w:after="160" w:line="279"/>
        <w:ind w:right="0" w:left="0" w:firstLine="0"/>
        <w:jc w:val="left"/>
        <w:rPr>
          <w:rFonts w:ascii="Calibri" w:hAnsi="Calibri" w:cs="Calibri" w:eastAsia="Calibri"/>
          <w:color w:val="000000"/>
          <w:spacing w:val="0"/>
          <w:position w:val="0"/>
          <w:sz w:val="22"/>
          <w:u w:val="single"/>
          <w:shd w:fill="auto" w:val="clear"/>
        </w:rPr>
      </w:pPr>
      <w:r>
        <w:rPr>
          <w:rFonts w:ascii="Calibri" w:hAnsi="Calibri" w:cs="Calibri" w:eastAsia="Calibri"/>
          <w:color w:val="000000"/>
          <w:spacing w:val="0"/>
          <w:position w:val="0"/>
          <w:sz w:val="22"/>
          <w:u w:val="single"/>
          <w:shd w:fill="auto" w:val="clear"/>
        </w:rPr>
        <w:t xml:space="preserve">Your manager is keen that being responsible for the development of the graduate trainee is also a development opportunity for you. Your manager asks you to:</w:t>
      </w:r>
    </w:p>
    <w:p>
      <w:pPr>
        <w:spacing w:before="0" w:after="160" w:line="279"/>
        <w:ind w:right="0" w:left="0" w:firstLine="0"/>
        <w:jc w:val="left"/>
        <w:rPr>
          <w:rFonts w:ascii="Aptos" w:hAnsi="Aptos" w:cs="Aptos" w:eastAsia="Aptos"/>
          <w:color w:val="auto"/>
          <w:spacing w:val="0"/>
          <w:position w:val="0"/>
          <w:sz w:val="24"/>
          <w:shd w:fill="auto" w:val="clear"/>
        </w:rPr>
      </w:pPr>
      <w:r>
        <w:rPr>
          <w:rFonts w:ascii="Cambria Math" w:hAnsi="Cambria Math" w:cs="Cambria Math" w:eastAsia="Cambria Math"/>
          <w:color w:val="000000"/>
          <w:spacing w:val="0"/>
          <w:position w:val="0"/>
          <w:sz w:val="22"/>
          <w:u w:val="single"/>
          <w:shd w:fill="auto" w:val="clear"/>
        </w:rPr>
        <w:t xml:space="preserve">⦁</w:t>
      </w:r>
      <w:r>
        <w:rPr>
          <w:rFonts w:ascii="Aptos" w:hAnsi="Aptos" w:cs="Aptos" w:eastAsia="Aptos"/>
          <w:color w:val="auto"/>
          <w:spacing w:val="0"/>
          <w:position w:val="0"/>
          <w:sz w:val="24"/>
          <w:shd w:fill="auto" w:val="clear"/>
        </w:rPr>
        <w:tab/>
      </w:r>
      <w:r>
        <w:rPr>
          <w:rFonts w:ascii="Calibri" w:hAnsi="Calibri" w:cs="Calibri" w:eastAsia="Calibri"/>
          <w:color w:val="000000"/>
          <w:spacing w:val="0"/>
          <w:position w:val="0"/>
          <w:sz w:val="22"/>
          <w:u w:val="single"/>
          <w:shd w:fill="auto" w:val="clear"/>
        </w:rPr>
        <w:t xml:space="preserve">explain why learning and development activities are of benefit to the graduate trainee and Inter Luxe Hotel Group. (AC 6.1) </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2"/>
          <w:shd w:fill="auto" w:val="clear"/>
        </w:rPr>
        <w:t xml:space="preserve">Learning and development (L&amp;D) activities are essential for both the graduate trainee and Inter Luxe Hotel Group, supporting operational excellence, employee engagement, and long-term business growth. For the trainee, L&amp;D builds capability, confidence, and alignment with the company’s SMART objectives. In today’s dynamic environment, particularly with technological advances such as AI, learning in the flow of work (Bersin, 2018) enables quick adaptation, ensuring the business remains agile and compliant.</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2"/>
          <w:shd w:fill="auto" w:val="clear"/>
        </w:rPr>
        <w:t xml:space="preserve">The </w:t>
      </w:r>
      <w:r>
        <w:rPr>
          <w:rFonts w:ascii="Calibri" w:hAnsi="Calibri" w:cs="Calibri" w:eastAsia="Calibri"/>
          <w:b/>
          <w:color w:val="auto"/>
          <w:spacing w:val="0"/>
          <w:position w:val="0"/>
          <w:sz w:val="22"/>
          <w:shd w:fill="auto" w:val="clear"/>
        </w:rPr>
        <w:t xml:space="preserve">CIPD Profession Map (2018)</w:t>
      </w:r>
      <w:r>
        <w:rPr>
          <w:rFonts w:ascii="Calibri" w:hAnsi="Calibri" w:cs="Calibri" w:eastAsia="Calibri"/>
          <w:color w:val="auto"/>
          <w:spacing w:val="0"/>
          <w:position w:val="0"/>
          <w:sz w:val="22"/>
          <w:shd w:fill="auto" w:val="clear"/>
        </w:rPr>
        <w:t xml:space="preserve"> is an essential guide explains (Waite, K. et Al. </w:t>
      </w:r>
      <w:r>
        <w:rPr>
          <w:rFonts w:ascii="Calibri" w:hAnsi="Calibri" w:cs="Calibri" w:eastAsia="Calibri"/>
          <w:color w:val="000000"/>
          <w:spacing w:val="0"/>
          <w:position w:val="0"/>
          <w:sz w:val="22"/>
          <w:shd w:fill="auto" w:val="clear"/>
        </w:rPr>
        <w:t xml:space="preserve">2021a, p. 208)</w:t>
      </w:r>
      <w:r>
        <w:rPr>
          <w:rFonts w:ascii="Calibri" w:hAnsi="Calibri" w:cs="Calibri" w:eastAsia="Calibri"/>
          <w:color w:val="auto"/>
          <w:spacing w:val="0"/>
          <w:position w:val="0"/>
          <w:sz w:val="22"/>
          <w:shd w:fill="auto" w:val="clear"/>
        </w:rPr>
        <w:t xml:space="preserve"> for all people professionals. It defines the core knowledge, behaviours, and specialist areas required for effective HR practice. It supports ethical decision-making, evidence-based practice, and continuous professional development. For graduate trainees and mentors alike, the map helps ensure development activities are purposeful, aligned to organisational goals, and reflective of best practice.</w:t>
      </w:r>
    </w:p>
    <w:p>
      <w:pPr>
        <w:spacing w:before="240" w:after="240" w:line="27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2"/>
          <w:shd w:fill="auto" w:val="clear"/>
        </w:rPr>
        <w:t xml:space="preserve">A structured model like 70:20:10</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70% on-the-job, 20% social learning, and 10% formal training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is highly effective. In my role, shadowing and real-time feedback allowed me to complete a bespoke training matrix. This practical exposure helped identify risks such as GDPR breaches or recruitment system errors, enhancing compliance and security.</w:t>
      </w:r>
    </w:p>
    <w:p>
      <w:pPr>
        <w:spacing w:before="240" w:after="240" w:line="27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L&amp;D also protects the business. For example, ACAS training on handling difficult conversations and preventing sexual harassment (ACAS, 2025) helps mitigate tribunal risks and reputational damage. Regular updates (CIPD, 2025) aligned with legislation support employee retention, performance, and morale.</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2"/>
          <w:shd w:fill="auto" w:val="clear"/>
        </w:rPr>
        <w:t xml:space="preserve">Overall, investing in L&amp;D benefits all stakeholders, enhancing service quality and building a competitive, compliant, and resilient organisation.</w:t>
      </w:r>
    </w:p>
    <w:p>
      <w:pPr>
        <w:spacing w:before="0" w:after="160" w:line="279"/>
        <w:ind w:right="0" w:left="0" w:firstLine="0"/>
        <w:jc w:val="left"/>
        <w:rPr>
          <w:rFonts w:ascii="Calibri" w:hAnsi="Calibri" w:cs="Calibri" w:eastAsia="Calibri"/>
          <w:b/>
          <w:color w:val="000000"/>
          <w:spacing w:val="0"/>
          <w:position w:val="0"/>
          <w:sz w:val="22"/>
          <w:u w:val="single"/>
          <w:shd w:fill="auto" w:val="clear"/>
        </w:rPr>
      </w:pPr>
      <w:r>
        <w:rPr>
          <w:rFonts w:ascii="Calibri" w:hAnsi="Calibri" w:cs="Calibri" w:eastAsia="Calibri"/>
          <w:b/>
          <w:color w:val="000000"/>
          <w:spacing w:val="0"/>
          <w:position w:val="0"/>
          <w:sz w:val="22"/>
          <w:u w:val="single"/>
          <w:shd w:fill="auto" w:val="clear"/>
        </w:rPr>
        <w:t xml:space="preserve">Figure 1 </w:t>
      </w:r>
      <w:r>
        <w:rPr>
          <w:rFonts w:ascii="Calibri" w:hAnsi="Calibri" w:cs="Calibri" w:eastAsia="Calibri"/>
          <w:color w:val="000000"/>
          <w:spacing w:val="0"/>
          <w:position w:val="0"/>
          <w:sz w:val="22"/>
          <w:u w:val="single"/>
          <w:shd w:fill="auto" w:val="clear"/>
        </w:rPr>
        <w:t xml:space="preserve">Bersin Learning in the Flow of Work</w:t>
      </w:r>
    </w:p>
    <w:p>
      <w:pPr>
        <w:spacing w:before="240" w:after="240" w:line="279"/>
        <w:ind w:right="0" w:left="0" w:firstLine="0"/>
        <w:jc w:val="left"/>
        <w:rPr>
          <w:rFonts w:ascii="Aptos" w:hAnsi="Aptos" w:cs="Aptos" w:eastAsia="Aptos"/>
          <w:color w:val="auto"/>
          <w:spacing w:val="0"/>
          <w:position w:val="0"/>
          <w:sz w:val="24"/>
          <w:shd w:fill="auto" w:val="clear"/>
        </w:rPr>
      </w:pPr>
      <w:r>
        <w:object w:dxaOrig="8654" w:dyaOrig="4478">
          <v:rect xmlns:o="urn:schemas-microsoft-com:office:office" xmlns:v="urn:schemas-microsoft-com:vml" id="rectole0000000000" style="width:432.700000pt;height:223.9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79"/>
        <w:ind w:right="0" w:left="0" w:firstLine="0"/>
        <w:jc w:val="left"/>
        <w:rPr>
          <w:rFonts w:ascii="Aptos" w:hAnsi="Aptos" w:cs="Aptos" w:eastAsia="Aptos"/>
          <w:color w:val="auto"/>
          <w:spacing w:val="0"/>
          <w:position w:val="0"/>
          <w:sz w:val="24"/>
          <w:shd w:fill="auto" w:val="clear"/>
        </w:rPr>
      </w:pPr>
      <w:r>
        <w:rPr>
          <w:rFonts w:ascii="Cambria Math" w:hAnsi="Cambria Math" w:cs="Cambria Math" w:eastAsia="Cambria Math"/>
          <w:color w:val="000000"/>
          <w:spacing w:val="0"/>
          <w:position w:val="0"/>
          <w:sz w:val="22"/>
          <w:u w:val="single"/>
          <w:shd w:fill="auto" w:val="clear"/>
        </w:rPr>
        <w:t xml:space="preserve">⦁</w:t>
      </w:r>
      <w:r>
        <w:rPr>
          <w:rFonts w:ascii="Aptos" w:hAnsi="Aptos" w:cs="Aptos" w:eastAsia="Aptos"/>
          <w:color w:val="auto"/>
          <w:spacing w:val="0"/>
          <w:position w:val="0"/>
          <w:sz w:val="24"/>
          <w:shd w:fill="auto" w:val="clear"/>
        </w:rPr>
        <w:tab/>
      </w:r>
      <w:r>
        <w:rPr>
          <w:rFonts w:ascii="Calibri" w:hAnsi="Calibri" w:cs="Calibri" w:eastAsia="Calibri"/>
          <w:color w:val="000000"/>
          <w:spacing w:val="0"/>
          <w:position w:val="0"/>
          <w:sz w:val="22"/>
          <w:u w:val="single"/>
          <w:shd w:fill="auto" w:val="clear"/>
        </w:rPr>
        <w:t xml:space="preserve">describe different types of learning needs and reasons why they arise for the graduate trainee and Inter Luxe Hotel Group. (AC 6.2)</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2"/>
          <w:shd w:fill="auto" w:val="clear"/>
        </w:rPr>
        <w:t xml:space="preserve">Learning needs arise from a variety of factors, both individual and organisational. For the graduate trainee, learning needs may include developing role-specific skills, understanding internal systems, or acquiring knowledge of relevant legislation and policies. For Inter Luxe Hotel Group, learning needs emerge from evolving operational demands, guest expectations, and external influences such as technological advancements or regulatory change (PESTLE analysis).</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2"/>
          <w:shd w:fill="auto" w:val="clear"/>
        </w:rPr>
        <w:t xml:space="preserve">The rise in value placed on Learning and Development (L&amp;D) functions, as highlighted in the </w:t>
      </w:r>
      <w:r>
        <w:rPr>
          <w:rFonts w:ascii="Calibri" w:hAnsi="Calibri" w:cs="Calibri" w:eastAsia="Calibri"/>
          <w:i/>
          <w:color w:val="auto"/>
          <w:spacing w:val="0"/>
          <w:position w:val="0"/>
          <w:sz w:val="22"/>
          <w:shd w:fill="auto" w:val="clear"/>
        </w:rPr>
        <w:t xml:space="preserve">Learning at Work Report</w:t>
      </w:r>
      <w:r>
        <w:rPr>
          <w:rFonts w:ascii="Calibri" w:hAnsi="Calibri" w:cs="Calibri" w:eastAsia="Calibri"/>
          <w:color w:val="auto"/>
          <w:spacing w:val="0"/>
          <w:position w:val="0"/>
          <w:sz w:val="22"/>
          <w:shd w:fill="auto" w:val="clear"/>
        </w:rPr>
        <w:t xml:space="preserve"> (2023), reflects a broader strategic role. L&amp;D teams, often within internal academies, assess department needs in partnership with managers to design tailored training matrices. This ensures that training is relevant, role-specific, and delivered within realistic time and budget constraints. For example, not all staff require supervisory training, and delivering it universally would be inefficient and potentially demotivating.</w:t>
      </w:r>
    </w:p>
    <w:p>
      <w:pPr>
        <w:spacing w:before="240" w:after="240" w:line="27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2"/>
          <w:shd w:fill="auto" w:val="clear"/>
        </w:rPr>
        <w:t xml:space="preserve">Learning needs may be reactive (addressing skills gaps or compliance risks) or proactive (supporting career progression, talent retention, and succession planning). Graduate trainees may also have social and psychological learning needs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such as confidence building or understanding workplace culture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which must be addressed to support performance and engagement.</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2"/>
          <w:shd w:fill="auto" w:val="clear"/>
        </w:rPr>
        <w:t xml:space="preserve">People professionals must use data analytics, employee feedback, and workforce planning insights to identify and address these needs. Regular reviews of training programmes, performance appraisals, and CPD activities are vital. When aligned with strategic goals, learning drives both personal growth and organisational performance, while also supporting compliance, engagement, and retention.</w:t>
      </w:r>
    </w:p>
    <w:p>
      <w:pPr>
        <w:spacing w:before="0" w:after="160" w:line="279"/>
        <w:ind w:right="0" w:left="0" w:firstLine="0"/>
        <w:jc w:val="left"/>
        <w:rPr>
          <w:rFonts w:ascii="Calibri" w:hAnsi="Calibri" w:cs="Calibri" w:eastAsia="Calibri"/>
          <w:color w:val="000000"/>
          <w:spacing w:val="0"/>
          <w:position w:val="0"/>
          <w:sz w:val="22"/>
          <w:u w:val="single"/>
          <w:shd w:fill="auto" w:val="clear"/>
        </w:rPr>
      </w:pPr>
      <w:r>
        <w:rPr>
          <w:rFonts w:ascii="Calibri" w:hAnsi="Calibri" w:cs="Calibri" w:eastAsia="Calibri"/>
          <w:b/>
          <w:color w:val="000000"/>
          <w:spacing w:val="0"/>
          <w:position w:val="0"/>
          <w:sz w:val="22"/>
          <w:u w:val="single"/>
          <w:shd w:fill="auto" w:val="clear"/>
        </w:rPr>
        <w:t xml:space="preserve">Figure 2 </w:t>
      </w:r>
      <w:r>
        <w:rPr>
          <w:rFonts w:ascii="Calibri" w:hAnsi="Calibri" w:cs="Calibri" w:eastAsia="Calibri"/>
          <w:color w:val="000000"/>
          <w:spacing w:val="0"/>
          <w:position w:val="0"/>
          <w:sz w:val="22"/>
          <w:u w:val="single"/>
          <w:shd w:fill="auto" w:val="clear"/>
        </w:rPr>
        <w:t xml:space="preserve">CIPD CPD Cycle</w:t>
      </w:r>
    </w:p>
    <w:p>
      <w:pPr>
        <w:spacing w:before="240" w:after="240" w:line="279"/>
        <w:ind w:right="0" w:left="0" w:firstLine="0"/>
        <w:jc w:val="left"/>
        <w:rPr>
          <w:rFonts w:ascii="Aptos" w:hAnsi="Aptos" w:cs="Aptos" w:eastAsia="Aptos"/>
          <w:color w:val="auto"/>
          <w:spacing w:val="0"/>
          <w:position w:val="0"/>
          <w:sz w:val="24"/>
          <w:shd w:fill="auto" w:val="clear"/>
        </w:rPr>
      </w:pPr>
      <w:r>
        <w:object w:dxaOrig="8654" w:dyaOrig="5112">
          <v:rect xmlns:o="urn:schemas-microsoft-com:office:office" xmlns:v="urn:schemas-microsoft-com:vml" id="rectole0000000001" style="width:432.700000pt;height:255.6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279"/>
        <w:ind w:right="0" w:left="0" w:firstLine="0"/>
        <w:jc w:val="left"/>
        <w:rPr>
          <w:rFonts w:ascii="Aptos" w:hAnsi="Aptos" w:cs="Aptos" w:eastAsia="Aptos"/>
          <w:color w:val="auto"/>
          <w:spacing w:val="0"/>
          <w:position w:val="0"/>
          <w:sz w:val="24"/>
          <w:shd w:fill="auto" w:val="clear"/>
        </w:rPr>
      </w:pPr>
      <w:r>
        <w:rPr>
          <w:rFonts w:ascii="Cambria Math" w:hAnsi="Cambria Math" w:cs="Cambria Math" w:eastAsia="Cambria Math"/>
          <w:color w:val="000000"/>
          <w:spacing w:val="0"/>
          <w:position w:val="0"/>
          <w:sz w:val="22"/>
          <w:u w:val="single"/>
          <w:shd w:fill="auto" w:val="clear"/>
        </w:rPr>
        <w:t xml:space="preserve">⦁</w:t>
      </w:r>
      <w:r>
        <w:rPr>
          <w:rFonts w:ascii="Aptos" w:hAnsi="Aptos" w:cs="Aptos" w:eastAsia="Aptos"/>
          <w:color w:val="auto"/>
          <w:spacing w:val="0"/>
          <w:position w:val="0"/>
          <w:sz w:val="24"/>
          <w:shd w:fill="auto" w:val="clear"/>
        </w:rPr>
        <w:tab/>
      </w:r>
      <w:r>
        <w:rPr>
          <w:rFonts w:ascii="Calibri" w:hAnsi="Calibri" w:cs="Calibri" w:eastAsia="Calibri"/>
          <w:color w:val="000000"/>
          <w:spacing w:val="0"/>
          <w:position w:val="0"/>
          <w:sz w:val="22"/>
          <w:u w:val="single"/>
          <w:shd w:fill="auto" w:val="clear"/>
        </w:rPr>
        <w:t xml:space="preserve">summarise different face-to-face and blended learning and development approaches, including facilitation; training; coaching; and mentoring that you could use when developing the graduate trainee. (AC 6.3) </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2"/>
          <w:shd w:fill="auto" w:val="clear"/>
        </w:rPr>
        <w:t xml:space="preserve">To effectively support a trainee, it is essential to consider their individual learning preferences, which generally fall into two categories: </w:t>
      </w:r>
      <w:r>
        <w:rPr>
          <w:rFonts w:ascii="Calibri" w:hAnsi="Calibri" w:cs="Calibri" w:eastAsia="Calibri"/>
          <w:b/>
          <w:color w:val="auto"/>
          <w:spacing w:val="0"/>
          <w:position w:val="0"/>
          <w:sz w:val="22"/>
          <w:shd w:fill="auto" w:val="clear"/>
        </w:rPr>
        <w:t xml:space="preserve">asynchronous</w:t>
      </w:r>
      <w:r>
        <w:rPr>
          <w:rFonts w:ascii="Calibri" w:hAnsi="Calibri" w:cs="Calibri" w:eastAsia="Calibri"/>
          <w:color w:val="auto"/>
          <w:spacing w:val="0"/>
          <w:position w:val="0"/>
          <w:sz w:val="22"/>
          <w:shd w:fill="auto" w:val="clear"/>
        </w:rPr>
        <w:t xml:space="preserve"> (self-paced learning) and </w:t>
      </w:r>
      <w:r>
        <w:rPr>
          <w:rFonts w:ascii="Calibri" w:hAnsi="Calibri" w:cs="Calibri" w:eastAsia="Calibri"/>
          <w:b/>
          <w:color w:val="auto"/>
          <w:spacing w:val="0"/>
          <w:position w:val="0"/>
          <w:sz w:val="22"/>
          <w:shd w:fill="auto" w:val="clear"/>
        </w:rPr>
        <w:t xml:space="preserve">synchronous</w:t>
      </w:r>
      <w:r>
        <w:rPr>
          <w:rFonts w:ascii="Calibri" w:hAnsi="Calibri" w:cs="Calibri" w:eastAsia="Calibri"/>
          <w:color w:val="auto"/>
          <w:spacing w:val="0"/>
          <w:position w:val="0"/>
          <w:sz w:val="22"/>
          <w:shd w:fill="auto" w:val="clear"/>
        </w:rPr>
        <w:t xml:space="preserve"> (real-time group learning). Recognising these preferences allows for the selection of appropriate learning methods.</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b/>
          <w:color w:val="auto"/>
          <w:spacing w:val="0"/>
          <w:position w:val="0"/>
          <w:sz w:val="22"/>
          <w:shd w:fill="auto" w:val="clear"/>
        </w:rPr>
        <w:t xml:space="preserve">Blended learning</w:t>
      </w:r>
      <w:r>
        <w:rPr>
          <w:rFonts w:ascii="Calibri" w:hAnsi="Calibri" w:cs="Calibri" w:eastAsia="Calibri"/>
          <w:color w:val="auto"/>
          <w:spacing w:val="0"/>
          <w:position w:val="0"/>
          <w:sz w:val="22"/>
          <w:shd w:fill="auto" w:val="clear"/>
        </w:rPr>
        <w:t xml:space="preserve">, which combines face-to-face and digital elements, offers flexibility, cost-efficiency, and sustained engagement. It encourages peer collaboration and can be tailored to individual needs. However, it may impact productivity if large groups are removed from operations simultaneously, and some trainees may be reluctant to speak out in group settings.</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b/>
          <w:color w:val="auto"/>
          <w:spacing w:val="0"/>
          <w:position w:val="0"/>
          <w:sz w:val="22"/>
          <w:shd w:fill="auto" w:val="clear"/>
        </w:rPr>
        <w:t xml:space="preserve">Facilitation</w:t>
      </w:r>
      <w:r>
        <w:rPr>
          <w:rFonts w:ascii="Calibri" w:hAnsi="Calibri" w:cs="Calibri" w:eastAsia="Calibri"/>
          <w:color w:val="auto"/>
          <w:spacing w:val="0"/>
          <w:position w:val="0"/>
          <w:sz w:val="22"/>
          <w:shd w:fill="auto" w:val="clear"/>
        </w:rPr>
        <w:t xml:space="preserve"> involves guiding individuals or groups through learning experiences rather than instructing them directly. It provides a supportive environment for the trainee to ask questions, reflect, and develop confidence.</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b/>
          <w:color w:val="auto"/>
          <w:spacing w:val="0"/>
          <w:position w:val="0"/>
          <w:sz w:val="22"/>
          <w:shd w:fill="auto" w:val="clear"/>
        </w:rPr>
        <w:t xml:space="preserve">Training</w:t>
      </w:r>
      <w:r>
        <w:rPr>
          <w:rFonts w:ascii="Calibri" w:hAnsi="Calibri" w:cs="Calibri" w:eastAsia="Calibri"/>
          <w:color w:val="auto"/>
          <w:spacing w:val="0"/>
          <w:position w:val="0"/>
          <w:sz w:val="22"/>
          <w:shd w:fill="auto" w:val="clear"/>
        </w:rPr>
        <w:t xml:space="preserve"> is typically structured and process-driven, often delivered over several sessions. It involves passing on knowledge or skills in a step-by-step format, allowing for clear expectations, practice, and evaluation. This approach is especially effective when learning operational systems or procedures.</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b/>
          <w:color w:val="auto"/>
          <w:spacing w:val="0"/>
          <w:position w:val="0"/>
          <w:sz w:val="22"/>
          <w:shd w:fill="auto" w:val="clear"/>
        </w:rPr>
        <w:t xml:space="preserve">Coaching</w:t>
      </w:r>
      <w:r>
        <w:rPr>
          <w:rFonts w:ascii="Calibri" w:hAnsi="Calibri" w:cs="Calibri" w:eastAsia="Calibri"/>
          <w:color w:val="auto"/>
          <w:spacing w:val="0"/>
          <w:position w:val="0"/>
          <w:sz w:val="22"/>
          <w:shd w:fill="auto" w:val="clear"/>
        </w:rPr>
        <w:t xml:space="preserve"> and </w:t>
      </w:r>
      <w:r>
        <w:rPr>
          <w:rFonts w:ascii="Calibri" w:hAnsi="Calibri" w:cs="Calibri" w:eastAsia="Calibri"/>
          <w:b/>
          <w:color w:val="auto"/>
          <w:spacing w:val="0"/>
          <w:position w:val="0"/>
          <w:sz w:val="22"/>
          <w:shd w:fill="auto" w:val="clear"/>
        </w:rPr>
        <w:t xml:space="preserve">mentoring</w:t>
      </w:r>
      <w:r>
        <w:rPr>
          <w:rFonts w:ascii="Calibri" w:hAnsi="Calibri" w:cs="Calibri" w:eastAsia="Calibri"/>
          <w:color w:val="auto"/>
          <w:spacing w:val="0"/>
          <w:position w:val="0"/>
          <w:sz w:val="22"/>
          <w:shd w:fill="auto" w:val="clear"/>
        </w:rPr>
        <w:t xml:space="preserve"> involve experienced staff supporting the trainee’s development. Coaching is often trainee-led and goal-focused, while mentoring tends to be longer-term and relationship-based. Both promote knowledge transfer, confidence, and professional integration. A well-matched mentor or coach can inspire high performance, whereas poor leadership may lead to bad habits or disengagement.</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2"/>
          <w:shd w:fill="auto" w:val="clear"/>
        </w:rPr>
        <w:t xml:space="preserve">Ultimately, the success of any method depends on learner engagement, ongoing feedback, and alignment with organisational goals and values. Simon Sinek (2021) believes it is not just WHAT or HOW you do things that matters; what matters more is that WHAT and HOW you do things is consistent with your WHY.</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b/>
          <w:color w:val="000000"/>
          <w:spacing w:val="0"/>
          <w:position w:val="0"/>
          <w:sz w:val="22"/>
          <w:u w:val="single"/>
          <w:shd w:fill="auto" w:val="clear"/>
        </w:rPr>
        <w:t xml:space="preserve">Figure 3 </w:t>
      </w:r>
      <w:r>
        <w:rPr>
          <w:rFonts w:ascii="Calibri" w:hAnsi="Calibri" w:cs="Calibri" w:eastAsia="Calibri"/>
          <w:color w:val="000000"/>
          <w:spacing w:val="0"/>
          <w:position w:val="0"/>
          <w:sz w:val="22"/>
          <w:u w:val="single"/>
          <w:shd w:fill="auto" w:val="clear"/>
        </w:rPr>
        <w:t xml:space="preserve">Sinek Golden Circle</w:t>
      </w:r>
      <w:r>
        <w:object w:dxaOrig="8654" w:dyaOrig="6264">
          <v:rect xmlns:o="urn:schemas-microsoft-com:office:office" xmlns:v="urn:schemas-microsoft-com:vml" id="rectole0000000002" style="width:432.700000pt;height:313.2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279"/>
        <w:ind w:right="0" w:left="0" w:firstLine="0"/>
        <w:jc w:val="left"/>
        <w:rPr>
          <w:rFonts w:ascii="Aptos" w:hAnsi="Aptos" w:cs="Aptos" w:eastAsia="Aptos"/>
          <w:color w:val="auto"/>
          <w:spacing w:val="0"/>
          <w:position w:val="0"/>
          <w:sz w:val="24"/>
          <w:shd w:fill="auto" w:val="clear"/>
        </w:rPr>
      </w:pPr>
      <w:r>
        <w:rPr>
          <w:rFonts w:ascii="Cambria Math" w:hAnsi="Cambria Math" w:cs="Cambria Math" w:eastAsia="Cambria Math"/>
          <w:color w:val="000000"/>
          <w:spacing w:val="0"/>
          <w:position w:val="0"/>
          <w:sz w:val="22"/>
          <w:u w:val="single"/>
          <w:shd w:fill="auto" w:val="clear"/>
        </w:rPr>
        <w:t xml:space="preserve">⦁</w:t>
      </w:r>
      <w:r>
        <w:rPr>
          <w:rFonts w:ascii="Aptos" w:hAnsi="Aptos" w:cs="Aptos" w:eastAsia="Aptos"/>
          <w:color w:val="auto"/>
          <w:spacing w:val="0"/>
          <w:position w:val="0"/>
          <w:sz w:val="24"/>
          <w:shd w:fill="auto" w:val="clear"/>
        </w:rPr>
        <w:tab/>
      </w:r>
      <w:r>
        <w:rPr>
          <w:rFonts w:ascii="Calibri" w:hAnsi="Calibri" w:cs="Calibri" w:eastAsia="Calibri"/>
          <w:color w:val="000000"/>
          <w:spacing w:val="0"/>
          <w:position w:val="0"/>
          <w:sz w:val="22"/>
          <w:u w:val="single"/>
          <w:shd w:fill="auto" w:val="clear"/>
        </w:rPr>
        <w:t xml:space="preserve">explain how, in the design and delivery of learning and development initiatives, individual requirements and preferences of the graduate trainee must be accommodated. (AC 6.4)</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2"/>
          <w:shd w:fill="auto" w:val="clear"/>
        </w:rPr>
        <w:t xml:space="preserve">When designing and delivering learning and development (L&amp;D) initiatives, it is essential to consider the trainee’s individual needs, preferences, and circumstances. These may include learning history, cultural background, disabilities, or religious requirements. A personalised approach ensures equity and promotes engagement, productivity, and long-term retention.</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2"/>
          <w:shd w:fill="auto" w:val="clear"/>
        </w:rPr>
        <w:t xml:space="preserve">For example, a trainee with dyslexia may benefit from digital tools such as text-to-speech software or coloured overlays. These reasonable adjustments help bring equity and support inclusive learning. The </w:t>
      </w:r>
      <w:r>
        <w:rPr>
          <w:rFonts w:ascii="Calibri" w:hAnsi="Calibri" w:cs="Calibri" w:eastAsia="Calibri"/>
          <w:b/>
          <w:color w:val="auto"/>
          <w:spacing w:val="0"/>
          <w:position w:val="0"/>
          <w:sz w:val="22"/>
          <w:shd w:fill="auto" w:val="clear"/>
        </w:rPr>
        <w:t xml:space="preserve">Equality Act 2010</w:t>
      </w:r>
      <w:r>
        <w:rPr>
          <w:rFonts w:ascii="Calibri" w:hAnsi="Calibri" w:cs="Calibri" w:eastAsia="Calibri"/>
          <w:color w:val="auto"/>
          <w:spacing w:val="0"/>
          <w:position w:val="0"/>
          <w:sz w:val="22"/>
          <w:shd w:fill="auto" w:val="clear"/>
        </w:rPr>
        <w:t xml:space="preserve"> requires employers to make such adjustments to avoid discrimination and create fair access to development opportunities.</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2"/>
          <w:shd w:fill="auto" w:val="clear"/>
        </w:rPr>
        <w:t xml:space="preserve">Understanding how adults learn is also vital. According to the </w:t>
      </w:r>
      <w:r>
        <w:rPr>
          <w:rFonts w:ascii="Calibri" w:hAnsi="Calibri" w:cs="Calibri" w:eastAsia="Calibri"/>
          <w:b/>
          <w:color w:val="auto"/>
          <w:spacing w:val="0"/>
          <w:position w:val="0"/>
          <w:sz w:val="22"/>
          <w:shd w:fill="auto" w:val="clear"/>
        </w:rPr>
        <w:t xml:space="preserve">Theory of Andragogy</w:t>
      </w:r>
      <w:r>
        <w:rPr>
          <w:rFonts w:ascii="Calibri" w:hAnsi="Calibri" w:cs="Calibri" w:eastAsia="Calibri"/>
          <w:color w:val="auto"/>
          <w:spacing w:val="0"/>
          <w:position w:val="0"/>
          <w:sz w:val="22"/>
          <w:shd w:fill="auto" w:val="clear"/>
        </w:rPr>
        <w:t xml:space="preserve"> (Waite et al., 2021, p. 222), adult learners often have clear preferences shaped by previous education or work experiences. Some may prefer visual aids, others hands-on activities, or flexible self-paced modules. Flexibility in delivery, offering options like blended learning or one-to-one coaching, can improve motivation and learning outcomes.</w:t>
      </w:r>
    </w:p>
    <w:p>
      <w:pPr>
        <w:spacing w:before="240" w:after="240" w:line="27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Respecting cultural or religious practices, such as avoiding scheduling training during religious holidays or accommodating flexible work patterns, reinforces a supportive and inclusive learning environment. People professionals play a key role in raising awareness and advising managers on how to meet these needs appropriately, following the CIPD (2022) Code of Professional Conduct including leading with ethical standards.</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2"/>
          <w:shd w:fill="auto" w:val="clear"/>
        </w:rPr>
        <w:t xml:space="preserve">Ultimately, by accommodating individual learning preferences and needs, Inter Luxe Hotel Group can enhance engagement, protect against legal risks, and build a reputation as an inclusive employer, contributing to morale, retention, and overall business success.</w:t>
      </w:r>
    </w:p>
    <w:p>
      <w:pPr>
        <w:spacing w:before="240" w:after="240" w:line="279"/>
        <w:ind w:right="0" w:left="0" w:firstLine="0"/>
        <w:jc w:val="left"/>
        <w:rPr>
          <w:rFonts w:ascii="Calibri" w:hAnsi="Calibri" w:cs="Calibri" w:eastAsia="Calibri"/>
          <w:color w:val="auto"/>
          <w:spacing w:val="0"/>
          <w:position w:val="0"/>
          <w:sz w:val="22"/>
          <w:shd w:fill="auto" w:val="clear"/>
        </w:rPr>
      </w:pPr>
    </w:p>
    <w:p>
      <w:pPr>
        <w:spacing w:before="0" w:after="160" w:line="279"/>
        <w:ind w:right="0" w:left="0" w:firstLine="0"/>
        <w:jc w:val="left"/>
        <w:rPr>
          <w:rFonts w:ascii="Aptos" w:hAnsi="Aptos" w:cs="Aptos" w:eastAsia="Aptos"/>
          <w:color w:val="auto"/>
          <w:spacing w:val="0"/>
          <w:position w:val="0"/>
          <w:sz w:val="24"/>
          <w:shd w:fill="auto" w:val="clear"/>
        </w:rPr>
      </w:pPr>
      <w:r>
        <w:rPr>
          <w:rFonts w:ascii="Cambria Math" w:hAnsi="Cambria Math" w:cs="Cambria Math" w:eastAsia="Cambria Math"/>
          <w:color w:val="000000"/>
          <w:spacing w:val="0"/>
          <w:position w:val="0"/>
          <w:sz w:val="22"/>
          <w:u w:val="single"/>
          <w:shd w:fill="auto" w:val="clear"/>
        </w:rPr>
        <w:t xml:space="preserve">⦁</w:t>
      </w:r>
      <w:r>
        <w:rPr>
          <w:rFonts w:ascii="Aptos" w:hAnsi="Aptos" w:cs="Aptos" w:eastAsia="Aptos"/>
          <w:color w:val="auto"/>
          <w:spacing w:val="0"/>
          <w:position w:val="0"/>
          <w:sz w:val="24"/>
          <w:shd w:fill="auto" w:val="clear"/>
        </w:rPr>
        <w:tab/>
      </w:r>
      <w:r>
        <w:rPr>
          <w:rFonts w:ascii="Calibri" w:hAnsi="Calibri" w:cs="Calibri" w:eastAsia="Calibri"/>
          <w:color w:val="000000"/>
          <w:spacing w:val="0"/>
          <w:position w:val="0"/>
          <w:sz w:val="22"/>
          <w:u w:val="single"/>
          <w:shd w:fill="auto" w:val="clear"/>
        </w:rPr>
        <w:t xml:space="preserve">discuss at least two methods of evaluating the graduate trainee’s learning and development and its impact. (AC 6.5)</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2"/>
          <w:shd w:fill="auto" w:val="clear"/>
        </w:rPr>
        <w:t xml:space="preserve">Evaluating the effectiveness of learning and development (L&amp;D) is critical to understanding its value for both the trainee and Inter Luxe Hotel Group. Two widely recognised models are </w:t>
      </w:r>
      <w:r>
        <w:rPr>
          <w:rFonts w:ascii="Calibri" w:hAnsi="Calibri" w:cs="Calibri" w:eastAsia="Calibri"/>
          <w:b/>
          <w:color w:val="auto"/>
          <w:spacing w:val="0"/>
          <w:position w:val="0"/>
          <w:sz w:val="22"/>
          <w:shd w:fill="auto" w:val="clear"/>
        </w:rPr>
        <w:t xml:space="preserve">Kirkpatrick’s Four Levels of Evaluation</w:t>
      </w:r>
      <w:r>
        <w:rPr>
          <w:rFonts w:ascii="Calibri" w:hAnsi="Calibri" w:cs="Calibri" w:eastAsia="Calibri"/>
          <w:color w:val="auto"/>
          <w:spacing w:val="0"/>
          <w:position w:val="0"/>
          <w:sz w:val="22"/>
          <w:shd w:fill="auto" w:val="clear"/>
        </w:rPr>
        <w:t xml:space="preserve"> (Kurt, 2016) and </w:t>
      </w:r>
      <w:r>
        <w:rPr>
          <w:rFonts w:ascii="Calibri" w:hAnsi="Calibri" w:cs="Calibri" w:eastAsia="Calibri"/>
          <w:b/>
          <w:color w:val="auto"/>
          <w:spacing w:val="0"/>
          <w:position w:val="0"/>
          <w:sz w:val="22"/>
          <w:shd w:fill="auto" w:val="clear"/>
        </w:rPr>
        <w:t xml:space="preserve">Phillips' ROI Model</w:t>
      </w:r>
      <w:r>
        <w:rPr>
          <w:rFonts w:ascii="Calibri" w:hAnsi="Calibri" w:cs="Calibri" w:eastAsia="Calibri"/>
          <w:color w:val="auto"/>
          <w:spacing w:val="0"/>
          <w:position w:val="0"/>
          <w:sz w:val="22"/>
          <w:shd w:fill="auto" w:val="clear"/>
        </w:rPr>
        <w:t xml:space="preserve"> (Gupta, 2025).</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2"/>
          <w:shd w:fill="auto" w:val="clear"/>
        </w:rPr>
        <w:t xml:space="preserve">Kirkpatrick’s model assesses learning through four key stages:</w:t>
      </w:r>
    </w:p>
    <w:p>
      <w:pPr>
        <w:numPr>
          <w:ilvl w:val="0"/>
          <w:numId w:val="17"/>
        </w:numPr>
        <w:spacing w:before="240" w:after="240" w:line="279"/>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Reaction</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Gauges the trainee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immediate response to the training. Post-session surveys can capture fresh, quantitative feedback on what worked well and what could be improved.</w:t>
      </w:r>
    </w:p>
    <w:p>
      <w:pPr>
        <w:numPr>
          <w:ilvl w:val="0"/>
          <w:numId w:val="17"/>
        </w:numPr>
        <w:spacing w:before="240" w:after="240" w:line="279"/>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Learning</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Measures knowledge retention and skill acquisition. This can be assessed through pre- and post-tests, workplace observations, or guest feedback forms. Open discussions with a coach or mentor can help evaluate understanding and confidence in applying new knowledge.</w:t>
      </w:r>
    </w:p>
    <w:p>
      <w:pPr>
        <w:numPr>
          <w:ilvl w:val="0"/>
          <w:numId w:val="17"/>
        </w:numPr>
        <w:spacing w:before="240" w:after="240" w:line="279"/>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Behaviour</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Observes how the trainee applies learning in the workplace. Indicators might include improved productivity, reduced errors, fewer absences, or increased willingness to engage in further training.</w:t>
      </w:r>
    </w:p>
    <w:p>
      <w:pPr>
        <w:numPr>
          <w:ilvl w:val="0"/>
          <w:numId w:val="17"/>
        </w:numPr>
        <w:spacing w:before="240" w:after="240" w:line="279"/>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Results</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Evaluates the impact on business outcomes such as guest satisfaction, operational efficiency, cost savings, and compliance improvements (e.g. correct right-to-work documentation).</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2"/>
          <w:shd w:fill="auto" w:val="clear"/>
        </w:rPr>
        <w:t xml:space="preserve">Building on this, </w:t>
      </w:r>
      <w:r>
        <w:rPr>
          <w:rFonts w:ascii="Calibri" w:hAnsi="Calibri" w:cs="Calibri" w:eastAsia="Calibri"/>
          <w:b/>
          <w:color w:val="auto"/>
          <w:spacing w:val="0"/>
          <w:position w:val="0"/>
          <w:sz w:val="22"/>
          <w:shd w:fill="auto" w:val="clear"/>
        </w:rPr>
        <w:t xml:space="preserve">Phillips’ ROI Model</w:t>
      </w:r>
      <w:r>
        <w:rPr>
          <w:rFonts w:ascii="Calibri" w:hAnsi="Calibri" w:cs="Calibri" w:eastAsia="Calibri"/>
          <w:color w:val="auto"/>
          <w:spacing w:val="0"/>
          <w:position w:val="0"/>
          <w:sz w:val="22"/>
          <w:shd w:fill="auto" w:val="clear"/>
        </w:rPr>
        <w:t xml:space="preserve"> adds a fifth level: </w:t>
      </w:r>
      <w:r>
        <w:rPr>
          <w:rFonts w:ascii="Calibri" w:hAnsi="Calibri" w:cs="Calibri" w:eastAsia="Calibri"/>
          <w:b/>
          <w:color w:val="auto"/>
          <w:spacing w:val="0"/>
          <w:position w:val="0"/>
          <w:sz w:val="22"/>
          <w:shd w:fill="auto" w:val="clear"/>
        </w:rPr>
        <w:t xml:space="preserve">Return on Investment (ROI)</w:t>
      </w:r>
      <w:r>
        <w:rPr>
          <w:rFonts w:ascii="Calibri" w:hAnsi="Calibri" w:cs="Calibri" w:eastAsia="Calibri"/>
          <w:color w:val="auto"/>
          <w:spacing w:val="0"/>
          <w:position w:val="0"/>
          <w:sz w:val="22"/>
          <w:shd w:fill="auto" w:val="clear"/>
        </w:rPr>
        <w:t xml:space="preserve">. This considers the financial value of the L&amp;D initiative by comparing costs with measurable outcomes like increased bookings, improved retention, or reduced re-training. Demonstrating ROI strengthens the business case for L&amp;D investment and supports strategic decisions, such as expanding the internal academy, launching apprenticeships, or enhancing employee benefits.</w:t>
      </w:r>
    </w:p>
    <w:p>
      <w:pPr>
        <w:spacing w:before="240" w:after="24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2"/>
          <w:shd w:fill="auto" w:val="clear"/>
        </w:rPr>
        <w:t xml:space="preserve">Ultimately, well-evaluated L&amp;D not only supports individual development but also drives organisational performance, engagement, and retention.</w:t>
      </w:r>
    </w:p>
    <w:p>
      <w:pPr>
        <w:spacing w:before="0" w:after="16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b/>
          <w:color w:val="000000"/>
          <w:spacing w:val="0"/>
          <w:position w:val="0"/>
          <w:sz w:val="22"/>
          <w:u w:val="single"/>
          <w:shd w:fill="auto" w:val="clear"/>
        </w:rPr>
        <w:t xml:space="preserve">Figure 4 </w:t>
      </w:r>
      <w:r>
        <w:rPr>
          <w:rFonts w:ascii="Calibri" w:hAnsi="Calibri" w:cs="Calibri" w:eastAsia="Calibri"/>
          <w:color w:val="000000"/>
          <w:spacing w:val="0"/>
          <w:position w:val="0"/>
          <w:sz w:val="22"/>
          <w:u w:val="single"/>
          <w:shd w:fill="auto" w:val="clear"/>
        </w:rPr>
        <w:t xml:space="preserve">Kirkpatrick Four Levels of Evaluation Model.</w:t>
      </w:r>
      <w:r>
        <w:object w:dxaOrig="8654" w:dyaOrig="5659">
          <v:rect xmlns:o="urn:schemas-microsoft-com:office:office" xmlns:v="urn:schemas-microsoft-com:vml" id="rectole0000000003" style="width:432.700000pt;height:282.9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160" w:line="279"/>
        <w:ind w:right="0" w:left="0" w:firstLine="0"/>
        <w:jc w:val="left"/>
        <w:rPr>
          <w:rFonts w:ascii="Calibri" w:hAnsi="Calibri" w:cs="Calibri" w:eastAsia="Calibri"/>
          <w:b/>
          <w:color w:val="000000"/>
          <w:spacing w:val="0"/>
          <w:position w:val="0"/>
          <w:sz w:val="22"/>
          <w:u w:val="single"/>
          <w:shd w:fill="auto" w:val="clear"/>
        </w:rPr>
      </w:pPr>
    </w:p>
    <w:p>
      <w:pPr>
        <w:spacing w:before="0" w:after="160" w:line="279"/>
        <w:ind w:right="0" w:left="0" w:firstLine="0"/>
        <w:jc w:val="left"/>
        <w:rPr>
          <w:rFonts w:ascii="Calibri" w:hAnsi="Calibri" w:cs="Calibri" w:eastAsia="Calibri"/>
          <w:b/>
          <w:color w:val="000000"/>
          <w:spacing w:val="0"/>
          <w:position w:val="0"/>
          <w:sz w:val="22"/>
          <w:u w:val="single"/>
          <w:shd w:fill="auto" w:val="clear"/>
        </w:rPr>
      </w:pPr>
    </w:p>
    <w:p>
      <w:pPr>
        <w:spacing w:before="0" w:after="160" w:line="279"/>
        <w:ind w:right="0" w:left="0" w:firstLine="0"/>
        <w:jc w:val="left"/>
        <w:rPr>
          <w:rFonts w:ascii="Calibri" w:hAnsi="Calibri" w:cs="Calibri" w:eastAsia="Calibri"/>
          <w:b/>
          <w:color w:val="000000"/>
          <w:spacing w:val="0"/>
          <w:position w:val="0"/>
          <w:sz w:val="22"/>
          <w:u w:val="single"/>
          <w:shd w:fill="auto" w:val="clear"/>
        </w:rPr>
      </w:pPr>
    </w:p>
    <w:p>
      <w:pPr>
        <w:spacing w:before="0" w:after="160" w:line="279"/>
        <w:ind w:right="0" w:left="0" w:firstLine="0"/>
        <w:jc w:val="left"/>
        <w:rPr>
          <w:rFonts w:ascii="Calibri" w:hAnsi="Calibri" w:cs="Calibri" w:eastAsia="Calibri"/>
          <w:b/>
          <w:color w:val="000000"/>
          <w:spacing w:val="0"/>
          <w:position w:val="0"/>
          <w:sz w:val="22"/>
          <w:u w:val="single"/>
          <w:shd w:fill="auto" w:val="clear"/>
        </w:rPr>
      </w:pPr>
    </w:p>
    <w:p>
      <w:pPr>
        <w:spacing w:before="0" w:after="160" w:line="279"/>
        <w:ind w:right="0" w:left="0" w:firstLine="0"/>
        <w:jc w:val="left"/>
        <w:rPr>
          <w:rFonts w:ascii="Calibri" w:hAnsi="Calibri" w:cs="Calibri" w:eastAsia="Calibri"/>
          <w:b/>
          <w:color w:val="000000"/>
          <w:spacing w:val="0"/>
          <w:position w:val="0"/>
          <w:sz w:val="22"/>
          <w:u w:val="single"/>
          <w:shd w:fill="auto" w:val="clear"/>
        </w:rPr>
      </w:pPr>
    </w:p>
    <w:p>
      <w:pPr>
        <w:spacing w:before="0" w:after="160" w:line="279"/>
        <w:ind w:right="0" w:left="0" w:firstLine="0"/>
        <w:jc w:val="left"/>
        <w:rPr>
          <w:rFonts w:ascii="Calibri" w:hAnsi="Calibri" w:cs="Calibri" w:eastAsia="Calibri"/>
          <w:b/>
          <w:color w:val="000000"/>
          <w:spacing w:val="0"/>
          <w:position w:val="0"/>
          <w:sz w:val="22"/>
          <w:u w:val="single"/>
          <w:shd w:fill="auto" w:val="clear"/>
        </w:rPr>
      </w:pPr>
    </w:p>
    <w:p>
      <w:pPr>
        <w:spacing w:before="0" w:after="160" w:line="279"/>
        <w:ind w:right="0" w:left="0" w:firstLine="0"/>
        <w:jc w:val="left"/>
        <w:rPr>
          <w:rFonts w:ascii="Calibri" w:hAnsi="Calibri" w:cs="Calibri" w:eastAsia="Calibri"/>
          <w:b/>
          <w:color w:val="000000"/>
          <w:spacing w:val="0"/>
          <w:position w:val="0"/>
          <w:sz w:val="22"/>
          <w:u w:val="single"/>
          <w:shd w:fill="auto" w:val="clear"/>
        </w:rPr>
      </w:pPr>
    </w:p>
    <w:p>
      <w:pPr>
        <w:spacing w:before="0" w:after="160" w:line="279"/>
        <w:ind w:right="0" w:left="0" w:firstLine="0"/>
        <w:jc w:val="left"/>
        <w:rPr>
          <w:rFonts w:ascii="Calibri" w:hAnsi="Calibri" w:cs="Calibri" w:eastAsia="Calibri"/>
          <w:b/>
          <w:color w:val="000000"/>
          <w:spacing w:val="0"/>
          <w:position w:val="0"/>
          <w:sz w:val="22"/>
          <w:u w:val="single"/>
          <w:shd w:fill="auto" w:val="clear"/>
        </w:rPr>
      </w:pPr>
    </w:p>
    <w:p>
      <w:pPr>
        <w:spacing w:before="0" w:after="160" w:line="279"/>
        <w:ind w:right="0" w:left="0" w:firstLine="0"/>
        <w:jc w:val="left"/>
        <w:rPr>
          <w:rFonts w:ascii="Calibri" w:hAnsi="Calibri" w:cs="Calibri" w:eastAsia="Calibri"/>
          <w:b/>
          <w:color w:val="000000"/>
          <w:spacing w:val="0"/>
          <w:position w:val="0"/>
          <w:sz w:val="22"/>
          <w:u w:val="single"/>
          <w:shd w:fill="auto" w:val="clear"/>
        </w:rPr>
      </w:pPr>
    </w:p>
    <w:p>
      <w:pPr>
        <w:spacing w:before="0" w:after="160" w:line="279"/>
        <w:ind w:right="0" w:left="0" w:firstLine="0"/>
        <w:jc w:val="left"/>
        <w:rPr>
          <w:rFonts w:ascii="Calibri" w:hAnsi="Calibri" w:cs="Calibri" w:eastAsia="Calibri"/>
          <w:b/>
          <w:color w:val="000000"/>
          <w:spacing w:val="0"/>
          <w:position w:val="0"/>
          <w:sz w:val="22"/>
          <w:u w:val="single"/>
          <w:shd w:fill="auto" w:val="clear"/>
        </w:rPr>
      </w:pPr>
    </w:p>
    <w:p>
      <w:pPr>
        <w:spacing w:before="0" w:after="160" w:line="279"/>
        <w:ind w:right="0" w:left="0" w:firstLine="0"/>
        <w:jc w:val="left"/>
        <w:rPr>
          <w:rFonts w:ascii="Calibri" w:hAnsi="Calibri" w:cs="Calibri" w:eastAsia="Calibri"/>
          <w:b/>
          <w:color w:val="000000"/>
          <w:spacing w:val="0"/>
          <w:position w:val="0"/>
          <w:sz w:val="22"/>
          <w:u w:val="single"/>
          <w:shd w:fill="auto" w:val="clear"/>
        </w:rPr>
      </w:pPr>
    </w:p>
    <w:p>
      <w:pPr>
        <w:spacing w:before="0" w:after="160" w:line="279"/>
        <w:ind w:right="0" w:left="0" w:firstLine="0"/>
        <w:jc w:val="left"/>
        <w:rPr>
          <w:rFonts w:ascii="Calibri" w:hAnsi="Calibri" w:cs="Calibri" w:eastAsia="Calibri"/>
          <w:b/>
          <w:color w:val="000000"/>
          <w:spacing w:val="0"/>
          <w:position w:val="0"/>
          <w:sz w:val="22"/>
          <w:u w:val="single"/>
          <w:shd w:fill="auto" w:val="clear"/>
        </w:rPr>
      </w:pPr>
    </w:p>
    <w:p>
      <w:pPr>
        <w:spacing w:before="0" w:after="160" w:line="279"/>
        <w:ind w:right="0" w:left="0" w:firstLine="0"/>
        <w:jc w:val="left"/>
        <w:rPr>
          <w:rFonts w:ascii="Calibri" w:hAnsi="Calibri" w:cs="Calibri" w:eastAsia="Calibri"/>
          <w:b/>
          <w:color w:val="000000"/>
          <w:spacing w:val="0"/>
          <w:position w:val="0"/>
          <w:sz w:val="22"/>
          <w:u w:val="single"/>
          <w:shd w:fill="auto" w:val="clear"/>
        </w:rPr>
      </w:pPr>
    </w:p>
    <w:p>
      <w:pPr>
        <w:spacing w:before="0" w:after="160" w:line="279"/>
        <w:ind w:right="0" w:left="0" w:firstLine="0"/>
        <w:jc w:val="left"/>
        <w:rPr>
          <w:rFonts w:ascii="Calibri" w:hAnsi="Calibri" w:cs="Calibri" w:eastAsia="Calibri"/>
          <w:b/>
          <w:color w:val="000000"/>
          <w:spacing w:val="0"/>
          <w:position w:val="0"/>
          <w:sz w:val="22"/>
          <w:u w:val="single"/>
          <w:shd w:fill="auto" w:val="clear"/>
        </w:rPr>
      </w:pPr>
    </w:p>
    <w:p>
      <w:pPr>
        <w:spacing w:before="0" w:after="160" w:line="279"/>
        <w:ind w:right="0" w:left="0" w:firstLine="0"/>
        <w:jc w:val="left"/>
        <w:rPr>
          <w:rFonts w:ascii="Calibri" w:hAnsi="Calibri" w:cs="Calibri" w:eastAsia="Calibri"/>
          <w:b/>
          <w:color w:val="000000"/>
          <w:spacing w:val="0"/>
          <w:position w:val="0"/>
          <w:sz w:val="22"/>
          <w:u w:val="single"/>
          <w:shd w:fill="auto" w:val="clear"/>
        </w:rPr>
      </w:pPr>
    </w:p>
    <w:p>
      <w:pPr>
        <w:spacing w:before="0" w:after="160" w:line="279"/>
        <w:ind w:right="0" w:left="0" w:firstLine="0"/>
        <w:jc w:val="left"/>
        <w:rPr>
          <w:rFonts w:ascii="Calibri" w:hAnsi="Calibri" w:cs="Calibri" w:eastAsia="Calibri"/>
          <w:b/>
          <w:color w:val="000000"/>
          <w:spacing w:val="0"/>
          <w:position w:val="0"/>
          <w:sz w:val="22"/>
          <w:u w:val="single"/>
          <w:shd w:fill="auto" w:val="clear"/>
        </w:rPr>
      </w:pPr>
      <w:r>
        <w:rPr>
          <w:rFonts w:ascii="Calibri" w:hAnsi="Calibri" w:cs="Calibri" w:eastAsia="Calibri"/>
          <w:b/>
          <w:color w:val="000000"/>
          <w:spacing w:val="0"/>
          <w:position w:val="0"/>
          <w:sz w:val="22"/>
          <w:u w:val="single"/>
          <w:shd w:fill="auto" w:val="clear"/>
        </w:rPr>
        <w:t xml:space="preserve">Figure 5 </w:t>
      </w:r>
      <w:r>
        <w:rPr>
          <w:rFonts w:ascii="Calibri" w:hAnsi="Calibri" w:cs="Calibri" w:eastAsia="Calibri"/>
          <w:color w:val="000000"/>
          <w:spacing w:val="0"/>
          <w:position w:val="0"/>
          <w:sz w:val="22"/>
          <w:u w:val="single"/>
          <w:shd w:fill="auto" w:val="clear"/>
        </w:rPr>
        <w:t xml:space="preserve">Phillips ROI Model.</w:t>
      </w:r>
    </w:p>
    <w:p>
      <w:pPr>
        <w:spacing w:before="0" w:after="160" w:line="279"/>
        <w:ind w:right="0" w:left="0" w:firstLine="0"/>
        <w:jc w:val="left"/>
        <w:rPr>
          <w:rFonts w:ascii="Aptos" w:hAnsi="Aptos" w:cs="Aptos" w:eastAsia="Aptos"/>
          <w:color w:val="auto"/>
          <w:spacing w:val="0"/>
          <w:position w:val="0"/>
          <w:sz w:val="24"/>
          <w:shd w:fill="auto" w:val="clear"/>
        </w:rPr>
      </w:pPr>
      <w:r>
        <w:object w:dxaOrig="8654" w:dyaOrig="6292">
          <v:rect xmlns:o="urn:schemas-microsoft-com:office:office" xmlns:v="urn:schemas-microsoft-com:vml" id="rectole0000000004" style="width:432.700000pt;height:314.6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160" w:line="279"/>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u w:val="single"/>
          <w:shd w:fill="auto" w:val="clear"/>
        </w:rPr>
        <w:t xml:space="preserve">Bibliography</w:t>
      </w:r>
    </w:p>
    <w:p>
      <w:pPr>
        <w:spacing w:before="0" w:after="160" w:line="279"/>
        <w:ind w:right="0" w:left="0" w:firstLine="0"/>
        <w:jc w:val="left"/>
        <w:rPr>
          <w:rFonts w:ascii="Calibri" w:hAnsi="Calibri" w:cs="Calibri" w:eastAsia="Calibri"/>
          <w:color w:val="000000"/>
          <w:spacing w:val="0"/>
          <w:position w:val="0"/>
          <w:sz w:val="22"/>
          <w:u w:val="single"/>
          <w:shd w:fill="auto" w:val="clear"/>
        </w:rPr>
      </w:pPr>
      <w:r>
        <w:rPr>
          <w:rFonts w:ascii="Calibri" w:hAnsi="Calibri" w:cs="Calibri" w:eastAsia="Calibri"/>
          <w:color w:val="000000"/>
          <w:spacing w:val="0"/>
          <w:position w:val="0"/>
          <w:sz w:val="22"/>
          <w:u w:val="single"/>
          <w:shd w:fill="auto" w:val="clear"/>
        </w:rPr>
        <w:t xml:space="preserve">ACAS (2024) </w:t>
      </w:r>
      <w:r>
        <w:rPr>
          <w:rFonts w:ascii="Calibri" w:hAnsi="Calibri" w:cs="Calibri" w:eastAsia="Calibri"/>
          <w:i/>
          <w:color w:val="000000"/>
          <w:spacing w:val="0"/>
          <w:position w:val="0"/>
          <w:sz w:val="22"/>
          <w:u w:val="single"/>
          <w:shd w:fill="auto" w:val="clear"/>
        </w:rPr>
        <w:t xml:space="preserve">Acas Guide to Challenging Conversations.</w:t>
      </w:r>
      <w:r>
        <w:rPr>
          <w:rFonts w:ascii="Calibri" w:hAnsi="Calibri" w:cs="Calibri" w:eastAsia="Calibri"/>
          <w:color w:val="000000"/>
          <w:spacing w:val="0"/>
          <w:position w:val="0"/>
          <w:sz w:val="22"/>
          <w:u w:val="single"/>
          <w:shd w:fill="auto" w:val="clear"/>
        </w:rPr>
        <w:t xml:space="preserve"> Available at: </w:t>
      </w:r>
      <w:hyperlink xmlns:r="http://schemas.openxmlformats.org/officeDocument/2006/relationships" r:id="docRId10">
        <w:r>
          <w:rPr>
            <w:rFonts w:ascii="Calibri" w:hAnsi="Calibri" w:cs="Calibri" w:eastAsia="Calibri"/>
            <w:color w:val="0000FF"/>
            <w:spacing w:val="0"/>
            <w:position w:val="0"/>
            <w:sz w:val="22"/>
            <w:u w:val="single"/>
            <w:shd w:fill="auto" w:val="clear"/>
          </w:rPr>
          <w:t xml:space="preserve">https://www.acas.org.uk/acas-guide-to-challenging-conversations-and-how-to-manage-them</w:t>
        </w:r>
      </w:hyperlink>
      <w:r>
        <w:rPr>
          <w:rFonts w:ascii="Calibri" w:hAnsi="Calibri" w:cs="Calibri" w:eastAsia="Calibri"/>
          <w:color w:val="000000"/>
          <w:spacing w:val="0"/>
          <w:position w:val="0"/>
          <w:sz w:val="22"/>
          <w:u w:val="single"/>
          <w:shd w:fill="auto" w:val="clear"/>
        </w:rPr>
        <w:t xml:space="preserve"> (Accessed: 30 June 2025).</w:t>
      </w:r>
    </w:p>
    <w:p>
      <w:pPr>
        <w:spacing w:before="0" w:after="160" w:line="279"/>
        <w:ind w:right="0" w:left="0" w:firstLine="0"/>
        <w:jc w:val="left"/>
        <w:rPr>
          <w:rFonts w:ascii="Calibri" w:hAnsi="Calibri" w:cs="Calibri" w:eastAsia="Calibri"/>
          <w:color w:val="000000"/>
          <w:spacing w:val="0"/>
          <w:position w:val="0"/>
          <w:sz w:val="22"/>
          <w:u w:val="single"/>
          <w:shd w:fill="auto" w:val="clear"/>
        </w:rPr>
      </w:pPr>
    </w:p>
    <w:p>
      <w:pPr>
        <w:spacing w:before="0" w:after="160" w:line="279"/>
        <w:ind w:right="0" w:left="0" w:firstLine="0"/>
        <w:jc w:val="left"/>
        <w:rPr>
          <w:rFonts w:ascii="Calibri" w:hAnsi="Calibri" w:cs="Calibri" w:eastAsia="Calibri"/>
          <w:color w:val="000000"/>
          <w:spacing w:val="0"/>
          <w:position w:val="0"/>
          <w:sz w:val="22"/>
          <w:u w:val="single"/>
          <w:shd w:fill="auto" w:val="clear"/>
        </w:rPr>
      </w:pPr>
      <w:r>
        <w:rPr>
          <w:rFonts w:ascii="Calibri" w:hAnsi="Calibri" w:cs="Calibri" w:eastAsia="Calibri"/>
          <w:color w:val="000000"/>
          <w:spacing w:val="0"/>
          <w:position w:val="0"/>
          <w:sz w:val="22"/>
          <w:u w:val="single"/>
          <w:shd w:fill="auto" w:val="clear"/>
        </w:rPr>
        <w:t xml:space="preserve">Bersin, J. (2018) </w:t>
      </w:r>
      <w:r>
        <w:rPr>
          <w:rFonts w:ascii="Calibri" w:hAnsi="Calibri" w:cs="Calibri" w:eastAsia="Calibri"/>
          <w:i/>
          <w:color w:val="000000"/>
          <w:spacing w:val="0"/>
          <w:position w:val="0"/>
          <w:sz w:val="22"/>
          <w:u w:val="single"/>
          <w:shd w:fill="auto" w:val="clear"/>
        </w:rPr>
        <w:t xml:space="preserve">Training: Learning in the Flow of Work. </w:t>
      </w:r>
      <w:r>
        <w:rPr>
          <w:rFonts w:ascii="Calibri" w:hAnsi="Calibri" w:cs="Calibri" w:eastAsia="Calibri"/>
          <w:color w:val="000000"/>
          <w:spacing w:val="0"/>
          <w:position w:val="0"/>
          <w:sz w:val="22"/>
          <w:u w:val="single"/>
          <w:shd w:fill="auto" w:val="clear"/>
        </w:rPr>
        <w:t xml:space="preserve">Available at: https:// </w:t>
      </w:r>
      <w:hyperlink xmlns:r="http://schemas.openxmlformats.org/officeDocument/2006/relationships" r:id="docRId11">
        <w:r>
          <w:rPr>
            <w:rFonts w:ascii="Calibri" w:hAnsi="Calibri" w:cs="Calibri" w:eastAsia="Calibri"/>
            <w:color w:val="0000FF"/>
            <w:spacing w:val="0"/>
            <w:position w:val="0"/>
            <w:sz w:val="22"/>
            <w:u w:val="single"/>
            <w:shd w:fill="auto" w:val="clear"/>
          </w:rPr>
          <w:t xml:space="preserve">https://joshbersin.com/2018/06/a-new-paradigm-for-corporate-training-learning-in-the-flow-of-work</w:t>
        </w:r>
      </w:hyperlink>
      <w:r>
        <w:rPr>
          <w:rFonts w:ascii="Calibri" w:hAnsi="Calibri" w:cs="Calibri" w:eastAsia="Calibri"/>
          <w:color w:val="000000"/>
          <w:spacing w:val="0"/>
          <w:position w:val="0"/>
          <w:sz w:val="22"/>
          <w:u w:val="single"/>
          <w:shd w:fill="auto" w:val="clear"/>
        </w:rPr>
        <w:t xml:space="preserve"> (Accessed: 30 June 2025).</w:t>
      </w:r>
    </w:p>
    <w:p>
      <w:pPr>
        <w:spacing w:before="0" w:after="160" w:line="279"/>
        <w:ind w:right="0" w:left="0" w:firstLine="0"/>
        <w:jc w:val="left"/>
        <w:rPr>
          <w:rFonts w:ascii="Calibri" w:hAnsi="Calibri" w:cs="Calibri" w:eastAsia="Calibri"/>
          <w:color w:val="000000"/>
          <w:spacing w:val="0"/>
          <w:position w:val="0"/>
          <w:sz w:val="22"/>
          <w:u w:val="single"/>
          <w:shd w:fill="auto" w:val="clear"/>
        </w:rPr>
      </w:pPr>
    </w:p>
    <w:p>
      <w:pPr>
        <w:spacing w:before="0" w:after="160" w:line="279"/>
        <w:ind w:right="0" w:left="0" w:firstLine="0"/>
        <w:jc w:val="left"/>
        <w:rPr>
          <w:rFonts w:ascii="Calibri" w:hAnsi="Calibri" w:cs="Calibri" w:eastAsia="Calibri"/>
          <w:color w:val="000000"/>
          <w:spacing w:val="0"/>
          <w:position w:val="0"/>
          <w:sz w:val="22"/>
          <w:u w:val="single"/>
          <w:shd w:fill="auto" w:val="clear"/>
        </w:rPr>
      </w:pPr>
      <w:r>
        <w:rPr>
          <w:rFonts w:ascii="Calibri" w:hAnsi="Calibri" w:cs="Calibri" w:eastAsia="Calibri"/>
          <w:color w:val="000000"/>
          <w:spacing w:val="0"/>
          <w:position w:val="0"/>
          <w:sz w:val="22"/>
          <w:u w:val="single"/>
          <w:shd w:fill="auto" w:val="clear"/>
        </w:rPr>
        <w:t xml:space="preserve">Cheese, P. (2022) </w:t>
      </w:r>
      <w:r>
        <w:rPr>
          <w:rFonts w:ascii="Calibri" w:hAnsi="Calibri" w:cs="Calibri" w:eastAsia="Calibri"/>
          <w:i/>
          <w:color w:val="000000"/>
          <w:spacing w:val="0"/>
          <w:position w:val="0"/>
          <w:sz w:val="22"/>
          <w:u w:val="single"/>
          <w:shd w:fill="auto" w:val="clear"/>
        </w:rPr>
        <w:t xml:space="preserve">CIPD new Code of Conduct and Ethics. </w:t>
      </w:r>
      <w:r>
        <w:rPr>
          <w:rFonts w:ascii="Calibri" w:hAnsi="Calibri" w:cs="Calibri" w:eastAsia="Calibri"/>
          <w:color w:val="000000"/>
          <w:spacing w:val="0"/>
          <w:position w:val="0"/>
          <w:sz w:val="22"/>
          <w:u w:val="single"/>
          <w:shd w:fill="auto" w:val="clear"/>
        </w:rPr>
        <w:t xml:space="preserve">Available at: </w:t>
      </w:r>
      <w:hyperlink xmlns:r="http://schemas.openxmlformats.org/officeDocument/2006/relationships" r:id="docRId12">
        <w:r>
          <w:rPr>
            <w:rFonts w:ascii="Calibri" w:hAnsi="Calibri" w:cs="Calibri" w:eastAsia="Calibri"/>
            <w:color w:val="0000FF"/>
            <w:spacing w:val="0"/>
            <w:position w:val="0"/>
            <w:sz w:val="22"/>
            <w:u w:val="single"/>
            <w:shd w:fill="auto" w:val="clear"/>
          </w:rPr>
          <w:t xml:space="preserve">https://youtu.be/PDdmEivdLxY?si=6iAzBDRHHD5jK9pJ</w:t>
        </w:r>
      </w:hyperlink>
      <w:r>
        <w:rPr>
          <w:rFonts w:ascii="Calibri" w:hAnsi="Calibri" w:cs="Calibri" w:eastAsia="Calibri"/>
          <w:color w:val="auto"/>
          <w:spacing w:val="0"/>
          <w:position w:val="0"/>
          <w:sz w:val="22"/>
          <w:shd w:fill="auto" w:val="clear"/>
        </w:rPr>
        <w:t xml:space="preserve"> (Accessed: 7 July 2025).</w:t>
      </w:r>
    </w:p>
    <w:p>
      <w:pPr>
        <w:spacing w:before="0" w:after="160" w:line="279"/>
        <w:ind w:right="0" w:left="0" w:firstLine="0"/>
        <w:jc w:val="left"/>
        <w:rPr>
          <w:rFonts w:ascii="Calibri" w:hAnsi="Calibri" w:cs="Calibri" w:eastAsia="Calibri"/>
          <w:color w:val="000000"/>
          <w:spacing w:val="0"/>
          <w:position w:val="0"/>
          <w:sz w:val="22"/>
          <w:u w:val="single"/>
          <w:shd w:fill="auto" w:val="clear"/>
        </w:rPr>
      </w:pPr>
    </w:p>
    <w:p>
      <w:pPr>
        <w:spacing w:before="0" w:after="160" w:line="279"/>
        <w:ind w:right="0" w:left="0" w:firstLine="0"/>
        <w:jc w:val="left"/>
        <w:rPr>
          <w:rFonts w:ascii="Calibri" w:hAnsi="Calibri" w:cs="Calibri" w:eastAsia="Calibri"/>
          <w:color w:val="000000"/>
          <w:spacing w:val="0"/>
          <w:position w:val="0"/>
          <w:sz w:val="22"/>
          <w:u w:val="single"/>
          <w:shd w:fill="auto" w:val="clear"/>
        </w:rPr>
      </w:pPr>
      <w:r>
        <w:rPr>
          <w:rFonts w:ascii="Calibri" w:hAnsi="Calibri" w:cs="Calibri" w:eastAsia="Calibri"/>
          <w:color w:val="000000"/>
          <w:spacing w:val="0"/>
          <w:position w:val="0"/>
          <w:sz w:val="22"/>
          <w:u w:val="single"/>
          <w:shd w:fill="auto" w:val="clear"/>
        </w:rPr>
        <w:t xml:space="preserve">CIPD (2023) </w:t>
      </w:r>
      <w:r>
        <w:rPr>
          <w:rFonts w:ascii="Calibri" w:hAnsi="Calibri" w:cs="Calibri" w:eastAsia="Calibri"/>
          <w:i/>
          <w:color w:val="000000"/>
          <w:spacing w:val="0"/>
          <w:position w:val="0"/>
          <w:sz w:val="22"/>
          <w:u w:val="single"/>
          <w:shd w:fill="auto" w:val="clear"/>
        </w:rPr>
        <w:t xml:space="preserve">Learning at Work 2023. </w:t>
      </w:r>
      <w:r>
        <w:rPr>
          <w:rFonts w:ascii="Calibri" w:hAnsi="Calibri" w:cs="Calibri" w:eastAsia="Calibri"/>
          <w:color w:val="000000"/>
          <w:spacing w:val="0"/>
          <w:position w:val="0"/>
          <w:sz w:val="22"/>
          <w:u w:val="single"/>
          <w:shd w:fill="auto" w:val="clear"/>
        </w:rPr>
        <w:t xml:space="preserve">Available at:</w:t>
      </w:r>
      <w:r>
        <w:rPr>
          <w:rFonts w:ascii="Calibri" w:hAnsi="Calibri" w:cs="Calibri" w:eastAsia="Calibri"/>
          <w:i/>
          <w:color w:val="000000"/>
          <w:spacing w:val="0"/>
          <w:position w:val="0"/>
          <w:sz w:val="22"/>
          <w:u w:val="single"/>
          <w:shd w:fill="auto" w:val="clear"/>
        </w:rPr>
        <w:t xml:space="preserve"> </w:t>
      </w:r>
      <w:r>
        <w:rPr>
          <w:rFonts w:ascii="Calibri" w:hAnsi="Calibri" w:cs="Calibri" w:eastAsia="Calibri"/>
          <w:color w:val="000000"/>
          <w:spacing w:val="0"/>
          <w:position w:val="0"/>
          <w:sz w:val="22"/>
          <w:u w:val="single"/>
          <w:shd w:fill="auto" w:val="clear"/>
        </w:rPr>
        <w:t xml:space="preserve">https:// cipd.org/uk/knowledge/reports/learning-at-work</w:t>
      </w:r>
      <w:r>
        <w:rPr>
          <w:rFonts w:ascii="Calibri" w:hAnsi="Calibri" w:cs="Calibri" w:eastAsia="Calibri"/>
          <w:i/>
          <w:color w:val="000000"/>
          <w:spacing w:val="0"/>
          <w:position w:val="0"/>
          <w:sz w:val="22"/>
          <w:u w:val="single"/>
          <w:shd w:fill="auto" w:val="clear"/>
        </w:rPr>
        <w:t xml:space="preserve"> </w:t>
      </w:r>
      <w:r>
        <w:rPr>
          <w:rFonts w:ascii="Calibri" w:hAnsi="Calibri" w:cs="Calibri" w:eastAsia="Calibri"/>
          <w:color w:val="000000"/>
          <w:spacing w:val="0"/>
          <w:position w:val="0"/>
          <w:sz w:val="22"/>
          <w:u w:val="single"/>
          <w:shd w:fill="auto" w:val="clear"/>
        </w:rPr>
        <w:t xml:space="preserve">(Accessed: 30 June 2025).</w:t>
      </w:r>
    </w:p>
    <w:p>
      <w:pPr>
        <w:spacing w:before="0" w:after="160" w:line="279"/>
        <w:ind w:right="0" w:left="0" w:firstLine="0"/>
        <w:jc w:val="left"/>
        <w:rPr>
          <w:rFonts w:ascii="Calibri" w:hAnsi="Calibri" w:cs="Calibri" w:eastAsia="Calibri"/>
          <w:color w:val="000000"/>
          <w:spacing w:val="0"/>
          <w:position w:val="0"/>
          <w:sz w:val="22"/>
          <w:u w:val="single"/>
          <w:shd w:fill="auto" w:val="clear"/>
        </w:rPr>
      </w:pPr>
    </w:p>
    <w:p>
      <w:pPr>
        <w:spacing w:before="0" w:after="160" w:line="279"/>
        <w:ind w:right="0" w:left="0" w:firstLine="0"/>
        <w:jc w:val="left"/>
        <w:rPr>
          <w:rFonts w:ascii="Calibri" w:hAnsi="Calibri" w:cs="Calibri" w:eastAsia="Calibri"/>
          <w:color w:val="000000"/>
          <w:spacing w:val="0"/>
          <w:position w:val="0"/>
          <w:sz w:val="22"/>
          <w:u w:val="single"/>
          <w:shd w:fill="auto" w:val="clear"/>
        </w:rPr>
      </w:pPr>
      <w:r>
        <w:rPr>
          <w:rFonts w:ascii="Calibri" w:hAnsi="Calibri" w:cs="Calibri" w:eastAsia="Calibri"/>
          <w:color w:val="000000"/>
          <w:spacing w:val="0"/>
          <w:position w:val="0"/>
          <w:sz w:val="22"/>
          <w:u w:val="single"/>
          <w:shd w:fill="auto" w:val="clear"/>
        </w:rPr>
        <w:t xml:space="preserve">CIPD (2025) Tracking law changes: Employment Rights Bill and Make Work Pay plan. Available at: </w:t>
      </w:r>
      <w:hyperlink xmlns:r="http://schemas.openxmlformats.org/officeDocument/2006/relationships" r:id="docRId13">
        <w:r>
          <w:rPr>
            <w:rFonts w:ascii="Calibri" w:hAnsi="Calibri" w:cs="Calibri" w:eastAsia="Calibri"/>
            <w:color w:val="0000FF"/>
            <w:spacing w:val="0"/>
            <w:position w:val="0"/>
            <w:sz w:val="22"/>
            <w:u w:val="single"/>
            <w:shd w:fill="auto" w:val="clear"/>
          </w:rPr>
          <w:t xml:space="preserve">https://cipd.org/uk/knowledge/employment-law/proposed-changes-under-labour-government</w:t>
        </w:r>
      </w:hyperlink>
      <w:r>
        <w:rPr>
          <w:rFonts w:ascii="Calibri" w:hAnsi="Calibri" w:cs="Calibri" w:eastAsia="Calibri"/>
          <w:color w:val="000000"/>
          <w:spacing w:val="0"/>
          <w:position w:val="0"/>
          <w:sz w:val="22"/>
          <w:u w:val="single"/>
          <w:shd w:fill="auto" w:val="clear"/>
        </w:rPr>
        <w:t xml:space="preserve"> (Accessed: 17 July 2025).</w:t>
      </w:r>
    </w:p>
    <w:p>
      <w:pPr>
        <w:spacing w:before="0" w:after="160" w:line="279"/>
        <w:ind w:right="0" w:left="0" w:firstLine="0"/>
        <w:jc w:val="left"/>
        <w:rPr>
          <w:rFonts w:ascii="Calibri" w:hAnsi="Calibri" w:cs="Calibri" w:eastAsia="Calibri"/>
          <w:i/>
          <w:color w:val="000000"/>
          <w:spacing w:val="0"/>
          <w:position w:val="0"/>
          <w:sz w:val="22"/>
          <w:u w:val="single"/>
          <w:shd w:fill="auto" w:val="clear"/>
        </w:rPr>
      </w:pPr>
    </w:p>
    <w:p>
      <w:pPr>
        <w:spacing w:before="0" w:after="160" w:line="27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Gupta, D. (2025) </w:t>
      </w:r>
      <w:r>
        <w:rPr>
          <w:rFonts w:ascii="Calibri" w:hAnsi="Calibri" w:cs="Calibri" w:eastAsia="Calibri"/>
          <w:i/>
          <w:color w:val="auto"/>
          <w:spacing w:val="0"/>
          <w:position w:val="0"/>
          <w:sz w:val="22"/>
          <w:shd w:fill="auto" w:val="clear"/>
        </w:rPr>
        <w:t xml:space="preserve">Phillips ROI Model: The 5 Levels of Training Evaluation (2025). </w:t>
      </w:r>
      <w:r>
        <w:rPr>
          <w:rFonts w:ascii="Calibri" w:hAnsi="Calibri" w:cs="Calibri" w:eastAsia="Calibri"/>
          <w:color w:val="auto"/>
          <w:spacing w:val="0"/>
          <w:position w:val="0"/>
          <w:sz w:val="22"/>
          <w:shd w:fill="auto" w:val="clear"/>
        </w:rPr>
        <w:t xml:space="preserve">Available at: https:// </w:t>
      </w:r>
      <w:hyperlink xmlns:r="http://schemas.openxmlformats.org/officeDocument/2006/relationships" r:id="docRId14">
        <w:r>
          <w:rPr>
            <w:rFonts w:ascii="Calibri" w:hAnsi="Calibri" w:cs="Calibri" w:eastAsia="Calibri"/>
            <w:color w:val="0000FF"/>
            <w:spacing w:val="0"/>
            <w:position w:val="0"/>
            <w:sz w:val="22"/>
            <w:u w:val="single"/>
            <w:shd w:fill="auto" w:val="clear"/>
          </w:rPr>
          <w:t xml:space="preserve">https://whatfix.com/blog/phillips-roi-model</w:t>
        </w:r>
      </w:hyperlink>
      <w:r>
        <w:rPr>
          <w:rFonts w:ascii="Calibri" w:hAnsi="Calibri" w:cs="Calibri" w:eastAsia="Calibri"/>
          <w:color w:val="auto"/>
          <w:spacing w:val="0"/>
          <w:position w:val="0"/>
          <w:sz w:val="22"/>
          <w:shd w:fill="auto" w:val="clear"/>
        </w:rPr>
        <w:t xml:space="preserve"> (Accessed: 8 July 2025).</w:t>
      </w:r>
    </w:p>
    <w:p>
      <w:pPr>
        <w:spacing w:before="0" w:after="160" w:line="279"/>
        <w:ind w:right="0" w:left="0" w:firstLine="0"/>
        <w:jc w:val="left"/>
        <w:rPr>
          <w:rFonts w:ascii="Calibri" w:hAnsi="Calibri" w:cs="Calibri" w:eastAsia="Calibri"/>
          <w:color w:val="000000"/>
          <w:spacing w:val="0"/>
          <w:position w:val="0"/>
          <w:sz w:val="22"/>
          <w:u w:val="single"/>
          <w:shd w:fill="auto" w:val="clear"/>
        </w:rPr>
      </w:pPr>
    </w:p>
    <w:p>
      <w:pPr>
        <w:spacing w:before="0" w:after="160" w:line="279"/>
        <w:ind w:right="0" w:left="0" w:firstLine="0"/>
        <w:jc w:val="left"/>
        <w:rPr>
          <w:rFonts w:ascii="Calibri" w:hAnsi="Calibri" w:cs="Calibri" w:eastAsia="Calibri"/>
          <w:color w:val="000000"/>
          <w:spacing w:val="0"/>
          <w:position w:val="0"/>
          <w:sz w:val="22"/>
          <w:u w:val="single"/>
          <w:shd w:fill="auto" w:val="clear"/>
        </w:rPr>
      </w:pPr>
      <w:r>
        <w:rPr>
          <w:rFonts w:ascii="Calibri" w:hAnsi="Calibri" w:cs="Calibri" w:eastAsia="Calibri"/>
          <w:color w:val="000000"/>
          <w:spacing w:val="0"/>
          <w:position w:val="0"/>
          <w:sz w:val="22"/>
          <w:u w:val="single"/>
          <w:shd w:fill="auto" w:val="clear"/>
        </w:rPr>
        <w:t xml:space="preserve">Harrison, R (2002) </w:t>
      </w:r>
      <w:r>
        <w:rPr>
          <w:rFonts w:ascii="Calibri" w:hAnsi="Calibri" w:cs="Calibri" w:eastAsia="Calibri"/>
          <w:i/>
          <w:color w:val="000000"/>
          <w:spacing w:val="0"/>
          <w:position w:val="0"/>
          <w:sz w:val="22"/>
          <w:u w:val="single"/>
          <w:shd w:fill="auto" w:val="clear"/>
        </w:rPr>
        <w:t xml:space="preserve">Learning and Development. </w:t>
      </w:r>
      <w:r>
        <w:rPr>
          <w:rFonts w:ascii="Calibri" w:hAnsi="Calibri" w:cs="Calibri" w:eastAsia="Calibri"/>
          <w:color w:val="000000"/>
          <w:spacing w:val="0"/>
          <w:position w:val="0"/>
          <w:sz w:val="22"/>
          <w:u w:val="single"/>
          <w:shd w:fill="auto" w:val="clear"/>
        </w:rPr>
        <w:t xml:space="preserve">3</w:t>
      </w:r>
      <w:r>
        <w:rPr>
          <w:rFonts w:ascii="Calibri" w:hAnsi="Calibri" w:cs="Calibri" w:eastAsia="Calibri"/>
          <w:color w:val="000000"/>
          <w:spacing w:val="0"/>
          <w:position w:val="0"/>
          <w:sz w:val="22"/>
          <w:u w:val="single"/>
          <w:shd w:fill="auto" w:val="clear"/>
          <w:vertAlign w:val="superscript"/>
        </w:rPr>
        <w:t xml:space="preserve">rd</w:t>
      </w:r>
      <w:r>
        <w:rPr>
          <w:rFonts w:ascii="Calibri" w:hAnsi="Calibri" w:cs="Calibri" w:eastAsia="Calibri"/>
          <w:color w:val="000000"/>
          <w:spacing w:val="0"/>
          <w:position w:val="0"/>
          <w:sz w:val="22"/>
          <w:u w:val="single"/>
          <w:shd w:fill="auto" w:val="clear"/>
        </w:rPr>
        <w:t xml:space="preserve"> edn. Wiltshire: The Cromwell Press.</w:t>
      </w:r>
    </w:p>
    <w:p>
      <w:pPr>
        <w:spacing w:before="0" w:after="160" w:line="279"/>
        <w:ind w:right="0" w:left="0" w:firstLine="0"/>
        <w:jc w:val="left"/>
        <w:rPr>
          <w:rFonts w:ascii="Calibri" w:hAnsi="Calibri" w:cs="Calibri" w:eastAsia="Calibri"/>
          <w:color w:val="000000"/>
          <w:spacing w:val="0"/>
          <w:position w:val="0"/>
          <w:sz w:val="22"/>
          <w:u w:val="single"/>
          <w:shd w:fill="auto" w:val="clear"/>
        </w:rPr>
      </w:pPr>
    </w:p>
    <w:p>
      <w:pPr>
        <w:spacing w:before="0" w:after="160" w:line="27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Kurt, S. (1996)</w:t>
      </w:r>
      <w:r>
        <w:rPr>
          <w:rFonts w:ascii="Calibri" w:hAnsi="Calibri" w:cs="Calibri" w:eastAsia="Calibri"/>
          <w:i/>
          <w:color w:val="auto"/>
          <w:spacing w:val="0"/>
          <w:position w:val="0"/>
          <w:sz w:val="22"/>
          <w:shd w:fill="auto" w:val="clear"/>
        </w:rPr>
        <w:t xml:space="preserve"> Kirkpatrick Model: Four Levels of Learning Evaluation. </w:t>
      </w:r>
      <w:r>
        <w:rPr>
          <w:rFonts w:ascii="Calibri" w:hAnsi="Calibri" w:cs="Calibri" w:eastAsia="Calibri"/>
          <w:color w:val="auto"/>
          <w:spacing w:val="0"/>
          <w:position w:val="0"/>
          <w:sz w:val="22"/>
          <w:shd w:fill="auto" w:val="clear"/>
        </w:rPr>
        <w:t xml:space="preserve">Available at: https:// </w:t>
      </w:r>
      <w:hyperlink xmlns:r="http://schemas.openxmlformats.org/officeDocument/2006/relationships" r:id="docRId15">
        <w:r>
          <w:rPr>
            <w:rFonts w:ascii="Calibri" w:hAnsi="Calibri" w:cs="Calibri" w:eastAsia="Calibri"/>
            <w:color w:val="0000FF"/>
            <w:spacing w:val="0"/>
            <w:position w:val="0"/>
            <w:sz w:val="22"/>
            <w:u w:val="single"/>
            <w:shd w:fill="auto" w:val="clear"/>
          </w:rPr>
          <w:t xml:space="preserve">https://educationaltechnology.net/kirkpatrick-model-four-levels-learning-evaluation</w:t>
        </w:r>
      </w:hyperlink>
      <w:r>
        <w:rPr>
          <w:rFonts w:ascii="Calibri" w:hAnsi="Calibri" w:cs="Calibri" w:eastAsia="Calibri"/>
          <w:color w:val="auto"/>
          <w:spacing w:val="0"/>
          <w:position w:val="0"/>
          <w:sz w:val="22"/>
          <w:shd w:fill="auto" w:val="clear"/>
        </w:rPr>
        <w:t xml:space="preserve"> (Accessed: 7 July 2025).</w:t>
      </w:r>
    </w:p>
    <w:p>
      <w:pPr>
        <w:spacing w:before="0" w:after="160" w:line="279"/>
        <w:ind w:right="0" w:left="0" w:firstLine="0"/>
        <w:jc w:val="left"/>
        <w:rPr>
          <w:rFonts w:ascii="Calibri" w:hAnsi="Calibri" w:cs="Calibri" w:eastAsia="Calibri"/>
          <w:color w:val="000000"/>
          <w:spacing w:val="0"/>
          <w:position w:val="0"/>
          <w:sz w:val="22"/>
          <w:u w:val="single"/>
          <w:shd w:fill="auto" w:val="clear"/>
        </w:rPr>
      </w:pPr>
    </w:p>
    <w:p>
      <w:pPr>
        <w:spacing w:before="0" w:after="160" w:line="279"/>
        <w:ind w:right="0" w:left="0" w:firstLine="0"/>
        <w:jc w:val="left"/>
        <w:rPr>
          <w:rFonts w:ascii="Calibri" w:hAnsi="Calibri" w:cs="Calibri" w:eastAsia="Calibri"/>
          <w:color w:val="000000"/>
          <w:spacing w:val="0"/>
          <w:position w:val="0"/>
          <w:sz w:val="22"/>
          <w:u w:val="single"/>
          <w:shd w:fill="auto" w:val="clear"/>
        </w:rPr>
      </w:pPr>
      <w:r>
        <w:rPr>
          <w:rFonts w:ascii="Calibri" w:hAnsi="Calibri" w:cs="Calibri" w:eastAsia="Calibri"/>
          <w:color w:val="000000"/>
          <w:spacing w:val="0"/>
          <w:position w:val="0"/>
          <w:sz w:val="22"/>
          <w:u w:val="single"/>
          <w:shd w:fill="auto" w:val="clear"/>
        </w:rPr>
        <w:t xml:space="preserve">Sinek, S. (2009) </w:t>
      </w:r>
      <w:r>
        <w:rPr>
          <w:rFonts w:ascii="Calibri" w:hAnsi="Calibri" w:cs="Calibri" w:eastAsia="Calibri"/>
          <w:i/>
          <w:color w:val="000000"/>
          <w:spacing w:val="0"/>
          <w:position w:val="0"/>
          <w:sz w:val="22"/>
          <w:u w:val="single"/>
          <w:shd w:fill="auto" w:val="clear"/>
        </w:rPr>
        <w:t xml:space="preserve">Start with Why.</w:t>
      </w:r>
      <w:r>
        <w:rPr>
          <w:rFonts w:ascii="Calibri" w:hAnsi="Calibri" w:cs="Calibri" w:eastAsia="Calibri"/>
          <w:color w:val="000000"/>
          <w:spacing w:val="0"/>
          <w:position w:val="0"/>
          <w:sz w:val="22"/>
          <w:u w:val="single"/>
          <w:shd w:fill="auto" w:val="clear"/>
        </w:rPr>
        <w:t xml:space="preserve"> 1</w:t>
      </w:r>
      <w:r>
        <w:rPr>
          <w:rFonts w:ascii="Calibri" w:hAnsi="Calibri" w:cs="Calibri" w:eastAsia="Calibri"/>
          <w:color w:val="000000"/>
          <w:spacing w:val="0"/>
          <w:position w:val="0"/>
          <w:sz w:val="22"/>
          <w:u w:val="single"/>
          <w:shd w:fill="auto" w:val="clear"/>
          <w:vertAlign w:val="superscript"/>
        </w:rPr>
        <w:t xml:space="preserve">st</w:t>
      </w:r>
      <w:r>
        <w:rPr>
          <w:rFonts w:ascii="Calibri" w:hAnsi="Calibri" w:cs="Calibri" w:eastAsia="Calibri"/>
          <w:color w:val="000000"/>
          <w:spacing w:val="0"/>
          <w:position w:val="0"/>
          <w:sz w:val="22"/>
          <w:u w:val="single"/>
          <w:shd w:fill="auto" w:val="clear"/>
        </w:rPr>
        <w:t xml:space="preserve"> edn. USA: Portfolio Penguin.</w:t>
      </w:r>
    </w:p>
    <w:p>
      <w:pPr>
        <w:spacing w:before="0" w:after="160" w:line="279"/>
        <w:ind w:right="0" w:left="0" w:firstLine="0"/>
        <w:jc w:val="left"/>
        <w:rPr>
          <w:rFonts w:ascii="Calibri" w:hAnsi="Calibri" w:cs="Calibri" w:eastAsia="Calibri"/>
          <w:color w:val="000000"/>
          <w:spacing w:val="0"/>
          <w:position w:val="0"/>
          <w:sz w:val="22"/>
          <w:u w:val="single"/>
          <w:shd w:fill="auto" w:val="clear"/>
        </w:rPr>
      </w:pPr>
    </w:p>
    <w:p>
      <w:pPr>
        <w:spacing w:before="0" w:after="160" w:line="279"/>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u w:val="single"/>
          <w:shd w:fill="auto" w:val="clear"/>
        </w:rPr>
        <w:t xml:space="preserve">Waite, K. et al. (2021a) </w:t>
      </w:r>
      <w:r>
        <w:rPr>
          <w:rFonts w:ascii="Calibri" w:hAnsi="Calibri" w:cs="Calibri" w:eastAsia="Calibri"/>
          <w:i/>
          <w:color w:val="000000"/>
          <w:spacing w:val="0"/>
          <w:position w:val="0"/>
          <w:sz w:val="22"/>
          <w:u w:val="single"/>
          <w:shd w:fill="auto" w:val="clear"/>
        </w:rPr>
        <w:t xml:space="preserve">People Practice a Complete Guide</w:t>
      </w:r>
      <w:r>
        <w:rPr>
          <w:rFonts w:ascii="Calibri" w:hAnsi="Calibri" w:cs="Calibri" w:eastAsia="Calibri"/>
          <w:color w:val="000000"/>
          <w:spacing w:val="0"/>
          <w:position w:val="0"/>
          <w:sz w:val="22"/>
          <w:u w:val="single"/>
          <w:shd w:fill="auto" w:val="clear"/>
        </w:rPr>
        <w:t xml:space="preserve">. 1</w:t>
      </w:r>
      <w:r>
        <w:rPr>
          <w:rFonts w:ascii="Calibri" w:hAnsi="Calibri" w:cs="Calibri" w:eastAsia="Calibri"/>
          <w:color w:val="000000"/>
          <w:spacing w:val="0"/>
          <w:position w:val="0"/>
          <w:sz w:val="22"/>
          <w:u w:val="single"/>
          <w:shd w:fill="auto" w:val="clear"/>
          <w:vertAlign w:val="superscript"/>
        </w:rPr>
        <w:t xml:space="preserve">st</w:t>
      </w:r>
      <w:r>
        <w:rPr>
          <w:rFonts w:ascii="Calibri" w:hAnsi="Calibri" w:cs="Calibri" w:eastAsia="Calibri"/>
          <w:color w:val="000000"/>
          <w:spacing w:val="0"/>
          <w:position w:val="0"/>
          <w:sz w:val="22"/>
          <w:u w:val="single"/>
          <w:shd w:fill="auto" w:val="clear"/>
        </w:rPr>
        <w:t xml:space="preserve"> edn. London: Kogan Page.</w:t>
      </w:r>
    </w:p>
    <w:p>
      <w:pPr>
        <w:spacing w:before="0" w:after="160" w:line="279"/>
        <w:ind w:right="0" w:left="0" w:firstLine="0"/>
        <w:jc w:val="left"/>
        <w:rPr>
          <w:rFonts w:ascii="Calibri" w:hAnsi="Calibri" w:cs="Calibri" w:eastAsia="Calibri"/>
          <w:color w:val="000000"/>
          <w:spacing w:val="0"/>
          <w:position w:val="0"/>
          <w:sz w:val="22"/>
          <w:u w:val="single"/>
          <w:shd w:fill="auto" w:val="clear"/>
        </w:rPr>
      </w:pPr>
    </w:p>
    <w:p>
      <w:pPr>
        <w:spacing w:before="0" w:after="160" w:line="279"/>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u w:val="single"/>
          <w:shd w:fill="auto" w:val="clear"/>
        </w:rPr>
        <w:t xml:space="preserve">Waite, K. et al. (2021b) </w:t>
      </w:r>
      <w:r>
        <w:rPr>
          <w:rFonts w:ascii="Calibri" w:hAnsi="Calibri" w:cs="Calibri" w:eastAsia="Calibri"/>
          <w:i/>
          <w:color w:val="000000"/>
          <w:spacing w:val="0"/>
          <w:position w:val="0"/>
          <w:sz w:val="22"/>
          <w:u w:val="single"/>
          <w:shd w:fill="auto" w:val="clear"/>
        </w:rPr>
        <w:t xml:space="preserve">People Practice a Complete Guide</w:t>
      </w:r>
      <w:r>
        <w:rPr>
          <w:rFonts w:ascii="Calibri" w:hAnsi="Calibri" w:cs="Calibri" w:eastAsia="Calibri"/>
          <w:color w:val="000000"/>
          <w:spacing w:val="0"/>
          <w:position w:val="0"/>
          <w:sz w:val="22"/>
          <w:u w:val="single"/>
          <w:shd w:fill="auto" w:val="clear"/>
        </w:rPr>
        <w:t xml:space="preserve">. 1</w:t>
      </w:r>
      <w:r>
        <w:rPr>
          <w:rFonts w:ascii="Calibri" w:hAnsi="Calibri" w:cs="Calibri" w:eastAsia="Calibri"/>
          <w:color w:val="000000"/>
          <w:spacing w:val="0"/>
          <w:position w:val="0"/>
          <w:sz w:val="22"/>
          <w:u w:val="single"/>
          <w:shd w:fill="auto" w:val="clear"/>
          <w:vertAlign w:val="superscript"/>
        </w:rPr>
        <w:t xml:space="preserve">st</w:t>
      </w:r>
      <w:r>
        <w:rPr>
          <w:rFonts w:ascii="Calibri" w:hAnsi="Calibri" w:cs="Calibri" w:eastAsia="Calibri"/>
          <w:color w:val="000000"/>
          <w:spacing w:val="0"/>
          <w:position w:val="0"/>
          <w:sz w:val="22"/>
          <w:u w:val="single"/>
          <w:shd w:fill="auto" w:val="clear"/>
        </w:rPr>
        <w:t xml:space="preserve"> edn. London: Kogan Page.</w:t>
      </w:r>
    </w:p>
    <w:p>
      <w:pPr>
        <w:spacing w:before="0" w:after="160" w:line="279"/>
        <w:ind w:right="0" w:left="0" w:firstLine="0"/>
        <w:jc w:val="left"/>
        <w:rPr>
          <w:rFonts w:ascii="Calibri" w:hAnsi="Calibri" w:cs="Calibri" w:eastAsia="Calibri"/>
          <w:color w:val="000000"/>
          <w:spacing w:val="0"/>
          <w:position w:val="0"/>
          <w:sz w:val="22"/>
          <w:u w:val="single"/>
          <w:shd w:fill="auto" w:val="clear"/>
        </w:rPr>
      </w:pPr>
      <w:r>
        <w:rPr>
          <w:rFonts w:ascii="Calibri" w:hAnsi="Calibri" w:cs="Calibri" w:eastAsia="Calibri"/>
          <w:i/>
          <w:color w:val="000000"/>
          <w:spacing w:val="0"/>
          <w:position w:val="0"/>
          <w:sz w:val="22"/>
          <w:u w:val="single"/>
          <w:shd w:fill="auto" w:val="clear"/>
        </w:rPr>
        <w:t xml:space="preserve"> </w:t>
      </w:r>
    </w:p>
    <w:p>
      <w:pPr>
        <w:spacing w:before="0" w:after="160" w:line="279"/>
        <w:ind w:right="0" w:left="0" w:firstLine="0"/>
        <w:jc w:val="left"/>
        <w:rPr>
          <w:rFonts w:ascii="Calibri" w:hAnsi="Calibri" w:cs="Calibri" w:eastAsia="Calibri"/>
          <w:color w:val="000000"/>
          <w:spacing w:val="0"/>
          <w:position w:val="0"/>
          <w:sz w:val="22"/>
          <w:u w:val="single"/>
          <w:shd w:fill="auto" w:val="clear"/>
        </w:rPr>
      </w:pPr>
      <w:r>
        <w:rPr>
          <w:rFonts w:ascii="Calibri" w:hAnsi="Calibri" w:cs="Calibri" w:eastAsia="Calibri"/>
          <w:b/>
          <w:color w:val="000000"/>
          <w:spacing w:val="0"/>
          <w:position w:val="0"/>
          <w:sz w:val="22"/>
          <w:u w:val="single"/>
          <w:shd w:fill="auto" w:val="clear"/>
        </w:rPr>
        <w:t xml:space="preserve">Figure 1 </w:t>
      </w:r>
      <w:r>
        <w:rPr>
          <w:rFonts w:ascii="Calibri" w:hAnsi="Calibri" w:cs="Calibri" w:eastAsia="Calibri"/>
          <w:color w:val="000000"/>
          <w:spacing w:val="0"/>
          <w:position w:val="0"/>
          <w:sz w:val="22"/>
          <w:u w:val="single"/>
          <w:shd w:fill="auto" w:val="clear"/>
        </w:rPr>
        <w:t xml:space="preserve">Bersin Learning in the Flow of Work.</w:t>
      </w:r>
    </w:p>
    <w:p>
      <w:pPr>
        <w:spacing w:before="0" w:after="160" w:line="279"/>
        <w:ind w:right="0" w:left="0" w:firstLine="0"/>
        <w:jc w:val="left"/>
        <w:rPr>
          <w:rFonts w:ascii="Calibri" w:hAnsi="Calibri" w:cs="Calibri" w:eastAsia="Calibri"/>
          <w:color w:val="000000"/>
          <w:spacing w:val="0"/>
          <w:position w:val="0"/>
          <w:sz w:val="22"/>
          <w:u w:val="single"/>
          <w:shd w:fill="auto" w:val="clear"/>
        </w:rPr>
      </w:pPr>
    </w:p>
    <w:p>
      <w:pPr>
        <w:spacing w:before="0" w:after="160" w:line="279"/>
        <w:ind w:right="0" w:left="0" w:firstLine="0"/>
        <w:jc w:val="left"/>
        <w:rPr>
          <w:rFonts w:ascii="Calibri" w:hAnsi="Calibri" w:cs="Calibri" w:eastAsia="Calibri"/>
          <w:color w:val="000000"/>
          <w:spacing w:val="0"/>
          <w:position w:val="0"/>
          <w:sz w:val="22"/>
          <w:u w:val="single"/>
          <w:shd w:fill="auto" w:val="clear"/>
        </w:rPr>
      </w:pPr>
      <w:r>
        <w:rPr>
          <w:rFonts w:ascii="Calibri" w:hAnsi="Calibri" w:cs="Calibri" w:eastAsia="Calibri"/>
          <w:b/>
          <w:color w:val="000000"/>
          <w:spacing w:val="0"/>
          <w:position w:val="0"/>
          <w:sz w:val="22"/>
          <w:u w:val="single"/>
          <w:shd w:fill="auto" w:val="clear"/>
        </w:rPr>
        <w:t xml:space="preserve">Figure 2 </w:t>
      </w:r>
      <w:r>
        <w:rPr>
          <w:rFonts w:ascii="Calibri" w:hAnsi="Calibri" w:cs="Calibri" w:eastAsia="Calibri"/>
          <w:color w:val="000000"/>
          <w:spacing w:val="0"/>
          <w:position w:val="0"/>
          <w:sz w:val="22"/>
          <w:u w:val="single"/>
          <w:shd w:fill="auto" w:val="clear"/>
        </w:rPr>
        <w:t xml:space="preserve">CIPD CPD Cycle.</w:t>
      </w:r>
    </w:p>
    <w:p>
      <w:pPr>
        <w:spacing w:before="0" w:after="160" w:line="279"/>
        <w:ind w:right="0" w:left="0" w:firstLine="0"/>
        <w:jc w:val="left"/>
        <w:rPr>
          <w:rFonts w:ascii="Calibri" w:hAnsi="Calibri" w:cs="Calibri" w:eastAsia="Calibri"/>
          <w:color w:val="000000"/>
          <w:spacing w:val="0"/>
          <w:position w:val="0"/>
          <w:sz w:val="22"/>
          <w:u w:val="single"/>
          <w:shd w:fill="auto" w:val="clear"/>
        </w:rPr>
      </w:pPr>
    </w:p>
    <w:p>
      <w:pPr>
        <w:spacing w:before="0" w:after="160" w:line="279"/>
        <w:ind w:right="0" w:left="0" w:firstLine="0"/>
        <w:jc w:val="left"/>
        <w:rPr>
          <w:rFonts w:ascii="Aptos" w:hAnsi="Aptos" w:cs="Aptos" w:eastAsia="Aptos"/>
          <w:color w:val="auto"/>
          <w:spacing w:val="0"/>
          <w:position w:val="0"/>
          <w:sz w:val="24"/>
          <w:shd w:fill="auto" w:val="clear"/>
        </w:rPr>
      </w:pPr>
      <w:r>
        <w:rPr>
          <w:rFonts w:ascii="Calibri" w:hAnsi="Calibri" w:cs="Calibri" w:eastAsia="Calibri"/>
          <w:b/>
          <w:color w:val="000000"/>
          <w:spacing w:val="0"/>
          <w:position w:val="0"/>
          <w:sz w:val="22"/>
          <w:u w:val="single"/>
          <w:shd w:fill="auto" w:val="clear"/>
        </w:rPr>
        <w:t xml:space="preserve">Figure 3 </w:t>
      </w:r>
      <w:r>
        <w:rPr>
          <w:rFonts w:ascii="Calibri" w:hAnsi="Calibri" w:cs="Calibri" w:eastAsia="Calibri"/>
          <w:color w:val="000000"/>
          <w:spacing w:val="0"/>
          <w:position w:val="0"/>
          <w:sz w:val="22"/>
          <w:u w:val="single"/>
          <w:shd w:fill="auto" w:val="clear"/>
        </w:rPr>
        <w:t xml:space="preserve">Sinek Golden Circle.</w:t>
      </w:r>
    </w:p>
    <w:p>
      <w:pPr>
        <w:spacing w:before="0" w:after="160" w:line="279"/>
        <w:ind w:right="0" w:left="0" w:firstLine="0"/>
        <w:jc w:val="left"/>
        <w:rPr>
          <w:rFonts w:ascii="Calibri" w:hAnsi="Calibri" w:cs="Calibri" w:eastAsia="Calibri"/>
          <w:color w:val="000000"/>
          <w:spacing w:val="0"/>
          <w:position w:val="0"/>
          <w:sz w:val="22"/>
          <w:u w:val="single"/>
          <w:shd w:fill="auto" w:val="clear"/>
        </w:rPr>
      </w:pPr>
    </w:p>
    <w:p>
      <w:pPr>
        <w:spacing w:before="0" w:after="160" w:line="279"/>
        <w:ind w:right="0" w:left="0" w:firstLine="0"/>
        <w:jc w:val="left"/>
        <w:rPr>
          <w:rFonts w:ascii="Calibri" w:hAnsi="Calibri" w:cs="Calibri" w:eastAsia="Calibri"/>
          <w:color w:val="000000"/>
          <w:spacing w:val="0"/>
          <w:position w:val="0"/>
          <w:sz w:val="22"/>
          <w:u w:val="single"/>
          <w:shd w:fill="auto" w:val="clear"/>
        </w:rPr>
      </w:pPr>
      <w:r>
        <w:rPr>
          <w:rFonts w:ascii="Calibri" w:hAnsi="Calibri" w:cs="Calibri" w:eastAsia="Calibri"/>
          <w:b/>
          <w:color w:val="000000"/>
          <w:spacing w:val="0"/>
          <w:position w:val="0"/>
          <w:sz w:val="22"/>
          <w:u w:val="single"/>
          <w:shd w:fill="auto" w:val="clear"/>
        </w:rPr>
        <w:t xml:space="preserve">Figure 4 </w:t>
      </w:r>
      <w:r>
        <w:rPr>
          <w:rFonts w:ascii="Calibri" w:hAnsi="Calibri" w:cs="Calibri" w:eastAsia="Calibri"/>
          <w:color w:val="000000"/>
          <w:spacing w:val="0"/>
          <w:position w:val="0"/>
          <w:sz w:val="22"/>
          <w:u w:val="single"/>
          <w:shd w:fill="auto" w:val="clear"/>
        </w:rPr>
        <w:t xml:space="preserve">Kirkpatrick Four Levels of Evaluation Model.</w:t>
      </w:r>
    </w:p>
    <w:p>
      <w:pPr>
        <w:spacing w:before="0" w:after="160" w:line="279"/>
        <w:ind w:right="0" w:left="0" w:firstLine="0"/>
        <w:jc w:val="left"/>
        <w:rPr>
          <w:rFonts w:ascii="Calibri" w:hAnsi="Calibri" w:cs="Calibri" w:eastAsia="Calibri"/>
          <w:color w:val="000000"/>
          <w:spacing w:val="0"/>
          <w:position w:val="0"/>
          <w:sz w:val="22"/>
          <w:u w:val="single"/>
          <w:shd w:fill="auto" w:val="clear"/>
        </w:rPr>
      </w:pPr>
    </w:p>
    <w:p>
      <w:pPr>
        <w:spacing w:before="0" w:after="160" w:line="279"/>
        <w:ind w:right="0" w:left="0" w:firstLine="0"/>
        <w:jc w:val="left"/>
        <w:rPr>
          <w:rFonts w:ascii="Calibri" w:hAnsi="Calibri" w:cs="Calibri" w:eastAsia="Calibri"/>
          <w:b/>
          <w:color w:val="000000"/>
          <w:spacing w:val="0"/>
          <w:position w:val="0"/>
          <w:sz w:val="22"/>
          <w:u w:val="single"/>
          <w:shd w:fill="auto" w:val="clear"/>
        </w:rPr>
      </w:pPr>
      <w:r>
        <w:rPr>
          <w:rFonts w:ascii="Calibri" w:hAnsi="Calibri" w:cs="Calibri" w:eastAsia="Calibri"/>
          <w:b/>
          <w:color w:val="000000"/>
          <w:spacing w:val="0"/>
          <w:position w:val="0"/>
          <w:sz w:val="22"/>
          <w:u w:val="single"/>
          <w:shd w:fill="auto" w:val="clear"/>
        </w:rPr>
        <w:t xml:space="preserve">Figure 5 </w:t>
      </w:r>
      <w:r>
        <w:rPr>
          <w:rFonts w:ascii="Calibri" w:hAnsi="Calibri" w:cs="Calibri" w:eastAsia="Calibri"/>
          <w:color w:val="000000"/>
          <w:spacing w:val="0"/>
          <w:position w:val="0"/>
          <w:sz w:val="22"/>
          <w:u w:val="single"/>
          <w:shd w:fill="auto" w:val="clear"/>
        </w:rPr>
        <w:t xml:space="preserve">Phillips ROI Model.</w:t>
      </w:r>
    </w:p>
    <w:p>
      <w:pPr>
        <w:spacing w:before="0" w:after="160" w:line="279"/>
        <w:ind w:right="0" w:left="0" w:firstLine="0"/>
        <w:jc w:val="left"/>
        <w:rPr>
          <w:rFonts w:ascii="Calibri" w:hAnsi="Calibri" w:cs="Calibri" w:eastAsia="Calibri"/>
          <w:color w:val="000000"/>
          <w:spacing w:val="0"/>
          <w:position w:val="0"/>
          <w:sz w:val="22"/>
          <w:u w:val="single"/>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1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7" Type="http://schemas.openxmlformats.org/officeDocument/2006/relationships/styles" /><Relationship Target="media/image3.wmf" Id="docRId7" Type="http://schemas.openxmlformats.org/officeDocument/2006/relationships/image" /><Relationship TargetMode="External" Target="https://www.acas.org.uk/acas-guide-to-challenging-conversations-and-how-to-manage-them" Id="docRId10" Type="http://schemas.openxmlformats.org/officeDocument/2006/relationships/hyperlink" /><Relationship TargetMode="External" Target="https://whatfix.com/blog/phillips-roi-model" Id="docRId14" Type="http://schemas.openxmlformats.org/officeDocument/2006/relationships/hyperlink"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ode="External" Target="https://joshbersin.com/2018/06/a-new-paradigm-for-corporate-training-learning-in-the-flow-of-work" Id="docRId11" Type="http://schemas.openxmlformats.org/officeDocument/2006/relationships/hyperlink" /><Relationship TargetMode="External" Target="https://educationaltechnology.net/kirkpatrick-model-four-levels-learning-evaluation" Id="docRId15" Type="http://schemas.openxmlformats.org/officeDocument/2006/relationships/hyperlink"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Mode="External" Target="https://youtu.be/PDdmEivdLxY?si=6iAzBDRHHD5jK9pJ" Id="docRId12" Type="http://schemas.openxmlformats.org/officeDocument/2006/relationships/hyperlink" /><Relationship Target="numbering.xml" Id="docRId16"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 TargetMode="External" Target="https://cipd.org/uk/knowledge/employment-law/proposed-changes-under-labour-government" Id="docRId13" Type="http://schemas.openxmlformats.org/officeDocument/2006/relationships/hyperlink" /><Relationship Target="media/image1.wmf" Id="docRId3" Type="http://schemas.openxmlformats.org/officeDocument/2006/relationships/image" /></Relationships>
</file>