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3138E" w14:textId="2C30BCEF" w:rsidR="001E5000" w:rsidRDefault="00787758">
      <w:r>
        <w:t xml:space="preserve">Infographic - Critical analysis of PESTLE tool </w:t>
      </w:r>
      <w:r w:rsidR="00992E00">
        <w:t xml:space="preserve">-  </w:t>
      </w:r>
      <w:r>
        <w:t xml:space="preserve">Katarzyna Kolowrocka (1805961) </w:t>
      </w:r>
      <w:r w:rsidR="00AF6409">
        <w:t xml:space="preserve">– word count – 1148. </w:t>
      </w:r>
    </w:p>
    <w:p w14:paraId="416CB5BB" w14:textId="77777777" w:rsidR="001E5000" w:rsidRDefault="00787758">
      <w:r>
        <w:t xml:space="preserve">‘BIG PICTURE’ – PESTLE - External Environment Analysis </w:t>
      </w:r>
    </w:p>
    <w:p w14:paraId="7353C8BE" w14:textId="70492711" w:rsidR="001E5000" w:rsidRDefault="00787758">
      <w:r>
        <w:t>The infographic evaluates the PESTLE tool, utilised for examining the external organisational environment, which is necessary to identify changes, opportunities and threats (Buye, 2021). Based on understanding the external environment, HR professionals can better establish organisat</w:t>
      </w:r>
      <w:r w:rsidR="006F396F">
        <w:t>ional</w:t>
      </w:r>
      <w:r>
        <w:t xml:space="preserve"> </w:t>
      </w:r>
      <w:r w:rsidR="006F396F">
        <w:t xml:space="preserve">and </w:t>
      </w:r>
      <w:r>
        <w:t xml:space="preserve">formulate appropriate strategies for achieving them. </w:t>
      </w:r>
    </w:p>
    <w:p w14:paraId="13C59696" w14:textId="77777777" w:rsidR="001E5000" w:rsidRDefault="00787758" w:rsidP="001E5000">
      <w:r>
        <w:t xml:space="preserve">ORGANISATIONAL ENVIRONMENT </w:t>
      </w:r>
    </w:p>
    <w:p w14:paraId="0F2441CC" w14:textId="06E06C3C" w:rsidR="00AF6409" w:rsidRDefault="00AF6409">
      <w:r w:rsidRPr="00AF6409">
        <w:drawing>
          <wp:inline distT="0" distB="0" distL="0" distR="0" wp14:anchorId="6AA4E3E8" wp14:editId="0934A032">
            <wp:extent cx="3063632" cy="2811780"/>
            <wp:effectExtent l="0" t="0" r="3810" b="7620"/>
            <wp:docPr id="34" name="Picture 33" descr="Diagram&#10;&#10;Description automatically generated">
              <a:extLst xmlns:a="http://schemas.openxmlformats.org/drawingml/2006/main">
                <a:ext uri="{FF2B5EF4-FFF2-40B4-BE49-F238E27FC236}">
                  <a16:creationId xmlns:a16="http://schemas.microsoft.com/office/drawing/2014/main" id="{CEB626EB-3D0C-CC86-0233-D53A5C3B7B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3" descr="Diagram&#10;&#10;Description automatically generated">
                      <a:extLst>
                        <a:ext uri="{FF2B5EF4-FFF2-40B4-BE49-F238E27FC236}">
                          <a16:creationId xmlns:a16="http://schemas.microsoft.com/office/drawing/2014/main" id="{CEB626EB-3D0C-CC86-0233-D53A5C3B7BC7}"/>
                        </a:ext>
                      </a:extLst>
                    </pic:cNvPr>
                    <pic:cNvPicPr>
                      <a:picLocks noChangeAspect="1"/>
                    </pic:cNvPicPr>
                  </pic:nvPicPr>
                  <pic:blipFill>
                    <a:blip r:embed="rId5"/>
                    <a:stretch>
                      <a:fillRect/>
                    </a:stretch>
                  </pic:blipFill>
                  <pic:spPr>
                    <a:xfrm>
                      <a:off x="0" y="0"/>
                      <a:ext cx="3075086" cy="2822293"/>
                    </a:xfrm>
                    <a:prstGeom prst="rect">
                      <a:avLst/>
                    </a:prstGeom>
                  </pic:spPr>
                </pic:pic>
              </a:graphicData>
            </a:graphic>
          </wp:inline>
        </w:drawing>
      </w:r>
    </w:p>
    <w:p w14:paraId="0AEC98EB" w14:textId="77777777" w:rsidR="00AF6409" w:rsidRDefault="00AF6409"/>
    <w:p w14:paraId="76F95454" w14:textId="7F6B4308" w:rsidR="001E5000" w:rsidRDefault="00787758">
      <w:r>
        <w:t>General Environment</w:t>
      </w:r>
      <w:r w:rsidR="001E5000">
        <w:t xml:space="preserve"> –</w:t>
      </w:r>
      <w:r w:rsidR="00E72B57">
        <w:t xml:space="preserve"> </w:t>
      </w:r>
      <w:r w:rsidR="001E5000" w:rsidRPr="001E5000">
        <w:t>in</w:t>
      </w:r>
      <w:r w:rsidR="00E72B57">
        <w:t>direct</w:t>
      </w:r>
      <w:r w:rsidR="001E5000" w:rsidRPr="001E5000">
        <w:t xml:space="preserve"> environment </w:t>
      </w:r>
      <w:r w:rsidR="00AF6409">
        <w:t>–</w:t>
      </w:r>
      <w:r w:rsidR="001E5000" w:rsidRPr="001E5000">
        <w:t>is beyond the organisational control (Taylor, Perkins, 2021).</w:t>
      </w:r>
    </w:p>
    <w:p w14:paraId="4FC1AABA" w14:textId="56865F89" w:rsidR="001E5000" w:rsidRPr="001E5000" w:rsidRDefault="00787758" w:rsidP="001E5000">
      <w:r>
        <w:t>Industry Environment</w:t>
      </w:r>
      <w:r w:rsidR="001E5000">
        <w:t xml:space="preserve"> - </w:t>
      </w:r>
      <w:r w:rsidR="00E72B57">
        <w:t>direct</w:t>
      </w:r>
      <w:r w:rsidR="001E5000" w:rsidRPr="001E5000">
        <w:t xml:space="preserve"> environment (Buye, 2021), an organisation’s specific industry-related factors, which are more controllable by an organisation than the </w:t>
      </w:r>
      <w:r w:rsidR="001E5000" w:rsidRPr="001E5000">
        <w:lastRenderedPageBreak/>
        <w:t xml:space="preserve">general environmental factors. Porter’s five forces framework (Yüksel, 2012), could be utilised to analyse the industry environment. </w:t>
      </w:r>
    </w:p>
    <w:p w14:paraId="40CE7D1B" w14:textId="008B5929" w:rsidR="001E5000" w:rsidRDefault="001E5000" w:rsidP="001E5000">
      <w:r>
        <w:t>Internal Environment -</w:t>
      </w:r>
      <w:r w:rsidRPr="001E5000">
        <w:t xml:space="preserve">includes the resources and capabilities of the company, such as physical, financial, technological, and human resources. These capabilities impact how organisations respond to and control the external environment. The SWOT tool is usually utilised to analyse the internal environment. </w:t>
      </w:r>
    </w:p>
    <w:p w14:paraId="7CE82B0B" w14:textId="50F784DD" w:rsidR="001E5000" w:rsidRPr="001E5000" w:rsidRDefault="004035F0" w:rsidP="001E5000">
      <w:r w:rsidRPr="004035F0">
        <w:t>To make sufficient strategic decisions, the external and internal environments must be analysed. Therefore, PESTLE analysis should be used in conjunction with complementary strategic tools and frameworks that consider internal factors and the industry environment in which the organisation operates.</w:t>
      </w:r>
    </w:p>
    <w:p w14:paraId="628F218C" w14:textId="2806E5A2" w:rsidR="004035F0" w:rsidRPr="003A6D4D" w:rsidRDefault="00787758">
      <w:pPr>
        <w:rPr>
          <w:b/>
          <w:bCs/>
        </w:rPr>
      </w:pPr>
      <w:r w:rsidRPr="003A6D4D">
        <w:rPr>
          <w:b/>
          <w:bCs/>
        </w:rPr>
        <w:t>WHAT</w:t>
      </w:r>
      <w:r w:rsidR="004035F0" w:rsidRPr="003A6D4D">
        <w:rPr>
          <w:b/>
          <w:bCs/>
        </w:rPr>
        <w:t xml:space="preserve"> </w:t>
      </w:r>
      <w:r w:rsidRPr="003A6D4D">
        <w:rPr>
          <w:b/>
          <w:bCs/>
        </w:rPr>
        <w:t>IS</w:t>
      </w:r>
      <w:r w:rsidR="004035F0" w:rsidRPr="003A6D4D">
        <w:rPr>
          <w:b/>
          <w:bCs/>
        </w:rPr>
        <w:t xml:space="preserve"> </w:t>
      </w:r>
      <w:r w:rsidRPr="003A6D4D">
        <w:rPr>
          <w:b/>
          <w:bCs/>
        </w:rPr>
        <w:t xml:space="preserve">PESTLE? </w:t>
      </w:r>
    </w:p>
    <w:p w14:paraId="229710D6" w14:textId="42B0EEF9" w:rsidR="004035F0" w:rsidRDefault="00787758">
      <w:r>
        <w:t>PESTLE analysis considers political</w:t>
      </w:r>
      <w:r w:rsidR="00992E00">
        <w:t>,</w:t>
      </w:r>
      <w:r>
        <w:t xml:space="preserve"> economic, social, technological, legal, and environmental factors </w:t>
      </w:r>
      <w:r w:rsidR="004035F0">
        <w:t>in an</w:t>
      </w:r>
      <w:r>
        <w:t xml:space="preserve"> external environment, and evaluates their potential impact on the organisation (Sammut-Bonnici and Galea, 2014). The PESTLE tool allows the HR department to ensure that people's strategies are aligned with the overall organisational strategy and that all important factors are considered (CIPD, 2021). </w:t>
      </w:r>
    </w:p>
    <w:p w14:paraId="400EC527" w14:textId="77777777" w:rsidR="004035F0" w:rsidRPr="003A6D4D" w:rsidRDefault="00787758">
      <w:pPr>
        <w:rPr>
          <w:b/>
          <w:bCs/>
        </w:rPr>
      </w:pPr>
      <w:r w:rsidRPr="003A6D4D">
        <w:rPr>
          <w:b/>
          <w:bCs/>
        </w:rPr>
        <w:t xml:space="preserve">EXTERNAL FACTORS AFFECTING BUSINESSES. </w:t>
      </w:r>
    </w:p>
    <w:p w14:paraId="28EAE42D" w14:textId="77777777" w:rsidR="004035F0" w:rsidRPr="004035F0" w:rsidRDefault="004035F0" w:rsidP="004035F0">
      <w:r>
        <w:t xml:space="preserve">Political: </w:t>
      </w:r>
      <w:r w:rsidRPr="004035F0">
        <w:t>The government frequently enacts new rules related to recruiting, training, compensation, and termination, that companies must follow. If a company does not comply with these regulations, it may face fines or, in severe cases, closure  (Friedman, 2019).</w:t>
      </w:r>
    </w:p>
    <w:p w14:paraId="3113D0D6" w14:textId="3D22286A" w:rsidR="004035F0" w:rsidRDefault="004035F0" w:rsidP="004035F0">
      <w:r>
        <w:lastRenderedPageBreak/>
        <w:t xml:space="preserve">Economic: </w:t>
      </w:r>
      <w:r w:rsidRPr="004035F0">
        <w:t>The economic climate includes inflation, interest rates, population income, and unemployment (CIPD, 2021; CFI, 2022). This can influence the availability of talent and may negatively impact recruitment efforts (Friedman, 2019). For example, in times of economic downturn, HR departments may need to make difficult decisions about layoffs or salary reductions. Nevertheless, organisations may have more discretion in recruiting during times of high unemployment.</w:t>
      </w:r>
    </w:p>
    <w:p w14:paraId="627537C2" w14:textId="72CFFFB1" w:rsidR="00464DF0" w:rsidRDefault="00464DF0" w:rsidP="004035F0">
      <w:r>
        <w:t xml:space="preserve">Social: </w:t>
      </w:r>
      <w:r w:rsidRPr="00464DF0">
        <w:t>Generating demographic data enables organisations to outline their market, stakeholders’ expectations and labour force (CIPD, 2021). Changes in demographics, such as the ageing of the population, can affect HR practices. For example, an organisation may need to adapt its benefits or training programs to meet the needs of an ageing workforce or find ways to attract the new generation entering the labour market as the older generation retires (Friedman, 2019).</w:t>
      </w:r>
    </w:p>
    <w:p w14:paraId="12E1A3E3" w14:textId="2002B5A4" w:rsidR="004035F0" w:rsidRDefault="004035F0" w:rsidP="004035F0">
      <w:r>
        <w:t xml:space="preserve">Technological: </w:t>
      </w:r>
      <w:r w:rsidRPr="004035F0">
        <w:t>Technology is revolutionising business operations. When new technologies are implemented, HR departments may consider ways to reduce expenses and workforce. For example, a task that previously required multiple people may now be completed by a single person (Friedman, 2019). Implementing new technologies may increase market share and competitive advantage. However, the high implementation cost may impact the organisation's cash flow, hence survival (CIPD, 2021).</w:t>
      </w:r>
    </w:p>
    <w:p w14:paraId="400594FA" w14:textId="0AFCA399" w:rsidR="00464DF0" w:rsidRDefault="00464DF0" w:rsidP="00464DF0">
      <w:r>
        <w:t xml:space="preserve">Legal: </w:t>
      </w:r>
      <w:r w:rsidRPr="00464DF0">
        <w:t xml:space="preserve">HR departments are responsible for complying with laws and regulations related to employment, such as minimum wage, maximum working hours, equal employment opportunities, and health and safety (CIPD, 2021). </w:t>
      </w:r>
    </w:p>
    <w:p w14:paraId="176C1DB9" w14:textId="4E83292A" w:rsidR="004035F0" w:rsidRDefault="00464DF0">
      <w:r>
        <w:t xml:space="preserve">Environmental: </w:t>
      </w:r>
      <w:r w:rsidRPr="00464DF0">
        <w:t xml:space="preserve">The need for organisations to switch to ethical and sustainable sourcing has increased due to global warming and social demands (CIPD, 2021a). </w:t>
      </w:r>
      <w:r w:rsidRPr="00464DF0">
        <w:lastRenderedPageBreak/>
        <w:t>One of the environmentally friendly strategies is hybrid working or working from home to reduce commuting, hence pollution (Wainaina, 2021).</w:t>
      </w:r>
    </w:p>
    <w:p w14:paraId="597CA01E" w14:textId="18CF194F" w:rsidR="00464DF0" w:rsidRPr="003A6D4D" w:rsidRDefault="00E72B57" w:rsidP="00464DF0">
      <w:pPr>
        <w:rPr>
          <w:b/>
          <w:bCs/>
        </w:rPr>
      </w:pPr>
      <w:r w:rsidRPr="003A6D4D">
        <w:rPr>
          <w:b/>
          <w:bCs/>
        </w:rPr>
        <w:t>PESTLE’S</w:t>
      </w:r>
      <w:r w:rsidR="00787758" w:rsidRPr="003A6D4D">
        <w:rPr>
          <w:b/>
          <w:bCs/>
        </w:rPr>
        <w:t xml:space="preserve"> MAIN FUNCTIONS.</w:t>
      </w:r>
    </w:p>
    <w:p w14:paraId="6C567274" w14:textId="1D178FBE" w:rsidR="00464DF0" w:rsidRPr="00464DF0" w:rsidRDefault="00464DF0" w:rsidP="00464DF0">
      <w:r w:rsidRPr="00464DF0">
        <w:rPr>
          <w:b/>
          <w:bCs/>
        </w:rPr>
        <w:t>Organisational Change</w:t>
      </w:r>
    </w:p>
    <w:p w14:paraId="4B71C36D" w14:textId="2BF234A1" w:rsidR="00464DF0" w:rsidRDefault="00464DF0" w:rsidP="00464DF0">
      <w:r w:rsidRPr="00464DF0">
        <w:t>By understanding the changes in the external business environment, the HR department can adjust strategies to better navigate change (Mind Tools, 2022). For example, Covid-19 led to the adoption of hybrid and remote work models (Kappers and Sibisi, 2022).</w:t>
      </w:r>
    </w:p>
    <w:p w14:paraId="2906071E" w14:textId="77777777" w:rsidR="00464DF0" w:rsidRPr="00464DF0" w:rsidRDefault="00464DF0" w:rsidP="00464DF0">
      <w:r w:rsidRPr="00464DF0">
        <w:rPr>
          <w:b/>
          <w:bCs/>
        </w:rPr>
        <w:t xml:space="preserve">Risk Management </w:t>
      </w:r>
    </w:p>
    <w:p w14:paraId="674BCB9C" w14:textId="77777777" w:rsidR="00464DF0" w:rsidRPr="00464DF0" w:rsidRDefault="00464DF0" w:rsidP="00464DF0">
      <w:r w:rsidRPr="00464DF0">
        <w:t>By identifying potential risks, HR departments can align adequate strategies to mitigate threats (Sammut-Bonnici and Galea, 2014). For instance, if a competitor enters the market with more attractive employee benefits, the HR department may need to assess and update the organisation's perks to attract and retain talented employees (CIPD, 2021).</w:t>
      </w:r>
    </w:p>
    <w:p w14:paraId="502EBDFF" w14:textId="77777777" w:rsidR="00464DF0" w:rsidRPr="00464DF0" w:rsidRDefault="00464DF0" w:rsidP="00464DF0">
      <w:r w:rsidRPr="00464DF0">
        <w:rPr>
          <w:b/>
          <w:bCs/>
        </w:rPr>
        <w:t>Workforce planning</w:t>
      </w:r>
    </w:p>
    <w:p w14:paraId="2C3BB249" w14:textId="02F30C90" w:rsidR="00464DF0" w:rsidRDefault="00464DF0" w:rsidP="00464DF0">
      <w:r w:rsidRPr="00464DF0">
        <w:t>Examining the external environment provides a view of the current labour market, for example, skills shortages (Taylor, 2019). Conducting a PESTLE analysis in conjunction with the SWOT tool enables HR professionals to identify capabilities and gaps in the organisation's workforce and enables them to make informed decisions about recruitment, retention, and development.</w:t>
      </w:r>
    </w:p>
    <w:p w14:paraId="4135975A" w14:textId="3FFC2387" w:rsidR="003A6D4D" w:rsidRDefault="003A6D4D" w:rsidP="00464DF0"/>
    <w:p w14:paraId="46EBB5A1" w14:textId="77777777" w:rsidR="003A6D4D" w:rsidRPr="00464DF0" w:rsidRDefault="003A6D4D" w:rsidP="00464DF0"/>
    <w:p w14:paraId="63DD5AFB" w14:textId="77777777" w:rsidR="00464DF0" w:rsidRPr="00464DF0" w:rsidRDefault="00464DF0" w:rsidP="00464DF0">
      <w:r w:rsidRPr="00464DF0">
        <w:rPr>
          <w:b/>
          <w:bCs/>
        </w:rPr>
        <w:lastRenderedPageBreak/>
        <w:t>Failing to conduct an external environment analysis can have negative consequences, such as (Friedman, 2019):</w:t>
      </w:r>
    </w:p>
    <w:p w14:paraId="1207ADE6" w14:textId="615C1AB1" w:rsidR="00464DF0" w:rsidRPr="00464DF0" w:rsidRDefault="00464DF0" w:rsidP="00464DF0">
      <w:pPr>
        <w:numPr>
          <w:ilvl w:val="0"/>
          <w:numId w:val="4"/>
        </w:numPr>
        <w:tabs>
          <w:tab w:val="left" w:pos="720"/>
        </w:tabs>
      </w:pPr>
      <w:r w:rsidRPr="00464DF0">
        <w:t>Inability to adapt to change</w:t>
      </w:r>
      <w:r>
        <w:t>,</w:t>
      </w:r>
    </w:p>
    <w:p w14:paraId="4BA6FA70" w14:textId="32116BAA" w:rsidR="00464DF0" w:rsidRPr="00464DF0" w:rsidRDefault="00464DF0" w:rsidP="00464DF0">
      <w:pPr>
        <w:numPr>
          <w:ilvl w:val="0"/>
          <w:numId w:val="4"/>
        </w:numPr>
        <w:tabs>
          <w:tab w:val="left" w:pos="720"/>
        </w:tabs>
      </w:pPr>
      <w:r w:rsidRPr="00464DF0">
        <w:t>Limited strategic planning</w:t>
      </w:r>
      <w:r>
        <w:t>,</w:t>
      </w:r>
    </w:p>
    <w:p w14:paraId="5CCF5962" w14:textId="344E11E6" w:rsidR="00464DF0" w:rsidRPr="00464DF0" w:rsidRDefault="00464DF0" w:rsidP="00464DF0">
      <w:pPr>
        <w:numPr>
          <w:ilvl w:val="0"/>
          <w:numId w:val="4"/>
        </w:numPr>
        <w:tabs>
          <w:tab w:val="left" w:pos="720"/>
        </w:tabs>
      </w:pPr>
      <w:r w:rsidRPr="00464DF0">
        <w:rPr>
          <w:lang w:val="pl-PL"/>
        </w:rPr>
        <w:t>Reduced profitability</w:t>
      </w:r>
      <w:r>
        <w:rPr>
          <w:lang w:val="pl-PL"/>
        </w:rPr>
        <w:t>,</w:t>
      </w:r>
    </w:p>
    <w:p w14:paraId="19A4E530" w14:textId="2578F283" w:rsidR="00464DF0" w:rsidRDefault="00464DF0" w:rsidP="00464DF0">
      <w:pPr>
        <w:numPr>
          <w:ilvl w:val="0"/>
          <w:numId w:val="4"/>
        </w:numPr>
        <w:tabs>
          <w:tab w:val="left" w:pos="720"/>
        </w:tabs>
      </w:pPr>
      <w:r w:rsidRPr="00464DF0">
        <w:t>Lose talent,</w:t>
      </w:r>
    </w:p>
    <w:p w14:paraId="05DA5C3B" w14:textId="36E30D4A" w:rsidR="00464DF0" w:rsidRPr="00464DF0" w:rsidRDefault="00464DF0" w:rsidP="00464DF0">
      <w:pPr>
        <w:numPr>
          <w:ilvl w:val="0"/>
          <w:numId w:val="4"/>
        </w:numPr>
        <w:tabs>
          <w:tab w:val="left" w:pos="720"/>
        </w:tabs>
      </w:pPr>
      <w:r w:rsidRPr="00464DF0">
        <w:t>Threat of lawsuits and sanctions</w:t>
      </w:r>
      <w:r>
        <w:t>,</w:t>
      </w:r>
      <w:r w:rsidRPr="00464DF0">
        <w:t xml:space="preserve"> </w:t>
      </w:r>
    </w:p>
    <w:p w14:paraId="251108D2" w14:textId="5B53BF69" w:rsidR="00464DF0" w:rsidRPr="00464DF0" w:rsidRDefault="00464DF0" w:rsidP="00464DF0">
      <w:pPr>
        <w:numPr>
          <w:ilvl w:val="0"/>
          <w:numId w:val="4"/>
        </w:numPr>
        <w:tabs>
          <w:tab w:val="left" w:pos="720"/>
        </w:tabs>
      </w:pPr>
      <w:r w:rsidRPr="00464DF0">
        <w:t>Decrease competitiveness</w:t>
      </w:r>
      <w:r>
        <w:t>.</w:t>
      </w:r>
    </w:p>
    <w:p w14:paraId="2BFC48E2" w14:textId="02AF3339" w:rsidR="00464DF0" w:rsidRDefault="00464DF0" w:rsidP="00464DF0">
      <w:pPr>
        <w:tabs>
          <w:tab w:val="left" w:pos="720"/>
        </w:tabs>
        <w:ind w:left="720"/>
        <w:rPr>
          <w:b/>
          <w:bCs/>
        </w:rPr>
      </w:pPr>
      <w:r w:rsidRPr="00464DF0">
        <w:rPr>
          <w:b/>
          <w:bCs/>
          <w:lang w:val="pl-PL"/>
        </w:rPr>
        <w:t>P</w:t>
      </w:r>
      <w:r w:rsidRPr="00464DF0">
        <w:rPr>
          <w:b/>
          <w:bCs/>
        </w:rPr>
        <w:t>ESTLE tool Advantages</w:t>
      </w:r>
    </w:p>
    <w:p w14:paraId="742F31CC" w14:textId="75D2AED2" w:rsidR="00464DF0" w:rsidRPr="00464DF0" w:rsidRDefault="00464DF0" w:rsidP="00464DF0">
      <w:pPr>
        <w:numPr>
          <w:ilvl w:val="0"/>
          <w:numId w:val="7"/>
        </w:numPr>
        <w:tabs>
          <w:tab w:val="left" w:pos="720"/>
        </w:tabs>
      </w:pPr>
      <w:r w:rsidRPr="00464DF0">
        <w:t xml:space="preserve">It is a simple, straightforward framework </w:t>
      </w:r>
      <w:r w:rsidR="00AF6409">
        <w:t>(</w:t>
      </w:r>
      <w:r w:rsidRPr="00464DF0">
        <w:t>CIPD</w:t>
      </w:r>
      <w:r w:rsidR="00AF6409">
        <w:t>,</w:t>
      </w:r>
      <w:r w:rsidRPr="00464DF0">
        <w:t xml:space="preserve"> 2021</w:t>
      </w:r>
      <w:r w:rsidR="00AF6409">
        <w:t>)</w:t>
      </w:r>
    </w:p>
    <w:p w14:paraId="51965C8A" w14:textId="1603BB19" w:rsidR="00464DF0" w:rsidRPr="00464DF0" w:rsidRDefault="00464DF0" w:rsidP="00464DF0">
      <w:pPr>
        <w:numPr>
          <w:ilvl w:val="0"/>
          <w:numId w:val="7"/>
        </w:numPr>
        <w:tabs>
          <w:tab w:val="left" w:pos="720"/>
        </w:tabs>
      </w:pPr>
      <w:r w:rsidRPr="00464DF0">
        <w:t xml:space="preserve">It encourages strategic thinking </w:t>
      </w:r>
      <w:r w:rsidR="00AF6409">
        <w:t>(</w:t>
      </w:r>
      <w:r w:rsidRPr="00464DF0">
        <w:t>CIPD</w:t>
      </w:r>
      <w:r w:rsidR="00AF6409">
        <w:t>,</w:t>
      </w:r>
      <w:r w:rsidRPr="00464DF0">
        <w:t xml:space="preserve"> 2021</w:t>
      </w:r>
      <w:r w:rsidR="00AF6409">
        <w:t>)</w:t>
      </w:r>
    </w:p>
    <w:p w14:paraId="1068F6AC" w14:textId="2DC31B9F" w:rsidR="00464DF0" w:rsidRDefault="00464DF0" w:rsidP="00464DF0">
      <w:pPr>
        <w:numPr>
          <w:ilvl w:val="0"/>
          <w:numId w:val="7"/>
        </w:numPr>
        <w:tabs>
          <w:tab w:val="left" w:pos="720"/>
        </w:tabs>
      </w:pPr>
      <w:r w:rsidRPr="00464DF0">
        <w:t xml:space="preserve">Enable forecasting and assessing future developments (Buye, 2021). </w:t>
      </w:r>
    </w:p>
    <w:p w14:paraId="310774E2" w14:textId="4FDDE273" w:rsidR="00464DF0" w:rsidRPr="00464DF0" w:rsidRDefault="00464DF0" w:rsidP="00464DF0">
      <w:pPr>
        <w:tabs>
          <w:tab w:val="left" w:pos="720"/>
        </w:tabs>
        <w:ind w:left="720"/>
      </w:pPr>
      <w:r w:rsidRPr="00464DF0">
        <w:rPr>
          <w:b/>
          <w:bCs/>
          <w:lang w:val="pl-PL"/>
        </w:rPr>
        <w:t>PESTLE tool Disadvantages</w:t>
      </w:r>
    </w:p>
    <w:p w14:paraId="66545CA9" w14:textId="77777777" w:rsidR="00464DF0" w:rsidRPr="00464DF0" w:rsidRDefault="00464DF0" w:rsidP="00464DF0">
      <w:pPr>
        <w:numPr>
          <w:ilvl w:val="0"/>
          <w:numId w:val="7"/>
        </w:numPr>
        <w:tabs>
          <w:tab w:val="left" w:pos="720"/>
        </w:tabs>
      </w:pPr>
      <w:r w:rsidRPr="00464DF0">
        <w:t xml:space="preserve">Model examines only the macro environment, ignoring the industrial environment, such as competition (Buye, 2021) and internal organisational capabilities. </w:t>
      </w:r>
    </w:p>
    <w:p w14:paraId="4D73BD59" w14:textId="77777777" w:rsidR="00464DF0" w:rsidRPr="00464DF0" w:rsidRDefault="00464DF0" w:rsidP="00464DF0">
      <w:pPr>
        <w:numPr>
          <w:ilvl w:val="0"/>
          <w:numId w:val="7"/>
        </w:numPr>
        <w:tabs>
          <w:tab w:val="left" w:pos="720"/>
        </w:tabs>
      </w:pPr>
      <w:r w:rsidRPr="00464DF0">
        <w:t>The risk of collecting insufficient and irrelevant data, may result in an inconclusive analysis (Sammut-Bonnici, and Galea, 2014).</w:t>
      </w:r>
    </w:p>
    <w:p w14:paraId="6C33E622" w14:textId="77777777" w:rsidR="00464DF0" w:rsidRPr="00464DF0" w:rsidRDefault="00464DF0" w:rsidP="00464DF0">
      <w:pPr>
        <w:numPr>
          <w:ilvl w:val="0"/>
          <w:numId w:val="7"/>
        </w:numPr>
        <w:tabs>
          <w:tab w:val="left" w:pos="720"/>
        </w:tabs>
      </w:pPr>
      <w:r w:rsidRPr="00464DF0">
        <w:t>The risk of collecting too much data, may result in ‘analysis paralysis - inability to decide due to over-thinking (Chen, 2022).</w:t>
      </w:r>
    </w:p>
    <w:p w14:paraId="1E108849" w14:textId="77777777" w:rsidR="00464DF0" w:rsidRPr="00464DF0" w:rsidRDefault="00464DF0" w:rsidP="00464DF0">
      <w:pPr>
        <w:numPr>
          <w:ilvl w:val="0"/>
          <w:numId w:val="7"/>
        </w:numPr>
        <w:tabs>
          <w:tab w:val="left" w:pos="720"/>
        </w:tabs>
      </w:pPr>
      <w:r w:rsidRPr="00464DF0">
        <w:lastRenderedPageBreak/>
        <w:t>Frequent and rapid changes in the external environment, require regular analysis, which is costly and time-consuming (CIPD 2021).</w:t>
      </w:r>
    </w:p>
    <w:p w14:paraId="7B491B94" w14:textId="0E4544F9" w:rsidR="00464DF0" w:rsidRDefault="00464DF0" w:rsidP="00464DF0">
      <w:pPr>
        <w:numPr>
          <w:ilvl w:val="0"/>
          <w:numId w:val="7"/>
        </w:numPr>
        <w:tabs>
          <w:tab w:val="left" w:pos="720"/>
        </w:tabs>
      </w:pPr>
      <w:r w:rsidRPr="00464DF0">
        <w:t>PESTLE tool utilises only a qualitative approach for evaluation, which limits the ability to objectively or rationally analyse the external environment (Yüksel, 2012).</w:t>
      </w:r>
    </w:p>
    <w:p w14:paraId="1C69DCD5" w14:textId="77777777" w:rsidR="00464DF0" w:rsidRDefault="00464DF0" w:rsidP="00464DF0">
      <w:pPr>
        <w:tabs>
          <w:tab w:val="left" w:pos="720"/>
        </w:tabs>
        <w:ind w:left="360"/>
        <w:rPr>
          <w:b/>
          <w:bCs/>
        </w:rPr>
      </w:pPr>
    </w:p>
    <w:p w14:paraId="210202BF" w14:textId="7E6C50EF" w:rsidR="00464DF0" w:rsidRPr="00464DF0" w:rsidRDefault="00464DF0" w:rsidP="00464DF0">
      <w:pPr>
        <w:tabs>
          <w:tab w:val="left" w:pos="720"/>
        </w:tabs>
        <w:ind w:left="360"/>
      </w:pPr>
      <w:r w:rsidRPr="00464DF0">
        <w:rPr>
          <w:b/>
          <w:bCs/>
        </w:rPr>
        <w:t>IMPACT OF THE EXTERNAL FACTORS ON THE PUBLIC, PRIVATE AND THIRD SECTORS.</w:t>
      </w:r>
    </w:p>
    <w:p w14:paraId="653022BD" w14:textId="2449A289" w:rsidR="00464DF0" w:rsidRDefault="00464DF0" w:rsidP="00464DF0">
      <w:pPr>
        <w:tabs>
          <w:tab w:val="left" w:pos="720"/>
        </w:tabs>
      </w:pPr>
      <w:r w:rsidRPr="00464DF0">
        <w:t>External factors impact HR decisions in public, private, and third sectors differently because they are characterised by different natures and objectives. In the private sector, profit determines a company's success. Non-profits and public sector entities are evaluated based on factors like the relevance of their work, effectiveness in achieving goals, and efficiency in using resources.</w:t>
      </w:r>
    </w:p>
    <w:p w14:paraId="2DAB9A13" w14:textId="77777777" w:rsidR="00464DF0" w:rsidRPr="00464DF0" w:rsidRDefault="00464DF0" w:rsidP="00464DF0">
      <w:pPr>
        <w:tabs>
          <w:tab w:val="left" w:pos="720"/>
        </w:tabs>
      </w:pPr>
      <w:r w:rsidRPr="00464DF0">
        <w:t>In the private sector, economic factors can affect a company's profitability and growth. Changes in consumer spending and market demand can impact sales and revenue. For example, rising unemployment could adversely impact demand for a product and services, affecting HR decisions like recruiting or workforce size.</w:t>
      </w:r>
    </w:p>
    <w:p w14:paraId="222BC3CB" w14:textId="326AA1CB" w:rsidR="00464DF0" w:rsidRPr="00464DF0" w:rsidRDefault="00464DF0" w:rsidP="00464DF0">
      <w:pPr>
        <w:tabs>
          <w:tab w:val="left" w:pos="720"/>
        </w:tabs>
      </w:pPr>
      <w:r w:rsidRPr="00464DF0">
        <w:t xml:space="preserve">In the public sector, economic factors, such as inflation and unemployment can impact the </w:t>
      </w:r>
      <w:r w:rsidR="003A6D4D">
        <w:t>G</w:t>
      </w:r>
      <w:r w:rsidRPr="00464DF0">
        <w:t xml:space="preserve">overnment's ability to fund public services. If the economy is strong, the government may have the revenue to invest in HR activities like training and employee benefits. </w:t>
      </w:r>
    </w:p>
    <w:p w14:paraId="307239B3" w14:textId="282D63F5" w:rsidR="006F396F" w:rsidRDefault="00464DF0" w:rsidP="00AF6409">
      <w:pPr>
        <w:tabs>
          <w:tab w:val="left" w:pos="720"/>
        </w:tabs>
      </w:pPr>
      <w:r w:rsidRPr="00464DF0">
        <w:lastRenderedPageBreak/>
        <w:t>In the third sector, in poor economic conditions, government grants may not be available, and society and businesses may be less likely to donate. This can make it harder for non-profits to achieve their goals and serve their communities.</w:t>
      </w:r>
    </w:p>
    <w:p w14:paraId="40F4928B" w14:textId="71DF77F9" w:rsidR="006F396F" w:rsidRDefault="00464DF0">
      <w:r>
        <w:t>Conclusion</w:t>
      </w:r>
    </w:p>
    <w:p w14:paraId="1DDF2C04" w14:textId="2A92BDDC" w:rsidR="006F396F" w:rsidRDefault="006F396F" w:rsidP="006F396F">
      <w:r w:rsidRPr="006F396F">
        <w:t xml:space="preserve">HR professionals should develop strategies using the PESTLE analysis to identify opportunities and manage challenges. The PESTLE analysis provides important knowledge about the external environment in which the organisation operates, but it should not be the sole basis for decision-making as it is limited to the macro environment. Therefore, it should be used in conjunction with other models, which analyse the industrial environment and internal organisational capability to gain a comprehensive view of the situation. </w:t>
      </w:r>
    </w:p>
    <w:p w14:paraId="5A8A6B79" w14:textId="77777777" w:rsidR="00AF6409" w:rsidRPr="006F396F" w:rsidRDefault="00AF6409" w:rsidP="006F396F"/>
    <w:p w14:paraId="01193849" w14:textId="1236ADB2" w:rsidR="00AF6409" w:rsidRDefault="00AF6409" w:rsidP="00AF6409">
      <w:r>
        <w:t>REFERENCES:</w:t>
      </w:r>
    </w:p>
    <w:p w14:paraId="072BF78E" w14:textId="4A5384C4" w:rsidR="00AF6409" w:rsidRPr="00AF6409" w:rsidRDefault="00AF6409" w:rsidP="00AF6409">
      <w:r w:rsidRPr="00AF6409">
        <w:t>Buye P. (2021) ‘Critical examination of the PESTEL Analysis Model’. Available at: https://www.researchgate.net/publication/349506325_Critical_examination_of_the_PESTEL_Analysis_Model (accessed 11.11.2022).</w:t>
      </w:r>
    </w:p>
    <w:p w14:paraId="3CC4BB4F" w14:textId="77777777" w:rsidR="00AF6409" w:rsidRPr="00AF6409" w:rsidRDefault="00AF6409" w:rsidP="00AF6409">
      <w:r w:rsidRPr="00AF6409">
        <w:t>Chen J., (2022), ‘What Is Analysis Paralysis? Definition, Risks, and How to Fix’. Available at: https://www.investopedia.com/terms/a/analysisparalysis.asp (accessed 08.12.2022).</w:t>
      </w:r>
    </w:p>
    <w:p w14:paraId="62528C6E" w14:textId="77777777" w:rsidR="00AF6409" w:rsidRPr="00AF6409" w:rsidRDefault="00AF6409" w:rsidP="00AF6409">
      <w:r w:rsidRPr="00AF6409">
        <w:t>Corporate Finance Institute (CFI), (2022) External Analysis. Available at: https://corporatefinanceinstitute.com/resources/management/external-analysis/ (accessed 15.12.2022).</w:t>
      </w:r>
    </w:p>
    <w:p w14:paraId="13E243C9" w14:textId="77777777" w:rsidR="00AF6409" w:rsidRPr="00AF6409" w:rsidRDefault="00AF6409" w:rsidP="00AF6409">
      <w:r w:rsidRPr="00AF6409">
        <w:lastRenderedPageBreak/>
        <w:t>CIPD (2021) ‘PESTLE analysis’ Available at: https://www.cipd.co.uk/knowledge/strategy/organisational-development/pestle-analysis-factsheet (accessed 12.11.2022).</w:t>
      </w:r>
    </w:p>
    <w:p w14:paraId="6A4F381B" w14:textId="77777777" w:rsidR="00AF6409" w:rsidRPr="00AF6409" w:rsidRDefault="00AF6409" w:rsidP="00AF6409">
      <w:r w:rsidRPr="00AF6409">
        <w:t>CIPD (2021a) Embedding Environmental Sustainability in Your Organisation. Available at: https://www.cipd.co.uk/Images/sustainability-guide_tcm18-98576.pdf (accessed 16.12.2022).</w:t>
      </w:r>
    </w:p>
    <w:p w14:paraId="7CF52205" w14:textId="64EBEF98" w:rsidR="00AF6409" w:rsidRDefault="00AF6409" w:rsidP="00AF6409">
      <w:r w:rsidRPr="00AF6409">
        <w:t>Friedman E. (2019) 4 External Factors that Affect Human Resource Management. The SHRM Blog. Available at: https://blog.shrm.org/blog/4-external-factors-that-affect-human-resource-management (Accessed 16.12.2022).</w:t>
      </w:r>
    </w:p>
    <w:p w14:paraId="18C0AA02" w14:textId="040989B9" w:rsidR="00AF6409" w:rsidRPr="00AF6409" w:rsidRDefault="00AF6409" w:rsidP="00AF6409">
      <w:r w:rsidRPr="00AF6409">
        <w:t>Kappers G., Sibisi S., (2022), Onboarding Can Make or Break a New Hire’s Experience. Harvard Business Review. Available at: https://hbr.org/2022/04/onboarding-can-make-or-break-a-new-hires-experience (accessed 15.12.2022).</w:t>
      </w:r>
    </w:p>
    <w:p w14:paraId="3246BCBC" w14:textId="77777777" w:rsidR="00AF6409" w:rsidRPr="00AF6409" w:rsidRDefault="00AF6409" w:rsidP="00AF6409">
      <w:r w:rsidRPr="00AF6409">
        <w:t>Mind Tools (2022) PESTEL Analysis -Identifying "Big Picture" Opportunities and Threats. Available at: https://www.mindtools.com/pages/article/newTMC_09.htm (accessed 12.11.2022).</w:t>
      </w:r>
    </w:p>
    <w:p w14:paraId="5EC34000" w14:textId="77777777" w:rsidR="00AF6409" w:rsidRPr="00AF6409" w:rsidRDefault="00AF6409" w:rsidP="00AF6409">
      <w:r w:rsidRPr="00AF6409">
        <w:t xml:space="preserve">Taylor, S., Perkins, G. (2021) </w:t>
      </w:r>
      <w:r w:rsidRPr="00AF6409">
        <w:rPr>
          <w:i/>
          <w:iCs/>
        </w:rPr>
        <w:t>Work and employment in a changing business environment</w:t>
      </w:r>
      <w:r w:rsidRPr="00AF6409">
        <w:t xml:space="preserve">. London : Kogan Page.  </w:t>
      </w:r>
    </w:p>
    <w:p w14:paraId="037B39B0" w14:textId="77777777" w:rsidR="00AF6409" w:rsidRPr="00AF6409" w:rsidRDefault="00AF6409" w:rsidP="00AF6409">
      <w:r w:rsidRPr="00AF6409">
        <w:t xml:space="preserve">Sammut-Bonnici, T., Galea, D., (2014) </w:t>
      </w:r>
      <w:r w:rsidRPr="00AF6409">
        <w:rPr>
          <w:i/>
          <w:iCs/>
        </w:rPr>
        <w:t>PEST analysis</w:t>
      </w:r>
      <w:r w:rsidRPr="00AF6409">
        <w:t>. Wiley Encyclopaedia of Management. London: John Wiley &amp; Sons, Ltd.</w:t>
      </w:r>
    </w:p>
    <w:p w14:paraId="2960C7D1" w14:textId="77777777" w:rsidR="00AF6409" w:rsidRPr="00AF6409" w:rsidRDefault="00AF6409" w:rsidP="00AF6409">
      <w:r w:rsidRPr="00AF6409">
        <w:t>Wainaina K (2021) HR and Climate Change: The Impact on Work Environments. LinkedIn. Available at: https://www.linkedin.com/pulse/hr-climate-change-impact-work-environments-dorcas-wainaina- (accessed 16.12.2022).</w:t>
      </w:r>
    </w:p>
    <w:p w14:paraId="00DE5D38" w14:textId="77777777" w:rsidR="00AF6409" w:rsidRPr="00AF6409" w:rsidRDefault="00AF6409" w:rsidP="00AF6409">
      <w:r w:rsidRPr="00AF6409">
        <w:lastRenderedPageBreak/>
        <w:t xml:space="preserve">Yüksel, I., (2012). Developing a multi-criteria decision-making model for PESTEL analysis. </w:t>
      </w:r>
      <w:r w:rsidRPr="00AF6409">
        <w:rPr>
          <w:i/>
          <w:iCs/>
        </w:rPr>
        <w:t>International Journal of Business and Management</w:t>
      </w:r>
      <w:r w:rsidRPr="00AF6409">
        <w:t xml:space="preserve">, </w:t>
      </w:r>
      <w:r w:rsidRPr="00AF6409">
        <w:rPr>
          <w:i/>
          <w:iCs/>
        </w:rPr>
        <w:t>7</w:t>
      </w:r>
      <w:r w:rsidRPr="00AF6409">
        <w:t>(24), p.52.</w:t>
      </w:r>
    </w:p>
    <w:p w14:paraId="75F47626" w14:textId="77777777" w:rsidR="006F396F" w:rsidRDefault="006F396F"/>
    <w:p w14:paraId="59CB3494" w14:textId="77777777" w:rsidR="006F396F" w:rsidRDefault="006F396F"/>
    <w:p w14:paraId="55D03AC0" w14:textId="764D09BF" w:rsidR="0043669F" w:rsidRDefault="0043669F"/>
    <w:sectPr w:rsidR="004366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21C64"/>
    <w:multiLevelType w:val="hybridMultilevel"/>
    <w:tmpl w:val="DF4E5108"/>
    <w:lvl w:ilvl="0" w:tplc="27D0D584">
      <w:start w:val="1"/>
      <w:numFmt w:val="bullet"/>
      <w:lvlText w:val="•"/>
      <w:lvlJc w:val="left"/>
      <w:pPr>
        <w:tabs>
          <w:tab w:val="num" w:pos="720"/>
        </w:tabs>
        <w:ind w:left="720" w:hanging="360"/>
      </w:pPr>
      <w:rPr>
        <w:rFonts w:ascii="Arial" w:hAnsi="Arial" w:hint="default"/>
      </w:rPr>
    </w:lvl>
    <w:lvl w:ilvl="1" w:tplc="B1ACBA94" w:tentative="1">
      <w:start w:val="1"/>
      <w:numFmt w:val="bullet"/>
      <w:lvlText w:val="•"/>
      <w:lvlJc w:val="left"/>
      <w:pPr>
        <w:tabs>
          <w:tab w:val="num" w:pos="1440"/>
        </w:tabs>
        <w:ind w:left="1440" w:hanging="360"/>
      </w:pPr>
      <w:rPr>
        <w:rFonts w:ascii="Arial" w:hAnsi="Arial" w:hint="default"/>
      </w:rPr>
    </w:lvl>
    <w:lvl w:ilvl="2" w:tplc="62D85254" w:tentative="1">
      <w:start w:val="1"/>
      <w:numFmt w:val="bullet"/>
      <w:lvlText w:val="•"/>
      <w:lvlJc w:val="left"/>
      <w:pPr>
        <w:tabs>
          <w:tab w:val="num" w:pos="2160"/>
        </w:tabs>
        <w:ind w:left="2160" w:hanging="360"/>
      </w:pPr>
      <w:rPr>
        <w:rFonts w:ascii="Arial" w:hAnsi="Arial" w:hint="default"/>
      </w:rPr>
    </w:lvl>
    <w:lvl w:ilvl="3" w:tplc="B5481AD2" w:tentative="1">
      <w:start w:val="1"/>
      <w:numFmt w:val="bullet"/>
      <w:lvlText w:val="•"/>
      <w:lvlJc w:val="left"/>
      <w:pPr>
        <w:tabs>
          <w:tab w:val="num" w:pos="2880"/>
        </w:tabs>
        <w:ind w:left="2880" w:hanging="360"/>
      </w:pPr>
      <w:rPr>
        <w:rFonts w:ascii="Arial" w:hAnsi="Arial" w:hint="default"/>
      </w:rPr>
    </w:lvl>
    <w:lvl w:ilvl="4" w:tplc="38AA5EA8" w:tentative="1">
      <w:start w:val="1"/>
      <w:numFmt w:val="bullet"/>
      <w:lvlText w:val="•"/>
      <w:lvlJc w:val="left"/>
      <w:pPr>
        <w:tabs>
          <w:tab w:val="num" w:pos="3600"/>
        </w:tabs>
        <w:ind w:left="3600" w:hanging="360"/>
      </w:pPr>
      <w:rPr>
        <w:rFonts w:ascii="Arial" w:hAnsi="Arial" w:hint="default"/>
      </w:rPr>
    </w:lvl>
    <w:lvl w:ilvl="5" w:tplc="D54A31AE" w:tentative="1">
      <w:start w:val="1"/>
      <w:numFmt w:val="bullet"/>
      <w:lvlText w:val="•"/>
      <w:lvlJc w:val="left"/>
      <w:pPr>
        <w:tabs>
          <w:tab w:val="num" w:pos="4320"/>
        </w:tabs>
        <w:ind w:left="4320" w:hanging="360"/>
      </w:pPr>
      <w:rPr>
        <w:rFonts w:ascii="Arial" w:hAnsi="Arial" w:hint="default"/>
      </w:rPr>
    </w:lvl>
    <w:lvl w:ilvl="6" w:tplc="34D687C2" w:tentative="1">
      <w:start w:val="1"/>
      <w:numFmt w:val="bullet"/>
      <w:lvlText w:val="•"/>
      <w:lvlJc w:val="left"/>
      <w:pPr>
        <w:tabs>
          <w:tab w:val="num" w:pos="5040"/>
        </w:tabs>
        <w:ind w:left="5040" w:hanging="360"/>
      </w:pPr>
      <w:rPr>
        <w:rFonts w:ascii="Arial" w:hAnsi="Arial" w:hint="default"/>
      </w:rPr>
    </w:lvl>
    <w:lvl w:ilvl="7" w:tplc="802E062E" w:tentative="1">
      <w:start w:val="1"/>
      <w:numFmt w:val="bullet"/>
      <w:lvlText w:val="•"/>
      <w:lvlJc w:val="left"/>
      <w:pPr>
        <w:tabs>
          <w:tab w:val="num" w:pos="5760"/>
        </w:tabs>
        <w:ind w:left="5760" w:hanging="360"/>
      </w:pPr>
      <w:rPr>
        <w:rFonts w:ascii="Arial" w:hAnsi="Arial" w:hint="default"/>
      </w:rPr>
    </w:lvl>
    <w:lvl w:ilvl="8" w:tplc="819A68C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DD36D0"/>
    <w:multiLevelType w:val="hybridMultilevel"/>
    <w:tmpl w:val="227C5588"/>
    <w:lvl w:ilvl="0" w:tplc="AA981752">
      <w:start w:val="1"/>
      <w:numFmt w:val="bullet"/>
      <w:lvlText w:val="•"/>
      <w:lvlJc w:val="left"/>
      <w:pPr>
        <w:tabs>
          <w:tab w:val="num" w:pos="720"/>
        </w:tabs>
        <w:ind w:left="720" w:hanging="360"/>
      </w:pPr>
      <w:rPr>
        <w:rFonts w:ascii="Arial" w:hAnsi="Arial" w:hint="default"/>
      </w:rPr>
    </w:lvl>
    <w:lvl w:ilvl="1" w:tplc="0CEE5966" w:tentative="1">
      <w:start w:val="1"/>
      <w:numFmt w:val="bullet"/>
      <w:lvlText w:val="•"/>
      <w:lvlJc w:val="left"/>
      <w:pPr>
        <w:tabs>
          <w:tab w:val="num" w:pos="1440"/>
        </w:tabs>
        <w:ind w:left="1440" w:hanging="360"/>
      </w:pPr>
      <w:rPr>
        <w:rFonts w:ascii="Arial" w:hAnsi="Arial" w:hint="default"/>
      </w:rPr>
    </w:lvl>
    <w:lvl w:ilvl="2" w:tplc="27B6C0E0" w:tentative="1">
      <w:start w:val="1"/>
      <w:numFmt w:val="bullet"/>
      <w:lvlText w:val="•"/>
      <w:lvlJc w:val="left"/>
      <w:pPr>
        <w:tabs>
          <w:tab w:val="num" w:pos="2160"/>
        </w:tabs>
        <w:ind w:left="2160" w:hanging="360"/>
      </w:pPr>
      <w:rPr>
        <w:rFonts w:ascii="Arial" w:hAnsi="Arial" w:hint="default"/>
      </w:rPr>
    </w:lvl>
    <w:lvl w:ilvl="3" w:tplc="F22ABB76" w:tentative="1">
      <w:start w:val="1"/>
      <w:numFmt w:val="bullet"/>
      <w:lvlText w:val="•"/>
      <w:lvlJc w:val="left"/>
      <w:pPr>
        <w:tabs>
          <w:tab w:val="num" w:pos="2880"/>
        </w:tabs>
        <w:ind w:left="2880" w:hanging="360"/>
      </w:pPr>
      <w:rPr>
        <w:rFonts w:ascii="Arial" w:hAnsi="Arial" w:hint="default"/>
      </w:rPr>
    </w:lvl>
    <w:lvl w:ilvl="4" w:tplc="3364E66C" w:tentative="1">
      <w:start w:val="1"/>
      <w:numFmt w:val="bullet"/>
      <w:lvlText w:val="•"/>
      <w:lvlJc w:val="left"/>
      <w:pPr>
        <w:tabs>
          <w:tab w:val="num" w:pos="3600"/>
        </w:tabs>
        <w:ind w:left="3600" w:hanging="360"/>
      </w:pPr>
      <w:rPr>
        <w:rFonts w:ascii="Arial" w:hAnsi="Arial" w:hint="default"/>
      </w:rPr>
    </w:lvl>
    <w:lvl w:ilvl="5" w:tplc="69C645AA" w:tentative="1">
      <w:start w:val="1"/>
      <w:numFmt w:val="bullet"/>
      <w:lvlText w:val="•"/>
      <w:lvlJc w:val="left"/>
      <w:pPr>
        <w:tabs>
          <w:tab w:val="num" w:pos="4320"/>
        </w:tabs>
        <w:ind w:left="4320" w:hanging="360"/>
      </w:pPr>
      <w:rPr>
        <w:rFonts w:ascii="Arial" w:hAnsi="Arial" w:hint="default"/>
      </w:rPr>
    </w:lvl>
    <w:lvl w:ilvl="6" w:tplc="16680DB2" w:tentative="1">
      <w:start w:val="1"/>
      <w:numFmt w:val="bullet"/>
      <w:lvlText w:val="•"/>
      <w:lvlJc w:val="left"/>
      <w:pPr>
        <w:tabs>
          <w:tab w:val="num" w:pos="5040"/>
        </w:tabs>
        <w:ind w:left="5040" w:hanging="360"/>
      </w:pPr>
      <w:rPr>
        <w:rFonts w:ascii="Arial" w:hAnsi="Arial" w:hint="default"/>
      </w:rPr>
    </w:lvl>
    <w:lvl w:ilvl="7" w:tplc="C700E10E" w:tentative="1">
      <w:start w:val="1"/>
      <w:numFmt w:val="bullet"/>
      <w:lvlText w:val="•"/>
      <w:lvlJc w:val="left"/>
      <w:pPr>
        <w:tabs>
          <w:tab w:val="num" w:pos="5760"/>
        </w:tabs>
        <w:ind w:left="5760" w:hanging="360"/>
      </w:pPr>
      <w:rPr>
        <w:rFonts w:ascii="Arial" w:hAnsi="Arial" w:hint="default"/>
      </w:rPr>
    </w:lvl>
    <w:lvl w:ilvl="8" w:tplc="8C645F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3B36F5"/>
    <w:multiLevelType w:val="hybridMultilevel"/>
    <w:tmpl w:val="13283632"/>
    <w:lvl w:ilvl="0" w:tplc="779E4F7C">
      <w:start w:val="1"/>
      <w:numFmt w:val="bullet"/>
      <w:lvlText w:val=""/>
      <w:lvlJc w:val="left"/>
      <w:pPr>
        <w:tabs>
          <w:tab w:val="num" w:pos="720"/>
        </w:tabs>
        <w:ind w:left="720" w:hanging="360"/>
      </w:pPr>
      <w:rPr>
        <w:rFonts w:ascii="Symbol" w:hAnsi="Symbol" w:hint="default"/>
      </w:rPr>
    </w:lvl>
    <w:lvl w:ilvl="1" w:tplc="9D02D304" w:tentative="1">
      <w:start w:val="1"/>
      <w:numFmt w:val="bullet"/>
      <w:lvlText w:val=""/>
      <w:lvlJc w:val="left"/>
      <w:pPr>
        <w:tabs>
          <w:tab w:val="num" w:pos="1440"/>
        </w:tabs>
        <w:ind w:left="1440" w:hanging="360"/>
      </w:pPr>
      <w:rPr>
        <w:rFonts w:ascii="Symbol" w:hAnsi="Symbol" w:hint="default"/>
      </w:rPr>
    </w:lvl>
    <w:lvl w:ilvl="2" w:tplc="BFCEE6D6" w:tentative="1">
      <w:start w:val="1"/>
      <w:numFmt w:val="bullet"/>
      <w:lvlText w:val=""/>
      <w:lvlJc w:val="left"/>
      <w:pPr>
        <w:tabs>
          <w:tab w:val="num" w:pos="2160"/>
        </w:tabs>
        <w:ind w:left="2160" w:hanging="360"/>
      </w:pPr>
      <w:rPr>
        <w:rFonts w:ascii="Symbol" w:hAnsi="Symbol" w:hint="default"/>
      </w:rPr>
    </w:lvl>
    <w:lvl w:ilvl="3" w:tplc="4D983C8C" w:tentative="1">
      <w:start w:val="1"/>
      <w:numFmt w:val="bullet"/>
      <w:lvlText w:val=""/>
      <w:lvlJc w:val="left"/>
      <w:pPr>
        <w:tabs>
          <w:tab w:val="num" w:pos="2880"/>
        </w:tabs>
        <w:ind w:left="2880" w:hanging="360"/>
      </w:pPr>
      <w:rPr>
        <w:rFonts w:ascii="Symbol" w:hAnsi="Symbol" w:hint="default"/>
      </w:rPr>
    </w:lvl>
    <w:lvl w:ilvl="4" w:tplc="51883D28" w:tentative="1">
      <w:start w:val="1"/>
      <w:numFmt w:val="bullet"/>
      <w:lvlText w:val=""/>
      <w:lvlJc w:val="left"/>
      <w:pPr>
        <w:tabs>
          <w:tab w:val="num" w:pos="3600"/>
        </w:tabs>
        <w:ind w:left="3600" w:hanging="360"/>
      </w:pPr>
      <w:rPr>
        <w:rFonts w:ascii="Symbol" w:hAnsi="Symbol" w:hint="default"/>
      </w:rPr>
    </w:lvl>
    <w:lvl w:ilvl="5" w:tplc="AF44602C" w:tentative="1">
      <w:start w:val="1"/>
      <w:numFmt w:val="bullet"/>
      <w:lvlText w:val=""/>
      <w:lvlJc w:val="left"/>
      <w:pPr>
        <w:tabs>
          <w:tab w:val="num" w:pos="4320"/>
        </w:tabs>
        <w:ind w:left="4320" w:hanging="360"/>
      </w:pPr>
      <w:rPr>
        <w:rFonts w:ascii="Symbol" w:hAnsi="Symbol" w:hint="default"/>
      </w:rPr>
    </w:lvl>
    <w:lvl w:ilvl="6" w:tplc="E86280EA" w:tentative="1">
      <w:start w:val="1"/>
      <w:numFmt w:val="bullet"/>
      <w:lvlText w:val=""/>
      <w:lvlJc w:val="left"/>
      <w:pPr>
        <w:tabs>
          <w:tab w:val="num" w:pos="5040"/>
        </w:tabs>
        <w:ind w:left="5040" w:hanging="360"/>
      </w:pPr>
      <w:rPr>
        <w:rFonts w:ascii="Symbol" w:hAnsi="Symbol" w:hint="default"/>
      </w:rPr>
    </w:lvl>
    <w:lvl w:ilvl="7" w:tplc="3954B8AA" w:tentative="1">
      <w:start w:val="1"/>
      <w:numFmt w:val="bullet"/>
      <w:lvlText w:val=""/>
      <w:lvlJc w:val="left"/>
      <w:pPr>
        <w:tabs>
          <w:tab w:val="num" w:pos="5760"/>
        </w:tabs>
        <w:ind w:left="5760" w:hanging="360"/>
      </w:pPr>
      <w:rPr>
        <w:rFonts w:ascii="Symbol" w:hAnsi="Symbol" w:hint="default"/>
      </w:rPr>
    </w:lvl>
    <w:lvl w:ilvl="8" w:tplc="DA2A3B66"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A6F6D90"/>
    <w:multiLevelType w:val="hybridMultilevel"/>
    <w:tmpl w:val="1E286C4A"/>
    <w:lvl w:ilvl="0" w:tplc="EF3E9D3A">
      <w:start w:val="1"/>
      <w:numFmt w:val="bullet"/>
      <w:lvlText w:val="•"/>
      <w:lvlJc w:val="left"/>
      <w:pPr>
        <w:tabs>
          <w:tab w:val="num" w:pos="720"/>
        </w:tabs>
        <w:ind w:left="720" w:hanging="360"/>
      </w:pPr>
      <w:rPr>
        <w:rFonts w:ascii="Arial" w:hAnsi="Arial" w:hint="default"/>
      </w:rPr>
    </w:lvl>
    <w:lvl w:ilvl="1" w:tplc="2BF60BF0" w:tentative="1">
      <w:start w:val="1"/>
      <w:numFmt w:val="bullet"/>
      <w:lvlText w:val="•"/>
      <w:lvlJc w:val="left"/>
      <w:pPr>
        <w:tabs>
          <w:tab w:val="num" w:pos="1440"/>
        </w:tabs>
        <w:ind w:left="1440" w:hanging="360"/>
      </w:pPr>
      <w:rPr>
        <w:rFonts w:ascii="Arial" w:hAnsi="Arial" w:hint="default"/>
      </w:rPr>
    </w:lvl>
    <w:lvl w:ilvl="2" w:tplc="5718C412" w:tentative="1">
      <w:start w:val="1"/>
      <w:numFmt w:val="bullet"/>
      <w:lvlText w:val="•"/>
      <w:lvlJc w:val="left"/>
      <w:pPr>
        <w:tabs>
          <w:tab w:val="num" w:pos="2160"/>
        </w:tabs>
        <w:ind w:left="2160" w:hanging="360"/>
      </w:pPr>
      <w:rPr>
        <w:rFonts w:ascii="Arial" w:hAnsi="Arial" w:hint="default"/>
      </w:rPr>
    </w:lvl>
    <w:lvl w:ilvl="3" w:tplc="97B47F38" w:tentative="1">
      <w:start w:val="1"/>
      <w:numFmt w:val="bullet"/>
      <w:lvlText w:val="•"/>
      <w:lvlJc w:val="left"/>
      <w:pPr>
        <w:tabs>
          <w:tab w:val="num" w:pos="2880"/>
        </w:tabs>
        <w:ind w:left="2880" w:hanging="360"/>
      </w:pPr>
      <w:rPr>
        <w:rFonts w:ascii="Arial" w:hAnsi="Arial" w:hint="default"/>
      </w:rPr>
    </w:lvl>
    <w:lvl w:ilvl="4" w:tplc="EC24D142" w:tentative="1">
      <w:start w:val="1"/>
      <w:numFmt w:val="bullet"/>
      <w:lvlText w:val="•"/>
      <w:lvlJc w:val="left"/>
      <w:pPr>
        <w:tabs>
          <w:tab w:val="num" w:pos="3600"/>
        </w:tabs>
        <w:ind w:left="3600" w:hanging="360"/>
      </w:pPr>
      <w:rPr>
        <w:rFonts w:ascii="Arial" w:hAnsi="Arial" w:hint="default"/>
      </w:rPr>
    </w:lvl>
    <w:lvl w:ilvl="5" w:tplc="47B8C456" w:tentative="1">
      <w:start w:val="1"/>
      <w:numFmt w:val="bullet"/>
      <w:lvlText w:val="•"/>
      <w:lvlJc w:val="left"/>
      <w:pPr>
        <w:tabs>
          <w:tab w:val="num" w:pos="4320"/>
        </w:tabs>
        <w:ind w:left="4320" w:hanging="360"/>
      </w:pPr>
      <w:rPr>
        <w:rFonts w:ascii="Arial" w:hAnsi="Arial" w:hint="default"/>
      </w:rPr>
    </w:lvl>
    <w:lvl w:ilvl="6" w:tplc="CB1221F8" w:tentative="1">
      <w:start w:val="1"/>
      <w:numFmt w:val="bullet"/>
      <w:lvlText w:val="•"/>
      <w:lvlJc w:val="left"/>
      <w:pPr>
        <w:tabs>
          <w:tab w:val="num" w:pos="5040"/>
        </w:tabs>
        <w:ind w:left="5040" w:hanging="360"/>
      </w:pPr>
      <w:rPr>
        <w:rFonts w:ascii="Arial" w:hAnsi="Arial" w:hint="default"/>
      </w:rPr>
    </w:lvl>
    <w:lvl w:ilvl="7" w:tplc="6A1C3BCA" w:tentative="1">
      <w:start w:val="1"/>
      <w:numFmt w:val="bullet"/>
      <w:lvlText w:val="•"/>
      <w:lvlJc w:val="left"/>
      <w:pPr>
        <w:tabs>
          <w:tab w:val="num" w:pos="5760"/>
        </w:tabs>
        <w:ind w:left="5760" w:hanging="360"/>
      </w:pPr>
      <w:rPr>
        <w:rFonts w:ascii="Arial" w:hAnsi="Arial" w:hint="default"/>
      </w:rPr>
    </w:lvl>
    <w:lvl w:ilvl="8" w:tplc="473894B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B8165C3"/>
    <w:multiLevelType w:val="hybridMultilevel"/>
    <w:tmpl w:val="516ADFD6"/>
    <w:lvl w:ilvl="0" w:tplc="9258C52E">
      <w:start w:val="1"/>
      <w:numFmt w:val="bullet"/>
      <w:lvlText w:val=""/>
      <w:lvlJc w:val="left"/>
      <w:pPr>
        <w:tabs>
          <w:tab w:val="num" w:pos="720"/>
        </w:tabs>
        <w:ind w:left="720" w:hanging="360"/>
      </w:pPr>
      <w:rPr>
        <w:rFonts w:ascii="Symbol" w:hAnsi="Symbol" w:hint="default"/>
      </w:rPr>
    </w:lvl>
    <w:lvl w:ilvl="1" w:tplc="0338F6C2" w:tentative="1">
      <w:start w:val="1"/>
      <w:numFmt w:val="bullet"/>
      <w:lvlText w:val=""/>
      <w:lvlJc w:val="left"/>
      <w:pPr>
        <w:tabs>
          <w:tab w:val="num" w:pos="1440"/>
        </w:tabs>
        <w:ind w:left="1440" w:hanging="360"/>
      </w:pPr>
      <w:rPr>
        <w:rFonts w:ascii="Symbol" w:hAnsi="Symbol" w:hint="default"/>
      </w:rPr>
    </w:lvl>
    <w:lvl w:ilvl="2" w:tplc="191CCA70" w:tentative="1">
      <w:start w:val="1"/>
      <w:numFmt w:val="bullet"/>
      <w:lvlText w:val=""/>
      <w:lvlJc w:val="left"/>
      <w:pPr>
        <w:tabs>
          <w:tab w:val="num" w:pos="2160"/>
        </w:tabs>
        <w:ind w:left="2160" w:hanging="360"/>
      </w:pPr>
      <w:rPr>
        <w:rFonts w:ascii="Symbol" w:hAnsi="Symbol" w:hint="default"/>
      </w:rPr>
    </w:lvl>
    <w:lvl w:ilvl="3" w:tplc="D076BD74" w:tentative="1">
      <w:start w:val="1"/>
      <w:numFmt w:val="bullet"/>
      <w:lvlText w:val=""/>
      <w:lvlJc w:val="left"/>
      <w:pPr>
        <w:tabs>
          <w:tab w:val="num" w:pos="2880"/>
        </w:tabs>
        <w:ind w:left="2880" w:hanging="360"/>
      </w:pPr>
      <w:rPr>
        <w:rFonts w:ascii="Symbol" w:hAnsi="Symbol" w:hint="default"/>
      </w:rPr>
    </w:lvl>
    <w:lvl w:ilvl="4" w:tplc="C5F84502" w:tentative="1">
      <w:start w:val="1"/>
      <w:numFmt w:val="bullet"/>
      <w:lvlText w:val=""/>
      <w:lvlJc w:val="left"/>
      <w:pPr>
        <w:tabs>
          <w:tab w:val="num" w:pos="3600"/>
        </w:tabs>
        <w:ind w:left="3600" w:hanging="360"/>
      </w:pPr>
      <w:rPr>
        <w:rFonts w:ascii="Symbol" w:hAnsi="Symbol" w:hint="default"/>
      </w:rPr>
    </w:lvl>
    <w:lvl w:ilvl="5" w:tplc="C7127F00" w:tentative="1">
      <w:start w:val="1"/>
      <w:numFmt w:val="bullet"/>
      <w:lvlText w:val=""/>
      <w:lvlJc w:val="left"/>
      <w:pPr>
        <w:tabs>
          <w:tab w:val="num" w:pos="4320"/>
        </w:tabs>
        <w:ind w:left="4320" w:hanging="360"/>
      </w:pPr>
      <w:rPr>
        <w:rFonts w:ascii="Symbol" w:hAnsi="Symbol" w:hint="default"/>
      </w:rPr>
    </w:lvl>
    <w:lvl w:ilvl="6" w:tplc="91D065D4" w:tentative="1">
      <w:start w:val="1"/>
      <w:numFmt w:val="bullet"/>
      <w:lvlText w:val=""/>
      <w:lvlJc w:val="left"/>
      <w:pPr>
        <w:tabs>
          <w:tab w:val="num" w:pos="5040"/>
        </w:tabs>
        <w:ind w:left="5040" w:hanging="360"/>
      </w:pPr>
      <w:rPr>
        <w:rFonts w:ascii="Symbol" w:hAnsi="Symbol" w:hint="default"/>
      </w:rPr>
    </w:lvl>
    <w:lvl w:ilvl="7" w:tplc="FAE6EBE2" w:tentative="1">
      <w:start w:val="1"/>
      <w:numFmt w:val="bullet"/>
      <w:lvlText w:val=""/>
      <w:lvlJc w:val="left"/>
      <w:pPr>
        <w:tabs>
          <w:tab w:val="num" w:pos="5760"/>
        </w:tabs>
        <w:ind w:left="5760" w:hanging="360"/>
      </w:pPr>
      <w:rPr>
        <w:rFonts w:ascii="Symbol" w:hAnsi="Symbol" w:hint="default"/>
      </w:rPr>
    </w:lvl>
    <w:lvl w:ilvl="8" w:tplc="DC066B66"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65B76E74"/>
    <w:multiLevelType w:val="hybridMultilevel"/>
    <w:tmpl w:val="4D2C0CFC"/>
    <w:lvl w:ilvl="0" w:tplc="A1FA9686">
      <w:start w:val="1"/>
      <w:numFmt w:val="bullet"/>
      <w:lvlText w:val=""/>
      <w:lvlJc w:val="left"/>
      <w:pPr>
        <w:tabs>
          <w:tab w:val="num" w:pos="720"/>
        </w:tabs>
        <w:ind w:left="720" w:hanging="360"/>
      </w:pPr>
      <w:rPr>
        <w:rFonts w:ascii="Symbol" w:hAnsi="Symbol" w:hint="default"/>
      </w:rPr>
    </w:lvl>
    <w:lvl w:ilvl="1" w:tplc="07BAE4A2" w:tentative="1">
      <w:start w:val="1"/>
      <w:numFmt w:val="bullet"/>
      <w:lvlText w:val=""/>
      <w:lvlJc w:val="left"/>
      <w:pPr>
        <w:tabs>
          <w:tab w:val="num" w:pos="1440"/>
        </w:tabs>
        <w:ind w:left="1440" w:hanging="360"/>
      </w:pPr>
      <w:rPr>
        <w:rFonts w:ascii="Symbol" w:hAnsi="Symbol" w:hint="default"/>
      </w:rPr>
    </w:lvl>
    <w:lvl w:ilvl="2" w:tplc="A678B9AC" w:tentative="1">
      <w:start w:val="1"/>
      <w:numFmt w:val="bullet"/>
      <w:lvlText w:val=""/>
      <w:lvlJc w:val="left"/>
      <w:pPr>
        <w:tabs>
          <w:tab w:val="num" w:pos="2160"/>
        </w:tabs>
        <w:ind w:left="2160" w:hanging="360"/>
      </w:pPr>
      <w:rPr>
        <w:rFonts w:ascii="Symbol" w:hAnsi="Symbol" w:hint="default"/>
      </w:rPr>
    </w:lvl>
    <w:lvl w:ilvl="3" w:tplc="B330C1DC" w:tentative="1">
      <w:start w:val="1"/>
      <w:numFmt w:val="bullet"/>
      <w:lvlText w:val=""/>
      <w:lvlJc w:val="left"/>
      <w:pPr>
        <w:tabs>
          <w:tab w:val="num" w:pos="2880"/>
        </w:tabs>
        <w:ind w:left="2880" w:hanging="360"/>
      </w:pPr>
      <w:rPr>
        <w:rFonts w:ascii="Symbol" w:hAnsi="Symbol" w:hint="default"/>
      </w:rPr>
    </w:lvl>
    <w:lvl w:ilvl="4" w:tplc="8A7AFC1E" w:tentative="1">
      <w:start w:val="1"/>
      <w:numFmt w:val="bullet"/>
      <w:lvlText w:val=""/>
      <w:lvlJc w:val="left"/>
      <w:pPr>
        <w:tabs>
          <w:tab w:val="num" w:pos="3600"/>
        </w:tabs>
        <w:ind w:left="3600" w:hanging="360"/>
      </w:pPr>
      <w:rPr>
        <w:rFonts w:ascii="Symbol" w:hAnsi="Symbol" w:hint="default"/>
      </w:rPr>
    </w:lvl>
    <w:lvl w:ilvl="5" w:tplc="ABB81E0A" w:tentative="1">
      <w:start w:val="1"/>
      <w:numFmt w:val="bullet"/>
      <w:lvlText w:val=""/>
      <w:lvlJc w:val="left"/>
      <w:pPr>
        <w:tabs>
          <w:tab w:val="num" w:pos="4320"/>
        </w:tabs>
        <w:ind w:left="4320" w:hanging="360"/>
      </w:pPr>
      <w:rPr>
        <w:rFonts w:ascii="Symbol" w:hAnsi="Symbol" w:hint="default"/>
      </w:rPr>
    </w:lvl>
    <w:lvl w:ilvl="6" w:tplc="BC60385C" w:tentative="1">
      <w:start w:val="1"/>
      <w:numFmt w:val="bullet"/>
      <w:lvlText w:val=""/>
      <w:lvlJc w:val="left"/>
      <w:pPr>
        <w:tabs>
          <w:tab w:val="num" w:pos="5040"/>
        </w:tabs>
        <w:ind w:left="5040" w:hanging="360"/>
      </w:pPr>
      <w:rPr>
        <w:rFonts w:ascii="Symbol" w:hAnsi="Symbol" w:hint="default"/>
      </w:rPr>
    </w:lvl>
    <w:lvl w:ilvl="7" w:tplc="B0064B7E" w:tentative="1">
      <w:start w:val="1"/>
      <w:numFmt w:val="bullet"/>
      <w:lvlText w:val=""/>
      <w:lvlJc w:val="left"/>
      <w:pPr>
        <w:tabs>
          <w:tab w:val="num" w:pos="5760"/>
        </w:tabs>
        <w:ind w:left="5760" w:hanging="360"/>
      </w:pPr>
      <w:rPr>
        <w:rFonts w:ascii="Symbol" w:hAnsi="Symbol" w:hint="default"/>
      </w:rPr>
    </w:lvl>
    <w:lvl w:ilvl="8" w:tplc="7C880274"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6EEB0507"/>
    <w:multiLevelType w:val="hybridMultilevel"/>
    <w:tmpl w:val="0208562A"/>
    <w:lvl w:ilvl="0" w:tplc="097AEA04">
      <w:start w:val="1"/>
      <w:numFmt w:val="bullet"/>
      <w:lvlText w:val="•"/>
      <w:lvlJc w:val="left"/>
      <w:pPr>
        <w:tabs>
          <w:tab w:val="num" w:pos="720"/>
        </w:tabs>
        <w:ind w:left="720" w:hanging="360"/>
      </w:pPr>
      <w:rPr>
        <w:rFonts w:ascii="Arial" w:hAnsi="Arial" w:hint="default"/>
      </w:rPr>
    </w:lvl>
    <w:lvl w:ilvl="1" w:tplc="597E9906" w:tentative="1">
      <w:start w:val="1"/>
      <w:numFmt w:val="bullet"/>
      <w:lvlText w:val="•"/>
      <w:lvlJc w:val="left"/>
      <w:pPr>
        <w:tabs>
          <w:tab w:val="num" w:pos="1440"/>
        </w:tabs>
        <w:ind w:left="1440" w:hanging="360"/>
      </w:pPr>
      <w:rPr>
        <w:rFonts w:ascii="Arial" w:hAnsi="Arial" w:hint="default"/>
      </w:rPr>
    </w:lvl>
    <w:lvl w:ilvl="2" w:tplc="E064DB92" w:tentative="1">
      <w:start w:val="1"/>
      <w:numFmt w:val="bullet"/>
      <w:lvlText w:val="•"/>
      <w:lvlJc w:val="left"/>
      <w:pPr>
        <w:tabs>
          <w:tab w:val="num" w:pos="2160"/>
        </w:tabs>
        <w:ind w:left="2160" w:hanging="360"/>
      </w:pPr>
      <w:rPr>
        <w:rFonts w:ascii="Arial" w:hAnsi="Arial" w:hint="default"/>
      </w:rPr>
    </w:lvl>
    <w:lvl w:ilvl="3" w:tplc="335A59E4" w:tentative="1">
      <w:start w:val="1"/>
      <w:numFmt w:val="bullet"/>
      <w:lvlText w:val="•"/>
      <w:lvlJc w:val="left"/>
      <w:pPr>
        <w:tabs>
          <w:tab w:val="num" w:pos="2880"/>
        </w:tabs>
        <w:ind w:left="2880" w:hanging="360"/>
      </w:pPr>
      <w:rPr>
        <w:rFonts w:ascii="Arial" w:hAnsi="Arial" w:hint="default"/>
      </w:rPr>
    </w:lvl>
    <w:lvl w:ilvl="4" w:tplc="F1700940" w:tentative="1">
      <w:start w:val="1"/>
      <w:numFmt w:val="bullet"/>
      <w:lvlText w:val="•"/>
      <w:lvlJc w:val="left"/>
      <w:pPr>
        <w:tabs>
          <w:tab w:val="num" w:pos="3600"/>
        </w:tabs>
        <w:ind w:left="3600" w:hanging="360"/>
      </w:pPr>
      <w:rPr>
        <w:rFonts w:ascii="Arial" w:hAnsi="Arial" w:hint="default"/>
      </w:rPr>
    </w:lvl>
    <w:lvl w:ilvl="5" w:tplc="263C477C" w:tentative="1">
      <w:start w:val="1"/>
      <w:numFmt w:val="bullet"/>
      <w:lvlText w:val="•"/>
      <w:lvlJc w:val="left"/>
      <w:pPr>
        <w:tabs>
          <w:tab w:val="num" w:pos="4320"/>
        </w:tabs>
        <w:ind w:left="4320" w:hanging="360"/>
      </w:pPr>
      <w:rPr>
        <w:rFonts w:ascii="Arial" w:hAnsi="Arial" w:hint="default"/>
      </w:rPr>
    </w:lvl>
    <w:lvl w:ilvl="6" w:tplc="B40489E8" w:tentative="1">
      <w:start w:val="1"/>
      <w:numFmt w:val="bullet"/>
      <w:lvlText w:val="•"/>
      <w:lvlJc w:val="left"/>
      <w:pPr>
        <w:tabs>
          <w:tab w:val="num" w:pos="5040"/>
        </w:tabs>
        <w:ind w:left="5040" w:hanging="360"/>
      </w:pPr>
      <w:rPr>
        <w:rFonts w:ascii="Arial" w:hAnsi="Arial" w:hint="default"/>
      </w:rPr>
    </w:lvl>
    <w:lvl w:ilvl="7" w:tplc="0782845E" w:tentative="1">
      <w:start w:val="1"/>
      <w:numFmt w:val="bullet"/>
      <w:lvlText w:val="•"/>
      <w:lvlJc w:val="left"/>
      <w:pPr>
        <w:tabs>
          <w:tab w:val="num" w:pos="5760"/>
        </w:tabs>
        <w:ind w:left="5760" w:hanging="360"/>
      </w:pPr>
      <w:rPr>
        <w:rFonts w:ascii="Arial" w:hAnsi="Arial" w:hint="default"/>
      </w:rPr>
    </w:lvl>
    <w:lvl w:ilvl="8" w:tplc="94E6DF6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D737D99"/>
    <w:multiLevelType w:val="hybridMultilevel"/>
    <w:tmpl w:val="4C7A6D74"/>
    <w:lvl w:ilvl="0" w:tplc="92626690">
      <w:start w:val="1"/>
      <w:numFmt w:val="bullet"/>
      <w:lvlText w:val="•"/>
      <w:lvlJc w:val="left"/>
      <w:pPr>
        <w:tabs>
          <w:tab w:val="num" w:pos="720"/>
        </w:tabs>
        <w:ind w:left="720" w:hanging="360"/>
      </w:pPr>
      <w:rPr>
        <w:rFonts w:ascii="Arial" w:hAnsi="Arial" w:hint="default"/>
      </w:rPr>
    </w:lvl>
    <w:lvl w:ilvl="1" w:tplc="01B6E40A" w:tentative="1">
      <w:start w:val="1"/>
      <w:numFmt w:val="bullet"/>
      <w:lvlText w:val="•"/>
      <w:lvlJc w:val="left"/>
      <w:pPr>
        <w:tabs>
          <w:tab w:val="num" w:pos="1440"/>
        </w:tabs>
        <w:ind w:left="1440" w:hanging="360"/>
      </w:pPr>
      <w:rPr>
        <w:rFonts w:ascii="Arial" w:hAnsi="Arial" w:hint="default"/>
      </w:rPr>
    </w:lvl>
    <w:lvl w:ilvl="2" w:tplc="E0A84204" w:tentative="1">
      <w:start w:val="1"/>
      <w:numFmt w:val="bullet"/>
      <w:lvlText w:val="•"/>
      <w:lvlJc w:val="left"/>
      <w:pPr>
        <w:tabs>
          <w:tab w:val="num" w:pos="2160"/>
        </w:tabs>
        <w:ind w:left="2160" w:hanging="360"/>
      </w:pPr>
      <w:rPr>
        <w:rFonts w:ascii="Arial" w:hAnsi="Arial" w:hint="default"/>
      </w:rPr>
    </w:lvl>
    <w:lvl w:ilvl="3" w:tplc="F04424E8" w:tentative="1">
      <w:start w:val="1"/>
      <w:numFmt w:val="bullet"/>
      <w:lvlText w:val="•"/>
      <w:lvlJc w:val="left"/>
      <w:pPr>
        <w:tabs>
          <w:tab w:val="num" w:pos="2880"/>
        </w:tabs>
        <w:ind w:left="2880" w:hanging="360"/>
      </w:pPr>
      <w:rPr>
        <w:rFonts w:ascii="Arial" w:hAnsi="Arial" w:hint="default"/>
      </w:rPr>
    </w:lvl>
    <w:lvl w:ilvl="4" w:tplc="3D22A240" w:tentative="1">
      <w:start w:val="1"/>
      <w:numFmt w:val="bullet"/>
      <w:lvlText w:val="•"/>
      <w:lvlJc w:val="left"/>
      <w:pPr>
        <w:tabs>
          <w:tab w:val="num" w:pos="3600"/>
        </w:tabs>
        <w:ind w:left="3600" w:hanging="360"/>
      </w:pPr>
      <w:rPr>
        <w:rFonts w:ascii="Arial" w:hAnsi="Arial" w:hint="default"/>
      </w:rPr>
    </w:lvl>
    <w:lvl w:ilvl="5" w:tplc="0AA01F1E" w:tentative="1">
      <w:start w:val="1"/>
      <w:numFmt w:val="bullet"/>
      <w:lvlText w:val="•"/>
      <w:lvlJc w:val="left"/>
      <w:pPr>
        <w:tabs>
          <w:tab w:val="num" w:pos="4320"/>
        </w:tabs>
        <w:ind w:left="4320" w:hanging="360"/>
      </w:pPr>
      <w:rPr>
        <w:rFonts w:ascii="Arial" w:hAnsi="Arial" w:hint="default"/>
      </w:rPr>
    </w:lvl>
    <w:lvl w:ilvl="6" w:tplc="17800EE0" w:tentative="1">
      <w:start w:val="1"/>
      <w:numFmt w:val="bullet"/>
      <w:lvlText w:val="•"/>
      <w:lvlJc w:val="left"/>
      <w:pPr>
        <w:tabs>
          <w:tab w:val="num" w:pos="5040"/>
        </w:tabs>
        <w:ind w:left="5040" w:hanging="360"/>
      </w:pPr>
      <w:rPr>
        <w:rFonts w:ascii="Arial" w:hAnsi="Arial" w:hint="default"/>
      </w:rPr>
    </w:lvl>
    <w:lvl w:ilvl="7" w:tplc="E6669C0A" w:tentative="1">
      <w:start w:val="1"/>
      <w:numFmt w:val="bullet"/>
      <w:lvlText w:val="•"/>
      <w:lvlJc w:val="left"/>
      <w:pPr>
        <w:tabs>
          <w:tab w:val="num" w:pos="5760"/>
        </w:tabs>
        <w:ind w:left="5760" w:hanging="360"/>
      </w:pPr>
      <w:rPr>
        <w:rFonts w:ascii="Arial" w:hAnsi="Arial" w:hint="default"/>
      </w:rPr>
    </w:lvl>
    <w:lvl w:ilvl="8" w:tplc="D98EA450" w:tentative="1">
      <w:start w:val="1"/>
      <w:numFmt w:val="bullet"/>
      <w:lvlText w:val="•"/>
      <w:lvlJc w:val="left"/>
      <w:pPr>
        <w:tabs>
          <w:tab w:val="num" w:pos="6480"/>
        </w:tabs>
        <w:ind w:left="6480" w:hanging="360"/>
      </w:pPr>
      <w:rPr>
        <w:rFonts w:ascii="Arial" w:hAnsi="Arial" w:hint="default"/>
      </w:rPr>
    </w:lvl>
  </w:abstractNum>
  <w:num w:numId="1" w16cid:durableId="469514768">
    <w:abstractNumId w:val="4"/>
  </w:num>
  <w:num w:numId="2" w16cid:durableId="1764952670">
    <w:abstractNumId w:val="2"/>
  </w:num>
  <w:num w:numId="3" w16cid:durableId="214586215">
    <w:abstractNumId w:val="5"/>
  </w:num>
  <w:num w:numId="4" w16cid:durableId="1493060644">
    <w:abstractNumId w:val="7"/>
  </w:num>
  <w:num w:numId="5" w16cid:durableId="307126127">
    <w:abstractNumId w:val="0"/>
  </w:num>
  <w:num w:numId="6" w16cid:durableId="32049449">
    <w:abstractNumId w:val="3"/>
  </w:num>
  <w:num w:numId="7" w16cid:durableId="346102797">
    <w:abstractNumId w:val="6"/>
  </w:num>
  <w:num w:numId="8" w16cid:durableId="1678269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758"/>
    <w:rsid w:val="001E5000"/>
    <w:rsid w:val="003A6D4D"/>
    <w:rsid w:val="004035F0"/>
    <w:rsid w:val="0043669F"/>
    <w:rsid w:val="00464DF0"/>
    <w:rsid w:val="006F396F"/>
    <w:rsid w:val="00787758"/>
    <w:rsid w:val="00992E00"/>
    <w:rsid w:val="00AF6409"/>
    <w:rsid w:val="00D378A6"/>
    <w:rsid w:val="00E72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D7B22"/>
  <w15:chartTrackingRefBased/>
  <w15:docId w15:val="{E7D81BF7-3C0D-4684-9A8F-5A6F5464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8A6"/>
    <w:pPr>
      <w:spacing w:line="480" w:lineRule="auto"/>
    </w:pPr>
    <w:rPr>
      <w:rFonts w:ascii="Arial" w:hAnsi="Arial"/>
      <w:kern w:val="0"/>
      <w:sz w:val="24"/>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5000"/>
    <w:pPr>
      <w:spacing w:after="0" w:line="240" w:lineRule="auto"/>
      <w:ind w:left="720"/>
      <w:contextualSpacing/>
    </w:pPr>
    <w:rPr>
      <w:rFonts w:ascii="Times New Roman" w:eastAsia="Times New Roman" w:hAnsi="Times New Roman" w:cs="Times New Roman"/>
      <w:szCs w:val="24"/>
      <w:lang w:eastAsia="en-GB"/>
    </w:rPr>
  </w:style>
  <w:style w:type="paragraph" w:styleId="NormalWeb">
    <w:name w:val="Normal (Web)"/>
    <w:basedOn w:val="Normal"/>
    <w:uiPriority w:val="99"/>
    <w:semiHidden/>
    <w:unhideWhenUsed/>
    <w:rsid w:val="004035F0"/>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77484">
      <w:bodyDiv w:val="1"/>
      <w:marLeft w:val="0"/>
      <w:marRight w:val="0"/>
      <w:marTop w:val="0"/>
      <w:marBottom w:val="0"/>
      <w:divBdr>
        <w:top w:val="none" w:sz="0" w:space="0" w:color="auto"/>
        <w:left w:val="none" w:sz="0" w:space="0" w:color="auto"/>
        <w:bottom w:val="none" w:sz="0" w:space="0" w:color="auto"/>
        <w:right w:val="none" w:sz="0" w:space="0" w:color="auto"/>
      </w:divBdr>
      <w:divsChild>
        <w:div w:id="707410761">
          <w:marLeft w:val="547"/>
          <w:marRight w:val="0"/>
          <w:marTop w:val="0"/>
          <w:marBottom w:val="160"/>
          <w:divBdr>
            <w:top w:val="none" w:sz="0" w:space="0" w:color="auto"/>
            <w:left w:val="none" w:sz="0" w:space="0" w:color="auto"/>
            <w:bottom w:val="none" w:sz="0" w:space="0" w:color="auto"/>
            <w:right w:val="none" w:sz="0" w:space="0" w:color="auto"/>
          </w:divBdr>
        </w:div>
      </w:divsChild>
    </w:div>
    <w:div w:id="129785333">
      <w:bodyDiv w:val="1"/>
      <w:marLeft w:val="0"/>
      <w:marRight w:val="0"/>
      <w:marTop w:val="0"/>
      <w:marBottom w:val="0"/>
      <w:divBdr>
        <w:top w:val="none" w:sz="0" w:space="0" w:color="auto"/>
        <w:left w:val="none" w:sz="0" w:space="0" w:color="auto"/>
        <w:bottom w:val="none" w:sz="0" w:space="0" w:color="auto"/>
        <w:right w:val="none" w:sz="0" w:space="0" w:color="auto"/>
      </w:divBdr>
      <w:divsChild>
        <w:div w:id="80614472">
          <w:marLeft w:val="446"/>
          <w:marRight w:val="0"/>
          <w:marTop w:val="0"/>
          <w:marBottom w:val="0"/>
          <w:divBdr>
            <w:top w:val="none" w:sz="0" w:space="0" w:color="auto"/>
            <w:left w:val="none" w:sz="0" w:space="0" w:color="auto"/>
            <w:bottom w:val="none" w:sz="0" w:space="0" w:color="auto"/>
            <w:right w:val="none" w:sz="0" w:space="0" w:color="auto"/>
          </w:divBdr>
        </w:div>
        <w:div w:id="12994867">
          <w:marLeft w:val="446"/>
          <w:marRight w:val="0"/>
          <w:marTop w:val="0"/>
          <w:marBottom w:val="0"/>
          <w:divBdr>
            <w:top w:val="none" w:sz="0" w:space="0" w:color="auto"/>
            <w:left w:val="none" w:sz="0" w:space="0" w:color="auto"/>
            <w:bottom w:val="none" w:sz="0" w:space="0" w:color="auto"/>
            <w:right w:val="none" w:sz="0" w:space="0" w:color="auto"/>
          </w:divBdr>
        </w:div>
        <w:div w:id="1745452575">
          <w:marLeft w:val="446"/>
          <w:marRight w:val="0"/>
          <w:marTop w:val="0"/>
          <w:marBottom w:val="0"/>
          <w:divBdr>
            <w:top w:val="none" w:sz="0" w:space="0" w:color="auto"/>
            <w:left w:val="none" w:sz="0" w:space="0" w:color="auto"/>
            <w:bottom w:val="none" w:sz="0" w:space="0" w:color="auto"/>
            <w:right w:val="none" w:sz="0" w:space="0" w:color="auto"/>
          </w:divBdr>
        </w:div>
        <w:div w:id="85998965">
          <w:marLeft w:val="446"/>
          <w:marRight w:val="0"/>
          <w:marTop w:val="0"/>
          <w:marBottom w:val="0"/>
          <w:divBdr>
            <w:top w:val="none" w:sz="0" w:space="0" w:color="auto"/>
            <w:left w:val="none" w:sz="0" w:space="0" w:color="auto"/>
            <w:bottom w:val="none" w:sz="0" w:space="0" w:color="auto"/>
            <w:right w:val="none" w:sz="0" w:space="0" w:color="auto"/>
          </w:divBdr>
        </w:div>
        <w:div w:id="113911297">
          <w:marLeft w:val="446"/>
          <w:marRight w:val="0"/>
          <w:marTop w:val="0"/>
          <w:marBottom w:val="0"/>
          <w:divBdr>
            <w:top w:val="none" w:sz="0" w:space="0" w:color="auto"/>
            <w:left w:val="none" w:sz="0" w:space="0" w:color="auto"/>
            <w:bottom w:val="none" w:sz="0" w:space="0" w:color="auto"/>
            <w:right w:val="none" w:sz="0" w:space="0" w:color="auto"/>
          </w:divBdr>
        </w:div>
      </w:divsChild>
    </w:div>
    <w:div w:id="222299154">
      <w:bodyDiv w:val="1"/>
      <w:marLeft w:val="0"/>
      <w:marRight w:val="0"/>
      <w:marTop w:val="0"/>
      <w:marBottom w:val="0"/>
      <w:divBdr>
        <w:top w:val="none" w:sz="0" w:space="0" w:color="auto"/>
        <w:left w:val="none" w:sz="0" w:space="0" w:color="auto"/>
        <w:bottom w:val="none" w:sz="0" w:space="0" w:color="auto"/>
        <w:right w:val="none" w:sz="0" w:space="0" w:color="auto"/>
      </w:divBdr>
    </w:div>
    <w:div w:id="262229326">
      <w:bodyDiv w:val="1"/>
      <w:marLeft w:val="0"/>
      <w:marRight w:val="0"/>
      <w:marTop w:val="0"/>
      <w:marBottom w:val="0"/>
      <w:divBdr>
        <w:top w:val="none" w:sz="0" w:space="0" w:color="auto"/>
        <w:left w:val="none" w:sz="0" w:space="0" w:color="auto"/>
        <w:bottom w:val="none" w:sz="0" w:space="0" w:color="auto"/>
        <w:right w:val="none" w:sz="0" w:space="0" w:color="auto"/>
      </w:divBdr>
    </w:div>
    <w:div w:id="281573280">
      <w:bodyDiv w:val="1"/>
      <w:marLeft w:val="0"/>
      <w:marRight w:val="0"/>
      <w:marTop w:val="0"/>
      <w:marBottom w:val="0"/>
      <w:divBdr>
        <w:top w:val="none" w:sz="0" w:space="0" w:color="auto"/>
        <w:left w:val="none" w:sz="0" w:space="0" w:color="auto"/>
        <w:bottom w:val="none" w:sz="0" w:space="0" w:color="auto"/>
        <w:right w:val="none" w:sz="0" w:space="0" w:color="auto"/>
      </w:divBdr>
    </w:div>
    <w:div w:id="323045747">
      <w:bodyDiv w:val="1"/>
      <w:marLeft w:val="0"/>
      <w:marRight w:val="0"/>
      <w:marTop w:val="0"/>
      <w:marBottom w:val="0"/>
      <w:divBdr>
        <w:top w:val="none" w:sz="0" w:space="0" w:color="auto"/>
        <w:left w:val="none" w:sz="0" w:space="0" w:color="auto"/>
        <w:bottom w:val="none" w:sz="0" w:space="0" w:color="auto"/>
        <w:right w:val="none" w:sz="0" w:space="0" w:color="auto"/>
      </w:divBdr>
    </w:div>
    <w:div w:id="412550212">
      <w:bodyDiv w:val="1"/>
      <w:marLeft w:val="0"/>
      <w:marRight w:val="0"/>
      <w:marTop w:val="0"/>
      <w:marBottom w:val="0"/>
      <w:divBdr>
        <w:top w:val="none" w:sz="0" w:space="0" w:color="auto"/>
        <w:left w:val="none" w:sz="0" w:space="0" w:color="auto"/>
        <w:bottom w:val="none" w:sz="0" w:space="0" w:color="auto"/>
        <w:right w:val="none" w:sz="0" w:space="0" w:color="auto"/>
      </w:divBdr>
    </w:div>
    <w:div w:id="501169530">
      <w:bodyDiv w:val="1"/>
      <w:marLeft w:val="0"/>
      <w:marRight w:val="0"/>
      <w:marTop w:val="0"/>
      <w:marBottom w:val="0"/>
      <w:divBdr>
        <w:top w:val="none" w:sz="0" w:space="0" w:color="auto"/>
        <w:left w:val="none" w:sz="0" w:space="0" w:color="auto"/>
        <w:bottom w:val="none" w:sz="0" w:space="0" w:color="auto"/>
        <w:right w:val="none" w:sz="0" w:space="0" w:color="auto"/>
      </w:divBdr>
    </w:div>
    <w:div w:id="519323309">
      <w:bodyDiv w:val="1"/>
      <w:marLeft w:val="0"/>
      <w:marRight w:val="0"/>
      <w:marTop w:val="0"/>
      <w:marBottom w:val="0"/>
      <w:divBdr>
        <w:top w:val="none" w:sz="0" w:space="0" w:color="auto"/>
        <w:left w:val="none" w:sz="0" w:space="0" w:color="auto"/>
        <w:bottom w:val="none" w:sz="0" w:space="0" w:color="auto"/>
        <w:right w:val="none" w:sz="0" w:space="0" w:color="auto"/>
      </w:divBdr>
    </w:div>
    <w:div w:id="568078282">
      <w:bodyDiv w:val="1"/>
      <w:marLeft w:val="0"/>
      <w:marRight w:val="0"/>
      <w:marTop w:val="0"/>
      <w:marBottom w:val="0"/>
      <w:divBdr>
        <w:top w:val="none" w:sz="0" w:space="0" w:color="auto"/>
        <w:left w:val="none" w:sz="0" w:space="0" w:color="auto"/>
        <w:bottom w:val="none" w:sz="0" w:space="0" w:color="auto"/>
        <w:right w:val="none" w:sz="0" w:space="0" w:color="auto"/>
      </w:divBdr>
      <w:divsChild>
        <w:div w:id="306937292">
          <w:marLeft w:val="547"/>
          <w:marRight w:val="0"/>
          <w:marTop w:val="0"/>
          <w:marBottom w:val="160"/>
          <w:divBdr>
            <w:top w:val="none" w:sz="0" w:space="0" w:color="auto"/>
            <w:left w:val="none" w:sz="0" w:space="0" w:color="auto"/>
            <w:bottom w:val="none" w:sz="0" w:space="0" w:color="auto"/>
            <w:right w:val="none" w:sz="0" w:space="0" w:color="auto"/>
          </w:divBdr>
        </w:div>
      </w:divsChild>
    </w:div>
    <w:div w:id="570232461">
      <w:bodyDiv w:val="1"/>
      <w:marLeft w:val="0"/>
      <w:marRight w:val="0"/>
      <w:marTop w:val="0"/>
      <w:marBottom w:val="0"/>
      <w:divBdr>
        <w:top w:val="none" w:sz="0" w:space="0" w:color="auto"/>
        <w:left w:val="none" w:sz="0" w:space="0" w:color="auto"/>
        <w:bottom w:val="none" w:sz="0" w:space="0" w:color="auto"/>
        <w:right w:val="none" w:sz="0" w:space="0" w:color="auto"/>
      </w:divBdr>
      <w:divsChild>
        <w:div w:id="304433428">
          <w:marLeft w:val="547"/>
          <w:marRight w:val="0"/>
          <w:marTop w:val="0"/>
          <w:marBottom w:val="160"/>
          <w:divBdr>
            <w:top w:val="none" w:sz="0" w:space="0" w:color="auto"/>
            <w:left w:val="none" w:sz="0" w:space="0" w:color="auto"/>
            <w:bottom w:val="none" w:sz="0" w:space="0" w:color="auto"/>
            <w:right w:val="none" w:sz="0" w:space="0" w:color="auto"/>
          </w:divBdr>
        </w:div>
      </w:divsChild>
    </w:div>
    <w:div w:id="615865722">
      <w:bodyDiv w:val="1"/>
      <w:marLeft w:val="0"/>
      <w:marRight w:val="0"/>
      <w:marTop w:val="0"/>
      <w:marBottom w:val="0"/>
      <w:divBdr>
        <w:top w:val="none" w:sz="0" w:space="0" w:color="auto"/>
        <w:left w:val="none" w:sz="0" w:space="0" w:color="auto"/>
        <w:bottom w:val="none" w:sz="0" w:space="0" w:color="auto"/>
        <w:right w:val="none" w:sz="0" w:space="0" w:color="auto"/>
      </w:divBdr>
    </w:div>
    <w:div w:id="633371146">
      <w:bodyDiv w:val="1"/>
      <w:marLeft w:val="0"/>
      <w:marRight w:val="0"/>
      <w:marTop w:val="0"/>
      <w:marBottom w:val="0"/>
      <w:divBdr>
        <w:top w:val="none" w:sz="0" w:space="0" w:color="auto"/>
        <w:left w:val="none" w:sz="0" w:space="0" w:color="auto"/>
        <w:bottom w:val="none" w:sz="0" w:space="0" w:color="auto"/>
        <w:right w:val="none" w:sz="0" w:space="0" w:color="auto"/>
      </w:divBdr>
      <w:divsChild>
        <w:div w:id="946305320">
          <w:marLeft w:val="446"/>
          <w:marRight w:val="0"/>
          <w:marTop w:val="0"/>
          <w:marBottom w:val="0"/>
          <w:divBdr>
            <w:top w:val="none" w:sz="0" w:space="0" w:color="auto"/>
            <w:left w:val="none" w:sz="0" w:space="0" w:color="auto"/>
            <w:bottom w:val="none" w:sz="0" w:space="0" w:color="auto"/>
            <w:right w:val="none" w:sz="0" w:space="0" w:color="auto"/>
          </w:divBdr>
        </w:div>
        <w:div w:id="74742000">
          <w:marLeft w:val="446"/>
          <w:marRight w:val="0"/>
          <w:marTop w:val="0"/>
          <w:marBottom w:val="0"/>
          <w:divBdr>
            <w:top w:val="none" w:sz="0" w:space="0" w:color="auto"/>
            <w:left w:val="none" w:sz="0" w:space="0" w:color="auto"/>
            <w:bottom w:val="none" w:sz="0" w:space="0" w:color="auto"/>
            <w:right w:val="none" w:sz="0" w:space="0" w:color="auto"/>
          </w:divBdr>
        </w:div>
        <w:div w:id="1917857876">
          <w:marLeft w:val="446"/>
          <w:marRight w:val="0"/>
          <w:marTop w:val="0"/>
          <w:marBottom w:val="0"/>
          <w:divBdr>
            <w:top w:val="none" w:sz="0" w:space="0" w:color="auto"/>
            <w:left w:val="none" w:sz="0" w:space="0" w:color="auto"/>
            <w:bottom w:val="none" w:sz="0" w:space="0" w:color="auto"/>
            <w:right w:val="none" w:sz="0" w:space="0" w:color="auto"/>
          </w:divBdr>
        </w:div>
      </w:divsChild>
    </w:div>
    <w:div w:id="664207651">
      <w:bodyDiv w:val="1"/>
      <w:marLeft w:val="0"/>
      <w:marRight w:val="0"/>
      <w:marTop w:val="0"/>
      <w:marBottom w:val="0"/>
      <w:divBdr>
        <w:top w:val="none" w:sz="0" w:space="0" w:color="auto"/>
        <w:left w:val="none" w:sz="0" w:space="0" w:color="auto"/>
        <w:bottom w:val="none" w:sz="0" w:space="0" w:color="auto"/>
        <w:right w:val="none" w:sz="0" w:space="0" w:color="auto"/>
      </w:divBdr>
    </w:div>
    <w:div w:id="723918268">
      <w:bodyDiv w:val="1"/>
      <w:marLeft w:val="0"/>
      <w:marRight w:val="0"/>
      <w:marTop w:val="0"/>
      <w:marBottom w:val="0"/>
      <w:divBdr>
        <w:top w:val="none" w:sz="0" w:space="0" w:color="auto"/>
        <w:left w:val="none" w:sz="0" w:space="0" w:color="auto"/>
        <w:bottom w:val="none" w:sz="0" w:space="0" w:color="auto"/>
        <w:right w:val="none" w:sz="0" w:space="0" w:color="auto"/>
      </w:divBdr>
    </w:div>
    <w:div w:id="889683625">
      <w:bodyDiv w:val="1"/>
      <w:marLeft w:val="0"/>
      <w:marRight w:val="0"/>
      <w:marTop w:val="0"/>
      <w:marBottom w:val="0"/>
      <w:divBdr>
        <w:top w:val="none" w:sz="0" w:space="0" w:color="auto"/>
        <w:left w:val="none" w:sz="0" w:space="0" w:color="auto"/>
        <w:bottom w:val="none" w:sz="0" w:space="0" w:color="auto"/>
        <w:right w:val="none" w:sz="0" w:space="0" w:color="auto"/>
      </w:divBdr>
    </w:div>
    <w:div w:id="941692342">
      <w:bodyDiv w:val="1"/>
      <w:marLeft w:val="0"/>
      <w:marRight w:val="0"/>
      <w:marTop w:val="0"/>
      <w:marBottom w:val="0"/>
      <w:divBdr>
        <w:top w:val="none" w:sz="0" w:space="0" w:color="auto"/>
        <w:left w:val="none" w:sz="0" w:space="0" w:color="auto"/>
        <w:bottom w:val="none" w:sz="0" w:space="0" w:color="auto"/>
        <w:right w:val="none" w:sz="0" w:space="0" w:color="auto"/>
      </w:divBdr>
    </w:div>
    <w:div w:id="1004818460">
      <w:bodyDiv w:val="1"/>
      <w:marLeft w:val="0"/>
      <w:marRight w:val="0"/>
      <w:marTop w:val="0"/>
      <w:marBottom w:val="0"/>
      <w:divBdr>
        <w:top w:val="none" w:sz="0" w:space="0" w:color="auto"/>
        <w:left w:val="none" w:sz="0" w:space="0" w:color="auto"/>
        <w:bottom w:val="none" w:sz="0" w:space="0" w:color="auto"/>
        <w:right w:val="none" w:sz="0" w:space="0" w:color="auto"/>
      </w:divBdr>
    </w:div>
    <w:div w:id="1198277568">
      <w:bodyDiv w:val="1"/>
      <w:marLeft w:val="0"/>
      <w:marRight w:val="0"/>
      <w:marTop w:val="0"/>
      <w:marBottom w:val="0"/>
      <w:divBdr>
        <w:top w:val="none" w:sz="0" w:space="0" w:color="auto"/>
        <w:left w:val="none" w:sz="0" w:space="0" w:color="auto"/>
        <w:bottom w:val="none" w:sz="0" w:space="0" w:color="auto"/>
        <w:right w:val="none" w:sz="0" w:space="0" w:color="auto"/>
      </w:divBdr>
      <w:divsChild>
        <w:div w:id="1373186160">
          <w:marLeft w:val="446"/>
          <w:marRight w:val="0"/>
          <w:marTop w:val="0"/>
          <w:marBottom w:val="0"/>
          <w:divBdr>
            <w:top w:val="none" w:sz="0" w:space="0" w:color="auto"/>
            <w:left w:val="none" w:sz="0" w:space="0" w:color="auto"/>
            <w:bottom w:val="none" w:sz="0" w:space="0" w:color="auto"/>
            <w:right w:val="none" w:sz="0" w:space="0" w:color="auto"/>
          </w:divBdr>
        </w:div>
        <w:div w:id="1286699345">
          <w:marLeft w:val="446"/>
          <w:marRight w:val="0"/>
          <w:marTop w:val="0"/>
          <w:marBottom w:val="0"/>
          <w:divBdr>
            <w:top w:val="none" w:sz="0" w:space="0" w:color="auto"/>
            <w:left w:val="none" w:sz="0" w:space="0" w:color="auto"/>
            <w:bottom w:val="none" w:sz="0" w:space="0" w:color="auto"/>
            <w:right w:val="none" w:sz="0" w:space="0" w:color="auto"/>
          </w:divBdr>
        </w:div>
      </w:divsChild>
    </w:div>
    <w:div w:id="1270433238">
      <w:bodyDiv w:val="1"/>
      <w:marLeft w:val="0"/>
      <w:marRight w:val="0"/>
      <w:marTop w:val="0"/>
      <w:marBottom w:val="0"/>
      <w:divBdr>
        <w:top w:val="none" w:sz="0" w:space="0" w:color="auto"/>
        <w:left w:val="none" w:sz="0" w:space="0" w:color="auto"/>
        <w:bottom w:val="none" w:sz="0" w:space="0" w:color="auto"/>
        <w:right w:val="none" w:sz="0" w:space="0" w:color="auto"/>
      </w:divBdr>
    </w:div>
    <w:div w:id="1453674879">
      <w:bodyDiv w:val="1"/>
      <w:marLeft w:val="0"/>
      <w:marRight w:val="0"/>
      <w:marTop w:val="0"/>
      <w:marBottom w:val="0"/>
      <w:divBdr>
        <w:top w:val="none" w:sz="0" w:space="0" w:color="auto"/>
        <w:left w:val="none" w:sz="0" w:space="0" w:color="auto"/>
        <w:bottom w:val="none" w:sz="0" w:space="0" w:color="auto"/>
        <w:right w:val="none" w:sz="0" w:space="0" w:color="auto"/>
      </w:divBdr>
    </w:div>
    <w:div w:id="1510294652">
      <w:bodyDiv w:val="1"/>
      <w:marLeft w:val="0"/>
      <w:marRight w:val="0"/>
      <w:marTop w:val="0"/>
      <w:marBottom w:val="0"/>
      <w:divBdr>
        <w:top w:val="none" w:sz="0" w:space="0" w:color="auto"/>
        <w:left w:val="none" w:sz="0" w:space="0" w:color="auto"/>
        <w:bottom w:val="none" w:sz="0" w:space="0" w:color="auto"/>
        <w:right w:val="none" w:sz="0" w:space="0" w:color="auto"/>
      </w:divBdr>
    </w:div>
    <w:div w:id="1555893337">
      <w:bodyDiv w:val="1"/>
      <w:marLeft w:val="0"/>
      <w:marRight w:val="0"/>
      <w:marTop w:val="0"/>
      <w:marBottom w:val="0"/>
      <w:divBdr>
        <w:top w:val="none" w:sz="0" w:space="0" w:color="auto"/>
        <w:left w:val="none" w:sz="0" w:space="0" w:color="auto"/>
        <w:bottom w:val="none" w:sz="0" w:space="0" w:color="auto"/>
        <w:right w:val="none" w:sz="0" w:space="0" w:color="auto"/>
      </w:divBdr>
      <w:divsChild>
        <w:div w:id="316887167">
          <w:marLeft w:val="446"/>
          <w:marRight w:val="0"/>
          <w:marTop w:val="0"/>
          <w:marBottom w:val="0"/>
          <w:divBdr>
            <w:top w:val="none" w:sz="0" w:space="0" w:color="auto"/>
            <w:left w:val="none" w:sz="0" w:space="0" w:color="auto"/>
            <w:bottom w:val="none" w:sz="0" w:space="0" w:color="auto"/>
            <w:right w:val="none" w:sz="0" w:space="0" w:color="auto"/>
          </w:divBdr>
        </w:div>
        <w:div w:id="449475388">
          <w:marLeft w:val="446"/>
          <w:marRight w:val="0"/>
          <w:marTop w:val="0"/>
          <w:marBottom w:val="0"/>
          <w:divBdr>
            <w:top w:val="none" w:sz="0" w:space="0" w:color="auto"/>
            <w:left w:val="none" w:sz="0" w:space="0" w:color="auto"/>
            <w:bottom w:val="none" w:sz="0" w:space="0" w:color="auto"/>
            <w:right w:val="none" w:sz="0" w:space="0" w:color="auto"/>
          </w:divBdr>
        </w:div>
      </w:divsChild>
    </w:div>
    <w:div w:id="1619485196">
      <w:bodyDiv w:val="1"/>
      <w:marLeft w:val="0"/>
      <w:marRight w:val="0"/>
      <w:marTop w:val="0"/>
      <w:marBottom w:val="0"/>
      <w:divBdr>
        <w:top w:val="none" w:sz="0" w:space="0" w:color="auto"/>
        <w:left w:val="none" w:sz="0" w:space="0" w:color="auto"/>
        <w:bottom w:val="none" w:sz="0" w:space="0" w:color="auto"/>
        <w:right w:val="none" w:sz="0" w:space="0" w:color="auto"/>
      </w:divBdr>
    </w:div>
    <w:div w:id="1646154815">
      <w:bodyDiv w:val="1"/>
      <w:marLeft w:val="0"/>
      <w:marRight w:val="0"/>
      <w:marTop w:val="0"/>
      <w:marBottom w:val="0"/>
      <w:divBdr>
        <w:top w:val="none" w:sz="0" w:space="0" w:color="auto"/>
        <w:left w:val="none" w:sz="0" w:space="0" w:color="auto"/>
        <w:bottom w:val="none" w:sz="0" w:space="0" w:color="auto"/>
        <w:right w:val="none" w:sz="0" w:space="0" w:color="auto"/>
      </w:divBdr>
    </w:div>
    <w:div w:id="1702826341">
      <w:bodyDiv w:val="1"/>
      <w:marLeft w:val="0"/>
      <w:marRight w:val="0"/>
      <w:marTop w:val="0"/>
      <w:marBottom w:val="0"/>
      <w:divBdr>
        <w:top w:val="none" w:sz="0" w:space="0" w:color="auto"/>
        <w:left w:val="none" w:sz="0" w:space="0" w:color="auto"/>
        <w:bottom w:val="none" w:sz="0" w:space="0" w:color="auto"/>
        <w:right w:val="none" w:sz="0" w:space="0" w:color="auto"/>
      </w:divBdr>
    </w:div>
    <w:div w:id="1758987595">
      <w:bodyDiv w:val="1"/>
      <w:marLeft w:val="0"/>
      <w:marRight w:val="0"/>
      <w:marTop w:val="0"/>
      <w:marBottom w:val="0"/>
      <w:divBdr>
        <w:top w:val="none" w:sz="0" w:space="0" w:color="auto"/>
        <w:left w:val="none" w:sz="0" w:space="0" w:color="auto"/>
        <w:bottom w:val="none" w:sz="0" w:space="0" w:color="auto"/>
        <w:right w:val="none" w:sz="0" w:space="0" w:color="auto"/>
      </w:divBdr>
    </w:div>
    <w:div w:id="2013220556">
      <w:bodyDiv w:val="1"/>
      <w:marLeft w:val="0"/>
      <w:marRight w:val="0"/>
      <w:marTop w:val="0"/>
      <w:marBottom w:val="0"/>
      <w:divBdr>
        <w:top w:val="none" w:sz="0" w:space="0" w:color="auto"/>
        <w:left w:val="none" w:sz="0" w:space="0" w:color="auto"/>
        <w:bottom w:val="none" w:sz="0" w:space="0" w:color="auto"/>
        <w:right w:val="none" w:sz="0" w:space="0" w:color="auto"/>
      </w:divBdr>
      <w:divsChild>
        <w:div w:id="1140150881">
          <w:marLeft w:val="446"/>
          <w:marRight w:val="0"/>
          <w:marTop w:val="0"/>
          <w:marBottom w:val="0"/>
          <w:divBdr>
            <w:top w:val="none" w:sz="0" w:space="0" w:color="auto"/>
            <w:left w:val="none" w:sz="0" w:space="0" w:color="auto"/>
            <w:bottom w:val="none" w:sz="0" w:space="0" w:color="auto"/>
            <w:right w:val="none" w:sz="0" w:space="0" w:color="auto"/>
          </w:divBdr>
        </w:div>
        <w:div w:id="719012108">
          <w:marLeft w:val="446"/>
          <w:marRight w:val="0"/>
          <w:marTop w:val="0"/>
          <w:marBottom w:val="0"/>
          <w:divBdr>
            <w:top w:val="none" w:sz="0" w:space="0" w:color="auto"/>
            <w:left w:val="none" w:sz="0" w:space="0" w:color="auto"/>
            <w:bottom w:val="none" w:sz="0" w:space="0" w:color="auto"/>
            <w:right w:val="none" w:sz="0" w:space="0" w:color="auto"/>
          </w:divBdr>
        </w:div>
      </w:divsChild>
    </w:div>
    <w:div w:id="2141262164">
      <w:bodyDiv w:val="1"/>
      <w:marLeft w:val="0"/>
      <w:marRight w:val="0"/>
      <w:marTop w:val="0"/>
      <w:marBottom w:val="0"/>
      <w:divBdr>
        <w:top w:val="none" w:sz="0" w:space="0" w:color="auto"/>
        <w:left w:val="none" w:sz="0" w:space="0" w:color="auto"/>
        <w:bottom w:val="none" w:sz="0" w:space="0" w:color="auto"/>
        <w:right w:val="none" w:sz="0" w:space="0" w:color="auto"/>
      </w:divBdr>
      <w:divsChild>
        <w:div w:id="1924415809">
          <w:marLeft w:val="446"/>
          <w:marRight w:val="0"/>
          <w:marTop w:val="0"/>
          <w:marBottom w:val="0"/>
          <w:divBdr>
            <w:top w:val="none" w:sz="0" w:space="0" w:color="auto"/>
            <w:left w:val="none" w:sz="0" w:space="0" w:color="auto"/>
            <w:bottom w:val="none" w:sz="0" w:space="0" w:color="auto"/>
            <w:right w:val="none" w:sz="0" w:space="0" w:color="auto"/>
          </w:divBdr>
        </w:div>
        <w:div w:id="1758095972">
          <w:marLeft w:val="446"/>
          <w:marRight w:val="0"/>
          <w:marTop w:val="0"/>
          <w:marBottom w:val="0"/>
          <w:divBdr>
            <w:top w:val="none" w:sz="0" w:space="0" w:color="auto"/>
            <w:left w:val="none" w:sz="0" w:space="0" w:color="auto"/>
            <w:bottom w:val="none" w:sz="0" w:space="0" w:color="auto"/>
            <w:right w:val="none" w:sz="0" w:space="0" w:color="auto"/>
          </w:divBdr>
        </w:div>
        <w:div w:id="1035153375">
          <w:marLeft w:val="446"/>
          <w:marRight w:val="0"/>
          <w:marTop w:val="0"/>
          <w:marBottom w:val="0"/>
          <w:divBdr>
            <w:top w:val="none" w:sz="0" w:space="0" w:color="auto"/>
            <w:left w:val="none" w:sz="0" w:space="0" w:color="auto"/>
            <w:bottom w:val="none" w:sz="0" w:space="0" w:color="auto"/>
            <w:right w:val="none" w:sz="0" w:space="0" w:color="auto"/>
          </w:divBdr>
        </w:div>
        <w:div w:id="438718698">
          <w:marLeft w:val="446"/>
          <w:marRight w:val="0"/>
          <w:marTop w:val="0"/>
          <w:marBottom w:val="0"/>
          <w:divBdr>
            <w:top w:val="none" w:sz="0" w:space="0" w:color="auto"/>
            <w:left w:val="none" w:sz="0" w:space="0" w:color="auto"/>
            <w:bottom w:val="none" w:sz="0" w:space="0" w:color="auto"/>
            <w:right w:val="none" w:sz="0" w:space="0" w:color="auto"/>
          </w:divBdr>
        </w:div>
        <w:div w:id="513540612">
          <w:marLeft w:val="446"/>
          <w:marRight w:val="0"/>
          <w:marTop w:val="0"/>
          <w:marBottom w:val="0"/>
          <w:divBdr>
            <w:top w:val="none" w:sz="0" w:space="0" w:color="auto"/>
            <w:left w:val="none" w:sz="0" w:space="0" w:color="auto"/>
            <w:bottom w:val="none" w:sz="0" w:space="0" w:color="auto"/>
            <w:right w:val="none" w:sz="0" w:space="0" w:color="auto"/>
          </w:divBdr>
        </w:div>
        <w:div w:id="195494335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1555</Words>
  <Characters>8868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Kolowrocka (1805961)</dc:creator>
  <cp:keywords/>
  <dc:description/>
  <cp:lastModifiedBy>Kate Kolowrocka (1805961)</cp:lastModifiedBy>
  <cp:revision>2</cp:revision>
  <dcterms:created xsi:type="dcterms:W3CDTF">2023-01-10T21:53:00Z</dcterms:created>
  <dcterms:modified xsi:type="dcterms:W3CDTF">2023-01-11T09:46:00Z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30cef2b6-b830-467c-9c8c-d6c1234edd4b</vt:lpwstr>
  </property>
</Properties>
</file>