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425DA2" w14:textId="77777777" w:rsidR="00810ECC" w:rsidRDefault="00810ECC" w:rsidP="00810ECC">
      <w:pPr>
        <w:pStyle w:val="Normal1"/>
        <w:spacing w:line="360" w:lineRule="auto"/>
        <w:jc w:val="center"/>
        <w:rPr>
          <w:rFonts w:ascii="Times New Roman" w:eastAsia="Times New Roman" w:hAnsi="Times New Roman" w:cs="Times New Roman"/>
          <w:sz w:val="24"/>
          <w:szCs w:val="24"/>
          <w:lang w:val="en-GB"/>
        </w:rPr>
      </w:pPr>
      <w:bookmarkStart w:id="0" w:name="_Hlk153924865"/>
      <w:bookmarkEnd w:id="0"/>
      <w:r>
        <w:rPr>
          <w:noProof/>
        </w:rPr>
        <w:drawing>
          <wp:inline distT="0" distB="0" distL="0" distR="0" wp14:anchorId="6E97D553" wp14:editId="51DFC152">
            <wp:extent cx="2619375" cy="1743075"/>
            <wp:effectExtent l="0" t="0" r="9525" b="9525"/>
            <wp:docPr id="1790861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861795" name="Picture 1790861795"/>
                    <pic:cNvPicPr/>
                  </pic:nvPicPr>
                  <pic:blipFill>
                    <a:blip r:embed="rId5">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inline>
        </w:drawing>
      </w:r>
    </w:p>
    <w:p w14:paraId="440EC739" w14:textId="77777777" w:rsidR="00810ECC" w:rsidRDefault="00810ECC" w:rsidP="00810ECC">
      <w:pPr>
        <w:pStyle w:val="Normal1"/>
        <w:spacing w:line="360" w:lineRule="auto"/>
        <w:jc w:val="center"/>
        <w:rPr>
          <w:rFonts w:ascii="Times New Roman" w:eastAsia="Times New Roman" w:hAnsi="Times New Roman" w:cs="Times New Roman"/>
          <w:sz w:val="24"/>
          <w:szCs w:val="24"/>
          <w:lang w:val="en-GB"/>
        </w:rPr>
      </w:pPr>
    </w:p>
    <w:p w14:paraId="05FDB877" w14:textId="77777777" w:rsidR="00810ECC" w:rsidRDefault="00810ECC" w:rsidP="00810ECC">
      <w:pPr>
        <w:pStyle w:val="Normal1"/>
        <w:spacing w:line="360" w:lineRule="auto"/>
        <w:jc w:val="center"/>
        <w:rPr>
          <w:rFonts w:ascii="Times New Roman" w:eastAsia="Times New Roman" w:hAnsi="Times New Roman" w:cs="Times New Roman"/>
          <w:sz w:val="24"/>
          <w:szCs w:val="24"/>
          <w:lang w:val="en-GB"/>
        </w:rPr>
      </w:pPr>
    </w:p>
    <w:p w14:paraId="719A7024" w14:textId="77777777" w:rsidR="00810ECC" w:rsidRDefault="00810ECC" w:rsidP="00810ECC">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Programme: MBA – Master of Business Administration</w:t>
      </w:r>
    </w:p>
    <w:p w14:paraId="4CCCF6C9" w14:textId="77777777" w:rsidR="00810ECC" w:rsidRDefault="00810ECC" w:rsidP="00810ECC">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Module: Entrepreneurship</w:t>
      </w:r>
    </w:p>
    <w:p w14:paraId="6E245176" w14:textId="77777777" w:rsidR="00810ECC" w:rsidRDefault="00810ECC" w:rsidP="00810ECC">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Module code: LCMB7004</w:t>
      </w:r>
    </w:p>
    <w:p w14:paraId="025610E9" w14:textId="77777777" w:rsidR="00810ECC" w:rsidRDefault="00810ECC" w:rsidP="00810ECC">
      <w:pPr>
        <w:pStyle w:val="Normal1"/>
        <w:spacing w:line="360" w:lineRule="auto"/>
        <w:jc w:val="center"/>
        <w:rPr>
          <w:rFonts w:ascii="Times New Roman" w:eastAsia="Times New Roman" w:hAnsi="Times New Roman" w:cs="Times New Roman"/>
          <w:b/>
          <w:sz w:val="32"/>
          <w:szCs w:val="32"/>
          <w:lang w:val="en-GB"/>
        </w:rPr>
      </w:pPr>
    </w:p>
    <w:p w14:paraId="3AD363A2" w14:textId="77777777" w:rsidR="00810ECC" w:rsidRDefault="00810ECC" w:rsidP="00810ECC">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COMPONENT 1 ESSAY</w:t>
      </w:r>
    </w:p>
    <w:p w14:paraId="5AA1FF0A" w14:textId="77777777" w:rsidR="00810ECC" w:rsidRDefault="00810ECC" w:rsidP="00810ECC">
      <w:pPr>
        <w:pStyle w:val="Normal1"/>
        <w:spacing w:line="360" w:lineRule="auto"/>
        <w:jc w:val="center"/>
        <w:rPr>
          <w:rFonts w:ascii="Times New Roman" w:eastAsia="Times New Roman" w:hAnsi="Times New Roman" w:cs="Times New Roman"/>
          <w:sz w:val="24"/>
          <w:szCs w:val="24"/>
          <w:lang w:val="en-GB"/>
        </w:rPr>
      </w:pPr>
    </w:p>
    <w:p w14:paraId="13C21487" w14:textId="77777777" w:rsidR="00810ECC" w:rsidRDefault="00810ECC" w:rsidP="00810ECC">
      <w:pPr>
        <w:pStyle w:val="Normal1"/>
        <w:spacing w:line="360" w:lineRule="auto"/>
        <w:jc w:val="center"/>
        <w:rPr>
          <w:rFonts w:ascii="Times New Roman" w:eastAsia="Times New Roman" w:hAnsi="Times New Roman" w:cs="Times New Roman"/>
          <w:sz w:val="24"/>
          <w:szCs w:val="24"/>
          <w:lang w:val="en-GB"/>
        </w:rPr>
      </w:pPr>
    </w:p>
    <w:p w14:paraId="179A361E" w14:textId="77777777" w:rsidR="00810ECC" w:rsidRDefault="00810ECC" w:rsidP="00810ECC">
      <w:pPr>
        <w:pStyle w:val="Normal1"/>
        <w:spacing w:line="360" w:lineRule="auto"/>
        <w:jc w:val="center"/>
        <w:rPr>
          <w:rFonts w:ascii="Times New Roman" w:eastAsia="Times New Roman" w:hAnsi="Times New Roman" w:cs="Times New Roman"/>
          <w:sz w:val="24"/>
          <w:szCs w:val="24"/>
          <w:lang w:val="en-GB"/>
        </w:rPr>
      </w:pPr>
    </w:p>
    <w:p w14:paraId="121AE3C9" w14:textId="77777777" w:rsidR="00810ECC" w:rsidRDefault="00810ECC" w:rsidP="00810ECC">
      <w:pPr>
        <w:pStyle w:val="Normal1"/>
        <w:spacing w:line="360" w:lineRule="auto"/>
        <w:jc w:val="center"/>
        <w:rPr>
          <w:rFonts w:ascii="Times New Roman" w:eastAsia="Times New Roman" w:hAnsi="Times New Roman" w:cs="Times New Roman"/>
          <w:sz w:val="24"/>
          <w:szCs w:val="24"/>
          <w:lang w:val="en-GB"/>
        </w:rPr>
      </w:pPr>
    </w:p>
    <w:p w14:paraId="2CA1430E" w14:textId="77777777" w:rsidR="00810ECC" w:rsidRDefault="00810ECC" w:rsidP="00810ECC">
      <w:pPr>
        <w:pStyle w:val="Normal1"/>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Student Name: MOHAMMED ABDUL THAKIE</w:t>
      </w:r>
    </w:p>
    <w:p w14:paraId="419629EE" w14:textId="77777777" w:rsidR="00810ECC" w:rsidRDefault="00810ECC" w:rsidP="00810ECC">
      <w:pPr>
        <w:pStyle w:val="Normal1"/>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Student ID: 2241639</w:t>
      </w:r>
    </w:p>
    <w:p w14:paraId="38D371FE" w14:textId="77777777" w:rsidR="00810ECC" w:rsidRDefault="00810ECC" w:rsidP="00810ECC">
      <w:pPr>
        <w:pStyle w:val="Normal1"/>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Word Count: 2500 </w:t>
      </w:r>
    </w:p>
    <w:p w14:paraId="6A88A6DE" w14:textId="77777777" w:rsidR="00810ECC" w:rsidRDefault="00810ECC" w:rsidP="00810ECC">
      <w:pPr>
        <w:pStyle w:val="Normal1"/>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Lecturer: GLADIUS KULOTHUNGAN &amp; JAYALAKSHMI GOPALKRISHNAN</w:t>
      </w:r>
      <w:r>
        <w:rPr>
          <w:rFonts w:ascii="Times New Roman" w:eastAsia="Times New Roman" w:hAnsi="Times New Roman" w:cs="Times New Roman"/>
          <w:sz w:val="24"/>
          <w:szCs w:val="24"/>
          <w:lang w:val="en-GB"/>
        </w:rPr>
        <w:t xml:space="preserve">  </w:t>
      </w:r>
    </w:p>
    <w:p w14:paraId="58EA8E77" w14:textId="77777777" w:rsidR="00810ECC" w:rsidRDefault="00810ECC" w:rsidP="00810ECC">
      <w:pPr>
        <w:pStyle w:val="Normal1"/>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p>
    <w:p w14:paraId="717086B9" w14:textId="77777777" w:rsidR="00810ECC" w:rsidRDefault="00810ECC" w:rsidP="00810ECC">
      <w:pPr>
        <w:pStyle w:val="Normal1"/>
        <w:spacing w:line="360" w:lineRule="auto"/>
        <w:jc w:val="right"/>
        <w:rPr>
          <w:rFonts w:ascii="Times New Roman" w:eastAsia="Times New Roman" w:hAnsi="Times New Roman" w:cs="Times New Roman"/>
          <w:sz w:val="24"/>
          <w:szCs w:val="24"/>
          <w:lang w:val="en-GB"/>
        </w:rPr>
      </w:pPr>
    </w:p>
    <w:p w14:paraId="2265BBBD" w14:textId="77777777" w:rsidR="00810ECC" w:rsidRDefault="00810ECC" w:rsidP="00810ECC">
      <w:pPr>
        <w:pStyle w:val="Normal1"/>
        <w:spacing w:line="360" w:lineRule="auto"/>
        <w:jc w:val="right"/>
        <w:rPr>
          <w:rFonts w:ascii="Times New Roman" w:eastAsia="Times New Roman" w:hAnsi="Times New Roman" w:cs="Times New Roman"/>
          <w:sz w:val="24"/>
          <w:szCs w:val="24"/>
          <w:lang w:val="en-GB"/>
        </w:rPr>
      </w:pPr>
    </w:p>
    <w:p w14:paraId="34DCCE15" w14:textId="77777777" w:rsidR="00810ECC" w:rsidRDefault="00810ECC" w:rsidP="00810ECC">
      <w:pPr>
        <w:pStyle w:val="Normal1"/>
        <w:spacing w:line="360" w:lineRule="auto"/>
        <w:jc w:val="right"/>
        <w:rPr>
          <w:rFonts w:ascii="Times New Roman" w:eastAsia="Times New Roman" w:hAnsi="Times New Roman" w:cs="Times New Roman"/>
          <w:sz w:val="24"/>
          <w:szCs w:val="24"/>
          <w:lang w:val="en-GB"/>
        </w:rPr>
      </w:pPr>
    </w:p>
    <w:p w14:paraId="054AE4A5" w14:textId="77777777" w:rsidR="00810ECC" w:rsidRDefault="00810ECC" w:rsidP="00810ECC">
      <w:pPr>
        <w:pStyle w:val="Normal1"/>
        <w:spacing w:line="360" w:lineRule="auto"/>
        <w:jc w:val="right"/>
        <w:rPr>
          <w:rFonts w:ascii="Times New Roman" w:eastAsia="Times New Roman" w:hAnsi="Times New Roman" w:cs="Times New Roman"/>
          <w:sz w:val="24"/>
          <w:szCs w:val="24"/>
          <w:lang w:val="en-GB"/>
        </w:rPr>
      </w:pPr>
    </w:p>
    <w:p w14:paraId="118EF3DE" w14:textId="77777777" w:rsidR="00810ECC" w:rsidRDefault="00810ECC" w:rsidP="00810ECC">
      <w:pPr>
        <w:pStyle w:val="Normal1"/>
        <w:spacing w:line="360" w:lineRule="auto"/>
        <w:jc w:val="right"/>
        <w:rPr>
          <w:rFonts w:ascii="Times New Roman" w:eastAsia="Times New Roman" w:hAnsi="Times New Roman" w:cs="Times New Roman"/>
          <w:sz w:val="24"/>
          <w:szCs w:val="24"/>
          <w:lang w:val="en-GB"/>
        </w:rPr>
      </w:pPr>
    </w:p>
    <w:p w14:paraId="702C7E48" w14:textId="77777777" w:rsidR="00810ECC" w:rsidRDefault="00810ECC" w:rsidP="00810ECC">
      <w:pPr>
        <w:pStyle w:val="Normal1"/>
        <w:spacing w:line="360" w:lineRule="auto"/>
        <w:jc w:val="right"/>
        <w:rPr>
          <w:rFonts w:ascii="Times New Roman" w:eastAsia="Times New Roman" w:hAnsi="Times New Roman" w:cs="Times New Roman"/>
          <w:sz w:val="24"/>
          <w:szCs w:val="24"/>
          <w:lang w:val="en-GB"/>
        </w:rPr>
      </w:pPr>
    </w:p>
    <w:p w14:paraId="672BDC8D" w14:textId="77777777" w:rsidR="00810ECC" w:rsidRDefault="00810ECC" w:rsidP="00810ECC">
      <w:pPr>
        <w:pStyle w:val="Normal1"/>
        <w:spacing w:line="360" w:lineRule="auto"/>
        <w:jc w:val="right"/>
        <w:rPr>
          <w:rFonts w:ascii="Times New Roman" w:eastAsia="Times New Roman" w:hAnsi="Times New Roman" w:cs="Times New Roman"/>
          <w:sz w:val="24"/>
          <w:szCs w:val="24"/>
          <w:lang w:val="en-GB"/>
        </w:rPr>
      </w:pPr>
    </w:p>
    <w:p w14:paraId="23C8AFC9" w14:textId="5CCC6121" w:rsidR="00810ECC" w:rsidRPr="00001D3B" w:rsidRDefault="00810ECC" w:rsidP="00001D3B">
      <w:pPr>
        <w:pStyle w:val="Normal1"/>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Date: </w:t>
      </w:r>
      <w:r>
        <w:rPr>
          <w:rFonts w:ascii="Times New Roman" w:eastAsia="Times New Roman" w:hAnsi="Times New Roman" w:cs="Times New Roman"/>
          <w:sz w:val="24"/>
          <w:szCs w:val="24"/>
          <w:lang w:val="en-GB"/>
        </w:rPr>
        <w:t>20</w:t>
      </w:r>
      <w:r>
        <w:rPr>
          <w:rFonts w:ascii="Times New Roman" w:eastAsia="Times New Roman" w:hAnsi="Times New Roman" w:cs="Times New Roman"/>
          <w:sz w:val="24"/>
          <w:szCs w:val="24"/>
          <w:lang w:val="en-GB"/>
        </w:rPr>
        <w:t>/12/20</w:t>
      </w:r>
      <w:r w:rsidR="00001D3B">
        <w:rPr>
          <w:rFonts w:ascii="Times New Roman" w:eastAsia="Times New Roman" w:hAnsi="Times New Roman" w:cs="Times New Roman"/>
          <w:sz w:val="24"/>
          <w:szCs w:val="24"/>
          <w:lang w:val="en-GB"/>
        </w:rPr>
        <w:t>23</w:t>
      </w:r>
    </w:p>
    <w:p w14:paraId="650C7920" w14:textId="77777777" w:rsidR="00810ECC" w:rsidRPr="00974F23" w:rsidRDefault="00810ECC" w:rsidP="00810ECC">
      <w:pPr>
        <w:jc w:val="center"/>
        <w:rPr>
          <w:rFonts w:eastAsia="Times New Roman" w:cs="Times New Roman"/>
          <w:color w:val="000000" w:themeColor="text1"/>
          <w:szCs w:val="24"/>
          <w:lang w:val="en-GB"/>
        </w:rPr>
      </w:pPr>
    </w:p>
    <w:p w14:paraId="2A8FA8ED" w14:textId="03D904E3" w:rsidR="00810ECC" w:rsidRPr="00974F23" w:rsidRDefault="00810ECC" w:rsidP="00810ECC">
      <w:pPr>
        <w:jc w:val="center"/>
        <w:rPr>
          <w:rFonts w:eastAsia="Times New Roman" w:cs="Times New Roman"/>
          <w:color w:val="000000" w:themeColor="text1"/>
          <w:szCs w:val="24"/>
          <w:lang w:val="en-GB"/>
        </w:rPr>
      </w:pPr>
      <w:r w:rsidRPr="00974F23">
        <w:rPr>
          <w:rFonts w:eastAsia="Times New Roman" w:cs="Times New Roman"/>
          <w:noProof/>
          <w:color w:val="000000" w:themeColor="text1"/>
          <w:szCs w:val="24"/>
          <w:lang w:val="en-US"/>
        </w:rPr>
        <w:drawing>
          <wp:inline distT="0" distB="0" distL="0" distR="0" wp14:anchorId="379D3203" wp14:editId="195EBE29">
            <wp:extent cx="2540000" cy="2264734"/>
            <wp:effectExtent l="0" t="0" r="0" b="254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40000" cy="2264734"/>
                    </a:xfrm>
                    <a:prstGeom prst="rect">
                      <a:avLst/>
                    </a:prstGeom>
                    <a:noFill/>
                    <a:ln>
                      <a:noFill/>
                    </a:ln>
                    <a:effectLst/>
                  </pic:spPr>
                </pic:pic>
              </a:graphicData>
            </a:graphic>
          </wp:inline>
        </w:drawing>
      </w:r>
    </w:p>
    <w:p w14:paraId="64505FF1" w14:textId="77777777" w:rsidR="00810ECC" w:rsidRPr="00974F23" w:rsidRDefault="00810ECC" w:rsidP="00810ECC">
      <w:pPr>
        <w:jc w:val="center"/>
        <w:rPr>
          <w:rFonts w:eastAsia="Times New Roman" w:cs="Times New Roman"/>
          <w:color w:val="000000" w:themeColor="text1"/>
          <w:szCs w:val="24"/>
          <w:lang w:val="en-GB"/>
        </w:rPr>
      </w:pPr>
    </w:p>
    <w:p w14:paraId="7A7D8434" w14:textId="77777777" w:rsidR="00810ECC" w:rsidRPr="00974F23" w:rsidRDefault="00810ECC" w:rsidP="00810ECC">
      <w:pPr>
        <w:jc w:val="center"/>
        <w:rPr>
          <w:rFonts w:eastAsia="Times New Roman" w:cs="Times New Roman"/>
          <w:color w:val="000000" w:themeColor="text1"/>
          <w:szCs w:val="24"/>
          <w:lang w:val="en-GB"/>
        </w:rPr>
      </w:pPr>
    </w:p>
    <w:p w14:paraId="3C45AF0F" w14:textId="77777777" w:rsidR="00810ECC" w:rsidRPr="00974F23" w:rsidRDefault="00810ECC" w:rsidP="00810ECC">
      <w:pPr>
        <w:jc w:val="center"/>
        <w:rPr>
          <w:rFonts w:eastAsia="Times New Roman" w:cs="Times New Roman"/>
          <w:color w:val="000000" w:themeColor="text1"/>
          <w:szCs w:val="24"/>
          <w:lang w:val="en-GB"/>
        </w:rPr>
      </w:pPr>
    </w:p>
    <w:sdt>
      <w:sdtPr>
        <w:rPr>
          <w:rFonts w:ascii="Times New Roman" w:eastAsia="Arial" w:hAnsi="Times New Roman" w:cs="Times New Roman"/>
          <w:b w:val="0"/>
          <w:bCs w:val="0"/>
          <w:color w:val="000000" w:themeColor="text1"/>
          <w:sz w:val="24"/>
          <w:szCs w:val="24"/>
          <w:lang w:val="en-GB" w:eastAsia="en-US"/>
        </w:rPr>
        <w:id w:val="819697439"/>
        <w:docPartObj>
          <w:docPartGallery w:val="Table of Contents"/>
          <w:docPartUnique/>
        </w:docPartObj>
      </w:sdtPr>
      <w:sdtEndPr>
        <w:rPr>
          <w:rFonts w:ascii="Arial" w:hAnsi="Arial"/>
          <w:sz w:val="22"/>
        </w:rPr>
      </w:sdtEndPr>
      <w:sdtContent>
        <w:p w14:paraId="09DE4BBE" w14:textId="77777777" w:rsidR="00810ECC" w:rsidRPr="00974F23" w:rsidRDefault="00810ECC" w:rsidP="00810ECC">
          <w:pPr>
            <w:pStyle w:val="TOCHeading"/>
            <w:spacing w:line="360" w:lineRule="auto"/>
            <w:jc w:val="center"/>
            <w:rPr>
              <w:rFonts w:ascii="Times New Roman" w:hAnsi="Times New Roman" w:cs="Times New Roman"/>
              <w:color w:val="000000" w:themeColor="text1"/>
              <w:szCs w:val="24"/>
              <w:lang w:val="en-GB"/>
            </w:rPr>
          </w:pPr>
          <w:r w:rsidRPr="00974F23">
            <w:rPr>
              <w:rFonts w:ascii="Times New Roman" w:hAnsi="Times New Roman" w:cs="Times New Roman"/>
              <w:color w:val="000000" w:themeColor="text1"/>
              <w:szCs w:val="24"/>
              <w:lang w:val="en-GB"/>
            </w:rPr>
            <w:t>Table of Contents</w:t>
          </w:r>
        </w:p>
        <w:p w14:paraId="300C716B" w14:textId="77777777" w:rsidR="00810ECC" w:rsidRPr="00974F23" w:rsidRDefault="00810ECC" w:rsidP="00810ECC">
          <w:pPr>
            <w:pStyle w:val="TOC1"/>
            <w:tabs>
              <w:tab w:val="right" w:leader="dot" w:pos="9350"/>
            </w:tabs>
            <w:rPr>
              <w:rFonts w:asciiTheme="minorHAnsi" w:eastAsiaTheme="minorEastAsia" w:hAnsiTheme="minorHAnsi" w:cstheme="minorBidi"/>
              <w:noProof/>
              <w:color w:val="000000" w:themeColor="text1"/>
              <w:sz w:val="22"/>
              <w:lang w:val="en-GB"/>
            </w:rPr>
          </w:pPr>
          <w:r w:rsidRPr="00974F23">
            <w:rPr>
              <w:rFonts w:cs="Times New Roman"/>
              <w:color w:val="000000" w:themeColor="text1"/>
              <w:szCs w:val="24"/>
              <w:lang w:val="en-GB"/>
            </w:rPr>
            <w:fldChar w:fldCharType="begin"/>
          </w:r>
          <w:r w:rsidRPr="00974F23">
            <w:rPr>
              <w:rFonts w:cs="Times New Roman"/>
              <w:color w:val="000000" w:themeColor="text1"/>
              <w:szCs w:val="24"/>
              <w:lang w:val="en-GB"/>
            </w:rPr>
            <w:instrText xml:space="preserve"> TOC \o "1-3" \h \z \u </w:instrText>
          </w:r>
          <w:r w:rsidRPr="00974F23">
            <w:rPr>
              <w:rFonts w:cs="Times New Roman"/>
              <w:color w:val="000000" w:themeColor="text1"/>
              <w:szCs w:val="24"/>
              <w:lang w:val="en-GB"/>
            </w:rPr>
            <w:fldChar w:fldCharType="separate"/>
          </w:r>
          <w:hyperlink w:anchor="_Toc153798416" w:history="1">
            <w:r w:rsidRPr="00974F23">
              <w:rPr>
                <w:rStyle w:val="Hyperlink"/>
                <w:noProof/>
                <w:color w:val="000000" w:themeColor="text1"/>
                <w:highlight w:val="white"/>
                <w:lang w:val="en-GB"/>
              </w:rPr>
              <w:t>1. Introduction</w:t>
            </w:r>
            <w:r w:rsidRPr="00974F23">
              <w:rPr>
                <w:noProof/>
                <w:webHidden/>
                <w:color w:val="000000" w:themeColor="text1"/>
                <w:lang w:val="en-GB"/>
              </w:rPr>
              <w:tab/>
            </w:r>
            <w:r w:rsidRPr="00974F23">
              <w:rPr>
                <w:noProof/>
                <w:webHidden/>
                <w:color w:val="000000" w:themeColor="text1"/>
                <w:lang w:val="en-GB"/>
              </w:rPr>
              <w:fldChar w:fldCharType="begin"/>
            </w:r>
            <w:r w:rsidRPr="00974F23">
              <w:rPr>
                <w:noProof/>
                <w:webHidden/>
                <w:color w:val="000000" w:themeColor="text1"/>
                <w:lang w:val="en-GB"/>
              </w:rPr>
              <w:instrText xml:space="preserve"> PAGEREF _Toc153798416 \h </w:instrText>
            </w:r>
            <w:r w:rsidRPr="00974F23">
              <w:rPr>
                <w:noProof/>
                <w:webHidden/>
                <w:color w:val="000000" w:themeColor="text1"/>
                <w:lang w:val="en-GB"/>
              </w:rPr>
            </w:r>
            <w:r w:rsidRPr="00974F23">
              <w:rPr>
                <w:noProof/>
                <w:webHidden/>
                <w:color w:val="000000" w:themeColor="text1"/>
                <w:lang w:val="en-GB"/>
              </w:rPr>
              <w:fldChar w:fldCharType="separate"/>
            </w:r>
            <w:r w:rsidRPr="00974F23">
              <w:rPr>
                <w:noProof/>
                <w:webHidden/>
                <w:color w:val="000000" w:themeColor="text1"/>
                <w:lang w:val="en-GB"/>
              </w:rPr>
              <w:t>4</w:t>
            </w:r>
            <w:r w:rsidRPr="00974F23">
              <w:rPr>
                <w:noProof/>
                <w:webHidden/>
                <w:color w:val="000000" w:themeColor="text1"/>
                <w:lang w:val="en-GB"/>
              </w:rPr>
              <w:fldChar w:fldCharType="end"/>
            </w:r>
          </w:hyperlink>
        </w:p>
        <w:p w14:paraId="6867F4F4" w14:textId="77777777" w:rsidR="00810ECC" w:rsidRPr="00974F23" w:rsidRDefault="00810ECC" w:rsidP="00810ECC">
          <w:pPr>
            <w:pStyle w:val="TOC1"/>
            <w:tabs>
              <w:tab w:val="right" w:leader="dot" w:pos="9350"/>
            </w:tabs>
            <w:rPr>
              <w:rFonts w:asciiTheme="minorHAnsi" w:eastAsiaTheme="minorEastAsia" w:hAnsiTheme="minorHAnsi" w:cstheme="minorBidi"/>
              <w:noProof/>
              <w:color w:val="000000" w:themeColor="text1"/>
              <w:sz w:val="22"/>
              <w:lang w:val="en-GB"/>
            </w:rPr>
          </w:pPr>
          <w:hyperlink w:anchor="_Toc153798417" w:history="1">
            <w:r w:rsidRPr="00974F23">
              <w:rPr>
                <w:rStyle w:val="Hyperlink"/>
                <w:noProof/>
                <w:color w:val="000000" w:themeColor="text1"/>
                <w:lang w:val="en-GB"/>
              </w:rPr>
              <w:t>2. Overview of the Proposed Business Idea</w:t>
            </w:r>
            <w:r w:rsidRPr="00974F23">
              <w:rPr>
                <w:noProof/>
                <w:webHidden/>
                <w:color w:val="000000" w:themeColor="text1"/>
                <w:lang w:val="en-GB"/>
              </w:rPr>
              <w:tab/>
            </w:r>
            <w:r w:rsidRPr="00974F23">
              <w:rPr>
                <w:noProof/>
                <w:webHidden/>
                <w:color w:val="000000" w:themeColor="text1"/>
                <w:lang w:val="en-GB"/>
              </w:rPr>
              <w:fldChar w:fldCharType="begin"/>
            </w:r>
            <w:r w:rsidRPr="00974F23">
              <w:rPr>
                <w:noProof/>
                <w:webHidden/>
                <w:color w:val="000000" w:themeColor="text1"/>
                <w:lang w:val="en-GB"/>
              </w:rPr>
              <w:instrText xml:space="preserve"> PAGEREF _Toc153798417 \h </w:instrText>
            </w:r>
            <w:r w:rsidRPr="00974F23">
              <w:rPr>
                <w:noProof/>
                <w:webHidden/>
                <w:color w:val="000000" w:themeColor="text1"/>
                <w:lang w:val="en-GB"/>
              </w:rPr>
            </w:r>
            <w:r w:rsidRPr="00974F23">
              <w:rPr>
                <w:noProof/>
                <w:webHidden/>
                <w:color w:val="000000" w:themeColor="text1"/>
                <w:lang w:val="en-GB"/>
              </w:rPr>
              <w:fldChar w:fldCharType="separate"/>
            </w:r>
            <w:r w:rsidRPr="00974F23">
              <w:rPr>
                <w:noProof/>
                <w:webHidden/>
                <w:color w:val="000000" w:themeColor="text1"/>
                <w:lang w:val="en-GB"/>
              </w:rPr>
              <w:t>4</w:t>
            </w:r>
            <w:r w:rsidRPr="00974F23">
              <w:rPr>
                <w:noProof/>
                <w:webHidden/>
                <w:color w:val="000000" w:themeColor="text1"/>
                <w:lang w:val="en-GB"/>
              </w:rPr>
              <w:fldChar w:fldCharType="end"/>
            </w:r>
          </w:hyperlink>
        </w:p>
        <w:p w14:paraId="772D21BC" w14:textId="77777777" w:rsidR="00810ECC" w:rsidRPr="00974F23" w:rsidRDefault="00810ECC" w:rsidP="00001D3B">
          <w:pPr>
            <w:pStyle w:val="TOC2"/>
            <w:tabs>
              <w:tab w:val="right" w:leader="dot" w:pos="9350"/>
            </w:tabs>
            <w:ind w:left="0"/>
            <w:rPr>
              <w:rFonts w:asciiTheme="minorHAnsi" w:eastAsiaTheme="minorEastAsia" w:hAnsiTheme="minorHAnsi" w:cstheme="minorBidi"/>
              <w:noProof/>
              <w:color w:val="000000" w:themeColor="text1"/>
              <w:sz w:val="22"/>
              <w:lang w:val="en-GB"/>
            </w:rPr>
          </w:pPr>
          <w:hyperlink w:anchor="_Toc153798418" w:history="1">
            <w:r w:rsidRPr="00974F23">
              <w:rPr>
                <w:rStyle w:val="Hyperlink"/>
                <w:noProof/>
                <w:color w:val="000000" w:themeColor="text1"/>
                <w:lang w:val="en-GB"/>
              </w:rPr>
              <w:t>2.1 Brief description of the renewable energy business idea</w:t>
            </w:r>
            <w:r w:rsidRPr="00974F23">
              <w:rPr>
                <w:noProof/>
                <w:webHidden/>
                <w:color w:val="000000" w:themeColor="text1"/>
                <w:lang w:val="en-GB"/>
              </w:rPr>
              <w:tab/>
            </w:r>
            <w:r w:rsidRPr="00974F23">
              <w:rPr>
                <w:noProof/>
                <w:webHidden/>
                <w:color w:val="000000" w:themeColor="text1"/>
                <w:lang w:val="en-GB"/>
              </w:rPr>
              <w:fldChar w:fldCharType="begin"/>
            </w:r>
            <w:r w:rsidRPr="00974F23">
              <w:rPr>
                <w:noProof/>
                <w:webHidden/>
                <w:color w:val="000000" w:themeColor="text1"/>
                <w:lang w:val="en-GB"/>
              </w:rPr>
              <w:instrText xml:space="preserve"> PAGEREF _Toc153798418 \h </w:instrText>
            </w:r>
            <w:r w:rsidRPr="00974F23">
              <w:rPr>
                <w:noProof/>
                <w:webHidden/>
                <w:color w:val="000000" w:themeColor="text1"/>
                <w:lang w:val="en-GB"/>
              </w:rPr>
            </w:r>
            <w:r w:rsidRPr="00974F23">
              <w:rPr>
                <w:noProof/>
                <w:webHidden/>
                <w:color w:val="000000" w:themeColor="text1"/>
                <w:lang w:val="en-GB"/>
              </w:rPr>
              <w:fldChar w:fldCharType="separate"/>
            </w:r>
            <w:r w:rsidRPr="00974F23">
              <w:rPr>
                <w:noProof/>
                <w:webHidden/>
                <w:color w:val="000000" w:themeColor="text1"/>
                <w:lang w:val="en-GB"/>
              </w:rPr>
              <w:t>4</w:t>
            </w:r>
            <w:r w:rsidRPr="00974F23">
              <w:rPr>
                <w:noProof/>
                <w:webHidden/>
                <w:color w:val="000000" w:themeColor="text1"/>
                <w:lang w:val="en-GB"/>
              </w:rPr>
              <w:fldChar w:fldCharType="end"/>
            </w:r>
          </w:hyperlink>
        </w:p>
        <w:p w14:paraId="1974151F" w14:textId="77777777" w:rsidR="00810ECC" w:rsidRPr="00974F23" w:rsidRDefault="00810ECC" w:rsidP="00810ECC">
          <w:pPr>
            <w:pStyle w:val="TOC1"/>
            <w:tabs>
              <w:tab w:val="right" w:leader="dot" w:pos="9350"/>
            </w:tabs>
            <w:rPr>
              <w:rFonts w:asciiTheme="minorHAnsi" w:eastAsiaTheme="minorEastAsia" w:hAnsiTheme="minorHAnsi" w:cstheme="minorBidi"/>
              <w:noProof/>
              <w:color w:val="000000" w:themeColor="text1"/>
              <w:sz w:val="22"/>
              <w:lang w:val="en-GB"/>
            </w:rPr>
          </w:pPr>
          <w:hyperlink w:anchor="_Toc153798419" w:history="1">
            <w:r w:rsidRPr="00974F23">
              <w:rPr>
                <w:rStyle w:val="Hyperlink"/>
                <w:noProof/>
                <w:color w:val="000000" w:themeColor="text1"/>
                <w:highlight w:val="white"/>
                <w:lang w:val="en-GB"/>
              </w:rPr>
              <w:t>3. Identification of Market Gap and Business Solution</w:t>
            </w:r>
            <w:r w:rsidRPr="00974F23">
              <w:rPr>
                <w:noProof/>
                <w:webHidden/>
                <w:color w:val="000000" w:themeColor="text1"/>
                <w:lang w:val="en-GB"/>
              </w:rPr>
              <w:tab/>
            </w:r>
            <w:r w:rsidRPr="00974F23">
              <w:rPr>
                <w:noProof/>
                <w:webHidden/>
                <w:color w:val="000000" w:themeColor="text1"/>
                <w:lang w:val="en-GB"/>
              </w:rPr>
              <w:fldChar w:fldCharType="begin"/>
            </w:r>
            <w:r w:rsidRPr="00974F23">
              <w:rPr>
                <w:noProof/>
                <w:webHidden/>
                <w:color w:val="000000" w:themeColor="text1"/>
                <w:lang w:val="en-GB"/>
              </w:rPr>
              <w:instrText xml:space="preserve"> PAGEREF _Toc153798419 \h </w:instrText>
            </w:r>
            <w:r w:rsidRPr="00974F23">
              <w:rPr>
                <w:noProof/>
                <w:webHidden/>
                <w:color w:val="000000" w:themeColor="text1"/>
                <w:lang w:val="en-GB"/>
              </w:rPr>
            </w:r>
            <w:r w:rsidRPr="00974F23">
              <w:rPr>
                <w:noProof/>
                <w:webHidden/>
                <w:color w:val="000000" w:themeColor="text1"/>
                <w:lang w:val="en-GB"/>
              </w:rPr>
              <w:fldChar w:fldCharType="separate"/>
            </w:r>
            <w:r w:rsidRPr="00974F23">
              <w:rPr>
                <w:noProof/>
                <w:webHidden/>
                <w:color w:val="000000" w:themeColor="text1"/>
                <w:lang w:val="en-GB"/>
              </w:rPr>
              <w:t>5</w:t>
            </w:r>
            <w:r w:rsidRPr="00974F23">
              <w:rPr>
                <w:noProof/>
                <w:webHidden/>
                <w:color w:val="000000" w:themeColor="text1"/>
                <w:lang w:val="en-GB"/>
              </w:rPr>
              <w:fldChar w:fldCharType="end"/>
            </w:r>
          </w:hyperlink>
        </w:p>
        <w:p w14:paraId="155B086D" w14:textId="77777777" w:rsidR="00810ECC" w:rsidRPr="00974F23" w:rsidRDefault="00810ECC" w:rsidP="00810ECC">
          <w:pPr>
            <w:pStyle w:val="TOC2"/>
            <w:tabs>
              <w:tab w:val="right" w:leader="dot" w:pos="9350"/>
            </w:tabs>
            <w:rPr>
              <w:rFonts w:asciiTheme="minorHAnsi" w:eastAsiaTheme="minorEastAsia" w:hAnsiTheme="minorHAnsi" w:cstheme="minorBidi"/>
              <w:noProof/>
              <w:color w:val="000000" w:themeColor="text1"/>
              <w:sz w:val="22"/>
              <w:lang w:val="en-GB"/>
            </w:rPr>
          </w:pPr>
          <w:hyperlink w:anchor="_Toc153798420" w:history="1">
            <w:r w:rsidRPr="00974F23">
              <w:rPr>
                <w:rStyle w:val="Hyperlink"/>
                <w:noProof/>
                <w:color w:val="000000" w:themeColor="text1"/>
                <w:highlight w:val="white"/>
                <w:lang w:val="en-GB"/>
              </w:rPr>
              <w:t>3.1 Analysis of the Current Market and Identification of Gaps</w:t>
            </w:r>
            <w:r w:rsidRPr="00974F23">
              <w:rPr>
                <w:noProof/>
                <w:webHidden/>
                <w:color w:val="000000" w:themeColor="text1"/>
                <w:lang w:val="en-GB"/>
              </w:rPr>
              <w:tab/>
            </w:r>
            <w:r w:rsidRPr="00974F23">
              <w:rPr>
                <w:noProof/>
                <w:webHidden/>
                <w:color w:val="000000" w:themeColor="text1"/>
                <w:lang w:val="en-GB"/>
              </w:rPr>
              <w:fldChar w:fldCharType="begin"/>
            </w:r>
            <w:r w:rsidRPr="00974F23">
              <w:rPr>
                <w:noProof/>
                <w:webHidden/>
                <w:color w:val="000000" w:themeColor="text1"/>
                <w:lang w:val="en-GB"/>
              </w:rPr>
              <w:instrText xml:space="preserve"> PAGEREF _Toc153798420 \h </w:instrText>
            </w:r>
            <w:r w:rsidRPr="00974F23">
              <w:rPr>
                <w:noProof/>
                <w:webHidden/>
                <w:color w:val="000000" w:themeColor="text1"/>
                <w:lang w:val="en-GB"/>
              </w:rPr>
            </w:r>
            <w:r w:rsidRPr="00974F23">
              <w:rPr>
                <w:noProof/>
                <w:webHidden/>
                <w:color w:val="000000" w:themeColor="text1"/>
                <w:lang w:val="en-GB"/>
              </w:rPr>
              <w:fldChar w:fldCharType="separate"/>
            </w:r>
            <w:r w:rsidRPr="00974F23">
              <w:rPr>
                <w:noProof/>
                <w:webHidden/>
                <w:color w:val="000000" w:themeColor="text1"/>
                <w:lang w:val="en-GB"/>
              </w:rPr>
              <w:t>5</w:t>
            </w:r>
            <w:r w:rsidRPr="00974F23">
              <w:rPr>
                <w:noProof/>
                <w:webHidden/>
                <w:color w:val="000000" w:themeColor="text1"/>
                <w:lang w:val="en-GB"/>
              </w:rPr>
              <w:fldChar w:fldCharType="end"/>
            </w:r>
          </w:hyperlink>
        </w:p>
        <w:p w14:paraId="605EFFFC" w14:textId="77777777" w:rsidR="00810ECC" w:rsidRPr="00974F23" w:rsidRDefault="00810ECC" w:rsidP="00810ECC">
          <w:pPr>
            <w:pStyle w:val="TOC2"/>
            <w:tabs>
              <w:tab w:val="right" w:leader="dot" w:pos="9350"/>
            </w:tabs>
            <w:rPr>
              <w:rFonts w:asciiTheme="minorHAnsi" w:eastAsiaTheme="minorEastAsia" w:hAnsiTheme="minorHAnsi" w:cstheme="minorBidi"/>
              <w:noProof/>
              <w:color w:val="000000" w:themeColor="text1"/>
              <w:sz w:val="22"/>
              <w:lang w:val="en-GB"/>
            </w:rPr>
          </w:pPr>
          <w:hyperlink w:anchor="_Toc153798421" w:history="1">
            <w:r w:rsidRPr="00974F23">
              <w:rPr>
                <w:rStyle w:val="Hyperlink"/>
                <w:noProof/>
                <w:color w:val="000000" w:themeColor="text1"/>
                <w:highlight w:val="white"/>
                <w:lang w:val="en-GB"/>
              </w:rPr>
              <w:t>3.2 Discussion on how the Business Idea fills the Identified Gap</w:t>
            </w:r>
            <w:r w:rsidRPr="00974F23">
              <w:rPr>
                <w:noProof/>
                <w:webHidden/>
                <w:color w:val="000000" w:themeColor="text1"/>
                <w:lang w:val="en-GB"/>
              </w:rPr>
              <w:tab/>
            </w:r>
            <w:r w:rsidRPr="00974F23">
              <w:rPr>
                <w:noProof/>
                <w:webHidden/>
                <w:color w:val="000000" w:themeColor="text1"/>
                <w:lang w:val="en-GB"/>
              </w:rPr>
              <w:fldChar w:fldCharType="begin"/>
            </w:r>
            <w:r w:rsidRPr="00974F23">
              <w:rPr>
                <w:noProof/>
                <w:webHidden/>
                <w:color w:val="000000" w:themeColor="text1"/>
                <w:lang w:val="en-GB"/>
              </w:rPr>
              <w:instrText xml:space="preserve"> PAGEREF _Toc153798421 \h </w:instrText>
            </w:r>
            <w:r w:rsidRPr="00974F23">
              <w:rPr>
                <w:noProof/>
                <w:webHidden/>
                <w:color w:val="000000" w:themeColor="text1"/>
                <w:lang w:val="en-GB"/>
              </w:rPr>
            </w:r>
            <w:r w:rsidRPr="00974F23">
              <w:rPr>
                <w:noProof/>
                <w:webHidden/>
                <w:color w:val="000000" w:themeColor="text1"/>
                <w:lang w:val="en-GB"/>
              </w:rPr>
              <w:fldChar w:fldCharType="separate"/>
            </w:r>
            <w:r w:rsidRPr="00974F23">
              <w:rPr>
                <w:noProof/>
                <w:webHidden/>
                <w:color w:val="000000" w:themeColor="text1"/>
                <w:lang w:val="en-GB"/>
              </w:rPr>
              <w:t>6</w:t>
            </w:r>
            <w:r w:rsidRPr="00974F23">
              <w:rPr>
                <w:noProof/>
                <w:webHidden/>
                <w:color w:val="000000" w:themeColor="text1"/>
                <w:lang w:val="en-GB"/>
              </w:rPr>
              <w:fldChar w:fldCharType="end"/>
            </w:r>
          </w:hyperlink>
        </w:p>
        <w:p w14:paraId="378F3DD7" w14:textId="77777777" w:rsidR="00810ECC" w:rsidRPr="00974F23" w:rsidRDefault="00810ECC" w:rsidP="00810ECC">
          <w:pPr>
            <w:pStyle w:val="TOC1"/>
            <w:tabs>
              <w:tab w:val="right" w:leader="dot" w:pos="9350"/>
            </w:tabs>
            <w:rPr>
              <w:rFonts w:asciiTheme="minorHAnsi" w:eastAsiaTheme="minorEastAsia" w:hAnsiTheme="minorHAnsi" w:cstheme="minorBidi"/>
              <w:noProof/>
              <w:color w:val="000000" w:themeColor="text1"/>
              <w:sz w:val="22"/>
              <w:lang w:val="en-GB"/>
            </w:rPr>
          </w:pPr>
          <w:hyperlink w:anchor="_Toc153798422" w:history="1">
            <w:r w:rsidRPr="00974F23">
              <w:rPr>
                <w:rStyle w:val="Hyperlink"/>
                <w:noProof/>
                <w:color w:val="000000" w:themeColor="text1"/>
                <w:lang w:val="en-GB"/>
              </w:rPr>
              <w:t>4. Business Location and Legal Entity</w:t>
            </w:r>
            <w:r w:rsidRPr="00974F23">
              <w:rPr>
                <w:noProof/>
                <w:webHidden/>
                <w:color w:val="000000" w:themeColor="text1"/>
                <w:lang w:val="en-GB"/>
              </w:rPr>
              <w:tab/>
            </w:r>
            <w:r w:rsidRPr="00974F23">
              <w:rPr>
                <w:noProof/>
                <w:webHidden/>
                <w:color w:val="000000" w:themeColor="text1"/>
                <w:lang w:val="en-GB"/>
              </w:rPr>
              <w:fldChar w:fldCharType="begin"/>
            </w:r>
            <w:r w:rsidRPr="00974F23">
              <w:rPr>
                <w:noProof/>
                <w:webHidden/>
                <w:color w:val="000000" w:themeColor="text1"/>
                <w:lang w:val="en-GB"/>
              </w:rPr>
              <w:instrText xml:space="preserve"> PAGEREF _Toc153798422 \h </w:instrText>
            </w:r>
            <w:r w:rsidRPr="00974F23">
              <w:rPr>
                <w:noProof/>
                <w:webHidden/>
                <w:color w:val="000000" w:themeColor="text1"/>
                <w:lang w:val="en-GB"/>
              </w:rPr>
            </w:r>
            <w:r w:rsidRPr="00974F23">
              <w:rPr>
                <w:noProof/>
                <w:webHidden/>
                <w:color w:val="000000" w:themeColor="text1"/>
                <w:lang w:val="en-GB"/>
              </w:rPr>
              <w:fldChar w:fldCharType="separate"/>
            </w:r>
            <w:r w:rsidRPr="00974F23">
              <w:rPr>
                <w:noProof/>
                <w:webHidden/>
                <w:color w:val="000000" w:themeColor="text1"/>
                <w:lang w:val="en-GB"/>
              </w:rPr>
              <w:t>6</w:t>
            </w:r>
            <w:r w:rsidRPr="00974F23">
              <w:rPr>
                <w:noProof/>
                <w:webHidden/>
                <w:color w:val="000000" w:themeColor="text1"/>
                <w:lang w:val="en-GB"/>
              </w:rPr>
              <w:fldChar w:fldCharType="end"/>
            </w:r>
          </w:hyperlink>
        </w:p>
        <w:p w14:paraId="0D442C0A" w14:textId="77777777" w:rsidR="00810ECC" w:rsidRPr="00974F23" w:rsidRDefault="00810ECC" w:rsidP="00810ECC">
          <w:pPr>
            <w:pStyle w:val="TOC2"/>
            <w:tabs>
              <w:tab w:val="right" w:leader="dot" w:pos="9350"/>
            </w:tabs>
            <w:rPr>
              <w:rFonts w:asciiTheme="minorHAnsi" w:eastAsiaTheme="minorEastAsia" w:hAnsiTheme="minorHAnsi" w:cstheme="minorBidi"/>
              <w:noProof/>
              <w:color w:val="000000" w:themeColor="text1"/>
              <w:sz w:val="22"/>
              <w:lang w:val="en-GB"/>
            </w:rPr>
          </w:pPr>
          <w:hyperlink w:anchor="_Toc153798423" w:history="1">
            <w:r w:rsidRPr="00974F23">
              <w:rPr>
                <w:rStyle w:val="Hyperlink"/>
                <w:noProof/>
                <w:color w:val="000000" w:themeColor="text1"/>
                <w:lang w:val="en-GB"/>
              </w:rPr>
              <w:t>4.1 Proposed location for the business and reasons for selection</w:t>
            </w:r>
            <w:r w:rsidRPr="00974F23">
              <w:rPr>
                <w:noProof/>
                <w:webHidden/>
                <w:color w:val="000000" w:themeColor="text1"/>
                <w:lang w:val="en-GB"/>
              </w:rPr>
              <w:tab/>
            </w:r>
            <w:r w:rsidRPr="00974F23">
              <w:rPr>
                <w:noProof/>
                <w:webHidden/>
                <w:color w:val="000000" w:themeColor="text1"/>
                <w:lang w:val="en-GB"/>
              </w:rPr>
              <w:fldChar w:fldCharType="begin"/>
            </w:r>
            <w:r w:rsidRPr="00974F23">
              <w:rPr>
                <w:noProof/>
                <w:webHidden/>
                <w:color w:val="000000" w:themeColor="text1"/>
                <w:lang w:val="en-GB"/>
              </w:rPr>
              <w:instrText xml:space="preserve"> PAGEREF _Toc153798423 \h </w:instrText>
            </w:r>
            <w:r w:rsidRPr="00974F23">
              <w:rPr>
                <w:noProof/>
                <w:webHidden/>
                <w:color w:val="000000" w:themeColor="text1"/>
                <w:lang w:val="en-GB"/>
              </w:rPr>
            </w:r>
            <w:r w:rsidRPr="00974F23">
              <w:rPr>
                <w:noProof/>
                <w:webHidden/>
                <w:color w:val="000000" w:themeColor="text1"/>
                <w:lang w:val="en-GB"/>
              </w:rPr>
              <w:fldChar w:fldCharType="separate"/>
            </w:r>
            <w:r w:rsidRPr="00974F23">
              <w:rPr>
                <w:noProof/>
                <w:webHidden/>
                <w:color w:val="000000" w:themeColor="text1"/>
                <w:lang w:val="en-GB"/>
              </w:rPr>
              <w:t>6</w:t>
            </w:r>
            <w:r w:rsidRPr="00974F23">
              <w:rPr>
                <w:noProof/>
                <w:webHidden/>
                <w:color w:val="000000" w:themeColor="text1"/>
                <w:lang w:val="en-GB"/>
              </w:rPr>
              <w:fldChar w:fldCharType="end"/>
            </w:r>
          </w:hyperlink>
        </w:p>
        <w:p w14:paraId="0B5A2153" w14:textId="77777777" w:rsidR="00810ECC" w:rsidRPr="00974F23" w:rsidRDefault="00810ECC" w:rsidP="00810ECC">
          <w:pPr>
            <w:pStyle w:val="TOC2"/>
            <w:tabs>
              <w:tab w:val="right" w:leader="dot" w:pos="9350"/>
            </w:tabs>
            <w:rPr>
              <w:rFonts w:asciiTheme="minorHAnsi" w:eastAsiaTheme="minorEastAsia" w:hAnsiTheme="minorHAnsi" w:cstheme="minorBidi"/>
              <w:noProof/>
              <w:color w:val="000000" w:themeColor="text1"/>
              <w:sz w:val="22"/>
              <w:lang w:val="en-GB"/>
            </w:rPr>
          </w:pPr>
          <w:hyperlink w:anchor="_Toc153798424" w:history="1">
            <w:r w:rsidRPr="00974F23">
              <w:rPr>
                <w:rStyle w:val="Hyperlink"/>
                <w:noProof/>
                <w:color w:val="000000" w:themeColor="text1"/>
                <w:lang w:val="en-GB"/>
              </w:rPr>
              <w:t>4.2 Legal structure of the business (e.g., LLC, Corporation) and justification</w:t>
            </w:r>
            <w:r w:rsidRPr="00974F23">
              <w:rPr>
                <w:noProof/>
                <w:webHidden/>
                <w:color w:val="000000" w:themeColor="text1"/>
                <w:lang w:val="en-GB"/>
              </w:rPr>
              <w:tab/>
            </w:r>
            <w:r w:rsidRPr="00974F23">
              <w:rPr>
                <w:noProof/>
                <w:webHidden/>
                <w:color w:val="000000" w:themeColor="text1"/>
                <w:lang w:val="en-GB"/>
              </w:rPr>
              <w:fldChar w:fldCharType="begin"/>
            </w:r>
            <w:r w:rsidRPr="00974F23">
              <w:rPr>
                <w:noProof/>
                <w:webHidden/>
                <w:color w:val="000000" w:themeColor="text1"/>
                <w:lang w:val="en-GB"/>
              </w:rPr>
              <w:instrText xml:space="preserve"> PAGEREF _Toc153798424 \h </w:instrText>
            </w:r>
            <w:r w:rsidRPr="00974F23">
              <w:rPr>
                <w:noProof/>
                <w:webHidden/>
                <w:color w:val="000000" w:themeColor="text1"/>
                <w:lang w:val="en-GB"/>
              </w:rPr>
            </w:r>
            <w:r w:rsidRPr="00974F23">
              <w:rPr>
                <w:noProof/>
                <w:webHidden/>
                <w:color w:val="000000" w:themeColor="text1"/>
                <w:lang w:val="en-GB"/>
              </w:rPr>
              <w:fldChar w:fldCharType="separate"/>
            </w:r>
            <w:r w:rsidRPr="00974F23">
              <w:rPr>
                <w:noProof/>
                <w:webHidden/>
                <w:color w:val="000000" w:themeColor="text1"/>
                <w:lang w:val="en-GB"/>
              </w:rPr>
              <w:t>7</w:t>
            </w:r>
            <w:r w:rsidRPr="00974F23">
              <w:rPr>
                <w:noProof/>
                <w:webHidden/>
                <w:color w:val="000000" w:themeColor="text1"/>
                <w:lang w:val="en-GB"/>
              </w:rPr>
              <w:fldChar w:fldCharType="end"/>
            </w:r>
          </w:hyperlink>
        </w:p>
        <w:p w14:paraId="1BBD2EA4" w14:textId="77777777" w:rsidR="00810ECC" w:rsidRPr="00974F23" w:rsidRDefault="00810ECC" w:rsidP="00810ECC">
          <w:pPr>
            <w:pStyle w:val="TOC1"/>
            <w:tabs>
              <w:tab w:val="right" w:leader="dot" w:pos="9350"/>
            </w:tabs>
            <w:rPr>
              <w:rFonts w:asciiTheme="minorHAnsi" w:eastAsiaTheme="minorEastAsia" w:hAnsiTheme="minorHAnsi" w:cstheme="minorBidi"/>
              <w:noProof/>
              <w:color w:val="000000" w:themeColor="text1"/>
              <w:sz w:val="22"/>
              <w:lang w:val="en-GB"/>
            </w:rPr>
          </w:pPr>
          <w:hyperlink w:anchor="_Toc153798425" w:history="1">
            <w:r w:rsidRPr="00974F23">
              <w:rPr>
                <w:rStyle w:val="Hyperlink"/>
                <w:noProof/>
                <w:color w:val="000000" w:themeColor="text1"/>
                <w:lang w:val="en-GB"/>
              </w:rPr>
              <w:t>5. SWOT Analysis</w:t>
            </w:r>
            <w:r w:rsidRPr="00974F23">
              <w:rPr>
                <w:noProof/>
                <w:webHidden/>
                <w:color w:val="000000" w:themeColor="text1"/>
                <w:lang w:val="en-GB"/>
              </w:rPr>
              <w:tab/>
            </w:r>
            <w:r w:rsidRPr="00974F23">
              <w:rPr>
                <w:noProof/>
                <w:webHidden/>
                <w:color w:val="000000" w:themeColor="text1"/>
                <w:lang w:val="en-GB"/>
              </w:rPr>
              <w:fldChar w:fldCharType="begin"/>
            </w:r>
            <w:r w:rsidRPr="00974F23">
              <w:rPr>
                <w:noProof/>
                <w:webHidden/>
                <w:color w:val="000000" w:themeColor="text1"/>
                <w:lang w:val="en-GB"/>
              </w:rPr>
              <w:instrText xml:space="preserve"> PAGEREF _Toc153798425 \h </w:instrText>
            </w:r>
            <w:r w:rsidRPr="00974F23">
              <w:rPr>
                <w:noProof/>
                <w:webHidden/>
                <w:color w:val="000000" w:themeColor="text1"/>
                <w:lang w:val="en-GB"/>
              </w:rPr>
            </w:r>
            <w:r w:rsidRPr="00974F23">
              <w:rPr>
                <w:noProof/>
                <w:webHidden/>
                <w:color w:val="000000" w:themeColor="text1"/>
                <w:lang w:val="en-GB"/>
              </w:rPr>
              <w:fldChar w:fldCharType="separate"/>
            </w:r>
            <w:r w:rsidRPr="00974F23">
              <w:rPr>
                <w:noProof/>
                <w:webHidden/>
                <w:color w:val="000000" w:themeColor="text1"/>
                <w:lang w:val="en-GB"/>
              </w:rPr>
              <w:t>8</w:t>
            </w:r>
            <w:r w:rsidRPr="00974F23">
              <w:rPr>
                <w:noProof/>
                <w:webHidden/>
                <w:color w:val="000000" w:themeColor="text1"/>
                <w:lang w:val="en-GB"/>
              </w:rPr>
              <w:fldChar w:fldCharType="end"/>
            </w:r>
          </w:hyperlink>
        </w:p>
        <w:p w14:paraId="43B319FA" w14:textId="77777777" w:rsidR="00810ECC" w:rsidRPr="00974F23" w:rsidRDefault="00810ECC" w:rsidP="00810ECC">
          <w:pPr>
            <w:pStyle w:val="TOC1"/>
            <w:tabs>
              <w:tab w:val="right" w:leader="dot" w:pos="9350"/>
            </w:tabs>
            <w:rPr>
              <w:rFonts w:asciiTheme="minorHAnsi" w:eastAsiaTheme="minorEastAsia" w:hAnsiTheme="minorHAnsi" w:cstheme="minorBidi"/>
              <w:noProof/>
              <w:color w:val="000000" w:themeColor="text1"/>
              <w:sz w:val="22"/>
              <w:lang w:val="en-GB"/>
            </w:rPr>
          </w:pPr>
          <w:hyperlink w:anchor="_Toc153798426" w:history="1">
            <w:r w:rsidRPr="00974F23">
              <w:rPr>
                <w:rStyle w:val="Hyperlink"/>
                <w:noProof/>
                <w:color w:val="000000" w:themeColor="text1"/>
                <w:lang w:val="en-GB"/>
              </w:rPr>
              <w:t>6. Target Market and Marketing Strategies</w:t>
            </w:r>
            <w:r w:rsidRPr="00974F23">
              <w:rPr>
                <w:noProof/>
                <w:webHidden/>
                <w:color w:val="000000" w:themeColor="text1"/>
                <w:lang w:val="en-GB"/>
              </w:rPr>
              <w:tab/>
            </w:r>
            <w:r w:rsidRPr="00974F23">
              <w:rPr>
                <w:noProof/>
                <w:webHidden/>
                <w:color w:val="000000" w:themeColor="text1"/>
                <w:lang w:val="en-GB"/>
              </w:rPr>
              <w:fldChar w:fldCharType="begin"/>
            </w:r>
            <w:r w:rsidRPr="00974F23">
              <w:rPr>
                <w:noProof/>
                <w:webHidden/>
                <w:color w:val="000000" w:themeColor="text1"/>
                <w:lang w:val="en-GB"/>
              </w:rPr>
              <w:instrText xml:space="preserve"> PAGEREF _Toc153798426 \h </w:instrText>
            </w:r>
            <w:r w:rsidRPr="00974F23">
              <w:rPr>
                <w:noProof/>
                <w:webHidden/>
                <w:color w:val="000000" w:themeColor="text1"/>
                <w:lang w:val="en-GB"/>
              </w:rPr>
            </w:r>
            <w:r w:rsidRPr="00974F23">
              <w:rPr>
                <w:noProof/>
                <w:webHidden/>
                <w:color w:val="000000" w:themeColor="text1"/>
                <w:lang w:val="en-GB"/>
              </w:rPr>
              <w:fldChar w:fldCharType="separate"/>
            </w:r>
            <w:r w:rsidRPr="00974F23">
              <w:rPr>
                <w:noProof/>
                <w:webHidden/>
                <w:color w:val="000000" w:themeColor="text1"/>
                <w:lang w:val="en-GB"/>
              </w:rPr>
              <w:t>11</w:t>
            </w:r>
            <w:r w:rsidRPr="00974F23">
              <w:rPr>
                <w:noProof/>
                <w:webHidden/>
                <w:color w:val="000000" w:themeColor="text1"/>
                <w:lang w:val="en-GB"/>
              </w:rPr>
              <w:fldChar w:fldCharType="end"/>
            </w:r>
          </w:hyperlink>
        </w:p>
        <w:p w14:paraId="48F861D6" w14:textId="77777777" w:rsidR="00810ECC" w:rsidRPr="00974F23" w:rsidRDefault="00810ECC" w:rsidP="00810ECC">
          <w:pPr>
            <w:pStyle w:val="TOC2"/>
            <w:tabs>
              <w:tab w:val="right" w:leader="dot" w:pos="9350"/>
            </w:tabs>
            <w:rPr>
              <w:rFonts w:asciiTheme="minorHAnsi" w:eastAsiaTheme="minorEastAsia" w:hAnsiTheme="minorHAnsi" w:cstheme="minorBidi"/>
              <w:noProof/>
              <w:color w:val="000000" w:themeColor="text1"/>
              <w:sz w:val="22"/>
              <w:lang w:val="en-GB"/>
            </w:rPr>
          </w:pPr>
          <w:hyperlink w:anchor="_Toc153798427" w:history="1">
            <w:r w:rsidRPr="00974F23">
              <w:rPr>
                <w:rStyle w:val="Hyperlink"/>
                <w:noProof/>
                <w:color w:val="000000" w:themeColor="text1"/>
                <w:lang w:val="en-GB"/>
              </w:rPr>
              <w:t>6.1 Identification of the target market</w:t>
            </w:r>
            <w:r w:rsidRPr="00974F23">
              <w:rPr>
                <w:noProof/>
                <w:webHidden/>
                <w:color w:val="000000" w:themeColor="text1"/>
                <w:lang w:val="en-GB"/>
              </w:rPr>
              <w:tab/>
            </w:r>
            <w:r w:rsidRPr="00974F23">
              <w:rPr>
                <w:noProof/>
                <w:webHidden/>
                <w:color w:val="000000" w:themeColor="text1"/>
                <w:lang w:val="en-GB"/>
              </w:rPr>
              <w:fldChar w:fldCharType="begin"/>
            </w:r>
            <w:r w:rsidRPr="00974F23">
              <w:rPr>
                <w:noProof/>
                <w:webHidden/>
                <w:color w:val="000000" w:themeColor="text1"/>
                <w:lang w:val="en-GB"/>
              </w:rPr>
              <w:instrText xml:space="preserve"> PAGEREF _Toc153798427 \h </w:instrText>
            </w:r>
            <w:r w:rsidRPr="00974F23">
              <w:rPr>
                <w:noProof/>
                <w:webHidden/>
                <w:color w:val="000000" w:themeColor="text1"/>
                <w:lang w:val="en-GB"/>
              </w:rPr>
            </w:r>
            <w:r w:rsidRPr="00974F23">
              <w:rPr>
                <w:noProof/>
                <w:webHidden/>
                <w:color w:val="000000" w:themeColor="text1"/>
                <w:lang w:val="en-GB"/>
              </w:rPr>
              <w:fldChar w:fldCharType="separate"/>
            </w:r>
            <w:r w:rsidRPr="00974F23">
              <w:rPr>
                <w:noProof/>
                <w:webHidden/>
                <w:color w:val="000000" w:themeColor="text1"/>
                <w:lang w:val="en-GB"/>
              </w:rPr>
              <w:t>11</w:t>
            </w:r>
            <w:r w:rsidRPr="00974F23">
              <w:rPr>
                <w:noProof/>
                <w:webHidden/>
                <w:color w:val="000000" w:themeColor="text1"/>
                <w:lang w:val="en-GB"/>
              </w:rPr>
              <w:fldChar w:fldCharType="end"/>
            </w:r>
          </w:hyperlink>
        </w:p>
        <w:p w14:paraId="7BCE3CA9" w14:textId="77777777" w:rsidR="00810ECC" w:rsidRPr="00974F23" w:rsidRDefault="00810ECC" w:rsidP="00810ECC">
          <w:pPr>
            <w:pStyle w:val="TOC2"/>
            <w:tabs>
              <w:tab w:val="right" w:leader="dot" w:pos="9350"/>
            </w:tabs>
            <w:rPr>
              <w:rFonts w:asciiTheme="minorHAnsi" w:eastAsiaTheme="minorEastAsia" w:hAnsiTheme="minorHAnsi" w:cstheme="minorBidi"/>
              <w:noProof/>
              <w:color w:val="000000" w:themeColor="text1"/>
              <w:sz w:val="22"/>
              <w:lang w:val="en-GB"/>
            </w:rPr>
          </w:pPr>
          <w:hyperlink w:anchor="_Toc153798428" w:history="1">
            <w:r w:rsidRPr="00974F23">
              <w:rPr>
                <w:rStyle w:val="Hyperlink"/>
                <w:noProof/>
                <w:color w:val="000000" w:themeColor="text1"/>
                <w:lang w:val="en-GB"/>
              </w:rPr>
              <w:t>6.2 Marketing strategies to reach and capture the target market</w:t>
            </w:r>
            <w:r w:rsidRPr="00974F23">
              <w:rPr>
                <w:noProof/>
                <w:webHidden/>
                <w:color w:val="000000" w:themeColor="text1"/>
                <w:lang w:val="en-GB"/>
              </w:rPr>
              <w:tab/>
            </w:r>
            <w:r w:rsidRPr="00974F23">
              <w:rPr>
                <w:noProof/>
                <w:webHidden/>
                <w:color w:val="000000" w:themeColor="text1"/>
                <w:lang w:val="en-GB"/>
              </w:rPr>
              <w:fldChar w:fldCharType="begin"/>
            </w:r>
            <w:r w:rsidRPr="00974F23">
              <w:rPr>
                <w:noProof/>
                <w:webHidden/>
                <w:color w:val="000000" w:themeColor="text1"/>
                <w:lang w:val="en-GB"/>
              </w:rPr>
              <w:instrText xml:space="preserve"> PAGEREF _Toc153798428 \h </w:instrText>
            </w:r>
            <w:r w:rsidRPr="00974F23">
              <w:rPr>
                <w:noProof/>
                <w:webHidden/>
                <w:color w:val="000000" w:themeColor="text1"/>
                <w:lang w:val="en-GB"/>
              </w:rPr>
            </w:r>
            <w:r w:rsidRPr="00974F23">
              <w:rPr>
                <w:noProof/>
                <w:webHidden/>
                <w:color w:val="000000" w:themeColor="text1"/>
                <w:lang w:val="en-GB"/>
              </w:rPr>
              <w:fldChar w:fldCharType="separate"/>
            </w:r>
            <w:r w:rsidRPr="00974F23">
              <w:rPr>
                <w:noProof/>
                <w:webHidden/>
                <w:color w:val="000000" w:themeColor="text1"/>
                <w:lang w:val="en-GB"/>
              </w:rPr>
              <w:t>11</w:t>
            </w:r>
            <w:r w:rsidRPr="00974F23">
              <w:rPr>
                <w:noProof/>
                <w:webHidden/>
                <w:color w:val="000000" w:themeColor="text1"/>
                <w:lang w:val="en-GB"/>
              </w:rPr>
              <w:fldChar w:fldCharType="end"/>
            </w:r>
          </w:hyperlink>
        </w:p>
        <w:p w14:paraId="31FA0B25" w14:textId="77777777" w:rsidR="00810ECC" w:rsidRPr="00974F23" w:rsidRDefault="00810ECC" w:rsidP="00810ECC">
          <w:pPr>
            <w:pStyle w:val="TOC1"/>
            <w:tabs>
              <w:tab w:val="right" w:leader="dot" w:pos="9350"/>
            </w:tabs>
            <w:rPr>
              <w:rFonts w:asciiTheme="minorHAnsi" w:eastAsiaTheme="minorEastAsia" w:hAnsiTheme="minorHAnsi" w:cstheme="minorBidi"/>
              <w:noProof/>
              <w:color w:val="000000" w:themeColor="text1"/>
              <w:sz w:val="22"/>
              <w:lang w:val="en-GB"/>
            </w:rPr>
          </w:pPr>
          <w:hyperlink w:anchor="_Toc153798429" w:history="1">
            <w:r w:rsidRPr="00974F23">
              <w:rPr>
                <w:rStyle w:val="Hyperlink"/>
                <w:noProof/>
                <w:color w:val="000000" w:themeColor="text1"/>
                <w:highlight w:val="white"/>
                <w:lang w:val="en-GB"/>
              </w:rPr>
              <w:t>7. Budgeting and Financial Plan</w:t>
            </w:r>
            <w:r w:rsidRPr="00974F23">
              <w:rPr>
                <w:noProof/>
                <w:webHidden/>
                <w:color w:val="000000" w:themeColor="text1"/>
                <w:lang w:val="en-GB"/>
              </w:rPr>
              <w:tab/>
            </w:r>
            <w:r w:rsidRPr="00974F23">
              <w:rPr>
                <w:noProof/>
                <w:webHidden/>
                <w:color w:val="000000" w:themeColor="text1"/>
                <w:lang w:val="en-GB"/>
              </w:rPr>
              <w:fldChar w:fldCharType="begin"/>
            </w:r>
            <w:r w:rsidRPr="00974F23">
              <w:rPr>
                <w:noProof/>
                <w:webHidden/>
                <w:color w:val="000000" w:themeColor="text1"/>
                <w:lang w:val="en-GB"/>
              </w:rPr>
              <w:instrText xml:space="preserve"> PAGEREF _Toc153798429 \h </w:instrText>
            </w:r>
            <w:r w:rsidRPr="00974F23">
              <w:rPr>
                <w:noProof/>
                <w:webHidden/>
                <w:color w:val="000000" w:themeColor="text1"/>
                <w:lang w:val="en-GB"/>
              </w:rPr>
            </w:r>
            <w:r w:rsidRPr="00974F23">
              <w:rPr>
                <w:noProof/>
                <w:webHidden/>
                <w:color w:val="000000" w:themeColor="text1"/>
                <w:lang w:val="en-GB"/>
              </w:rPr>
              <w:fldChar w:fldCharType="separate"/>
            </w:r>
            <w:r w:rsidRPr="00974F23">
              <w:rPr>
                <w:noProof/>
                <w:webHidden/>
                <w:color w:val="000000" w:themeColor="text1"/>
                <w:lang w:val="en-GB"/>
              </w:rPr>
              <w:t>11</w:t>
            </w:r>
            <w:r w:rsidRPr="00974F23">
              <w:rPr>
                <w:noProof/>
                <w:webHidden/>
                <w:color w:val="000000" w:themeColor="text1"/>
                <w:lang w:val="en-GB"/>
              </w:rPr>
              <w:fldChar w:fldCharType="end"/>
            </w:r>
          </w:hyperlink>
        </w:p>
        <w:p w14:paraId="608A45B5" w14:textId="77777777" w:rsidR="00810ECC" w:rsidRPr="00974F23" w:rsidRDefault="00810ECC" w:rsidP="00810ECC">
          <w:pPr>
            <w:pStyle w:val="TOC2"/>
            <w:tabs>
              <w:tab w:val="right" w:leader="dot" w:pos="9350"/>
            </w:tabs>
            <w:rPr>
              <w:rFonts w:asciiTheme="minorHAnsi" w:eastAsiaTheme="minorEastAsia" w:hAnsiTheme="minorHAnsi" w:cstheme="minorBidi"/>
              <w:noProof/>
              <w:color w:val="000000" w:themeColor="text1"/>
              <w:sz w:val="22"/>
              <w:lang w:val="en-GB"/>
            </w:rPr>
          </w:pPr>
          <w:hyperlink w:anchor="_Toc153798430" w:history="1">
            <w:r w:rsidRPr="00974F23">
              <w:rPr>
                <w:rStyle w:val="Hyperlink"/>
                <w:noProof/>
                <w:color w:val="000000" w:themeColor="text1"/>
                <w:highlight w:val="white"/>
                <w:lang w:val="en-GB"/>
              </w:rPr>
              <w:t>7.1 Breakdown of Estimated Costs</w:t>
            </w:r>
            <w:r w:rsidRPr="00974F23">
              <w:rPr>
                <w:noProof/>
                <w:webHidden/>
                <w:color w:val="000000" w:themeColor="text1"/>
                <w:lang w:val="en-GB"/>
              </w:rPr>
              <w:tab/>
            </w:r>
            <w:r w:rsidRPr="00974F23">
              <w:rPr>
                <w:noProof/>
                <w:webHidden/>
                <w:color w:val="000000" w:themeColor="text1"/>
                <w:lang w:val="en-GB"/>
              </w:rPr>
              <w:fldChar w:fldCharType="begin"/>
            </w:r>
            <w:r w:rsidRPr="00974F23">
              <w:rPr>
                <w:noProof/>
                <w:webHidden/>
                <w:color w:val="000000" w:themeColor="text1"/>
                <w:lang w:val="en-GB"/>
              </w:rPr>
              <w:instrText xml:space="preserve"> PAGEREF _Toc153798430 \h </w:instrText>
            </w:r>
            <w:r w:rsidRPr="00974F23">
              <w:rPr>
                <w:noProof/>
                <w:webHidden/>
                <w:color w:val="000000" w:themeColor="text1"/>
                <w:lang w:val="en-GB"/>
              </w:rPr>
            </w:r>
            <w:r w:rsidRPr="00974F23">
              <w:rPr>
                <w:noProof/>
                <w:webHidden/>
                <w:color w:val="000000" w:themeColor="text1"/>
                <w:lang w:val="en-GB"/>
              </w:rPr>
              <w:fldChar w:fldCharType="separate"/>
            </w:r>
            <w:r w:rsidRPr="00974F23">
              <w:rPr>
                <w:noProof/>
                <w:webHidden/>
                <w:color w:val="000000" w:themeColor="text1"/>
                <w:lang w:val="en-GB"/>
              </w:rPr>
              <w:t>11</w:t>
            </w:r>
            <w:r w:rsidRPr="00974F23">
              <w:rPr>
                <w:noProof/>
                <w:webHidden/>
                <w:color w:val="000000" w:themeColor="text1"/>
                <w:lang w:val="en-GB"/>
              </w:rPr>
              <w:fldChar w:fldCharType="end"/>
            </w:r>
          </w:hyperlink>
        </w:p>
        <w:p w14:paraId="33A12498" w14:textId="77777777" w:rsidR="00810ECC" w:rsidRPr="00974F23" w:rsidRDefault="00810ECC" w:rsidP="00810ECC">
          <w:pPr>
            <w:pStyle w:val="TOC2"/>
            <w:tabs>
              <w:tab w:val="right" w:leader="dot" w:pos="9350"/>
            </w:tabs>
            <w:rPr>
              <w:rFonts w:asciiTheme="minorHAnsi" w:eastAsiaTheme="minorEastAsia" w:hAnsiTheme="minorHAnsi" w:cstheme="minorBidi"/>
              <w:noProof/>
              <w:color w:val="000000" w:themeColor="text1"/>
              <w:sz w:val="22"/>
              <w:lang w:val="en-GB"/>
            </w:rPr>
          </w:pPr>
          <w:hyperlink w:anchor="_Toc153798431" w:history="1">
            <w:r w:rsidRPr="00974F23">
              <w:rPr>
                <w:rStyle w:val="Hyperlink"/>
                <w:noProof/>
                <w:color w:val="000000" w:themeColor="text1"/>
                <w:highlight w:val="white"/>
                <w:lang w:val="en-GB"/>
              </w:rPr>
              <w:t>7.2 Revenue Projections and Sales Forecasts</w:t>
            </w:r>
            <w:r w:rsidRPr="00974F23">
              <w:rPr>
                <w:noProof/>
                <w:webHidden/>
                <w:color w:val="000000" w:themeColor="text1"/>
                <w:lang w:val="en-GB"/>
              </w:rPr>
              <w:tab/>
            </w:r>
            <w:r w:rsidRPr="00974F23">
              <w:rPr>
                <w:noProof/>
                <w:webHidden/>
                <w:color w:val="000000" w:themeColor="text1"/>
                <w:lang w:val="en-GB"/>
              </w:rPr>
              <w:fldChar w:fldCharType="begin"/>
            </w:r>
            <w:r w:rsidRPr="00974F23">
              <w:rPr>
                <w:noProof/>
                <w:webHidden/>
                <w:color w:val="000000" w:themeColor="text1"/>
                <w:lang w:val="en-GB"/>
              </w:rPr>
              <w:instrText xml:space="preserve"> PAGEREF _Toc153798431 \h </w:instrText>
            </w:r>
            <w:r w:rsidRPr="00974F23">
              <w:rPr>
                <w:noProof/>
                <w:webHidden/>
                <w:color w:val="000000" w:themeColor="text1"/>
                <w:lang w:val="en-GB"/>
              </w:rPr>
            </w:r>
            <w:r w:rsidRPr="00974F23">
              <w:rPr>
                <w:noProof/>
                <w:webHidden/>
                <w:color w:val="000000" w:themeColor="text1"/>
                <w:lang w:val="en-GB"/>
              </w:rPr>
              <w:fldChar w:fldCharType="separate"/>
            </w:r>
            <w:r w:rsidRPr="00974F23">
              <w:rPr>
                <w:noProof/>
                <w:webHidden/>
                <w:color w:val="000000" w:themeColor="text1"/>
                <w:lang w:val="en-GB"/>
              </w:rPr>
              <w:t>13</w:t>
            </w:r>
            <w:r w:rsidRPr="00974F23">
              <w:rPr>
                <w:noProof/>
                <w:webHidden/>
                <w:color w:val="000000" w:themeColor="text1"/>
                <w:lang w:val="en-GB"/>
              </w:rPr>
              <w:fldChar w:fldCharType="end"/>
            </w:r>
          </w:hyperlink>
        </w:p>
        <w:p w14:paraId="4805AE04" w14:textId="77777777" w:rsidR="00810ECC" w:rsidRPr="00974F23" w:rsidRDefault="00810ECC" w:rsidP="00810ECC">
          <w:pPr>
            <w:pStyle w:val="TOC2"/>
            <w:tabs>
              <w:tab w:val="right" w:leader="dot" w:pos="9350"/>
            </w:tabs>
            <w:rPr>
              <w:rFonts w:asciiTheme="minorHAnsi" w:eastAsiaTheme="minorEastAsia" w:hAnsiTheme="minorHAnsi" w:cstheme="minorBidi"/>
              <w:noProof/>
              <w:color w:val="000000" w:themeColor="text1"/>
              <w:sz w:val="22"/>
              <w:lang w:val="en-GB"/>
            </w:rPr>
          </w:pPr>
          <w:hyperlink w:anchor="_Toc153798432" w:history="1">
            <w:r w:rsidRPr="00974F23">
              <w:rPr>
                <w:rStyle w:val="Hyperlink"/>
                <w:noProof/>
                <w:color w:val="000000" w:themeColor="text1"/>
                <w:highlight w:val="white"/>
                <w:lang w:val="en-GB"/>
              </w:rPr>
              <w:t>7.3 Projected Balance Sheet</w:t>
            </w:r>
            <w:r w:rsidRPr="00974F23">
              <w:rPr>
                <w:noProof/>
                <w:webHidden/>
                <w:color w:val="000000" w:themeColor="text1"/>
                <w:lang w:val="en-GB"/>
              </w:rPr>
              <w:tab/>
            </w:r>
            <w:r w:rsidRPr="00974F23">
              <w:rPr>
                <w:noProof/>
                <w:webHidden/>
                <w:color w:val="000000" w:themeColor="text1"/>
                <w:lang w:val="en-GB"/>
              </w:rPr>
              <w:fldChar w:fldCharType="begin"/>
            </w:r>
            <w:r w:rsidRPr="00974F23">
              <w:rPr>
                <w:noProof/>
                <w:webHidden/>
                <w:color w:val="000000" w:themeColor="text1"/>
                <w:lang w:val="en-GB"/>
              </w:rPr>
              <w:instrText xml:space="preserve"> PAGEREF _Toc153798432 \h </w:instrText>
            </w:r>
            <w:r w:rsidRPr="00974F23">
              <w:rPr>
                <w:noProof/>
                <w:webHidden/>
                <w:color w:val="000000" w:themeColor="text1"/>
                <w:lang w:val="en-GB"/>
              </w:rPr>
            </w:r>
            <w:r w:rsidRPr="00974F23">
              <w:rPr>
                <w:noProof/>
                <w:webHidden/>
                <w:color w:val="000000" w:themeColor="text1"/>
                <w:lang w:val="en-GB"/>
              </w:rPr>
              <w:fldChar w:fldCharType="separate"/>
            </w:r>
            <w:r w:rsidRPr="00974F23">
              <w:rPr>
                <w:noProof/>
                <w:webHidden/>
                <w:color w:val="000000" w:themeColor="text1"/>
                <w:lang w:val="en-GB"/>
              </w:rPr>
              <w:t>13</w:t>
            </w:r>
            <w:r w:rsidRPr="00974F23">
              <w:rPr>
                <w:noProof/>
                <w:webHidden/>
                <w:color w:val="000000" w:themeColor="text1"/>
                <w:lang w:val="en-GB"/>
              </w:rPr>
              <w:fldChar w:fldCharType="end"/>
            </w:r>
          </w:hyperlink>
        </w:p>
        <w:p w14:paraId="1CF19E48" w14:textId="77777777" w:rsidR="00810ECC" w:rsidRPr="00974F23" w:rsidRDefault="00810ECC" w:rsidP="00810ECC">
          <w:pPr>
            <w:pStyle w:val="TOC1"/>
            <w:tabs>
              <w:tab w:val="right" w:leader="dot" w:pos="9350"/>
            </w:tabs>
            <w:rPr>
              <w:rFonts w:asciiTheme="minorHAnsi" w:eastAsiaTheme="minorEastAsia" w:hAnsiTheme="minorHAnsi" w:cstheme="minorBidi"/>
              <w:noProof/>
              <w:color w:val="000000" w:themeColor="text1"/>
              <w:sz w:val="22"/>
              <w:lang w:val="en-GB"/>
            </w:rPr>
          </w:pPr>
          <w:hyperlink w:anchor="_Toc153798433" w:history="1">
            <w:r w:rsidRPr="00974F23">
              <w:rPr>
                <w:rStyle w:val="Hyperlink"/>
                <w:noProof/>
                <w:color w:val="000000" w:themeColor="text1"/>
                <w:highlight w:val="white"/>
                <w:lang w:val="en-GB"/>
              </w:rPr>
              <w:t>8. Funding Requirements and Sources</w:t>
            </w:r>
            <w:r w:rsidRPr="00974F23">
              <w:rPr>
                <w:noProof/>
                <w:webHidden/>
                <w:color w:val="000000" w:themeColor="text1"/>
                <w:lang w:val="en-GB"/>
              </w:rPr>
              <w:tab/>
            </w:r>
            <w:r w:rsidRPr="00974F23">
              <w:rPr>
                <w:noProof/>
                <w:webHidden/>
                <w:color w:val="000000" w:themeColor="text1"/>
                <w:lang w:val="en-GB"/>
              </w:rPr>
              <w:fldChar w:fldCharType="begin"/>
            </w:r>
            <w:r w:rsidRPr="00974F23">
              <w:rPr>
                <w:noProof/>
                <w:webHidden/>
                <w:color w:val="000000" w:themeColor="text1"/>
                <w:lang w:val="en-GB"/>
              </w:rPr>
              <w:instrText xml:space="preserve"> PAGEREF _Toc153798433 \h </w:instrText>
            </w:r>
            <w:r w:rsidRPr="00974F23">
              <w:rPr>
                <w:noProof/>
                <w:webHidden/>
                <w:color w:val="000000" w:themeColor="text1"/>
                <w:lang w:val="en-GB"/>
              </w:rPr>
            </w:r>
            <w:r w:rsidRPr="00974F23">
              <w:rPr>
                <w:noProof/>
                <w:webHidden/>
                <w:color w:val="000000" w:themeColor="text1"/>
                <w:lang w:val="en-GB"/>
              </w:rPr>
              <w:fldChar w:fldCharType="separate"/>
            </w:r>
            <w:r w:rsidRPr="00974F23">
              <w:rPr>
                <w:noProof/>
                <w:webHidden/>
                <w:color w:val="000000" w:themeColor="text1"/>
                <w:lang w:val="en-GB"/>
              </w:rPr>
              <w:t>15</w:t>
            </w:r>
            <w:r w:rsidRPr="00974F23">
              <w:rPr>
                <w:noProof/>
                <w:webHidden/>
                <w:color w:val="000000" w:themeColor="text1"/>
                <w:lang w:val="en-GB"/>
              </w:rPr>
              <w:fldChar w:fldCharType="end"/>
            </w:r>
          </w:hyperlink>
        </w:p>
        <w:p w14:paraId="7C51E6ED" w14:textId="77777777" w:rsidR="00810ECC" w:rsidRPr="00974F23" w:rsidRDefault="00810ECC" w:rsidP="00810ECC">
          <w:pPr>
            <w:pStyle w:val="TOC2"/>
            <w:tabs>
              <w:tab w:val="right" w:leader="dot" w:pos="9350"/>
            </w:tabs>
            <w:rPr>
              <w:rFonts w:asciiTheme="minorHAnsi" w:eastAsiaTheme="minorEastAsia" w:hAnsiTheme="minorHAnsi" w:cstheme="minorBidi"/>
              <w:noProof/>
              <w:color w:val="000000" w:themeColor="text1"/>
              <w:sz w:val="22"/>
              <w:lang w:val="en-GB"/>
            </w:rPr>
          </w:pPr>
          <w:hyperlink w:anchor="_Toc153798434" w:history="1">
            <w:r w:rsidRPr="00974F23">
              <w:rPr>
                <w:rStyle w:val="Hyperlink"/>
                <w:noProof/>
                <w:color w:val="000000" w:themeColor="text1"/>
                <w:highlight w:val="white"/>
                <w:lang w:val="en-GB"/>
              </w:rPr>
              <w:t>8.1 Detailed Funding Requirements for the Business</w:t>
            </w:r>
            <w:r w:rsidRPr="00974F23">
              <w:rPr>
                <w:noProof/>
                <w:webHidden/>
                <w:color w:val="000000" w:themeColor="text1"/>
                <w:lang w:val="en-GB"/>
              </w:rPr>
              <w:tab/>
            </w:r>
            <w:r w:rsidRPr="00974F23">
              <w:rPr>
                <w:noProof/>
                <w:webHidden/>
                <w:color w:val="000000" w:themeColor="text1"/>
                <w:lang w:val="en-GB"/>
              </w:rPr>
              <w:fldChar w:fldCharType="begin"/>
            </w:r>
            <w:r w:rsidRPr="00974F23">
              <w:rPr>
                <w:noProof/>
                <w:webHidden/>
                <w:color w:val="000000" w:themeColor="text1"/>
                <w:lang w:val="en-GB"/>
              </w:rPr>
              <w:instrText xml:space="preserve"> PAGEREF _Toc153798434 \h </w:instrText>
            </w:r>
            <w:r w:rsidRPr="00974F23">
              <w:rPr>
                <w:noProof/>
                <w:webHidden/>
                <w:color w:val="000000" w:themeColor="text1"/>
                <w:lang w:val="en-GB"/>
              </w:rPr>
            </w:r>
            <w:r w:rsidRPr="00974F23">
              <w:rPr>
                <w:noProof/>
                <w:webHidden/>
                <w:color w:val="000000" w:themeColor="text1"/>
                <w:lang w:val="en-GB"/>
              </w:rPr>
              <w:fldChar w:fldCharType="separate"/>
            </w:r>
            <w:r w:rsidRPr="00974F23">
              <w:rPr>
                <w:noProof/>
                <w:webHidden/>
                <w:color w:val="000000" w:themeColor="text1"/>
                <w:lang w:val="en-GB"/>
              </w:rPr>
              <w:t>15</w:t>
            </w:r>
            <w:r w:rsidRPr="00974F23">
              <w:rPr>
                <w:noProof/>
                <w:webHidden/>
                <w:color w:val="000000" w:themeColor="text1"/>
                <w:lang w:val="en-GB"/>
              </w:rPr>
              <w:fldChar w:fldCharType="end"/>
            </w:r>
          </w:hyperlink>
        </w:p>
        <w:p w14:paraId="6D1509D5" w14:textId="77777777" w:rsidR="00810ECC" w:rsidRPr="00974F23" w:rsidRDefault="00810ECC" w:rsidP="00810ECC">
          <w:pPr>
            <w:pStyle w:val="TOC2"/>
            <w:tabs>
              <w:tab w:val="right" w:leader="dot" w:pos="9350"/>
            </w:tabs>
            <w:rPr>
              <w:rFonts w:asciiTheme="minorHAnsi" w:eastAsiaTheme="minorEastAsia" w:hAnsiTheme="minorHAnsi" w:cstheme="minorBidi"/>
              <w:noProof/>
              <w:color w:val="000000" w:themeColor="text1"/>
              <w:sz w:val="22"/>
              <w:lang w:val="en-GB"/>
            </w:rPr>
          </w:pPr>
          <w:hyperlink w:anchor="_Toc153798435" w:history="1">
            <w:r w:rsidRPr="00974F23">
              <w:rPr>
                <w:rStyle w:val="Hyperlink"/>
                <w:noProof/>
                <w:color w:val="000000" w:themeColor="text1"/>
                <w:highlight w:val="white"/>
                <w:lang w:val="en-GB"/>
              </w:rPr>
              <w:t>8.2 Potential External Funding Sources</w:t>
            </w:r>
            <w:r w:rsidRPr="00974F23">
              <w:rPr>
                <w:noProof/>
                <w:webHidden/>
                <w:color w:val="000000" w:themeColor="text1"/>
                <w:lang w:val="en-GB"/>
              </w:rPr>
              <w:tab/>
            </w:r>
            <w:r w:rsidRPr="00974F23">
              <w:rPr>
                <w:noProof/>
                <w:webHidden/>
                <w:color w:val="000000" w:themeColor="text1"/>
                <w:lang w:val="en-GB"/>
              </w:rPr>
              <w:fldChar w:fldCharType="begin"/>
            </w:r>
            <w:r w:rsidRPr="00974F23">
              <w:rPr>
                <w:noProof/>
                <w:webHidden/>
                <w:color w:val="000000" w:themeColor="text1"/>
                <w:lang w:val="en-GB"/>
              </w:rPr>
              <w:instrText xml:space="preserve"> PAGEREF _Toc153798435 \h </w:instrText>
            </w:r>
            <w:r w:rsidRPr="00974F23">
              <w:rPr>
                <w:noProof/>
                <w:webHidden/>
                <w:color w:val="000000" w:themeColor="text1"/>
                <w:lang w:val="en-GB"/>
              </w:rPr>
            </w:r>
            <w:r w:rsidRPr="00974F23">
              <w:rPr>
                <w:noProof/>
                <w:webHidden/>
                <w:color w:val="000000" w:themeColor="text1"/>
                <w:lang w:val="en-GB"/>
              </w:rPr>
              <w:fldChar w:fldCharType="separate"/>
            </w:r>
            <w:r w:rsidRPr="00974F23">
              <w:rPr>
                <w:noProof/>
                <w:webHidden/>
                <w:color w:val="000000" w:themeColor="text1"/>
                <w:lang w:val="en-GB"/>
              </w:rPr>
              <w:t>15</w:t>
            </w:r>
            <w:r w:rsidRPr="00974F23">
              <w:rPr>
                <w:noProof/>
                <w:webHidden/>
                <w:color w:val="000000" w:themeColor="text1"/>
                <w:lang w:val="en-GB"/>
              </w:rPr>
              <w:fldChar w:fldCharType="end"/>
            </w:r>
          </w:hyperlink>
        </w:p>
        <w:p w14:paraId="5B271468" w14:textId="77777777" w:rsidR="00810ECC" w:rsidRPr="00974F23" w:rsidRDefault="00810ECC" w:rsidP="00810ECC">
          <w:pPr>
            <w:pStyle w:val="TOC2"/>
            <w:tabs>
              <w:tab w:val="right" w:leader="dot" w:pos="9350"/>
            </w:tabs>
            <w:rPr>
              <w:rFonts w:asciiTheme="minorHAnsi" w:eastAsiaTheme="minorEastAsia" w:hAnsiTheme="minorHAnsi" w:cstheme="minorBidi"/>
              <w:noProof/>
              <w:color w:val="000000" w:themeColor="text1"/>
              <w:sz w:val="22"/>
              <w:lang w:val="en-GB"/>
            </w:rPr>
          </w:pPr>
          <w:hyperlink w:anchor="_Toc153798436" w:history="1">
            <w:r w:rsidRPr="00974F23">
              <w:rPr>
                <w:rStyle w:val="Hyperlink"/>
                <w:noProof/>
                <w:color w:val="000000" w:themeColor="text1"/>
                <w:highlight w:val="white"/>
                <w:lang w:val="en-GB"/>
              </w:rPr>
              <w:t>8.3 Justification for the Chosen Funding Sources</w:t>
            </w:r>
            <w:r w:rsidRPr="00974F23">
              <w:rPr>
                <w:noProof/>
                <w:webHidden/>
                <w:color w:val="000000" w:themeColor="text1"/>
                <w:lang w:val="en-GB"/>
              </w:rPr>
              <w:tab/>
            </w:r>
            <w:r w:rsidRPr="00974F23">
              <w:rPr>
                <w:noProof/>
                <w:webHidden/>
                <w:color w:val="000000" w:themeColor="text1"/>
                <w:lang w:val="en-GB"/>
              </w:rPr>
              <w:fldChar w:fldCharType="begin"/>
            </w:r>
            <w:r w:rsidRPr="00974F23">
              <w:rPr>
                <w:noProof/>
                <w:webHidden/>
                <w:color w:val="000000" w:themeColor="text1"/>
                <w:lang w:val="en-GB"/>
              </w:rPr>
              <w:instrText xml:space="preserve"> PAGEREF _Toc153798436 \h </w:instrText>
            </w:r>
            <w:r w:rsidRPr="00974F23">
              <w:rPr>
                <w:noProof/>
                <w:webHidden/>
                <w:color w:val="000000" w:themeColor="text1"/>
                <w:lang w:val="en-GB"/>
              </w:rPr>
            </w:r>
            <w:r w:rsidRPr="00974F23">
              <w:rPr>
                <w:noProof/>
                <w:webHidden/>
                <w:color w:val="000000" w:themeColor="text1"/>
                <w:lang w:val="en-GB"/>
              </w:rPr>
              <w:fldChar w:fldCharType="separate"/>
            </w:r>
            <w:r w:rsidRPr="00974F23">
              <w:rPr>
                <w:noProof/>
                <w:webHidden/>
                <w:color w:val="000000" w:themeColor="text1"/>
                <w:lang w:val="en-GB"/>
              </w:rPr>
              <w:t>15</w:t>
            </w:r>
            <w:r w:rsidRPr="00974F23">
              <w:rPr>
                <w:noProof/>
                <w:webHidden/>
                <w:color w:val="000000" w:themeColor="text1"/>
                <w:lang w:val="en-GB"/>
              </w:rPr>
              <w:fldChar w:fldCharType="end"/>
            </w:r>
          </w:hyperlink>
        </w:p>
        <w:p w14:paraId="0546C682" w14:textId="77777777" w:rsidR="00810ECC" w:rsidRPr="00974F23" w:rsidRDefault="00810ECC" w:rsidP="00810ECC">
          <w:pPr>
            <w:pStyle w:val="TOC1"/>
            <w:tabs>
              <w:tab w:val="right" w:leader="dot" w:pos="9350"/>
            </w:tabs>
            <w:rPr>
              <w:rFonts w:asciiTheme="minorHAnsi" w:eastAsiaTheme="minorEastAsia" w:hAnsiTheme="minorHAnsi" w:cstheme="minorBidi"/>
              <w:noProof/>
              <w:color w:val="000000" w:themeColor="text1"/>
              <w:sz w:val="22"/>
              <w:lang w:val="en-GB"/>
            </w:rPr>
          </w:pPr>
          <w:hyperlink w:anchor="_Toc153798437" w:history="1">
            <w:r w:rsidRPr="00974F23">
              <w:rPr>
                <w:rStyle w:val="Hyperlink"/>
                <w:noProof/>
                <w:color w:val="000000" w:themeColor="text1"/>
                <w:highlight w:val="white"/>
                <w:lang w:val="en-GB"/>
              </w:rPr>
              <w:t>9. Conclusion</w:t>
            </w:r>
            <w:r w:rsidRPr="00974F23">
              <w:rPr>
                <w:noProof/>
                <w:webHidden/>
                <w:color w:val="000000" w:themeColor="text1"/>
                <w:lang w:val="en-GB"/>
              </w:rPr>
              <w:tab/>
            </w:r>
            <w:r w:rsidRPr="00974F23">
              <w:rPr>
                <w:noProof/>
                <w:webHidden/>
                <w:color w:val="000000" w:themeColor="text1"/>
                <w:lang w:val="en-GB"/>
              </w:rPr>
              <w:fldChar w:fldCharType="begin"/>
            </w:r>
            <w:r w:rsidRPr="00974F23">
              <w:rPr>
                <w:noProof/>
                <w:webHidden/>
                <w:color w:val="000000" w:themeColor="text1"/>
                <w:lang w:val="en-GB"/>
              </w:rPr>
              <w:instrText xml:space="preserve"> PAGEREF _Toc153798437 \h </w:instrText>
            </w:r>
            <w:r w:rsidRPr="00974F23">
              <w:rPr>
                <w:noProof/>
                <w:webHidden/>
                <w:color w:val="000000" w:themeColor="text1"/>
                <w:lang w:val="en-GB"/>
              </w:rPr>
            </w:r>
            <w:r w:rsidRPr="00974F23">
              <w:rPr>
                <w:noProof/>
                <w:webHidden/>
                <w:color w:val="000000" w:themeColor="text1"/>
                <w:lang w:val="en-GB"/>
              </w:rPr>
              <w:fldChar w:fldCharType="separate"/>
            </w:r>
            <w:r w:rsidRPr="00974F23">
              <w:rPr>
                <w:noProof/>
                <w:webHidden/>
                <w:color w:val="000000" w:themeColor="text1"/>
                <w:lang w:val="en-GB"/>
              </w:rPr>
              <w:t>16</w:t>
            </w:r>
            <w:r w:rsidRPr="00974F23">
              <w:rPr>
                <w:noProof/>
                <w:webHidden/>
                <w:color w:val="000000" w:themeColor="text1"/>
                <w:lang w:val="en-GB"/>
              </w:rPr>
              <w:fldChar w:fldCharType="end"/>
            </w:r>
          </w:hyperlink>
        </w:p>
        <w:p w14:paraId="073A0BD9" w14:textId="77777777" w:rsidR="00810ECC" w:rsidRPr="00974F23" w:rsidRDefault="00810ECC" w:rsidP="00810ECC">
          <w:pPr>
            <w:pStyle w:val="TOC1"/>
            <w:tabs>
              <w:tab w:val="right" w:leader="dot" w:pos="9350"/>
            </w:tabs>
            <w:rPr>
              <w:rFonts w:asciiTheme="minorHAnsi" w:eastAsiaTheme="minorEastAsia" w:hAnsiTheme="minorHAnsi" w:cstheme="minorBidi"/>
              <w:noProof/>
              <w:color w:val="000000" w:themeColor="text1"/>
              <w:sz w:val="22"/>
              <w:lang w:val="en-GB"/>
            </w:rPr>
          </w:pPr>
          <w:hyperlink w:anchor="_Toc153798438" w:history="1">
            <w:r w:rsidRPr="00974F23">
              <w:rPr>
                <w:rStyle w:val="Hyperlink"/>
                <w:noProof/>
                <w:color w:val="000000" w:themeColor="text1"/>
                <w:lang w:val="en-GB"/>
              </w:rPr>
              <w:t>Reference List</w:t>
            </w:r>
            <w:r w:rsidRPr="00974F23">
              <w:rPr>
                <w:noProof/>
                <w:webHidden/>
                <w:color w:val="000000" w:themeColor="text1"/>
                <w:lang w:val="en-GB"/>
              </w:rPr>
              <w:tab/>
            </w:r>
            <w:r w:rsidRPr="00974F23">
              <w:rPr>
                <w:noProof/>
                <w:webHidden/>
                <w:color w:val="000000" w:themeColor="text1"/>
                <w:lang w:val="en-GB"/>
              </w:rPr>
              <w:fldChar w:fldCharType="begin"/>
            </w:r>
            <w:r w:rsidRPr="00974F23">
              <w:rPr>
                <w:noProof/>
                <w:webHidden/>
                <w:color w:val="000000" w:themeColor="text1"/>
                <w:lang w:val="en-GB"/>
              </w:rPr>
              <w:instrText xml:space="preserve"> PAGEREF _Toc153798438 \h </w:instrText>
            </w:r>
            <w:r w:rsidRPr="00974F23">
              <w:rPr>
                <w:noProof/>
                <w:webHidden/>
                <w:color w:val="000000" w:themeColor="text1"/>
                <w:lang w:val="en-GB"/>
              </w:rPr>
            </w:r>
            <w:r w:rsidRPr="00974F23">
              <w:rPr>
                <w:noProof/>
                <w:webHidden/>
                <w:color w:val="000000" w:themeColor="text1"/>
                <w:lang w:val="en-GB"/>
              </w:rPr>
              <w:fldChar w:fldCharType="separate"/>
            </w:r>
            <w:r w:rsidRPr="00974F23">
              <w:rPr>
                <w:noProof/>
                <w:webHidden/>
                <w:color w:val="000000" w:themeColor="text1"/>
                <w:lang w:val="en-GB"/>
              </w:rPr>
              <w:t>17</w:t>
            </w:r>
            <w:r w:rsidRPr="00974F23">
              <w:rPr>
                <w:noProof/>
                <w:webHidden/>
                <w:color w:val="000000" w:themeColor="text1"/>
                <w:lang w:val="en-GB"/>
              </w:rPr>
              <w:fldChar w:fldCharType="end"/>
            </w:r>
          </w:hyperlink>
        </w:p>
        <w:p w14:paraId="58E53429" w14:textId="644701AB" w:rsidR="00810ECC" w:rsidRPr="00974F23" w:rsidRDefault="00810ECC" w:rsidP="00810ECC">
          <w:pPr>
            <w:rPr>
              <w:rFonts w:cs="Times New Roman"/>
              <w:color w:val="000000" w:themeColor="text1"/>
              <w:szCs w:val="24"/>
              <w:lang w:val="en-GB"/>
            </w:rPr>
          </w:pPr>
          <w:r w:rsidRPr="00974F23">
            <w:rPr>
              <w:rFonts w:cs="Times New Roman"/>
              <w:b/>
              <w:bCs/>
              <w:color w:val="000000" w:themeColor="text1"/>
              <w:szCs w:val="24"/>
              <w:lang w:val="en-GB"/>
            </w:rPr>
            <w:fldChar w:fldCharType="end"/>
          </w:r>
        </w:p>
      </w:sdtContent>
    </w:sdt>
    <w:p w14:paraId="775EDC62" w14:textId="77777777" w:rsidR="00001D3B" w:rsidRDefault="00001D3B" w:rsidP="00810ECC">
      <w:pPr>
        <w:pStyle w:val="Heading1"/>
        <w:rPr>
          <w:highlight w:val="white"/>
          <w:lang w:val="en-GB"/>
        </w:rPr>
      </w:pPr>
      <w:bookmarkStart w:id="1" w:name="_Toc153798416"/>
    </w:p>
    <w:p w14:paraId="762F1EC0" w14:textId="77777777" w:rsidR="00001D3B" w:rsidRDefault="00001D3B" w:rsidP="00810ECC">
      <w:pPr>
        <w:pStyle w:val="Heading1"/>
        <w:rPr>
          <w:highlight w:val="white"/>
          <w:lang w:val="en-GB"/>
        </w:rPr>
      </w:pPr>
    </w:p>
    <w:p w14:paraId="02BAD196" w14:textId="48D6B4F4" w:rsidR="00001D3B" w:rsidRDefault="00001D3B" w:rsidP="00810ECC">
      <w:pPr>
        <w:pStyle w:val="Heading1"/>
        <w:rPr>
          <w:highlight w:val="white"/>
          <w:lang w:val="en-GB"/>
        </w:rPr>
      </w:pPr>
    </w:p>
    <w:p w14:paraId="6FE8C962" w14:textId="50829F26" w:rsidR="003B100D" w:rsidRDefault="003B100D" w:rsidP="003B100D">
      <w:pPr>
        <w:pStyle w:val="Normal1"/>
        <w:rPr>
          <w:highlight w:val="white"/>
          <w:lang w:val="en-GB"/>
        </w:rPr>
      </w:pPr>
    </w:p>
    <w:p w14:paraId="3E205A09" w14:textId="7A2ACDF4" w:rsidR="003B100D" w:rsidRDefault="003B100D" w:rsidP="003B100D">
      <w:pPr>
        <w:pStyle w:val="Normal1"/>
        <w:rPr>
          <w:highlight w:val="white"/>
          <w:lang w:val="en-GB"/>
        </w:rPr>
      </w:pPr>
    </w:p>
    <w:p w14:paraId="572BFCCE" w14:textId="4D8E4BB8" w:rsidR="003B100D" w:rsidRDefault="003B100D" w:rsidP="003B100D">
      <w:pPr>
        <w:pStyle w:val="Normal1"/>
        <w:rPr>
          <w:highlight w:val="white"/>
          <w:lang w:val="en-GB"/>
        </w:rPr>
      </w:pPr>
    </w:p>
    <w:p w14:paraId="66FBA65C" w14:textId="5F2A136D" w:rsidR="003B100D" w:rsidRDefault="003B100D" w:rsidP="003B100D">
      <w:pPr>
        <w:pStyle w:val="Normal1"/>
        <w:rPr>
          <w:highlight w:val="white"/>
          <w:lang w:val="en-GB"/>
        </w:rPr>
      </w:pPr>
    </w:p>
    <w:p w14:paraId="6C382E09" w14:textId="424B0F9F" w:rsidR="003B100D" w:rsidRDefault="003B100D" w:rsidP="003B100D">
      <w:pPr>
        <w:pStyle w:val="Normal1"/>
        <w:rPr>
          <w:highlight w:val="white"/>
          <w:lang w:val="en-GB"/>
        </w:rPr>
      </w:pPr>
    </w:p>
    <w:p w14:paraId="54A32672" w14:textId="1206BB88" w:rsidR="003B100D" w:rsidRDefault="003B100D" w:rsidP="003B100D">
      <w:pPr>
        <w:pStyle w:val="Normal1"/>
        <w:rPr>
          <w:highlight w:val="white"/>
          <w:lang w:val="en-GB"/>
        </w:rPr>
      </w:pPr>
    </w:p>
    <w:p w14:paraId="27551B43" w14:textId="07039E6D" w:rsidR="003B100D" w:rsidRDefault="003B100D" w:rsidP="003B100D">
      <w:pPr>
        <w:pStyle w:val="Normal1"/>
        <w:rPr>
          <w:highlight w:val="white"/>
          <w:lang w:val="en-GB"/>
        </w:rPr>
      </w:pPr>
    </w:p>
    <w:p w14:paraId="30E18135" w14:textId="56269E47" w:rsidR="003B100D" w:rsidRDefault="003B100D" w:rsidP="003B100D">
      <w:pPr>
        <w:pStyle w:val="Normal1"/>
        <w:rPr>
          <w:highlight w:val="white"/>
          <w:lang w:val="en-GB"/>
        </w:rPr>
      </w:pPr>
    </w:p>
    <w:p w14:paraId="2292E356" w14:textId="7828100A" w:rsidR="003B100D" w:rsidRDefault="003B100D" w:rsidP="003B100D">
      <w:pPr>
        <w:pStyle w:val="Normal1"/>
        <w:rPr>
          <w:highlight w:val="white"/>
          <w:lang w:val="en-GB"/>
        </w:rPr>
      </w:pPr>
    </w:p>
    <w:p w14:paraId="33FC3982" w14:textId="6E36FD07" w:rsidR="003B100D" w:rsidRDefault="003B100D" w:rsidP="003B100D">
      <w:pPr>
        <w:pStyle w:val="Normal1"/>
        <w:rPr>
          <w:highlight w:val="white"/>
          <w:lang w:val="en-GB"/>
        </w:rPr>
      </w:pPr>
    </w:p>
    <w:p w14:paraId="4E95D65A" w14:textId="77777777" w:rsidR="003B100D" w:rsidRPr="003B100D" w:rsidRDefault="003B100D" w:rsidP="003B100D">
      <w:pPr>
        <w:pStyle w:val="Normal1"/>
        <w:rPr>
          <w:highlight w:val="white"/>
          <w:lang w:val="en-GB"/>
        </w:rPr>
      </w:pPr>
    </w:p>
    <w:p w14:paraId="73538A0D" w14:textId="77777777" w:rsidR="00001D3B" w:rsidRDefault="00001D3B" w:rsidP="00810ECC">
      <w:pPr>
        <w:pStyle w:val="Heading1"/>
        <w:rPr>
          <w:highlight w:val="white"/>
          <w:lang w:val="en-GB"/>
        </w:rPr>
      </w:pPr>
    </w:p>
    <w:p w14:paraId="6C0EE8CD" w14:textId="4F29028C" w:rsidR="00810ECC" w:rsidRPr="00974F23" w:rsidRDefault="00810ECC" w:rsidP="00810ECC">
      <w:pPr>
        <w:pStyle w:val="Heading1"/>
        <w:rPr>
          <w:highlight w:val="white"/>
          <w:lang w:val="en-GB"/>
        </w:rPr>
      </w:pPr>
      <w:r w:rsidRPr="00974F23">
        <w:rPr>
          <w:highlight w:val="white"/>
          <w:lang w:val="en-GB"/>
        </w:rPr>
        <w:t>1. Introduction</w:t>
      </w:r>
      <w:bookmarkEnd w:id="1"/>
    </w:p>
    <w:p w14:paraId="1305ED7F" w14:textId="77777777" w:rsidR="00810ECC" w:rsidRPr="00BF024F" w:rsidRDefault="00810ECC" w:rsidP="00810ECC">
      <w:pPr>
        <w:rPr>
          <w:rFonts w:cs="Times New Roman"/>
          <w:color w:val="000000" w:themeColor="text1"/>
          <w:lang w:val="en-GB"/>
        </w:rPr>
      </w:pPr>
      <w:r w:rsidRPr="00BF024F">
        <w:rPr>
          <w:rFonts w:cs="Times New Roman"/>
          <w:color w:val="000000" w:themeColor="text1"/>
          <w:lang w:val="en-GB"/>
        </w:rPr>
        <w:t xml:space="preserve">EcoRevamp Solutions is a revolutionary venture in the realm of renewable energy and sustainable living. The mission is to renovate existing buildings into energy-efficient, ecological homes through pioneering home energy retrofitting services. At EcoRevamp Solutions, it concentrates on solar panel installations, smart home services, and thermal insulation solutions, predicting a future where sustainable living is not just a selection but customary. In response to the increasing demand for sustainable living in the UK, EcoRevamp Solutions materializes as a transformative solution, subsidizing a greener future. The marketplace for energy retrofit systems is expected to reach $272.8 billion by 2032 and 85% of UK consumers support renewable energy. </w:t>
      </w:r>
    </w:p>
    <w:p w14:paraId="6574DFB3" w14:textId="77777777" w:rsidR="00810ECC" w:rsidRPr="00BF024F" w:rsidRDefault="00810ECC" w:rsidP="00810ECC">
      <w:pPr>
        <w:pStyle w:val="Heading1"/>
        <w:rPr>
          <w:rFonts w:cs="Times New Roman"/>
          <w:lang w:val="en-GB"/>
        </w:rPr>
      </w:pPr>
      <w:bookmarkStart w:id="2" w:name="_Toc153798417"/>
      <w:r w:rsidRPr="00BF024F">
        <w:rPr>
          <w:rFonts w:cs="Times New Roman"/>
          <w:lang w:val="en-GB"/>
        </w:rPr>
        <w:t>2. Overview of the Proposed Business Idea</w:t>
      </w:r>
      <w:bookmarkEnd w:id="2"/>
    </w:p>
    <w:p w14:paraId="4FB6C991" w14:textId="77777777" w:rsidR="00810ECC" w:rsidRPr="00BF024F" w:rsidRDefault="00810ECC" w:rsidP="00810ECC">
      <w:pPr>
        <w:pStyle w:val="Heading2"/>
        <w:rPr>
          <w:rFonts w:cs="Times New Roman"/>
          <w:lang w:val="en-GB"/>
        </w:rPr>
      </w:pPr>
      <w:bookmarkStart w:id="3" w:name="_Toc153798418"/>
      <w:r w:rsidRPr="00BF024F">
        <w:rPr>
          <w:rFonts w:cs="Times New Roman"/>
          <w:lang w:val="en-GB"/>
        </w:rPr>
        <w:t>2.1 Brief description of the renewable energy business idea</w:t>
      </w:r>
      <w:bookmarkEnd w:id="3"/>
    </w:p>
    <w:p w14:paraId="325F9CF6" w14:textId="77777777" w:rsidR="00810ECC" w:rsidRPr="00BF024F" w:rsidRDefault="00810ECC" w:rsidP="00810ECC">
      <w:pPr>
        <w:rPr>
          <w:rFonts w:cs="Times New Roman"/>
          <w:color w:val="000000" w:themeColor="text1"/>
          <w:lang w:val="en-GB"/>
        </w:rPr>
      </w:pPr>
      <w:r w:rsidRPr="00BF024F">
        <w:rPr>
          <w:rFonts w:cs="Times New Roman"/>
          <w:color w:val="000000" w:themeColor="text1"/>
          <w:lang w:val="en-GB"/>
        </w:rPr>
        <w:t>EcoRevamp Solutions is an idealistic venture dignified to transform sustainable living through wide-ranging home energy retrofitting services. Its core offerings contain solar panel installation, smart home services, and thermal insulation solutions. By progression of existing buildings with leading-edge energy-efficient technologies, EcoRevamp Solutions targets to redefine what way energy is expended and produced. The business is advantageously placed to knock into the flowing demand for ecological living, with 85% of UK customers recommending renewable energy (</w:t>
      </w:r>
      <w:r w:rsidRPr="00BF024F">
        <w:rPr>
          <w:rFonts w:cs="Times New Roman"/>
          <w:color w:val="000000" w:themeColor="text1"/>
          <w:szCs w:val="24"/>
          <w:lang w:val="en-GB"/>
        </w:rPr>
        <w:t xml:space="preserve">Lucía Fernández, </w:t>
      </w:r>
      <w:r w:rsidRPr="00BF024F">
        <w:rPr>
          <w:rFonts w:cs="Times New Roman"/>
          <w:color w:val="000000" w:themeColor="text1"/>
          <w:lang w:val="en-GB"/>
        </w:rPr>
        <w:t xml:space="preserve">2023). Identifying the marketplace gap in homeowner consciousness, EcoRevamp Solutions is dedicated to providing educational resources and connecting the knowledge divide. Leveraging geographic, demographic, psychographic, and behavioural segmentation, EcoRevamp Solutions targeting plan targets to accommodate different consumer requirements. </w:t>
      </w:r>
    </w:p>
    <w:p w14:paraId="191568AE" w14:textId="77777777" w:rsidR="00810ECC" w:rsidRPr="00BF024F" w:rsidRDefault="00810ECC" w:rsidP="00810ECC">
      <w:pPr>
        <w:rPr>
          <w:rFonts w:cs="Times New Roman"/>
          <w:color w:val="000000" w:themeColor="text1"/>
          <w:lang w:val="en-GB"/>
        </w:rPr>
      </w:pPr>
      <w:r w:rsidRPr="00BF024F">
        <w:rPr>
          <w:rFonts w:cs="Times New Roman"/>
          <w:color w:val="000000" w:themeColor="text1"/>
          <w:lang w:val="en-GB"/>
        </w:rPr>
        <w:t xml:space="preserve">Placed as a promoter for ecologically conscious owners, cost-conscious entities, and urban dwellers, EcoRevamp Solutions stands composed to subsidize expressively to the UK's renewable energy marketplace, estimated to reach 217.57 gigawatts by 2028 </w:t>
      </w:r>
      <w:r w:rsidRPr="00BF024F">
        <w:rPr>
          <w:rFonts w:cs="Times New Roman"/>
          <w:color w:val="000000" w:themeColor="text1"/>
          <w:szCs w:val="24"/>
          <w:lang w:val="en-GB"/>
        </w:rPr>
        <w:t>(Mordorintelligence.com 2022</w:t>
      </w:r>
      <w:r w:rsidRPr="00BF024F">
        <w:rPr>
          <w:rFonts w:cs="Times New Roman"/>
          <w:color w:val="000000" w:themeColor="text1"/>
          <w:lang w:val="en-GB"/>
        </w:rPr>
        <w:t>). With a strong marketing plan, cooperative partnerships, as well as an emphasis on technology incorporation, EcoRevamp Solutions seeks to lead the charge headed for a greener and more sustainable future.</w:t>
      </w:r>
    </w:p>
    <w:p w14:paraId="655D907C" w14:textId="77777777" w:rsidR="00810ECC" w:rsidRPr="00BF024F" w:rsidRDefault="00810ECC" w:rsidP="00810ECC">
      <w:pPr>
        <w:pStyle w:val="Normal2"/>
        <w:shd w:val="clear" w:color="auto" w:fill="FFFFFF"/>
        <w:spacing w:line="360" w:lineRule="auto"/>
        <w:jc w:val="both"/>
        <w:rPr>
          <w:rFonts w:ascii="Times New Roman" w:eastAsia="Times New Roman" w:hAnsi="Times New Roman" w:cs="Times New Roman"/>
          <w:b/>
          <w:i/>
          <w:color w:val="000000" w:themeColor="text1"/>
          <w:sz w:val="24"/>
          <w:szCs w:val="24"/>
          <w:lang w:val="en-GB"/>
        </w:rPr>
      </w:pPr>
      <w:r w:rsidRPr="00BF024F">
        <w:rPr>
          <w:rFonts w:ascii="Times New Roman" w:eastAsia="Times New Roman" w:hAnsi="Times New Roman" w:cs="Times New Roman"/>
          <w:b/>
          <w:i/>
          <w:color w:val="000000" w:themeColor="text1"/>
          <w:sz w:val="24"/>
          <w:szCs w:val="24"/>
          <w:lang w:val="en-GB"/>
        </w:rPr>
        <w:t>2.2 Description of the Products/Services Offered</w:t>
      </w:r>
    </w:p>
    <w:p w14:paraId="517CC481" w14:textId="77777777" w:rsidR="00810ECC" w:rsidRPr="00BF024F" w:rsidRDefault="00810ECC" w:rsidP="00810ECC">
      <w:pPr>
        <w:rPr>
          <w:rFonts w:cs="Times New Roman"/>
          <w:color w:val="000000" w:themeColor="text1"/>
          <w:lang w:val="en-GB"/>
        </w:rPr>
      </w:pPr>
      <w:r w:rsidRPr="00BF024F">
        <w:rPr>
          <w:rFonts w:cs="Times New Roman"/>
          <w:color w:val="000000" w:themeColor="text1"/>
          <w:lang w:val="en-GB"/>
        </w:rPr>
        <w:t>EcoRevamp Solutions provides a collection of transformative home energy retrofitting services intended to improve sustainability and decrease carbon footpaths. EcoRevamp Solutions offerings include solar panel installations, smart home services, and thermal insulation solutions. Tailored to meet different requirements, these services not only subsidize considerable energy savings but correspondingly raise property values (</w:t>
      </w:r>
      <w:r w:rsidRPr="00BF024F">
        <w:rPr>
          <w:rFonts w:cs="Times New Roman"/>
          <w:color w:val="000000" w:themeColor="text1"/>
          <w:szCs w:val="24"/>
          <w:shd w:val="clear" w:color="auto" w:fill="FFFFFF"/>
          <w:lang w:val="en-GB"/>
        </w:rPr>
        <w:t>Lowe et al. 2020</w:t>
      </w:r>
      <w:r w:rsidRPr="00BF024F">
        <w:rPr>
          <w:rFonts w:cs="Times New Roman"/>
          <w:color w:val="000000" w:themeColor="text1"/>
          <w:lang w:val="en-GB"/>
        </w:rPr>
        <w:t xml:space="preserve">). By </w:t>
      </w:r>
      <w:r w:rsidRPr="00BF024F">
        <w:rPr>
          <w:rFonts w:cs="Times New Roman"/>
          <w:color w:val="000000" w:themeColor="text1"/>
          <w:lang w:val="en-GB"/>
        </w:rPr>
        <w:lastRenderedPageBreak/>
        <w:t>assimilating pioneering technologies with ecological performances, EcoRevamp Solutions allows homeowners to encircle energy-efficient living, nurturing a greener and more responsible way of life.</w:t>
      </w:r>
    </w:p>
    <w:p w14:paraId="3A8B7270" w14:textId="77777777" w:rsidR="00810ECC" w:rsidRPr="00BF024F" w:rsidRDefault="00810ECC" w:rsidP="00810ECC">
      <w:pPr>
        <w:jc w:val="center"/>
        <w:rPr>
          <w:rFonts w:cs="Times New Roman"/>
          <w:color w:val="000000" w:themeColor="text1"/>
          <w:lang w:val="en-GB"/>
        </w:rPr>
      </w:pPr>
      <w:r w:rsidRPr="00BF024F">
        <w:rPr>
          <w:rFonts w:cs="Times New Roman"/>
          <w:noProof/>
          <w:color w:val="000000" w:themeColor="text1"/>
          <w:lang w:val="en-US"/>
        </w:rPr>
        <w:drawing>
          <wp:inline distT="0" distB="0" distL="0" distR="0" wp14:anchorId="5B3AE6FC" wp14:editId="7DBC4B3A">
            <wp:extent cx="2657475" cy="3093248"/>
            <wp:effectExtent l="19050" t="19050" r="9525" b="12065"/>
            <wp:docPr id="1030" name="Picture 6" descr="Ener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6" descr="Energ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63409" cy="3100155"/>
                    </a:xfrm>
                    <a:prstGeom prst="rect">
                      <a:avLst/>
                    </a:prstGeom>
                    <a:noFill/>
                    <a:ln>
                      <a:solidFill>
                        <a:schemeClr val="tx1"/>
                      </a:solidFill>
                    </a:ln>
                  </pic:spPr>
                </pic:pic>
              </a:graphicData>
            </a:graphic>
          </wp:inline>
        </w:drawing>
      </w:r>
    </w:p>
    <w:p w14:paraId="12B209E8" w14:textId="77777777" w:rsidR="00810ECC" w:rsidRPr="00BF024F" w:rsidRDefault="00810ECC" w:rsidP="00810ECC">
      <w:pPr>
        <w:jc w:val="center"/>
        <w:rPr>
          <w:rFonts w:cs="Times New Roman"/>
          <w:b/>
          <w:color w:val="000000" w:themeColor="text1"/>
          <w:lang w:val="en-US"/>
        </w:rPr>
      </w:pPr>
      <w:r w:rsidRPr="00BF024F">
        <w:rPr>
          <w:rFonts w:cs="Times New Roman"/>
          <w:b/>
          <w:color w:val="000000" w:themeColor="text1"/>
          <w:lang w:val="en-GB"/>
        </w:rPr>
        <w:t>Figure 1: Proposed Biomass Electric Produced machine installed in houses</w:t>
      </w:r>
    </w:p>
    <w:p w14:paraId="5332CD3E" w14:textId="77777777" w:rsidR="00810ECC" w:rsidRPr="00BF024F" w:rsidRDefault="00810ECC" w:rsidP="00810ECC">
      <w:pPr>
        <w:jc w:val="center"/>
        <w:rPr>
          <w:rFonts w:cs="Times New Roman"/>
          <w:color w:val="000000" w:themeColor="text1"/>
          <w:lang w:val="en-GB"/>
        </w:rPr>
      </w:pPr>
      <w:r w:rsidRPr="00BF024F">
        <w:rPr>
          <w:rFonts w:cs="Times New Roman"/>
          <w:color w:val="000000" w:themeColor="text1"/>
          <w:lang w:val="en-GB"/>
        </w:rPr>
        <w:t>(Source: Self-Developed)</w:t>
      </w:r>
    </w:p>
    <w:p w14:paraId="5EF893B2" w14:textId="77777777" w:rsidR="00810ECC" w:rsidRPr="00BF024F" w:rsidRDefault="00810ECC" w:rsidP="00810ECC">
      <w:pPr>
        <w:pStyle w:val="Normal2"/>
        <w:shd w:val="clear" w:color="auto" w:fill="FFFFFF"/>
        <w:spacing w:line="360" w:lineRule="auto"/>
        <w:jc w:val="both"/>
        <w:rPr>
          <w:rFonts w:ascii="Times New Roman" w:eastAsia="Times New Roman" w:hAnsi="Times New Roman" w:cs="Times New Roman"/>
          <w:b/>
          <w:i/>
          <w:color w:val="000000" w:themeColor="text1"/>
          <w:sz w:val="24"/>
          <w:szCs w:val="24"/>
          <w:lang w:val="en-GB"/>
        </w:rPr>
      </w:pPr>
      <w:r w:rsidRPr="00BF024F">
        <w:rPr>
          <w:rFonts w:ascii="Times New Roman" w:eastAsia="Times New Roman" w:hAnsi="Times New Roman" w:cs="Times New Roman"/>
          <w:b/>
          <w:i/>
          <w:color w:val="000000" w:themeColor="text1"/>
          <w:sz w:val="24"/>
          <w:szCs w:val="24"/>
          <w:lang w:val="en-GB"/>
        </w:rPr>
        <w:t>2.3 Potential impact on addressing environmental concerns</w:t>
      </w:r>
    </w:p>
    <w:p w14:paraId="0146FB25" w14:textId="77777777" w:rsidR="00810ECC" w:rsidRPr="00BF024F" w:rsidRDefault="00810ECC" w:rsidP="00810ECC">
      <w:pPr>
        <w:rPr>
          <w:rFonts w:cs="Times New Roman"/>
          <w:color w:val="000000" w:themeColor="text1"/>
          <w:lang w:val="en-GB"/>
        </w:rPr>
      </w:pPr>
      <w:r w:rsidRPr="00BF024F">
        <w:rPr>
          <w:rFonts w:cs="Times New Roman"/>
          <w:color w:val="000000" w:themeColor="text1"/>
          <w:lang w:val="en-GB"/>
        </w:rPr>
        <w:t>EcoRevamp Solutions grasps substantial potential in addressing persistent ecological concerns by supporting sustainable home energy solutions. Through solar panel installations, smart home services, and thermal insulation, EcoRevamp Solutions' offerings subsidize considerable reductions in carbon emissions and complete energy depletion. By actively endorsing renewable energy, EcoRevamp Solutions targets to moderate the environmental impact of traditional energy sources, bringing into line with worldwide efforts to fight climate change (</w:t>
      </w:r>
      <w:r w:rsidRPr="00BF024F">
        <w:rPr>
          <w:rFonts w:cs="Times New Roman"/>
          <w:color w:val="000000" w:themeColor="text1"/>
          <w:szCs w:val="20"/>
          <w:shd w:val="clear" w:color="auto" w:fill="FFFFFF"/>
          <w:lang w:val="en-GB"/>
        </w:rPr>
        <w:t>Saffari et al. 2022</w:t>
      </w:r>
      <w:r w:rsidRPr="00BF024F">
        <w:rPr>
          <w:rFonts w:cs="Times New Roman"/>
          <w:color w:val="000000" w:themeColor="text1"/>
          <w:lang w:val="en-GB"/>
        </w:rPr>
        <w:t>). The incorporation of green technologies not only improves energy productivity but correspondingly inaugurates a model for responsible living. EcoRevamp Solutions imagines a transformative impact, nurturing an extensive shift in the direction of eco-conscious selections and sustainable practices, ultimately subsidizing the cooperative attempt to fabricate a healthier and more irrepressible planet.</w:t>
      </w:r>
    </w:p>
    <w:p w14:paraId="1B1D6800" w14:textId="77777777" w:rsidR="00810ECC" w:rsidRPr="00BF024F" w:rsidRDefault="00810ECC" w:rsidP="00810ECC">
      <w:pPr>
        <w:pStyle w:val="Heading1"/>
        <w:rPr>
          <w:rFonts w:cs="Times New Roman"/>
          <w:highlight w:val="white"/>
          <w:lang w:val="en-GB"/>
        </w:rPr>
      </w:pPr>
      <w:bookmarkStart w:id="4" w:name="_Toc153798419"/>
      <w:r w:rsidRPr="00BF024F">
        <w:rPr>
          <w:rFonts w:cs="Times New Roman"/>
          <w:highlight w:val="white"/>
          <w:lang w:val="en-GB"/>
        </w:rPr>
        <w:t>3. Identification of Market Gap and Business Solution</w:t>
      </w:r>
      <w:bookmarkEnd w:id="4"/>
    </w:p>
    <w:p w14:paraId="522B8C43" w14:textId="77777777" w:rsidR="00810ECC" w:rsidRPr="00BF024F" w:rsidRDefault="00810ECC" w:rsidP="00810ECC">
      <w:pPr>
        <w:pStyle w:val="Heading2"/>
        <w:rPr>
          <w:rFonts w:cs="Times New Roman"/>
          <w:highlight w:val="white"/>
          <w:lang w:val="en-GB"/>
        </w:rPr>
      </w:pPr>
      <w:bookmarkStart w:id="5" w:name="_Toc153798420"/>
      <w:r w:rsidRPr="00BF024F">
        <w:rPr>
          <w:rFonts w:cs="Times New Roman"/>
          <w:highlight w:val="white"/>
          <w:lang w:val="en-GB"/>
        </w:rPr>
        <w:t>3.1 Analysis of the Current Market and Identification of Gaps</w:t>
      </w:r>
      <w:bookmarkEnd w:id="5"/>
    </w:p>
    <w:p w14:paraId="6BB0B786" w14:textId="77777777" w:rsidR="00810ECC" w:rsidRPr="00BF024F" w:rsidRDefault="00810ECC" w:rsidP="00810ECC">
      <w:pPr>
        <w:rPr>
          <w:rFonts w:cs="Times New Roman"/>
          <w:color w:val="000000" w:themeColor="text1"/>
          <w:lang w:val="en-GB"/>
        </w:rPr>
      </w:pPr>
      <w:r w:rsidRPr="00BF024F">
        <w:rPr>
          <w:rFonts w:cs="Times New Roman"/>
          <w:color w:val="000000" w:themeColor="text1"/>
          <w:lang w:val="en-GB"/>
        </w:rPr>
        <w:t xml:space="preserve">The current market for renewable energy in the UK presents a favourable landscape for EcoRevamp Solutions. With political stability and a predictable evolution in the renewable energy marketplace to 217.57 gigawatts by 2028, there's a favourable environment for </w:t>
      </w:r>
      <w:r w:rsidRPr="00BF024F">
        <w:rPr>
          <w:rFonts w:cs="Times New Roman"/>
          <w:color w:val="000000" w:themeColor="text1"/>
          <w:lang w:val="en-GB"/>
        </w:rPr>
        <w:lastRenderedPageBreak/>
        <w:t>sustainable ingenuities. However, gaps exist, remarkably in homeowner awareness and limited technology assimilation in home energy retrofitting. EcoRevamp Solutions strategically discourses these gaps by offering educational resources, different retrofitting packages, and advanced technology integration (</w:t>
      </w:r>
      <w:r w:rsidRPr="00BF024F">
        <w:rPr>
          <w:rFonts w:cs="Times New Roman"/>
          <w:color w:val="000000" w:themeColor="text1"/>
          <w:szCs w:val="20"/>
          <w:shd w:val="clear" w:color="auto" w:fill="FFFFFF"/>
          <w:lang w:val="en-GB"/>
        </w:rPr>
        <w:t>Alabid et al. 2022</w:t>
      </w:r>
      <w:r w:rsidRPr="00BF024F">
        <w:rPr>
          <w:rFonts w:cs="Times New Roman"/>
          <w:color w:val="000000" w:themeColor="text1"/>
          <w:lang w:val="en-GB"/>
        </w:rPr>
        <w:t>). By connecting these knowledge and technology divides, the business is dignified to knock into the increasing demand for sustainable living, particularly among ecologically aware homeowners. Furthermore, strict regulatory actions pose challenges, necessitating the corporation's commitment to acquiescence and flexibility to industry dynamics.</w:t>
      </w:r>
    </w:p>
    <w:p w14:paraId="757D7548" w14:textId="77777777" w:rsidR="00810ECC" w:rsidRPr="00BF024F" w:rsidRDefault="00810ECC" w:rsidP="00810ECC">
      <w:pPr>
        <w:jc w:val="center"/>
        <w:rPr>
          <w:rFonts w:cs="Times New Roman"/>
          <w:color w:val="000000" w:themeColor="text1"/>
          <w:lang w:val="en-GB"/>
        </w:rPr>
      </w:pPr>
      <w:r w:rsidRPr="00BF024F">
        <w:rPr>
          <w:rFonts w:cs="Times New Roman"/>
          <w:noProof/>
          <w:color w:val="000000" w:themeColor="text1"/>
          <w:lang w:val="en-US"/>
        </w:rPr>
        <w:drawing>
          <wp:inline distT="0" distB="0" distL="0" distR="0" wp14:anchorId="3B9EEFAC" wp14:editId="5B5D8036">
            <wp:extent cx="5043487" cy="1885950"/>
            <wp:effectExtent l="19050" t="19050" r="24130" b="19050"/>
            <wp:docPr id="30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43487" cy="1885950"/>
                    </a:xfrm>
                    <a:prstGeom prst="rect">
                      <a:avLst/>
                    </a:prstGeom>
                    <a:noFill/>
                    <a:ln w="9525">
                      <a:solidFill>
                        <a:schemeClr val="tx1"/>
                      </a:solidFill>
                      <a:miter lim="800000"/>
                      <a:headEnd/>
                      <a:tailEnd/>
                    </a:ln>
                    <a:effectLst/>
                  </pic:spPr>
                </pic:pic>
              </a:graphicData>
            </a:graphic>
          </wp:inline>
        </w:drawing>
      </w:r>
    </w:p>
    <w:p w14:paraId="690930AF" w14:textId="77777777" w:rsidR="00810ECC" w:rsidRPr="00BF024F" w:rsidRDefault="00810ECC" w:rsidP="00810ECC">
      <w:pPr>
        <w:jc w:val="center"/>
        <w:rPr>
          <w:rFonts w:cs="Times New Roman"/>
          <w:b/>
          <w:color w:val="000000" w:themeColor="text1"/>
          <w:lang w:val="en-GB"/>
        </w:rPr>
      </w:pPr>
      <w:r w:rsidRPr="00BF024F">
        <w:rPr>
          <w:rFonts w:cs="Times New Roman"/>
          <w:b/>
          <w:color w:val="000000" w:themeColor="text1"/>
          <w:lang w:val="en-GB"/>
        </w:rPr>
        <w:t>Figure 2: Biomass Energy Market</w:t>
      </w:r>
    </w:p>
    <w:p w14:paraId="209D8836" w14:textId="77777777" w:rsidR="00810ECC" w:rsidRPr="00BF024F" w:rsidRDefault="00810ECC" w:rsidP="00810ECC">
      <w:pPr>
        <w:jc w:val="center"/>
        <w:rPr>
          <w:rFonts w:cs="Times New Roman"/>
          <w:color w:val="000000" w:themeColor="text1"/>
          <w:lang w:val="en-GB"/>
        </w:rPr>
      </w:pPr>
      <w:r w:rsidRPr="00BF024F">
        <w:rPr>
          <w:rFonts w:cs="Times New Roman"/>
          <w:color w:val="000000" w:themeColor="text1"/>
          <w:lang w:val="en-GB"/>
        </w:rPr>
        <w:t>(Source: Post.parliament.uk 2023)</w:t>
      </w:r>
    </w:p>
    <w:p w14:paraId="567F42E7" w14:textId="77777777" w:rsidR="00810ECC" w:rsidRPr="00BF024F" w:rsidRDefault="00810ECC" w:rsidP="00810ECC">
      <w:pPr>
        <w:pStyle w:val="Heading2"/>
        <w:rPr>
          <w:rFonts w:cs="Times New Roman"/>
          <w:highlight w:val="white"/>
          <w:lang w:val="en-GB"/>
        </w:rPr>
      </w:pPr>
      <w:bookmarkStart w:id="6" w:name="_Toc153798421"/>
      <w:r w:rsidRPr="00BF024F">
        <w:rPr>
          <w:rFonts w:cs="Times New Roman"/>
          <w:highlight w:val="white"/>
          <w:lang w:val="en-GB"/>
        </w:rPr>
        <w:t>3.2 Discussion on how the Business Idea fills the Identified Gap</w:t>
      </w:r>
      <w:bookmarkEnd w:id="6"/>
    </w:p>
    <w:p w14:paraId="6B36761A" w14:textId="77777777" w:rsidR="00810ECC" w:rsidRPr="00BF024F" w:rsidRDefault="00810ECC" w:rsidP="00810ECC">
      <w:pPr>
        <w:rPr>
          <w:rFonts w:cs="Times New Roman"/>
          <w:color w:val="000000" w:themeColor="text1"/>
          <w:lang w:val="en-GB"/>
        </w:rPr>
      </w:pPr>
      <w:r w:rsidRPr="00BF024F">
        <w:rPr>
          <w:rFonts w:cs="Times New Roman"/>
          <w:color w:val="000000" w:themeColor="text1"/>
          <w:lang w:val="en-GB"/>
        </w:rPr>
        <w:t xml:space="preserve">EcoRevamp Solutions proficiently fills the acknowledged gaps in the renewable energy market by proactively addressing homeowner consciousness and technical integration challenges. </w:t>
      </w:r>
      <w:bookmarkStart w:id="7" w:name="_Toc153798422"/>
      <w:r w:rsidRPr="00BF024F">
        <w:rPr>
          <w:rFonts w:cs="Times New Roman"/>
          <w:color w:val="000000" w:themeColor="text1"/>
          <w:lang w:val="en-GB"/>
        </w:rPr>
        <w:t>The company links knowledge gaps by educating homeowners about the benefits of renewable energy and energy-efficient home renovations through wide-ranging educational resources.  It has been engrained that the overview of various retrofit packages permits access to a wide-ranging customer base, particularly those facing affordability issues (Karji et al. 2019). Moreover, EcoRevamp Solutions positions out because it not only identifies the limited usage of technology in the industry, but correspondingly enthusiastically counters it.</w:t>
      </w:r>
    </w:p>
    <w:p w14:paraId="235DA9A6" w14:textId="77777777" w:rsidR="00810ECC" w:rsidRPr="00BF024F" w:rsidRDefault="00810ECC" w:rsidP="00810ECC">
      <w:pPr>
        <w:rPr>
          <w:rFonts w:cs="Times New Roman"/>
          <w:color w:val="000000" w:themeColor="text1"/>
          <w:lang w:val="en-GB"/>
        </w:rPr>
      </w:pPr>
      <w:r w:rsidRPr="00BF024F">
        <w:rPr>
          <w:rFonts w:cs="Times New Roman"/>
          <w:color w:val="000000" w:themeColor="text1"/>
          <w:lang w:val="en-GB"/>
        </w:rPr>
        <w:t>By assimilating advanced technology and smart home energy systems, the firm not only provides green solutions, but correspondingly acclimatizes to the increasing demand for world-class sustainable services, making it a front-runner in the developing field of renewable energy resolutions.</w:t>
      </w:r>
    </w:p>
    <w:p w14:paraId="5B4215DA" w14:textId="77777777" w:rsidR="00810ECC" w:rsidRPr="00BF024F" w:rsidRDefault="00810ECC" w:rsidP="00810ECC">
      <w:pPr>
        <w:pStyle w:val="Heading1"/>
        <w:rPr>
          <w:rFonts w:cs="Times New Roman"/>
          <w:lang w:val="en-GB"/>
        </w:rPr>
      </w:pPr>
      <w:r w:rsidRPr="00BF024F">
        <w:rPr>
          <w:rFonts w:cs="Times New Roman"/>
          <w:lang w:val="en-GB"/>
        </w:rPr>
        <w:lastRenderedPageBreak/>
        <w:t>4. Business Location and Legal Entity</w:t>
      </w:r>
      <w:bookmarkEnd w:id="7"/>
    </w:p>
    <w:p w14:paraId="114D3027" w14:textId="77777777" w:rsidR="00810ECC" w:rsidRPr="00BF024F" w:rsidRDefault="00810ECC" w:rsidP="00810ECC">
      <w:pPr>
        <w:pStyle w:val="Heading2"/>
        <w:rPr>
          <w:rFonts w:cs="Times New Roman"/>
          <w:lang w:val="en-GB"/>
        </w:rPr>
      </w:pPr>
      <w:bookmarkStart w:id="8" w:name="_Toc153798423"/>
      <w:r w:rsidRPr="00BF024F">
        <w:rPr>
          <w:rFonts w:cs="Times New Roman"/>
          <w:lang w:val="en-GB"/>
        </w:rPr>
        <w:t>4.1 Proposed location for the business and reasons for selection</w:t>
      </w:r>
      <w:bookmarkEnd w:id="8"/>
    </w:p>
    <w:p w14:paraId="593D077B" w14:textId="77777777" w:rsidR="00810ECC" w:rsidRPr="00BF024F" w:rsidRDefault="00810ECC" w:rsidP="00810ECC">
      <w:pPr>
        <w:pStyle w:val="Heading2"/>
        <w:spacing w:before="0" w:after="0"/>
        <w:rPr>
          <w:rFonts w:cs="Times New Roman"/>
          <w:b w:val="0"/>
          <w:i w:val="0"/>
          <w:sz w:val="24"/>
          <w:szCs w:val="22"/>
          <w:lang w:val="en-GB"/>
        </w:rPr>
      </w:pPr>
      <w:bookmarkStart w:id="9" w:name="_Toc153798424"/>
      <w:r w:rsidRPr="00BF024F">
        <w:rPr>
          <w:rFonts w:cs="Times New Roman"/>
          <w:b w:val="0"/>
          <w:i w:val="0"/>
          <w:sz w:val="24"/>
          <w:szCs w:val="22"/>
          <w:lang w:val="en-GB"/>
        </w:rPr>
        <w:t>EcoRevamp Solutions plans to open headquarters in urban areas transversely the UK, with strategic positions in cities such as London, Manchester and Birmingham. The choice of urban environments supports EcoRevamp Solutions' geographic segmentation plan, targeting regions with high energy consumption and accumulative demand for smart home solutions. Therefore, urban regions have a different demographic structure and can offer a huge number of retrofit packages that meet a wide-ranging customer base grounded on income levels and sustainability benchmarks (Lambrechts et al. 2021). Furthermore, these urban centres serve as centres for sustainable initiatives, accommodating ecological events and supporting a culture of green living.</w:t>
      </w:r>
    </w:p>
    <w:p w14:paraId="1554E62F" w14:textId="77777777" w:rsidR="00810ECC" w:rsidRPr="00BF024F" w:rsidRDefault="00810ECC" w:rsidP="00810ECC">
      <w:pPr>
        <w:pStyle w:val="Heading2"/>
        <w:spacing w:before="0" w:after="0"/>
        <w:rPr>
          <w:rFonts w:cs="Times New Roman"/>
          <w:b w:val="0"/>
          <w:i w:val="0"/>
          <w:sz w:val="24"/>
          <w:szCs w:val="22"/>
          <w:lang w:val="en-GB"/>
        </w:rPr>
      </w:pPr>
      <w:r w:rsidRPr="00BF024F">
        <w:rPr>
          <w:rFonts w:cs="Times New Roman"/>
          <w:b w:val="0"/>
          <w:i w:val="0"/>
          <w:sz w:val="24"/>
          <w:szCs w:val="22"/>
          <w:lang w:val="en-GB"/>
        </w:rPr>
        <w:t xml:space="preserve">Collaborating with local developers and contractors in these positions not only progresses community livelihoods, but correspondingly simplifies quicker and more competent implementation of services consequently (Bergman et al. 2020). Furthermore, the UK's political stability approves continued support for renewable energy projects, fashioning an auspicious atmosphere for EcoRevamp Solutions' efforts. The innovative technological environments and research centres positioned in these metropolitan regions offer potentials for innovation and collaboration, permitting us to remain at the forefront of the industry. </w:t>
      </w:r>
    </w:p>
    <w:p w14:paraId="750F4D25" w14:textId="77777777" w:rsidR="00810ECC" w:rsidRPr="00BF024F" w:rsidRDefault="00810ECC" w:rsidP="00810ECC">
      <w:pPr>
        <w:pStyle w:val="Heading2"/>
        <w:spacing w:before="0" w:after="0"/>
        <w:rPr>
          <w:rFonts w:cs="Times New Roman"/>
          <w:lang w:val="en-GB"/>
        </w:rPr>
      </w:pPr>
      <w:r w:rsidRPr="00BF024F">
        <w:rPr>
          <w:rFonts w:cs="Times New Roman"/>
          <w:lang w:val="en-GB"/>
        </w:rPr>
        <w:t>4.2 Legal structure of the business (e.g., LLC, Corporation) and justification</w:t>
      </w:r>
      <w:bookmarkEnd w:id="9"/>
    </w:p>
    <w:p w14:paraId="670F8DDC" w14:textId="77777777" w:rsidR="00810ECC" w:rsidRPr="00BF024F" w:rsidRDefault="00810ECC" w:rsidP="00810ECC">
      <w:pPr>
        <w:rPr>
          <w:rFonts w:eastAsia="Times New Roman" w:cs="Times New Roman"/>
          <w:color w:val="000000" w:themeColor="text1"/>
          <w:szCs w:val="24"/>
          <w:lang w:val="en-GB"/>
        </w:rPr>
      </w:pPr>
      <w:r w:rsidRPr="00BF024F">
        <w:rPr>
          <w:rFonts w:cs="Times New Roman"/>
          <w:color w:val="000000" w:themeColor="text1"/>
          <w:lang w:val="en-GB"/>
        </w:rPr>
        <w:t>EcoRevamp Solutions will work as a Limited Liability Company (LLC). This structure offers a stability of liability fortification and functioning elasticity, defending personal assets while permitting streamlined management. It aligns with the vision of a dynamic and adaptable business, compatible with circumnavigating the developing landscape of the renewable energy industry (</w:t>
      </w:r>
      <w:r w:rsidRPr="00BF024F">
        <w:rPr>
          <w:rFonts w:cs="Times New Roman"/>
          <w:color w:val="000000" w:themeColor="text1"/>
          <w:szCs w:val="20"/>
          <w:shd w:val="clear" w:color="auto" w:fill="FFFFFF"/>
          <w:lang w:val="en-GB"/>
        </w:rPr>
        <w:t>Butt et al. 2021</w:t>
      </w:r>
      <w:r w:rsidRPr="00BF024F">
        <w:rPr>
          <w:rFonts w:cs="Times New Roman"/>
          <w:color w:val="000000" w:themeColor="text1"/>
          <w:lang w:val="en-GB"/>
        </w:rPr>
        <w:t xml:space="preserve">). </w:t>
      </w:r>
      <w:r w:rsidRPr="00BF024F">
        <w:rPr>
          <w:rFonts w:eastAsia="Times New Roman" w:cs="Times New Roman"/>
          <w:color w:val="000000" w:themeColor="text1"/>
          <w:szCs w:val="24"/>
          <w:lang w:val="en-GB"/>
        </w:rPr>
        <w:t>The company may develop an “LLP legal entity” which suggests benefits for its members that act to have the liability of the owned business and liable for the debt.  LLP owns the assets of the business broadly subject to the “tax treatment” as the general partnership (</w:t>
      </w:r>
      <w:r w:rsidRPr="00BF024F">
        <w:rPr>
          <w:rFonts w:cs="Times New Roman"/>
          <w:color w:val="000000" w:themeColor="text1"/>
          <w:szCs w:val="24"/>
          <w:lang w:val="en-GB"/>
        </w:rPr>
        <w:t xml:space="preserve">Thomsonreuters.com, 2023). </w:t>
      </w:r>
      <w:r w:rsidRPr="00BF024F">
        <w:rPr>
          <w:rFonts w:eastAsia="Times New Roman" w:cs="Times New Roman"/>
          <w:color w:val="000000" w:themeColor="text1"/>
          <w:szCs w:val="24"/>
          <w:lang w:val="en-GB"/>
        </w:rPr>
        <w:t xml:space="preserve"> </w:t>
      </w:r>
    </w:p>
    <w:p w14:paraId="5AC20FDB" w14:textId="77777777" w:rsidR="00810ECC" w:rsidRPr="00BF024F" w:rsidRDefault="00810ECC" w:rsidP="00810ECC">
      <w:pPr>
        <w:rPr>
          <w:rFonts w:eastAsia="Times New Roman" w:cs="Times New Roman"/>
          <w:color w:val="000000" w:themeColor="text1"/>
          <w:szCs w:val="24"/>
          <w:lang w:val="en-GB"/>
        </w:rPr>
      </w:pPr>
      <w:r w:rsidRPr="00BF024F">
        <w:rPr>
          <w:rFonts w:eastAsia="Times New Roman" w:cs="Times New Roman"/>
          <w:color w:val="000000" w:themeColor="text1"/>
          <w:szCs w:val="24"/>
          <w:lang w:val="en-GB"/>
        </w:rPr>
        <w:t xml:space="preserve">LLP is a “separate legal entity with an “unlimited capacity.” This entity means LLP can do any person if the person can enter into the contracts that hold the property. LLP existence is a separate legal entity that makes closer assignments for the partners (Legislation.gov.uk, 2023).  As regards the management, LLP is the parallel with the system that operates with the partnerships obliged to enter into the formal agreements. In the case of a partnership, Clear Advantage has formal written agreements where there will be no obligation to publish any agreement. </w:t>
      </w:r>
    </w:p>
    <w:p w14:paraId="61E723B7" w14:textId="77777777" w:rsidR="00810ECC" w:rsidRPr="00BF024F" w:rsidRDefault="00810ECC" w:rsidP="00810ECC">
      <w:pPr>
        <w:pStyle w:val="Heading1"/>
        <w:rPr>
          <w:rFonts w:cs="Times New Roman"/>
          <w:lang w:val="en-GB"/>
        </w:rPr>
      </w:pPr>
      <w:bookmarkStart w:id="10" w:name="_Toc153798425"/>
      <w:r w:rsidRPr="00BF024F">
        <w:rPr>
          <w:rFonts w:cs="Times New Roman"/>
          <w:lang w:val="en-GB"/>
        </w:rPr>
        <w:lastRenderedPageBreak/>
        <w:t>5. SWOT Analysis</w:t>
      </w:r>
      <w:bookmarkEnd w:id="10"/>
      <w:r w:rsidRPr="00BF024F">
        <w:rPr>
          <w:rFonts w:cs="Times New Roman"/>
          <w:lang w:val="en-GB"/>
        </w:rPr>
        <w:t xml:space="preserve"> </w:t>
      </w:r>
    </w:p>
    <w:p w14:paraId="7B52178B" w14:textId="77777777" w:rsidR="00810ECC" w:rsidRPr="00BF024F" w:rsidRDefault="00810ECC" w:rsidP="00810ECC">
      <w:pPr>
        <w:rPr>
          <w:rFonts w:cs="Times New Roman"/>
          <w:color w:val="000000" w:themeColor="text1"/>
          <w:lang w:val="en-GB"/>
        </w:rPr>
      </w:pPr>
      <w:r w:rsidRPr="00BF024F">
        <w:rPr>
          <w:rFonts w:cs="Times New Roman"/>
          <w:color w:val="000000" w:themeColor="text1"/>
          <w:lang w:val="en-GB"/>
        </w:rPr>
        <w:t>EcoRevamp Solutions' strengths lie in advanced services and marketplace demand. Opportunities embrace a rising renewable energy marketplace. Weaknesses encompass regulatory challenges; however, threats include marketplace rivalry and economic downturns.</w:t>
      </w:r>
      <w:bookmarkStart w:id="11" w:name="_GoBack"/>
      <w:bookmarkEnd w:id="11"/>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670"/>
        <w:gridCol w:w="4670"/>
      </w:tblGrid>
      <w:tr w:rsidR="00810ECC" w:rsidRPr="00BF024F" w14:paraId="719AE52B" w14:textId="77777777" w:rsidTr="00EC1DD0">
        <w:trPr>
          <w:cantSplit/>
          <w:tblHeader/>
        </w:trPr>
        <w:tc>
          <w:tcPr>
            <w:tcW w:w="2500" w:type="pct"/>
            <w:shd w:val="clear" w:color="auto" w:fill="auto"/>
            <w:tcMar>
              <w:top w:w="100" w:type="dxa"/>
              <w:left w:w="100" w:type="dxa"/>
              <w:bottom w:w="100" w:type="dxa"/>
              <w:right w:w="100" w:type="dxa"/>
            </w:tcMar>
          </w:tcPr>
          <w:p w14:paraId="175E1733" w14:textId="77777777" w:rsidR="00810ECC" w:rsidRPr="00BF024F" w:rsidRDefault="00810ECC" w:rsidP="00EC1DD0">
            <w:pPr>
              <w:pStyle w:val="Normal2"/>
              <w:widowControl w:val="0"/>
              <w:pBdr>
                <w:top w:val="nil"/>
                <w:left w:val="nil"/>
                <w:bottom w:val="nil"/>
                <w:right w:val="nil"/>
                <w:between w:val="nil"/>
              </w:pBdr>
              <w:jc w:val="both"/>
              <w:rPr>
                <w:rFonts w:ascii="Times New Roman" w:eastAsia="Times New Roman" w:hAnsi="Times New Roman" w:cs="Times New Roman"/>
                <w:b/>
                <w:color w:val="000000" w:themeColor="text1"/>
                <w:sz w:val="24"/>
                <w:szCs w:val="24"/>
                <w:lang w:val="en-GB"/>
              </w:rPr>
            </w:pPr>
            <w:r w:rsidRPr="00BF024F">
              <w:rPr>
                <w:rFonts w:ascii="Times New Roman" w:eastAsia="Times New Roman" w:hAnsi="Times New Roman" w:cs="Times New Roman"/>
                <w:b/>
                <w:color w:val="000000" w:themeColor="text1"/>
                <w:sz w:val="24"/>
                <w:szCs w:val="24"/>
                <w:lang w:val="en-GB"/>
              </w:rPr>
              <w:lastRenderedPageBreak/>
              <w:t xml:space="preserve">Strengths </w:t>
            </w:r>
          </w:p>
        </w:tc>
        <w:tc>
          <w:tcPr>
            <w:tcW w:w="2500" w:type="pct"/>
            <w:shd w:val="clear" w:color="auto" w:fill="auto"/>
            <w:tcMar>
              <w:top w:w="100" w:type="dxa"/>
              <w:left w:w="100" w:type="dxa"/>
              <w:bottom w:w="100" w:type="dxa"/>
              <w:right w:w="100" w:type="dxa"/>
            </w:tcMar>
          </w:tcPr>
          <w:p w14:paraId="0FACC1FE" w14:textId="77777777" w:rsidR="00810ECC" w:rsidRPr="00BF024F" w:rsidRDefault="00810ECC" w:rsidP="00EC1DD0">
            <w:pPr>
              <w:pStyle w:val="Normal2"/>
              <w:widowControl w:val="0"/>
              <w:pBdr>
                <w:top w:val="nil"/>
                <w:left w:val="nil"/>
                <w:bottom w:val="nil"/>
                <w:right w:val="nil"/>
                <w:between w:val="nil"/>
              </w:pBdr>
              <w:jc w:val="both"/>
              <w:rPr>
                <w:rFonts w:ascii="Times New Roman" w:eastAsia="Times New Roman" w:hAnsi="Times New Roman" w:cs="Times New Roman"/>
                <w:b/>
                <w:color w:val="000000" w:themeColor="text1"/>
                <w:sz w:val="24"/>
                <w:szCs w:val="24"/>
                <w:lang w:val="en-GB"/>
              </w:rPr>
            </w:pPr>
            <w:r w:rsidRPr="00BF024F">
              <w:rPr>
                <w:rFonts w:ascii="Times New Roman" w:eastAsia="Times New Roman" w:hAnsi="Times New Roman" w:cs="Times New Roman"/>
                <w:b/>
                <w:color w:val="000000" w:themeColor="text1"/>
                <w:sz w:val="24"/>
                <w:szCs w:val="24"/>
                <w:lang w:val="en-GB"/>
              </w:rPr>
              <w:t xml:space="preserve">Weakness </w:t>
            </w:r>
          </w:p>
        </w:tc>
      </w:tr>
      <w:tr w:rsidR="00810ECC" w:rsidRPr="00BF024F" w14:paraId="2C02FA9A" w14:textId="77777777" w:rsidTr="00EC1DD0">
        <w:trPr>
          <w:cantSplit/>
          <w:tblHeader/>
        </w:trPr>
        <w:tc>
          <w:tcPr>
            <w:tcW w:w="2500" w:type="pct"/>
            <w:shd w:val="clear" w:color="auto" w:fill="auto"/>
            <w:tcMar>
              <w:top w:w="100" w:type="dxa"/>
              <w:left w:w="100" w:type="dxa"/>
              <w:bottom w:w="100" w:type="dxa"/>
              <w:right w:w="100" w:type="dxa"/>
            </w:tcMar>
          </w:tcPr>
          <w:p w14:paraId="5E568FCA" w14:textId="77777777" w:rsidR="00810ECC" w:rsidRPr="00BF024F" w:rsidRDefault="00810ECC" w:rsidP="00EC1DD0">
            <w:pPr>
              <w:pStyle w:val="Normal2"/>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F024F">
              <w:rPr>
                <w:rFonts w:ascii="Times New Roman" w:eastAsia="Times New Roman" w:hAnsi="Times New Roman" w:cs="Times New Roman"/>
                <w:color w:val="000000" w:themeColor="text1"/>
                <w:sz w:val="24"/>
                <w:szCs w:val="24"/>
                <w:lang w:val="en-GB"/>
              </w:rPr>
              <w:t xml:space="preserve">EcoRevamp Solutions boasts several strengths that place it as a leader in the renewable energy marketplace. EcoRevamp Solutions' innovative services, comprising solar panel installation, smart home solutions, and thermal insulation, distinguish us in a promptly developing industry.  </w:t>
            </w:r>
          </w:p>
          <w:p w14:paraId="39D72B40" w14:textId="77777777" w:rsidR="00810ECC" w:rsidRPr="00BF024F" w:rsidRDefault="00810ECC" w:rsidP="00EC1DD0">
            <w:pPr>
              <w:pStyle w:val="Normal2"/>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F024F">
              <w:rPr>
                <w:rFonts w:ascii="Times New Roman" w:eastAsia="Times New Roman" w:hAnsi="Times New Roman" w:cs="Times New Roman"/>
                <w:color w:val="000000" w:themeColor="text1"/>
                <w:sz w:val="24"/>
                <w:szCs w:val="24"/>
                <w:lang w:val="en-GB"/>
              </w:rPr>
              <w:t>The increasing demand for ecological living and a considerable marketplace opportunity, particularly in the UK with its steady political environment, offers a strong substance for growth (</w:t>
            </w:r>
            <w:r w:rsidRPr="00BF024F">
              <w:rPr>
                <w:rFonts w:ascii="Times New Roman" w:hAnsi="Times New Roman" w:cs="Times New Roman"/>
                <w:color w:val="000000" w:themeColor="text1"/>
                <w:sz w:val="24"/>
                <w:szCs w:val="20"/>
                <w:shd w:val="clear" w:color="auto" w:fill="FFFFFF"/>
                <w:lang w:val="en-GB"/>
              </w:rPr>
              <w:t>Gupta et al. 2020</w:t>
            </w:r>
            <w:r w:rsidRPr="00BF024F">
              <w:rPr>
                <w:rFonts w:ascii="Times New Roman" w:eastAsia="Times New Roman" w:hAnsi="Times New Roman" w:cs="Times New Roman"/>
                <w:color w:val="000000" w:themeColor="text1"/>
                <w:sz w:val="24"/>
                <w:szCs w:val="24"/>
                <w:lang w:val="en-GB"/>
              </w:rPr>
              <w:t xml:space="preserve">). </w:t>
            </w:r>
          </w:p>
          <w:p w14:paraId="0EA2FB30" w14:textId="77777777" w:rsidR="00810ECC" w:rsidRPr="00BF024F" w:rsidRDefault="00810ECC" w:rsidP="00EC1DD0">
            <w:pPr>
              <w:pStyle w:val="Normal2"/>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F024F">
              <w:rPr>
                <w:rFonts w:ascii="Times New Roman" w:eastAsia="Times New Roman" w:hAnsi="Times New Roman" w:cs="Times New Roman"/>
                <w:color w:val="000000" w:themeColor="text1"/>
                <w:sz w:val="24"/>
                <w:szCs w:val="24"/>
                <w:lang w:val="en-GB"/>
              </w:rPr>
              <w:t>The integration of advanced technologies sets EcoRevamp Solutions apart, ensuring well-organized home energy solutions (</w:t>
            </w:r>
            <w:r w:rsidRPr="00BF024F">
              <w:rPr>
                <w:rFonts w:ascii="Times New Roman" w:hAnsi="Times New Roman" w:cs="Times New Roman"/>
                <w:color w:val="000000" w:themeColor="text1"/>
                <w:sz w:val="24"/>
                <w:szCs w:val="20"/>
                <w:shd w:val="clear" w:color="auto" w:fill="FFFFFF"/>
                <w:lang w:val="en-GB"/>
              </w:rPr>
              <w:t>Bobrova et al. 2021</w:t>
            </w:r>
            <w:r w:rsidRPr="00BF024F">
              <w:rPr>
                <w:rFonts w:ascii="Times New Roman" w:eastAsia="Times New Roman" w:hAnsi="Times New Roman" w:cs="Times New Roman"/>
                <w:color w:val="000000" w:themeColor="text1"/>
                <w:sz w:val="24"/>
                <w:szCs w:val="24"/>
                <w:lang w:val="en-GB"/>
              </w:rPr>
              <w:t>).</w:t>
            </w:r>
          </w:p>
        </w:tc>
        <w:tc>
          <w:tcPr>
            <w:tcW w:w="2500" w:type="pct"/>
            <w:shd w:val="clear" w:color="auto" w:fill="auto"/>
            <w:tcMar>
              <w:top w:w="100" w:type="dxa"/>
              <w:left w:w="100" w:type="dxa"/>
              <w:bottom w:w="100" w:type="dxa"/>
              <w:right w:w="100" w:type="dxa"/>
            </w:tcMar>
          </w:tcPr>
          <w:p w14:paraId="1D8B181D" w14:textId="77777777" w:rsidR="00810ECC" w:rsidRPr="00BF024F" w:rsidRDefault="00810ECC" w:rsidP="00EC1DD0">
            <w:pPr>
              <w:pStyle w:val="ListParagraph"/>
              <w:numPr>
                <w:ilvl w:val="0"/>
                <w:numId w:val="5"/>
              </w:numPr>
              <w:rPr>
                <w:rFonts w:cs="Times New Roman"/>
                <w:color w:val="000000" w:themeColor="text1"/>
                <w:lang w:val="en-GB"/>
              </w:rPr>
            </w:pPr>
            <w:r w:rsidRPr="00BF024F">
              <w:rPr>
                <w:rFonts w:cs="Times New Roman"/>
                <w:color w:val="000000" w:themeColor="text1"/>
                <w:lang w:val="en-GB"/>
              </w:rPr>
              <w:t xml:space="preserve">EcoRevamp Solutions faces challenges that embrace limited homeowner awareness and possible regulatory hurdles. </w:t>
            </w:r>
          </w:p>
          <w:p w14:paraId="7C28C26F" w14:textId="77777777" w:rsidR="00810ECC" w:rsidRPr="00BF024F" w:rsidRDefault="00810ECC" w:rsidP="00EC1DD0">
            <w:pPr>
              <w:pStyle w:val="Normal2"/>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F024F">
              <w:rPr>
                <w:rFonts w:ascii="Times New Roman" w:eastAsia="Times New Roman" w:hAnsi="Times New Roman" w:cs="Times New Roman"/>
                <w:color w:val="000000" w:themeColor="text1"/>
                <w:sz w:val="24"/>
                <w:szCs w:val="24"/>
                <w:lang w:val="en-GB"/>
              </w:rPr>
              <w:t>The existing gap in indulging the benefits of renewable energy poses a weakness, compelling a robust educational method. Furthermore, the renewable energy segment's susceptibility to modifications in principles and government policies presents a threat to project feasibility (</w:t>
            </w:r>
            <w:r w:rsidRPr="00BF024F">
              <w:rPr>
                <w:rFonts w:ascii="Times New Roman" w:hAnsi="Times New Roman" w:cs="Times New Roman"/>
                <w:color w:val="000000" w:themeColor="text1"/>
                <w:sz w:val="24"/>
                <w:szCs w:val="20"/>
                <w:shd w:val="clear" w:color="auto" w:fill="FFFFFF"/>
                <w:lang w:val="en-GB"/>
              </w:rPr>
              <w:t>Ji et al. 2019</w:t>
            </w:r>
            <w:r w:rsidRPr="00BF024F">
              <w:rPr>
                <w:rFonts w:ascii="Times New Roman" w:eastAsia="Times New Roman" w:hAnsi="Times New Roman" w:cs="Times New Roman"/>
                <w:color w:val="000000" w:themeColor="text1"/>
                <w:sz w:val="24"/>
                <w:szCs w:val="24"/>
                <w:lang w:val="en-GB"/>
              </w:rPr>
              <w:t>).</w:t>
            </w:r>
          </w:p>
          <w:p w14:paraId="42B81B7A" w14:textId="77777777" w:rsidR="00810ECC" w:rsidRPr="00BF024F" w:rsidRDefault="00810ECC" w:rsidP="00EC1DD0">
            <w:pPr>
              <w:pStyle w:val="Normal2"/>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F024F">
              <w:rPr>
                <w:rFonts w:ascii="Times New Roman" w:eastAsia="Times New Roman" w:hAnsi="Times New Roman" w:cs="Times New Roman"/>
                <w:color w:val="000000" w:themeColor="text1"/>
                <w:sz w:val="24"/>
                <w:szCs w:val="24"/>
                <w:lang w:val="en-GB"/>
              </w:rPr>
              <w:t xml:space="preserve">The changes in the regulatory policies may affect the business including the coaching and “cross-cutting competencies.”    Design with strong regulation in the "renewable energy" market performs negatively. </w:t>
            </w:r>
          </w:p>
        </w:tc>
      </w:tr>
      <w:tr w:rsidR="00810ECC" w:rsidRPr="00BF024F" w14:paraId="4EFE72F3" w14:textId="77777777" w:rsidTr="00EC1DD0">
        <w:trPr>
          <w:cantSplit/>
          <w:tblHeader/>
        </w:trPr>
        <w:tc>
          <w:tcPr>
            <w:tcW w:w="2500" w:type="pct"/>
            <w:shd w:val="clear" w:color="auto" w:fill="auto"/>
            <w:tcMar>
              <w:top w:w="100" w:type="dxa"/>
              <w:left w:w="100" w:type="dxa"/>
              <w:bottom w:w="100" w:type="dxa"/>
              <w:right w:w="100" w:type="dxa"/>
            </w:tcMar>
          </w:tcPr>
          <w:p w14:paraId="0954B346" w14:textId="77777777" w:rsidR="00810ECC" w:rsidRPr="00BF024F" w:rsidRDefault="00810ECC" w:rsidP="00EC1DD0">
            <w:pPr>
              <w:pStyle w:val="Normal2"/>
              <w:widowControl w:val="0"/>
              <w:pBdr>
                <w:top w:val="nil"/>
                <w:left w:val="nil"/>
                <w:bottom w:val="nil"/>
                <w:right w:val="nil"/>
                <w:between w:val="nil"/>
              </w:pBdr>
              <w:jc w:val="both"/>
              <w:rPr>
                <w:rFonts w:ascii="Times New Roman" w:eastAsia="Times New Roman" w:hAnsi="Times New Roman" w:cs="Times New Roman"/>
                <w:b/>
                <w:color w:val="000000" w:themeColor="text1"/>
                <w:sz w:val="24"/>
                <w:szCs w:val="24"/>
                <w:lang w:val="en-GB"/>
              </w:rPr>
            </w:pPr>
            <w:r w:rsidRPr="00BF024F">
              <w:rPr>
                <w:rFonts w:ascii="Times New Roman" w:eastAsia="Times New Roman" w:hAnsi="Times New Roman" w:cs="Times New Roman"/>
                <w:b/>
                <w:color w:val="000000" w:themeColor="text1"/>
                <w:sz w:val="24"/>
                <w:szCs w:val="24"/>
                <w:lang w:val="en-GB"/>
              </w:rPr>
              <w:t xml:space="preserve">Opportunities </w:t>
            </w:r>
          </w:p>
        </w:tc>
        <w:tc>
          <w:tcPr>
            <w:tcW w:w="2500" w:type="pct"/>
            <w:shd w:val="clear" w:color="auto" w:fill="auto"/>
            <w:tcMar>
              <w:top w:w="100" w:type="dxa"/>
              <w:left w:w="100" w:type="dxa"/>
              <w:bottom w:w="100" w:type="dxa"/>
              <w:right w:w="100" w:type="dxa"/>
            </w:tcMar>
          </w:tcPr>
          <w:p w14:paraId="116E494B" w14:textId="77777777" w:rsidR="00810ECC" w:rsidRPr="00BF024F" w:rsidRDefault="00810ECC" w:rsidP="00EC1DD0">
            <w:pPr>
              <w:pStyle w:val="Normal2"/>
              <w:widowControl w:val="0"/>
              <w:pBdr>
                <w:top w:val="nil"/>
                <w:left w:val="nil"/>
                <w:bottom w:val="nil"/>
                <w:right w:val="nil"/>
                <w:between w:val="nil"/>
              </w:pBdr>
              <w:jc w:val="both"/>
              <w:rPr>
                <w:rFonts w:ascii="Times New Roman" w:eastAsia="Times New Roman" w:hAnsi="Times New Roman" w:cs="Times New Roman"/>
                <w:b/>
                <w:color w:val="000000" w:themeColor="text1"/>
                <w:sz w:val="24"/>
                <w:szCs w:val="24"/>
                <w:lang w:val="en-GB"/>
              </w:rPr>
            </w:pPr>
            <w:r w:rsidRPr="00BF024F">
              <w:rPr>
                <w:rFonts w:ascii="Times New Roman" w:eastAsia="Times New Roman" w:hAnsi="Times New Roman" w:cs="Times New Roman"/>
                <w:b/>
                <w:color w:val="000000" w:themeColor="text1"/>
                <w:sz w:val="24"/>
                <w:szCs w:val="24"/>
                <w:lang w:val="en-GB"/>
              </w:rPr>
              <w:t xml:space="preserve">Threats </w:t>
            </w:r>
          </w:p>
        </w:tc>
      </w:tr>
      <w:tr w:rsidR="00810ECC" w:rsidRPr="00BF024F" w14:paraId="7F62CE4B" w14:textId="77777777" w:rsidTr="00EC1DD0">
        <w:trPr>
          <w:cantSplit/>
          <w:tblHeader/>
        </w:trPr>
        <w:tc>
          <w:tcPr>
            <w:tcW w:w="2500" w:type="pct"/>
            <w:shd w:val="clear" w:color="auto" w:fill="auto"/>
            <w:tcMar>
              <w:top w:w="100" w:type="dxa"/>
              <w:left w:w="100" w:type="dxa"/>
              <w:bottom w:w="100" w:type="dxa"/>
              <w:right w:w="100" w:type="dxa"/>
            </w:tcMar>
          </w:tcPr>
          <w:p w14:paraId="128CB0AB" w14:textId="77777777" w:rsidR="00810ECC" w:rsidRPr="00BF024F" w:rsidRDefault="00810ECC" w:rsidP="00EC1DD0">
            <w:pPr>
              <w:pStyle w:val="Normal2"/>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F024F">
              <w:rPr>
                <w:rFonts w:ascii="Times New Roman" w:eastAsia="Times New Roman" w:hAnsi="Times New Roman" w:cs="Times New Roman"/>
                <w:color w:val="000000" w:themeColor="text1"/>
                <w:sz w:val="24"/>
                <w:szCs w:val="24"/>
                <w:lang w:val="en-GB"/>
              </w:rPr>
              <w:lastRenderedPageBreak/>
              <w:t>EcoRevamp Solutions is imposing to take advantage of numerous opportunities within the thriving renewable energy marketplace.</w:t>
            </w:r>
          </w:p>
          <w:p w14:paraId="3A62422D" w14:textId="77777777" w:rsidR="00810ECC" w:rsidRPr="00BF024F" w:rsidRDefault="00810ECC" w:rsidP="00EC1DD0">
            <w:pPr>
              <w:pStyle w:val="Normal2"/>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F024F">
              <w:rPr>
                <w:rFonts w:ascii="Times New Roman" w:eastAsia="Times New Roman" w:hAnsi="Times New Roman" w:cs="Times New Roman"/>
                <w:color w:val="000000" w:themeColor="text1"/>
                <w:sz w:val="24"/>
                <w:szCs w:val="24"/>
                <w:lang w:val="en-GB"/>
              </w:rPr>
              <w:t>The estimated growth to 217.57 gigawatts in the UK's renewable energy segment by 2028 provides a considerable marketplace opportunity (</w:t>
            </w:r>
            <w:r w:rsidRPr="00BF024F">
              <w:rPr>
                <w:rFonts w:ascii="Times New Roman" w:hAnsi="Times New Roman" w:cs="Times New Roman"/>
                <w:color w:val="000000" w:themeColor="text1"/>
                <w:sz w:val="24"/>
                <w:szCs w:val="20"/>
                <w:shd w:val="clear" w:color="auto" w:fill="FFFFFF"/>
                <w:lang w:val="en-GB"/>
              </w:rPr>
              <w:t>Qu et al. 2021</w:t>
            </w:r>
            <w:r w:rsidRPr="00BF024F">
              <w:rPr>
                <w:rFonts w:ascii="Times New Roman" w:eastAsia="Times New Roman" w:hAnsi="Times New Roman" w:cs="Times New Roman"/>
                <w:color w:val="000000" w:themeColor="text1"/>
                <w:sz w:val="24"/>
                <w:szCs w:val="24"/>
                <w:lang w:val="en-GB"/>
              </w:rPr>
              <w:t xml:space="preserve">). </w:t>
            </w:r>
          </w:p>
          <w:p w14:paraId="669178B6" w14:textId="77777777" w:rsidR="00810ECC" w:rsidRPr="00BF024F" w:rsidRDefault="00810ECC" w:rsidP="00EC1DD0">
            <w:pPr>
              <w:pStyle w:val="Normal2"/>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F024F">
              <w:rPr>
                <w:rFonts w:ascii="Times New Roman" w:eastAsia="Times New Roman" w:hAnsi="Times New Roman" w:cs="Times New Roman"/>
                <w:color w:val="000000" w:themeColor="text1"/>
                <w:sz w:val="24"/>
                <w:szCs w:val="24"/>
                <w:lang w:val="en-GB"/>
              </w:rPr>
              <w:t xml:space="preserve">Government enticements and grants for renewable energy projects improve the cost-effectiveness of EcoRevamp Solutions initiatives. The growing demand for sustainable living aligns with the mission, forming significant development forecasts. </w:t>
            </w:r>
          </w:p>
        </w:tc>
        <w:tc>
          <w:tcPr>
            <w:tcW w:w="2500" w:type="pct"/>
            <w:shd w:val="clear" w:color="auto" w:fill="auto"/>
            <w:tcMar>
              <w:top w:w="100" w:type="dxa"/>
              <w:left w:w="100" w:type="dxa"/>
              <w:bottom w:w="100" w:type="dxa"/>
              <w:right w:w="100" w:type="dxa"/>
            </w:tcMar>
          </w:tcPr>
          <w:p w14:paraId="75D0B914" w14:textId="77777777" w:rsidR="00810ECC" w:rsidRPr="00BF024F" w:rsidRDefault="00810ECC" w:rsidP="00EC1DD0">
            <w:pPr>
              <w:pStyle w:val="Normal2"/>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F024F">
              <w:rPr>
                <w:rFonts w:ascii="Times New Roman" w:eastAsia="Times New Roman" w:hAnsi="Times New Roman" w:cs="Times New Roman"/>
                <w:color w:val="000000" w:themeColor="text1"/>
                <w:sz w:val="24"/>
                <w:szCs w:val="24"/>
                <w:lang w:val="en-GB"/>
              </w:rPr>
              <w:t>This segment is subject to fluctuations in government strategies and principles, leading to indecisiveness regarding project possibility.</w:t>
            </w:r>
          </w:p>
          <w:p w14:paraId="635921BC" w14:textId="77777777" w:rsidR="00810ECC" w:rsidRPr="00BF024F" w:rsidRDefault="00810ECC" w:rsidP="00EC1DD0">
            <w:pPr>
              <w:pStyle w:val="Normal2"/>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F024F">
              <w:rPr>
                <w:rFonts w:ascii="Times New Roman" w:eastAsia="Times New Roman" w:hAnsi="Times New Roman" w:cs="Times New Roman"/>
                <w:color w:val="000000" w:themeColor="text1"/>
                <w:sz w:val="24"/>
                <w:szCs w:val="24"/>
                <w:lang w:val="en-GB"/>
              </w:rPr>
              <w:t>Strict regulatory actions can cause functional concerns and necessitate on-going compliance. Profitable downturns might impact customer departure on home retrofitting services, affecting demand. The member's susceptibility to oscillations in government strategies and principles disseminates vacillation in design possibility.</w:t>
            </w:r>
          </w:p>
          <w:p w14:paraId="6D7011AB" w14:textId="77777777" w:rsidR="00810ECC" w:rsidRPr="00BF024F" w:rsidRDefault="00810ECC" w:rsidP="00EC1DD0">
            <w:pPr>
              <w:pStyle w:val="Normal2"/>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F024F">
              <w:rPr>
                <w:rFonts w:ascii="Times New Roman" w:eastAsia="Times New Roman" w:hAnsi="Times New Roman" w:cs="Times New Roman"/>
                <w:color w:val="000000" w:themeColor="text1"/>
                <w:sz w:val="24"/>
                <w:szCs w:val="24"/>
                <w:lang w:val="en-GB"/>
              </w:rPr>
              <w:t>Strict nonsupervisory behaviour can pose performing challenges, challenging nonstop acquiescence. The possibility of a profitable downturn impacting consumer spending on sustainable consequences improves the trouble topography (Hurst et al. 2019).</w:t>
            </w:r>
          </w:p>
        </w:tc>
      </w:tr>
    </w:tbl>
    <w:p w14:paraId="0C911925" w14:textId="77777777" w:rsidR="00810ECC" w:rsidRPr="00BF024F" w:rsidRDefault="00810ECC" w:rsidP="00810ECC">
      <w:pPr>
        <w:pStyle w:val="Normal2"/>
        <w:shd w:val="clear" w:color="auto" w:fill="FFFFFF"/>
        <w:spacing w:line="360" w:lineRule="auto"/>
        <w:jc w:val="both"/>
        <w:rPr>
          <w:rFonts w:ascii="Times New Roman" w:eastAsia="Times New Roman" w:hAnsi="Times New Roman" w:cs="Times New Roman"/>
          <w:color w:val="000000" w:themeColor="text1"/>
          <w:sz w:val="24"/>
          <w:szCs w:val="24"/>
          <w:lang w:val="en-GB"/>
        </w:rPr>
      </w:pPr>
    </w:p>
    <w:p w14:paraId="357E6AB2" w14:textId="77777777" w:rsidR="00810ECC" w:rsidRPr="00BF024F" w:rsidRDefault="00810ECC" w:rsidP="00810ECC">
      <w:pPr>
        <w:pStyle w:val="Heading1"/>
        <w:rPr>
          <w:rFonts w:cs="Times New Roman"/>
          <w:lang w:val="en-GB"/>
        </w:rPr>
      </w:pPr>
      <w:bookmarkStart w:id="12" w:name="_Toc153798426"/>
      <w:r w:rsidRPr="00BF024F">
        <w:rPr>
          <w:rFonts w:cs="Times New Roman"/>
          <w:lang w:val="en-GB"/>
        </w:rPr>
        <w:t>6. Target Market and Marketing Strategies</w:t>
      </w:r>
      <w:bookmarkEnd w:id="12"/>
      <w:r w:rsidRPr="00BF024F">
        <w:rPr>
          <w:rFonts w:cs="Times New Roman"/>
          <w:lang w:val="en-GB"/>
        </w:rPr>
        <w:t xml:space="preserve"> </w:t>
      </w:r>
    </w:p>
    <w:p w14:paraId="4DD008BA" w14:textId="77777777" w:rsidR="00810ECC" w:rsidRPr="00BF024F" w:rsidRDefault="00810ECC" w:rsidP="00810ECC">
      <w:pPr>
        <w:pStyle w:val="Heading2"/>
        <w:rPr>
          <w:rFonts w:cs="Times New Roman"/>
          <w:lang w:val="en-GB"/>
        </w:rPr>
      </w:pPr>
      <w:bookmarkStart w:id="13" w:name="_Toc153798427"/>
      <w:r w:rsidRPr="00BF024F">
        <w:rPr>
          <w:rFonts w:cs="Times New Roman"/>
          <w:lang w:val="en-GB"/>
        </w:rPr>
        <w:t>6.1 Identification of the target market</w:t>
      </w:r>
      <w:bookmarkEnd w:id="13"/>
    </w:p>
    <w:p w14:paraId="40EBAE26" w14:textId="77777777" w:rsidR="00810ECC" w:rsidRPr="00BF024F" w:rsidRDefault="00810ECC" w:rsidP="00810ECC">
      <w:pPr>
        <w:rPr>
          <w:rFonts w:cs="Times New Roman"/>
          <w:color w:val="000000" w:themeColor="text1"/>
          <w:lang w:val="en-GB"/>
        </w:rPr>
      </w:pPr>
      <w:r w:rsidRPr="00BF024F">
        <w:rPr>
          <w:rFonts w:cs="Times New Roman"/>
          <w:color w:val="000000" w:themeColor="text1"/>
          <w:lang w:val="en-GB"/>
        </w:rPr>
        <w:t xml:space="preserve">EcoRevamp Solutions strategically aims the UK's green homeowners, cost-conscious industries and city dwellers. EcoRevamp Solutions' psychographic segmentation underlines sustainability criteria and technological suitability, aligning with the preferences of ecologically conscious customers. Cost-conscious homeowners are undergoing pain owing to behavioural fragmentation and search for long-term savings (Zhang et al. 2021). Urban regions are immediately prerequisite to be encompassed in EcoRevamp Solutions' geographic subdivision </w:t>
      </w:r>
      <w:r w:rsidRPr="00BF024F">
        <w:rPr>
          <w:rFonts w:cs="Times New Roman"/>
          <w:color w:val="000000" w:themeColor="text1"/>
          <w:lang w:val="en-GB"/>
        </w:rPr>
        <w:lastRenderedPageBreak/>
        <w:t>owing to accumulative energy consumption and predispositions in smart home solutions. Demographically, younger demographics are accommodated with an assortment of solutions to engage their interest in technology. Through this wide-ranging method, EcoRevamp Solutions aims to meet the diverse requirements of its target marketplace, contributing to a sustainable and energy-efficient future.</w:t>
      </w:r>
    </w:p>
    <w:p w14:paraId="2C84B4D5" w14:textId="77777777" w:rsidR="00810ECC" w:rsidRPr="00BF024F" w:rsidRDefault="00810ECC" w:rsidP="00810ECC">
      <w:pPr>
        <w:pStyle w:val="Heading2"/>
        <w:rPr>
          <w:rFonts w:cs="Times New Roman"/>
          <w:lang w:val="en-GB"/>
        </w:rPr>
      </w:pPr>
      <w:bookmarkStart w:id="14" w:name="_Toc153798428"/>
      <w:r w:rsidRPr="00BF024F">
        <w:rPr>
          <w:rFonts w:cs="Times New Roman"/>
          <w:lang w:val="en-GB"/>
        </w:rPr>
        <w:t>6.2 Marketing strategies to reach and capture the target market</w:t>
      </w:r>
      <w:bookmarkEnd w:id="14"/>
    </w:p>
    <w:p w14:paraId="7A1A1EBA" w14:textId="77777777" w:rsidR="00810ECC" w:rsidRPr="00BF024F" w:rsidRDefault="00810ECC" w:rsidP="00810ECC">
      <w:pPr>
        <w:rPr>
          <w:rFonts w:cs="Times New Roman"/>
          <w:color w:val="000000" w:themeColor="text1"/>
          <w:sz w:val="28"/>
          <w:lang w:val="en-GB"/>
        </w:rPr>
      </w:pPr>
      <w:r w:rsidRPr="00BF024F">
        <w:rPr>
          <w:rFonts w:cs="Times New Roman"/>
          <w:color w:val="000000" w:themeColor="text1"/>
          <w:szCs w:val="20"/>
          <w:shd w:val="clear" w:color="auto" w:fill="FFFFFF"/>
          <w:lang w:val="en-GB"/>
        </w:rPr>
        <w:t>EcoRevamp Solutions will engage a multi-faceted marketing approach, leveraging online and offline networks. Content marketing through infographics and videos will instruct and engage environmentally-conscious proprietors. Participation in local ecological events and alliances with builders will boost community perceptibility. Targeted online advertising will magnitude cost-conscious entities are highlighting continuing savings (Miu et al. 2020). Developing social media platforms for sustainable living encouragement will reverberate with the younger demographic. Furthermore, loyalty programs and tailored packages will appeal to behavioural divisions. This integrated approach targets to inaugurate EcoRevamp Solutions as a noticeable performer in sustainable retrofitting, apprehending the different sections of its target marketplace transversely numerous networks.</w:t>
      </w:r>
    </w:p>
    <w:p w14:paraId="5719AD1F" w14:textId="77777777" w:rsidR="00810ECC" w:rsidRPr="00BF024F" w:rsidRDefault="00810ECC" w:rsidP="00810ECC">
      <w:pPr>
        <w:pStyle w:val="Heading1"/>
        <w:rPr>
          <w:rFonts w:cs="Times New Roman"/>
          <w:highlight w:val="white"/>
          <w:lang w:val="en-GB"/>
        </w:rPr>
      </w:pPr>
      <w:bookmarkStart w:id="15" w:name="_Toc153798429"/>
      <w:r w:rsidRPr="00BF024F">
        <w:rPr>
          <w:rFonts w:cs="Times New Roman"/>
          <w:highlight w:val="white"/>
          <w:lang w:val="en-GB"/>
        </w:rPr>
        <w:t>7. Budgeting and Financial Plan</w:t>
      </w:r>
      <w:bookmarkEnd w:id="15"/>
    </w:p>
    <w:p w14:paraId="0F13594E" w14:textId="77777777" w:rsidR="00810ECC" w:rsidRPr="00BF024F" w:rsidRDefault="00810ECC" w:rsidP="00810ECC">
      <w:pPr>
        <w:pStyle w:val="Heading2"/>
        <w:spacing w:before="0"/>
        <w:rPr>
          <w:rFonts w:cs="Times New Roman"/>
          <w:highlight w:val="white"/>
          <w:lang w:val="en-GB"/>
        </w:rPr>
      </w:pPr>
      <w:bookmarkStart w:id="16" w:name="_Toc153798430"/>
      <w:r w:rsidRPr="00BF024F">
        <w:rPr>
          <w:rFonts w:cs="Times New Roman"/>
          <w:highlight w:val="white"/>
          <w:lang w:val="en-GB"/>
        </w:rPr>
        <w:t>7.1 Breakdown of Estimated Costs</w:t>
      </w:r>
      <w:bookmarkEnd w:id="16"/>
    </w:p>
    <w:tbl>
      <w:tblPr>
        <w:tblStyle w:val="Table1"/>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20" w:firstRow="1" w:lastRow="0" w:firstColumn="0" w:lastColumn="0" w:noHBand="1" w:noVBand="1"/>
      </w:tblPr>
      <w:tblGrid>
        <w:gridCol w:w="4835"/>
        <w:gridCol w:w="2275"/>
        <w:gridCol w:w="2230"/>
      </w:tblGrid>
      <w:tr w:rsidR="00810ECC" w:rsidRPr="00BF024F" w14:paraId="21E207B3" w14:textId="77777777" w:rsidTr="00EC1DD0">
        <w:tc>
          <w:tcPr>
            <w:tcW w:w="2588" w:type="pct"/>
            <w:shd w:val="clear" w:color="auto" w:fill="auto"/>
            <w:tcMar>
              <w:top w:w="100" w:type="dxa"/>
              <w:left w:w="100" w:type="dxa"/>
              <w:bottom w:w="100" w:type="dxa"/>
              <w:right w:w="100" w:type="dxa"/>
            </w:tcMar>
          </w:tcPr>
          <w:p w14:paraId="7455AD0C"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Cost Category</w:t>
            </w:r>
          </w:p>
        </w:tc>
        <w:tc>
          <w:tcPr>
            <w:tcW w:w="1218" w:type="pct"/>
            <w:shd w:val="clear" w:color="auto" w:fill="auto"/>
            <w:tcMar>
              <w:top w:w="100" w:type="dxa"/>
              <w:left w:w="100" w:type="dxa"/>
              <w:bottom w:w="100" w:type="dxa"/>
              <w:right w:w="100" w:type="dxa"/>
            </w:tcMar>
          </w:tcPr>
          <w:p w14:paraId="15DC898B"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Estimated Costs (£)</w:t>
            </w:r>
          </w:p>
        </w:tc>
        <w:tc>
          <w:tcPr>
            <w:tcW w:w="1194" w:type="pct"/>
            <w:shd w:val="clear" w:color="auto" w:fill="auto"/>
            <w:tcMar>
              <w:top w:w="100" w:type="dxa"/>
              <w:left w:w="100" w:type="dxa"/>
              <w:bottom w:w="100" w:type="dxa"/>
              <w:right w:w="100" w:type="dxa"/>
            </w:tcMar>
          </w:tcPr>
          <w:p w14:paraId="4895476D"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Estimated Costs (£)</w:t>
            </w:r>
          </w:p>
        </w:tc>
      </w:tr>
      <w:tr w:rsidR="00810ECC" w:rsidRPr="00BF024F" w14:paraId="0E661576" w14:textId="77777777" w:rsidTr="00EC1DD0">
        <w:trPr>
          <w:trHeight w:val="440"/>
        </w:trPr>
        <w:tc>
          <w:tcPr>
            <w:tcW w:w="5000" w:type="pct"/>
            <w:gridSpan w:val="3"/>
            <w:shd w:val="clear" w:color="auto" w:fill="auto"/>
            <w:tcMar>
              <w:top w:w="100" w:type="dxa"/>
              <w:left w:w="100" w:type="dxa"/>
              <w:bottom w:w="100" w:type="dxa"/>
              <w:right w:w="100" w:type="dxa"/>
            </w:tcMar>
          </w:tcPr>
          <w:p w14:paraId="774E3577"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Start-up Costs</w:t>
            </w:r>
          </w:p>
        </w:tc>
      </w:tr>
      <w:tr w:rsidR="00810ECC" w:rsidRPr="00BF024F" w14:paraId="1286B8AC" w14:textId="77777777" w:rsidTr="00EC1DD0">
        <w:tc>
          <w:tcPr>
            <w:tcW w:w="2588" w:type="pct"/>
            <w:shd w:val="clear" w:color="auto" w:fill="auto"/>
            <w:tcMar>
              <w:top w:w="100" w:type="dxa"/>
              <w:left w:w="100" w:type="dxa"/>
              <w:bottom w:w="100" w:type="dxa"/>
              <w:right w:w="100" w:type="dxa"/>
            </w:tcMar>
          </w:tcPr>
          <w:p w14:paraId="7D5213D3"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lang w:val="en-GB"/>
              </w:rPr>
              <w:t>Legal Structure Setup</w:t>
            </w:r>
          </w:p>
        </w:tc>
        <w:tc>
          <w:tcPr>
            <w:tcW w:w="1218" w:type="pct"/>
            <w:shd w:val="clear" w:color="auto" w:fill="auto"/>
            <w:tcMar>
              <w:top w:w="100" w:type="dxa"/>
              <w:left w:w="100" w:type="dxa"/>
              <w:bottom w:w="100" w:type="dxa"/>
              <w:right w:w="100" w:type="dxa"/>
            </w:tcMar>
          </w:tcPr>
          <w:p w14:paraId="50CF7C30"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lang w:val="en-GB"/>
              </w:rPr>
              <w:t>5,000</w:t>
            </w:r>
          </w:p>
        </w:tc>
        <w:tc>
          <w:tcPr>
            <w:tcW w:w="1194" w:type="pct"/>
            <w:shd w:val="clear" w:color="auto" w:fill="auto"/>
            <w:tcMar>
              <w:top w:w="100" w:type="dxa"/>
              <w:left w:w="100" w:type="dxa"/>
              <w:bottom w:w="100" w:type="dxa"/>
              <w:right w:w="100" w:type="dxa"/>
            </w:tcMar>
          </w:tcPr>
          <w:p w14:paraId="42DC2510"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p>
        </w:tc>
      </w:tr>
      <w:tr w:rsidR="00810ECC" w:rsidRPr="00BF024F" w14:paraId="46F7BC98" w14:textId="77777777" w:rsidTr="00EC1DD0">
        <w:tc>
          <w:tcPr>
            <w:tcW w:w="2588" w:type="pct"/>
            <w:shd w:val="clear" w:color="auto" w:fill="auto"/>
            <w:tcMar>
              <w:top w:w="100" w:type="dxa"/>
              <w:left w:w="100" w:type="dxa"/>
              <w:bottom w:w="100" w:type="dxa"/>
              <w:right w:w="100" w:type="dxa"/>
            </w:tcMar>
          </w:tcPr>
          <w:p w14:paraId="55675A80"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lang w:val="en-GB"/>
              </w:rPr>
              <w:t>Office Space &amp; Equipment</w:t>
            </w:r>
          </w:p>
        </w:tc>
        <w:tc>
          <w:tcPr>
            <w:tcW w:w="1218" w:type="pct"/>
            <w:shd w:val="clear" w:color="auto" w:fill="auto"/>
            <w:tcMar>
              <w:top w:w="100" w:type="dxa"/>
              <w:left w:w="100" w:type="dxa"/>
              <w:bottom w:w="100" w:type="dxa"/>
              <w:right w:w="100" w:type="dxa"/>
            </w:tcMar>
          </w:tcPr>
          <w:p w14:paraId="7907CD4B"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lang w:val="en-GB"/>
              </w:rPr>
              <w:t>15,000</w:t>
            </w:r>
          </w:p>
        </w:tc>
        <w:tc>
          <w:tcPr>
            <w:tcW w:w="1194" w:type="pct"/>
            <w:shd w:val="clear" w:color="auto" w:fill="auto"/>
            <w:tcMar>
              <w:top w:w="100" w:type="dxa"/>
              <w:left w:w="100" w:type="dxa"/>
              <w:bottom w:w="100" w:type="dxa"/>
              <w:right w:w="100" w:type="dxa"/>
            </w:tcMar>
          </w:tcPr>
          <w:p w14:paraId="3B5BAC8F"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p>
        </w:tc>
      </w:tr>
      <w:tr w:rsidR="00810ECC" w:rsidRPr="00BF024F" w14:paraId="1250A931" w14:textId="77777777" w:rsidTr="00EC1DD0">
        <w:tc>
          <w:tcPr>
            <w:tcW w:w="2588" w:type="pct"/>
            <w:shd w:val="clear" w:color="auto" w:fill="auto"/>
            <w:tcMar>
              <w:top w:w="100" w:type="dxa"/>
              <w:left w:w="100" w:type="dxa"/>
              <w:bottom w:w="100" w:type="dxa"/>
              <w:right w:w="100" w:type="dxa"/>
            </w:tcMar>
          </w:tcPr>
          <w:p w14:paraId="290AFA79"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lang w:val="en-GB"/>
              </w:rPr>
              <w:t>Technology Infrastructure</w:t>
            </w:r>
          </w:p>
        </w:tc>
        <w:tc>
          <w:tcPr>
            <w:tcW w:w="1218" w:type="pct"/>
            <w:shd w:val="clear" w:color="auto" w:fill="auto"/>
            <w:tcMar>
              <w:top w:w="100" w:type="dxa"/>
              <w:left w:w="100" w:type="dxa"/>
              <w:bottom w:w="100" w:type="dxa"/>
              <w:right w:w="100" w:type="dxa"/>
            </w:tcMar>
          </w:tcPr>
          <w:p w14:paraId="2537B2F9"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lang w:val="en-GB"/>
              </w:rPr>
              <w:t>10,000</w:t>
            </w:r>
          </w:p>
        </w:tc>
        <w:tc>
          <w:tcPr>
            <w:tcW w:w="1194" w:type="pct"/>
            <w:shd w:val="clear" w:color="auto" w:fill="auto"/>
            <w:tcMar>
              <w:top w:w="100" w:type="dxa"/>
              <w:left w:w="100" w:type="dxa"/>
              <w:bottom w:w="100" w:type="dxa"/>
              <w:right w:w="100" w:type="dxa"/>
            </w:tcMar>
          </w:tcPr>
          <w:p w14:paraId="64D9CB14"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p>
        </w:tc>
      </w:tr>
      <w:tr w:rsidR="00810ECC" w:rsidRPr="00BF024F" w14:paraId="017329E0" w14:textId="77777777" w:rsidTr="00EC1DD0">
        <w:tc>
          <w:tcPr>
            <w:tcW w:w="2588" w:type="pct"/>
            <w:shd w:val="clear" w:color="auto" w:fill="auto"/>
            <w:tcMar>
              <w:top w:w="100" w:type="dxa"/>
              <w:left w:w="100" w:type="dxa"/>
              <w:bottom w:w="100" w:type="dxa"/>
              <w:right w:w="100" w:type="dxa"/>
            </w:tcMar>
          </w:tcPr>
          <w:p w14:paraId="3B7777FF"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lang w:val="en-GB"/>
              </w:rPr>
              <w:t>Licensing &amp; Permits</w:t>
            </w:r>
          </w:p>
        </w:tc>
        <w:tc>
          <w:tcPr>
            <w:tcW w:w="1218" w:type="pct"/>
            <w:shd w:val="clear" w:color="auto" w:fill="auto"/>
            <w:tcMar>
              <w:top w:w="100" w:type="dxa"/>
              <w:left w:w="100" w:type="dxa"/>
              <w:bottom w:w="100" w:type="dxa"/>
              <w:right w:w="100" w:type="dxa"/>
            </w:tcMar>
          </w:tcPr>
          <w:p w14:paraId="71433824"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lang w:val="en-GB"/>
              </w:rPr>
              <w:t>3,000</w:t>
            </w:r>
          </w:p>
        </w:tc>
        <w:tc>
          <w:tcPr>
            <w:tcW w:w="1194" w:type="pct"/>
            <w:shd w:val="clear" w:color="auto" w:fill="auto"/>
            <w:tcMar>
              <w:top w:w="100" w:type="dxa"/>
              <w:left w:w="100" w:type="dxa"/>
              <w:bottom w:w="100" w:type="dxa"/>
              <w:right w:w="100" w:type="dxa"/>
            </w:tcMar>
          </w:tcPr>
          <w:p w14:paraId="3ACDBA5C"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p>
        </w:tc>
      </w:tr>
      <w:tr w:rsidR="00810ECC" w:rsidRPr="00BF024F" w14:paraId="4DE8AB86" w14:textId="77777777" w:rsidTr="00EC1DD0">
        <w:tc>
          <w:tcPr>
            <w:tcW w:w="2588" w:type="pct"/>
            <w:shd w:val="clear" w:color="auto" w:fill="auto"/>
            <w:tcMar>
              <w:top w:w="100" w:type="dxa"/>
              <w:left w:w="100" w:type="dxa"/>
              <w:bottom w:w="100" w:type="dxa"/>
              <w:right w:w="100" w:type="dxa"/>
            </w:tcMar>
          </w:tcPr>
          <w:p w14:paraId="3A1A30AB"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lang w:val="en-GB"/>
              </w:rPr>
              <w:t>Initial Marketing Materials</w:t>
            </w:r>
          </w:p>
        </w:tc>
        <w:tc>
          <w:tcPr>
            <w:tcW w:w="1218" w:type="pct"/>
            <w:shd w:val="clear" w:color="auto" w:fill="auto"/>
            <w:tcMar>
              <w:top w:w="100" w:type="dxa"/>
              <w:left w:w="100" w:type="dxa"/>
              <w:bottom w:w="100" w:type="dxa"/>
              <w:right w:w="100" w:type="dxa"/>
            </w:tcMar>
          </w:tcPr>
          <w:p w14:paraId="19C9F61A"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lang w:val="en-GB"/>
              </w:rPr>
              <w:t>7,000</w:t>
            </w:r>
          </w:p>
        </w:tc>
        <w:tc>
          <w:tcPr>
            <w:tcW w:w="1194" w:type="pct"/>
            <w:shd w:val="clear" w:color="auto" w:fill="auto"/>
            <w:tcMar>
              <w:top w:w="100" w:type="dxa"/>
              <w:left w:w="100" w:type="dxa"/>
              <w:bottom w:w="100" w:type="dxa"/>
              <w:right w:w="100" w:type="dxa"/>
            </w:tcMar>
          </w:tcPr>
          <w:p w14:paraId="73F30A8D"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p>
        </w:tc>
      </w:tr>
      <w:tr w:rsidR="00810ECC" w:rsidRPr="00BF024F" w14:paraId="7BB616B7" w14:textId="77777777" w:rsidTr="00EC1DD0">
        <w:tc>
          <w:tcPr>
            <w:tcW w:w="2588" w:type="pct"/>
            <w:shd w:val="clear" w:color="auto" w:fill="auto"/>
            <w:tcMar>
              <w:top w:w="100" w:type="dxa"/>
              <w:left w:w="100" w:type="dxa"/>
              <w:bottom w:w="100" w:type="dxa"/>
              <w:right w:w="100" w:type="dxa"/>
            </w:tcMar>
          </w:tcPr>
          <w:p w14:paraId="72090786"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F024F">
              <w:rPr>
                <w:rFonts w:ascii="Times New Roman" w:eastAsia="Times New Roman" w:hAnsi="Times New Roman" w:cs="Times New Roman"/>
                <w:b/>
                <w:color w:val="000000" w:themeColor="text1"/>
                <w:sz w:val="24"/>
                <w:szCs w:val="24"/>
                <w:lang w:val="en-GB"/>
              </w:rPr>
              <w:t>Total Start-up Costs</w:t>
            </w:r>
          </w:p>
        </w:tc>
        <w:tc>
          <w:tcPr>
            <w:tcW w:w="1218" w:type="pct"/>
            <w:shd w:val="clear" w:color="auto" w:fill="auto"/>
            <w:tcMar>
              <w:top w:w="100" w:type="dxa"/>
              <w:left w:w="100" w:type="dxa"/>
              <w:bottom w:w="100" w:type="dxa"/>
              <w:right w:w="100" w:type="dxa"/>
            </w:tcMar>
          </w:tcPr>
          <w:p w14:paraId="5F728355"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p>
        </w:tc>
        <w:tc>
          <w:tcPr>
            <w:tcW w:w="1194" w:type="pct"/>
            <w:shd w:val="clear" w:color="auto" w:fill="auto"/>
            <w:tcMar>
              <w:top w:w="100" w:type="dxa"/>
              <w:left w:w="100" w:type="dxa"/>
              <w:bottom w:w="100" w:type="dxa"/>
              <w:right w:w="100" w:type="dxa"/>
            </w:tcMar>
          </w:tcPr>
          <w:p w14:paraId="47254432"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40,000</w:t>
            </w:r>
          </w:p>
        </w:tc>
      </w:tr>
      <w:tr w:rsidR="00810ECC" w:rsidRPr="00BF024F" w14:paraId="71B4DD19" w14:textId="77777777" w:rsidTr="00EC1DD0">
        <w:trPr>
          <w:trHeight w:val="440"/>
        </w:trPr>
        <w:tc>
          <w:tcPr>
            <w:tcW w:w="5000" w:type="pct"/>
            <w:gridSpan w:val="3"/>
            <w:shd w:val="clear" w:color="auto" w:fill="auto"/>
            <w:tcMar>
              <w:top w:w="100" w:type="dxa"/>
              <w:left w:w="100" w:type="dxa"/>
              <w:bottom w:w="100" w:type="dxa"/>
              <w:right w:w="100" w:type="dxa"/>
            </w:tcMar>
          </w:tcPr>
          <w:p w14:paraId="1392618B"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lang w:val="en-GB"/>
              </w:rPr>
              <w:t>Operational Costs (Monthly)</w:t>
            </w:r>
          </w:p>
        </w:tc>
      </w:tr>
      <w:tr w:rsidR="00810ECC" w:rsidRPr="00BF024F" w14:paraId="7A1831CC" w14:textId="77777777" w:rsidTr="00EC1DD0">
        <w:tc>
          <w:tcPr>
            <w:tcW w:w="2588" w:type="pct"/>
            <w:shd w:val="clear" w:color="auto" w:fill="auto"/>
            <w:tcMar>
              <w:top w:w="100" w:type="dxa"/>
              <w:left w:w="100" w:type="dxa"/>
              <w:bottom w:w="100" w:type="dxa"/>
              <w:right w:w="100" w:type="dxa"/>
            </w:tcMar>
          </w:tcPr>
          <w:p w14:paraId="4292EC7C"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lang w:val="en-GB"/>
              </w:rPr>
              <w:lastRenderedPageBreak/>
              <w:t>Rent &amp; Utilities</w:t>
            </w:r>
          </w:p>
        </w:tc>
        <w:tc>
          <w:tcPr>
            <w:tcW w:w="1218" w:type="pct"/>
            <w:shd w:val="clear" w:color="auto" w:fill="auto"/>
            <w:tcMar>
              <w:top w:w="100" w:type="dxa"/>
              <w:left w:w="100" w:type="dxa"/>
              <w:bottom w:w="100" w:type="dxa"/>
              <w:right w:w="100" w:type="dxa"/>
            </w:tcMar>
          </w:tcPr>
          <w:p w14:paraId="19873A2D"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lang w:val="en-GB"/>
              </w:rPr>
              <w:t>3,000</w:t>
            </w:r>
          </w:p>
        </w:tc>
        <w:tc>
          <w:tcPr>
            <w:tcW w:w="1194" w:type="pct"/>
            <w:shd w:val="clear" w:color="auto" w:fill="auto"/>
            <w:tcMar>
              <w:top w:w="100" w:type="dxa"/>
              <w:left w:w="100" w:type="dxa"/>
              <w:bottom w:w="100" w:type="dxa"/>
              <w:right w:w="100" w:type="dxa"/>
            </w:tcMar>
          </w:tcPr>
          <w:p w14:paraId="73CF7DC0"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p>
        </w:tc>
      </w:tr>
      <w:tr w:rsidR="00810ECC" w:rsidRPr="00BF024F" w14:paraId="2EE98204" w14:textId="77777777" w:rsidTr="00EC1DD0">
        <w:tc>
          <w:tcPr>
            <w:tcW w:w="2588" w:type="pct"/>
            <w:shd w:val="clear" w:color="auto" w:fill="auto"/>
            <w:tcMar>
              <w:top w:w="100" w:type="dxa"/>
              <w:left w:w="100" w:type="dxa"/>
              <w:bottom w:w="100" w:type="dxa"/>
              <w:right w:w="100" w:type="dxa"/>
            </w:tcMar>
          </w:tcPr>
          <w:p w14:paraId="0D3B537A"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lang w:val="en-GB"/>
              </w:rPr>
              <w:t>Employee Salaries</w:t>
            </w:r>
          </w:p>
        </w:tc>
        <w:tc>
          <w:tcPr>
            <w:tcW w:w="1218" w:type="pct"/>
            <w:shd w:val="clear" w:color="auto" w:fill="auto"/>
            <w:tcMar>
              <w:top w:w="100" w:type="dxa"/>
              <w:left w:w="100" w:type="dxa"/>
              <w:bottom w:w="100" w:type="dxa"/>
              <w:right w:w="100" w:type="dxa"/>
            </w:tcMar>
          </w:tcPr>
          <w:p w14:paraId="37FE263E"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lang w:val="en-GB"/>
              </w:rPr>
              <w:t>20,000</w:t>
            </w:r>
          </w:p>
        </w:tc>
        <w:tc>
          <w:tcPr>
            <w:tcW w:w="1194" w:type="pct"/>
            <w:shd w:val="clear" w:color="auto" w:fill="auto"/>
            <w:tcMar>
              <w:top w:w="100" w:type="dxa"/>
              <w:left w:w="100" w:type="dxa"/>
              <w:bottom w:w="100" w:type="dxa"/>
              <w:right w:w="100" w:type="dxa"/>
            </w:tcMar>
          </w:tcPr>
          <w:p w14:paraId="2C0DF7D5"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p>
        </w:tc>
      </w:tr>
      <w:tr w:rsidR="00810ECC" w:rsidRPr="00BF024F" w14:paraId="61A0B545" w14:textId="77777777" w:rsidTr="00EC1DD0">
        <w:tc>
          <w:tcPr>
            <w:tcW w:w="2588" w:type="pct"/>
            <w:shd w:val="clear" w:color="auto" w:fill="auto"/>
            <w:tcMar>
              <w:top w:w="100" w:type="dxa"/>
              <w:left w:w="100" w:type="dxa"/>
              <w:bottom w:w="100" w:type="dxa"/>
              <w:right w:w="100" w:type="dxa"/>
            </w:tcMar>
          </w:tcPr>
          <w:p w14:paraId="4F2DB2E9"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lang w:val="en-GB"/>
              </w:rPr>
              <w:t>Technology Maintenance</w:t>
            </w:r>
          </w:p>
        </w:tc>
        <w:tc>
          <w:tcPr>
            <w:tcW w:w="1218" w:type="pct"/>
            <w:shd w:val="clear" w:color="auto" w:fill="auto"/>
            <w:tcMar>
              <w:top w:w="100" w:type="dxa"/>
              <w:left w:w="100" w:type="dxa"/>
              <w:bottom w:w="100" w:type="dxa"/>
              <w:right w:w="100" w:type="dxa"/>
            </w:tcMar>
          </w:tcPr>
          <w:p w14:paraId="27357E38"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lang w:val="en-GB"/>
              </w:rPr>
              <w:t>2,500</w:t>
            </w:r>
          </w:p>
        </w:tc>
        <w:tc>
          <w:tcPr>
            <w:tcW w:w="1194" w:type="pct"/>
            <w:shd w:val="clear" w:color="auto" w:fill="auto"/>
            <w:tcMar>
              <w:top w:w="100" w:type="dxa"/>
              <w:left w:w="100" w:type="dxa"/>
              <w:bottom w:w="100" w:type="dxa"/>
              <w:right w:w="100" w:type="dxa"/>
            </w:tcMar>
          </w:tcPr>
          <w:p w14:paraId="4A38018F"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p>
        </w:tc>
      </w:tr>
      <w:tr w:rsidR="00810ECC" w:rsidRPr="00BF024F" w14:paraId="174412AA" w14:textId="77777777" w:rsidTr="00EC1DD0">
        <w:tc>
          <w:tcPr>
            <w:tcW w:w="2588" w:type="pct"/>
            <w:shd w:val="clear" w:color="auto" w:fill="auto"/>
            <w:tcMar>
              <w:top w:w="100" w:type="dxa"/>
              <w:left w:w="100" w:type="dxa"/>
              <w:bottom w:w="100" w:type="dxa"/>
              <w:right w:w="100" w:type="dxa"/>
            </w:tcMar>
          </w:tcPr>
          <w:p w14:paraId="6D570E9A"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lang w:val="en-GB"/>
              </w:rPr>
              <w:t>Insurance</w:t>
            </w:r>
          </w:p>
        </w:tc>
        <w:tc>
          <w:tcPr>
            <w:tcW w:w="1218" w:type="pct"/>
            <w:shd w:val="clear" w:color="auto" w:fill="auto"/>
            <w:tcMar>
              <w:top w:w="100" w:type="dxa"/>
              <w:left w:w="100" w:type="dxa"/>
              <w:bottom w:w="100" w:type="dxa"/>
              <w:right w:w="100" w:type="dxa"/>
            </w:tcMar>
          </w:tcPr>
          <w:p w14:paraId="3FD8116C"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lang w:val="en-GB"/>
              </w:rPr>
              <w:t>1,500</w:t>
            </w:r>
          </w:p>
        </w:tc>
        <w:tc>
          <w:tcPr>
            <w:tcW w:w="1194" w:type="pct"/>
            <w:shd w:val="clear" w:color="auto" w:fill="auto"/>
            <w:tcMar>
              <w:top w:w="100" w:type="dxa"/>
              <w:left w:w="100" w:type="dxa"/>
              <w:bottom w:w="100" w:type="dxa"/>
              <w:right w:w="100" w:type="dxa"/>
            </w:tcMar>
          </w:tcPr>
          <w:p w14:paraId="5F21303A"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p>
        </w:tc>
      </w:tr>
      <w:tr w:rsidR="00810ECC" w:rsidRPr="00BF024F" w14:paraId="579295E4" w14:textId="77777777" w:rsidTr="00EC1DD0">
        <w:tc>
          <w:tcPr>
            <w:tcW w:w="2588" w:type="pct"/>
            <w:shd w:val="clear" w:color="auto" w:fill="auto"/>
            <w:tcMar>
              <w:top w:w="100" w:type="dxa"/>
              <w:left w:w="100" w:type="dxa"/>
              <w:bottom w:w="100" w:type="dxa"/>
              <w:right w:w="100" w:type="dxa"/>
            </w:tcMar>
          </w:tcPr>
          <w:p w14:paraId="298CC552"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F024F">
              <w:rPr>
                <w:rFonts w:ascii="Times New Roman" w:eastAsia="Times New Roman" w:hAnsi="Times New Roman" w:cs="Times New Roman"/>
                <w:color w:val="000000" w:themeColor="text1"/>
                <w:sz w:val="24"/>
                <w:szCs w:val="24"/>
                <w:lang w:val="en-GB"/>
              </w:rPr>
              <w:t>Miscellaneous Expenses</w:t>
            </w:r>
          </w:p>
        </w:tc>
        <w:tc>
          <w:tcPr>
            <w:tcW w:w="1218" w:type="pct"/>
            <w:shd w:val="clear" w:color="auto" w:fill="auto"/>
            <w:tcMar>
              <w:top w:w="100" w:type="dxa"/>
              <w:left w:w="100" w:type="dxa"/>
              <w:bottom w:w="100" w:type="dxa"/>
              <w:right w:w="100" w:type="dxa"/>
            </w:tcMar>
          </w:tcPr>
          <w:p w14:paraId="187AB228"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BF024F">
              <w:rPr>
                <w:rFonts w:ascii="Times New Roman" w:eastAsia="Times New Roman" w:hAnsi="Times New Roman" w:cs="Times New Roman"/>
                <w:color w:val="000000" w:themeColor="text1"/>
                <w:sz w:val="24"/>
                <w:szCs w:val="24"/>
                <w:lang w:val="en-GB"/>
              </w:rPr>
              <w:t>1,000</w:t>
            </w:r>
          </w:p>
        </w:tc>
        <w:tc>
          <w:tcPr>
            <w:tcW w:w="1194" w:type="pct"/>
            <w:shd w:val="clear" w:color="auto" w:fill="auto"/>
            <w:tcMar>
              <w:top w:w="100" w:type="dxa"/>
              <w:left w:w="100" w:type="dxa"/>
              <w:bottom w:w="100" w:type="dxa"/>
              <w:right w:w="100" w:type="dxa"/>
            </w:tcMar>
          </w:tcPr>
          <w:p w14:paraId="36117A6E"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p>
        </w:tc>
      </w:tr>
      <w:tr w:rsidR="00810ECC" w:rsidRPr="00BF024F" w14:paraId="0889B6E0" w14:textId="77777777" w:rsidTr="00EC1DD0">
        <w:tc>
          <w:tcPr>
            <w:tcW w:w="2588" w:type="pct"/>
            <w:shd w:val="clear" w:color="auto" w:fill="auto"/>
            <w:tcMar>
              <w:top w:w="100" w:type="dxa"/>
              <w:left w:w="100" w:type="dxa"/>
              <w:bottom w:w="100" w:type="dxa"/>
              <w:right w:w="100" w:type="dxa"/>
            </w:tcMar>
          </w:tcPr>
          <w:p w14:paraId="2D8D340E"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BF024F">
              <w:rPr>
                <w:rFonts w:ascii="Times New Roman" w:eastAsia="Times New Roman" w:hAnsi="Times New Roman" w:cs="Times New Roman"/>
                <w:b/>
                <w:color w:val="000000" w:themeColor="text1"/>
                <w:sz w:val="24"/>
                <w:szCs w:val="24"/>
                <w:lang w:val="en-GB"/>
              </w:rPr>
              <w:t>Total Monthly Operational Costs</w:t>
            </w:r>
          </w:p>
        </w:tc>
        <w:tc>
          <w:tcPr>
            <w:tcW w:w="1218" w:type="pct"/>
            <w:shd w:val="clear" w:color="auto" w:fill="auto"/>
            <w:tcMar>
              <w:top w:w="100" w:type="dxa"/>
              <w:left w:w="100" w:type="dxa"/>
              <w:bottom w:w="100" w:type="dxa"/>
              <w:right w:w="100" w:type="dxa"/>
            </w:tcMar>
          </w:tcPr>
          <w:p w14:paraId="1D12C9F7"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p>
        </w:tc>
        <w:tc>
          <w:tcPr>
            <w:tcW w:w="1194" w:type="pct"/>
            <w:shd w:val="clear" w:color="auto" w:fill="auto"/>
            <w:tcMar>
              <w:top w:w="100" w:type="dxa"/>
              <w:left w:w="100" w:type="dxa"/>
              <w:bottom w:w="100" w:type="dxa"/>
              <w:right w:w="100" w:type="dxa"/>
            </w:tcMar>
          </w:tcPr>
          <w:p w14:paraId="74DACA24"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lang w:val="en-GB"/>
              </w:rPr>
              <w:t>28,000</w:t>
            </w:r>
          </w:p>
        </w:tc>
      </w:tr>
      <w:tr w:rsidR="00810ECC" w:rsidRPr="00BF024F" w14:paraId="029D965B" w14:textId="77777777" w:rsidTr="00EC1DD0">
        <w:trPr>
          <w:trHeight w:val="440"/>
        </w:trPr>
        <w:tc>
          <w:tcPr>
            <w:tcW w:w="5000" w:type="pct"/>
            <w:gridSpan w:val="3"/>
            <w:shd w:val="clear" w:color="auto" w:fill="auto"/>
            <w:tcMar>
              <w:top w:w="100" w:type="dxa"/>
              <w:left w:w="100" w:type="dxa"/>
              <w:bottom w:w="100" w:type="dxa"/>
              <w:right w:w="100" w:type="dxa"/>
            </w:tcMar>
          </w:tcPr>
          <w:p w14:paraId="26396327"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lang w:val="en-GB"/>
              </w:rPr>
              <w:t>Marketing Costs (Initial)</w:t>
            </w:r>
          </w:p>
        </w:tc>
      </w:tr>
      <w:tr w:rsidR="00810ECC" w:rsidRPr="00BF024F" w14:paraId="144EF49F" w14:textId="77777777" w:rsidTr="00EC1DD0">
        <w:tc>
          <w:tcPr>
            <w:tcW w:w="2588" w:type="pct"/>
            <w:shd w:val="clear" w:color="auto" w:fill="auto"/>
            <w:tcMar>
              <w:top w:w="100" w:type="dxa"/>
              <w:left w:w="100" w:type="dxa"/>
              <w:bottom w:w="100" w:type="dxa"/>
              <w:right w:w="100" w:type="dxa"/>
            </w:tcMar>
          </w:tcPr>
          <w:p w14:paraId="729DC399"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lang w:val="en-GB"/>
              </w:rPr>
              <w:t>Digital Marketing</w:t>
            </w:r>
          </w:p>
        </w:tc>
        <w:tc>
          <w:tcPr>
            <w:tcW w:w="1218" w:type="pct"/>
            <w:shd w:val="clear" w:color="auto" w:fill="auto"/>
            <w:tcMar>
              <w:top w:w="100" w:type="dxa"/>
              <w:left w:w="100" w:type="dxa"/>
              <w:bottom w:w="100" w:type="dxa"/>
              <w:right w:w="100" w:type="dxa"/>
            </w:tcMar>
          </w:tcPr>
          <w:p w14:paraId="2965BAAC"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lang w:val="en-GB"/>
              </w:rPr>
              <w:t>15,000</w:t>
            </w:r>
          </w:p>
        </w:tc>
        <w:tc>
          <w:tcPr>
            <w:tcW w:w="1194" w:type="pct"/>
            <w:shd w:val="clear" w:color="auto" w:fill="auto"/>
            <w:tcMar>
              <w:top w:w="100" w:type="dxa"/>
              <w:left w:w="100" w:type="dxa"/>
              <w:bottom w:w="100" w:type="dxa"/>
              <w:right w:w="100" w:type="dxa"/>
            </w:tcMar>
          </w:tcPr>
          <w:p w14:paraId="3EB72D3B"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p>
        </w:tc>
      </w:tr>
      <w:tr w:rsidR="00810ECC" w:rsidRPr="00BF024F" w14:paraId="022ABA36" w14:textId="77777777" w:rsidTr="00EC1DD0">
        <w:tc>
          <w:tcPr>
            <w:tcW w:w="2588" w:type="pct"/>
            <w:shd w:val="clear" w:color="auto" w:fill="auto"/>
            <w:tcMar>
              <w:top w:w="100" w:type="dxa"/>
              <w:left w:w="100" w:type="dxa"/>
              <w:bottom w:w="100" w:type="dxa"/>
              <w:right w:w="100" w:type="dxa"/>
            </w:tcMar>
          </w:tcPr>
          <w:p w14:paraId="340B367A"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lang w:val="en-GB"/>
              </w:rPr>
              <w:t>Local Events &amp; Partnerships</w:t>
            </w:r>
          </w:p>
        </w:tc>
        <w:tc>
          <w:tcPr>
            <w:tcW w:w="1218" w:type="pct"/>
            <w:shd w:val="clear" w:color="auto" w:fill="auto"/>
            <w:tcMar>
              <w:top w:w="100" w:type="dxa"/>
              <w:left w:w="100" w:type="dxa"/>
              <w:bottom w:w="100" w:type="dxa"/>
              <w:right w:w="100" w:type="dxa"/>
            </w:tcMar>
          </w:tcPr>
          <w:p w14:paraId="2D35C16F"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lang w:val="en-GB"/>
              </w:rPr>
              <w:t>8,000</w:t>
            </w:r>
          </w:p>
        </w:tc>
        <w:tc>
          <w:tcPr>
            <w:tcW w:w="1194" w:type="pct"/>
            <w:shd w:val="clear" w:color="auto" w:fill="auto"/>
            <w:tcMar>
              <w:top w:w="100" w:type="dxa"/>
              <w:left w:w="100" w:type="dxa"/>
              <w:bottom w:w="100" w:type="dxa"/>
              <w:right w:w="100" w:type="dxa"/>
            </w:tcMar>
          </w:tcPr>
          <w:p w14:paraId="024A945F"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p>
        </w:tc>
      </w:tr>
      <w:tr w:rsidR="00810ECC" w:rsidRPr="00BF024F" w14:paraId="276DEAB7" w14:textId="77777777" w:rsidTr="00EC1DD0">
        <w:tc>
          <w:tcPr>
            <w:tcW w:w="2588" w:type="pct"/>
            <w:shd w:val="clear" w:color="auto" w:fill="auto"/>
            <w:tcMar>
              <w:top w:w="100" w:type="dxa"/>
              <w:left w:w="100" w:type="dxa"/>
              <w:bottom w:w="100" w:type="dxa"/>
              <w:right w:w="100" w:type="dxa"/>
            </w:tcMar>
          </w:tcPr>
          <w:p w14:paraId="3C3657DA"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lang w:val="en-GB"/>
              </w:rPr>
              <w:t>Printed Marketing Materials</w:t>
            </w:r>
          </w:p>
        </w:tc>
        <w:tc>
          <w:tcPr>
            <w:tcW w:w="1218" w:type="pct"/>
            <w:shd w:val="clear" w:color="auto" w:fill="auto"/>
            <w:tcMar>
              <w:top w:w="100" w:type="dxa"/>
              <w:left w:w="100" w:type="dxa"/>
              <w:bottom w:w="100" w:type="dxa"/>
              <w:right w:w="100" w:type="dxa"/>
            </w:tcMar>
          </w:tcPr>
          <w:p w14:paraId="0BD51372"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lang w:val="en-GB"/>
              </w:rPr>
              <w:t>5,000</w:t>
            </w:r>
          </w:p>
        </w:tc>
        <w:tc>
          <w:tcPr>
            <w:tcW w:w="1194" w:type="pct"/>
            <w:shd w:val="clear" w:color="auto" w:fill="auto"/>
            <w:tcMar>
              <w:top w:w="100" w:type="dxa"/>
              <w:left w:w="100" w:type="dxa"/>
              <w:bottom w:w="100" w:type="dxa"/>
              <w:right w:w="100" w:type="dxa"/>
            </w:tcMar>
          </w:tcPr>
          <w:p w14:paraId="0857B2AA"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p>
        </w:tc>
      </w:tr>
      <w:tr w:rsidR="00810ECC" w:rsidRPr="00BF024F" w14:paraId="6374E69F" w14:textId="77777777" w:rsidTr="00EC1DD0">
        <w:tc>
          <w:tcPr>
            <w:tcW w:w="2588" w:type="pct"/>
            <w:shd w:val="clear" w:color="auto" w:fill="auto"/>
            <w:tcMar>
              <w:top w:w="100" w:type="dxa"/>
              <w:left w:w="100" w:type="dxa"/>
              <w:bottom w:w="100" w:type="dxa"/>
              <w:right w:w="100" w:type="dxa"/>
            </w:tcMar>
          </w:tcPr>
          <w:p w14:paraId="3ED248D8"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lang w:val="en-GB"/>
              </w:rPr>
              <w:t>Total Initial Marketing Costs</w:t>
            </w:r>
          </w:p>
        </w:tc>
        <w:tc>
          <w:tcPr>
            <w:tcW w:w="1218" w:type="pct"/>
            <w:shd w:val="clear" w:color="auto" w:fill="auto"/>
            <w:tcMar>
              <w:top w:w="100" w:type="dxa"/>
              <w:left w:w="100" w:type="dxa"/>
              <w:bottom w:w="100" w:type="dxa"/>
              <w:right w:w="100" w:type="dxa"/>
            </w:tcMar>
          </w:tcPr>
          <w:p w14:paraId="2441628F"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p>
        </w:tc>
        <w:tc>
          <w:tcPr>
            <w:tcW w:w="1194" w:type="pct"/>
            <w:shd w:val="clear" w:color="auto" w:fill="auto"/>
            <w:tcMar>
              <w:top w:w="100" w:type="dxa"/>
              <w:left w:w="100" w:type="dxa"/>
              <w:bottom w:w="100" w:type="dxa"/>
              <w:right w:w="100" w:type="dxa"/>
            </w:tcMar>
          </w:tcPr>
          <w:p w14:paraId="7B6EC47D"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lang w:val="en-GB"/>
              </w:rPr>
              <w:t>28,000</w:t>
            </w:r>
          </w:p>
        </w:tc>
      </w:tr>
      <w:tr w:rsidR="00810ECC" w:rsidRPr="00BF024F" w14:paraId="413B74CC" w14:textId="77777777" w:rsidTr="00EC1DD0">
        <w:tc>
          <w:tcPr>
            <w:tcW w:w="2588" w:type="pct"/>
            <w:shd w:val="clear" w:color="auto" w:fill="auto"/>
            <w:tcMar>
              <w:top w:w="100" w:type="dxa"/>
              <w:left w:w="100" w:type="dxa"/>
              <w:bottom w:w="100" w:type="dxa"/>
              <w:right w:w="100" w:type="dxa"/>
            </w:tcMar>
          </w:tcPr>
          <w:p w14:paraId="16C03B4E"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BF024F">
              <w:rPr>
                <w:rFonts w:ascii="Times New Roman" w:eastAsia="Times New Roman" w:hAnsi="Times New Roman" w:cs="Times New Roman"/>
                <w:b/>
                <w:color w:val="000000" w:themeColor="text1"/>
                <w:sz w:val="24"/>
                <w:szCs w:val="24"/>
                <w:lang w:val="en-GB"/>
              </w:rPr>
              <w:t>Total Estimated Costs</w:t>
            </w:r>
          </w:p>
        </w:tc>
        <w:tc>
          <w:tcPr>
            <w:tcW w:w="1218" w:type="pct"/>
            <w:shd w:val="clear" w:color="auto" w:fill="auto"/>
            <w:tcMar>
              <w:top w:w="100" w:type="dxa"/>
              <w:left w:w="100" w:type="dxa"/>
              <w:bottom w:w="100" w:type="dxa"/>
              <w:right w:w="100" w:type="dxa"/>
            </w:tcMar>
          </w:tcPr>
          <w:p w14:paraId="67AFD522"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p>
        </w:tc>
        <w:tc>
          <w:tcPr>
            <w:tcW w:w="1194" w:type="pct"/>
            <w:shd w:val="clear" w:color="auto" w:fill="auto"/>
            <w:tcMar>
              <w:top w:w="100" w:type="dxa"/>
              <w:left w:w="100" w:type="dxa"/>
              <w:bottom w:w="100" w:type="dxa"/>
              <w:right w:w="100" w:type="dxa"/>
            </w:tcMar>
          </w:tcPr>
          <w:p w14:paraId="5F906339"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lang w:val="en-GB"/>
              </w:rPr>
              <w:t>96,000</w:t>
            </w:r>
          </w:p>
        </w:tc>
      </w:tr>
    </w:tbl>
    <w:p w14:paraId="20FC8FF3" w14:textId="77777777" w:rsidR="00810ECC" w:rsidRPr="00BF024F" w:rsidRDefault="00810ECC" w:rsidP="00810ECC">
      <w:pPr>
        <w:pStyle w:val="Normal1"/>
        <w:spacing w:line="360" w:lineRule="auto"/>
        <w:jc w:val="center"/>
        <w:rPr>
          <w:rFonts w:ascii="Times New Roman" w:eastAsia="Times New Roman" w:hAnsi="Times New Roman" w:cs="Times New Roman"/>
          <w:b/>
          <w:color w:val="000000" w:themeColor="text1"/>
          <w:sz w:val="24"/>
          <w:szCs w:val="24"/>
          <w:lang w:val="en-GB"/>
        </w:rPr>
      </w:pPr>
      <w:r w:rsidRPr="00BF024F">
        <w:rPr>
          <w:rFonts w:ascii="Times New Roman" w:eastAsia="Times New Roman" w:hAnsi="Times New Roman" w:cs="Times New Roman"/>
          <w:b/>
          <w:color w:val="000000" w:themeColor="text1"/>
          <w:sz w:val="24"/>
          <w:szCs w:val="24"/>
          <w:highlight w:val="white"/>
          <w:lang w:val="en-GB"/>
        </w:rPr>
        <w:t xml:space="preserve">Table 1: </w:t>
      </w:r>
      <w:r w:rsidRPr="00BF024F">
        <w:rPr>
          <w:rFonts w:ascii="Times New Roman" w:eastAsia="Times New Roman" w:hAnsi="Times New Roman" w:cs="Times New Roman"/>
          <w:b/>
          <w:color w:val="000000" w:themeColor="text1"/>
          <w:sz w:val="24"/>
          <w:szCs w:val="24"/>
          <w:lang w:val="en-GB"/>
        </w:rPr>
        <w:t>Breakdown of Estimated Costs</w:t>
      </w:r>
    </w:p>
    <w:p w14:paraId="142B2EF4" w14:textId="77777777" w:rsidR="00810ECC" w:rsidRPr="00BF024F" w:rsidRDefault="00810ECC" w:rsidP="00810ECC">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lang w:val="en-GB"/>
        </w:rPr>
        <w:t>(Source: Self-Developed)</w:t>
      </w:r>
    </w:p>
    <w:p w14:paraId="57B4F9AA" w14:textId="77777777" w:rsidR="00810ECC" w:rsidRPr="00BF024F" w:rsidRDefault="00810ECC" w:rsidP="00810ECC">
      <w:pPr>
        <w:pStyle w:val="Heading2"/>
        <w:rPr>
          <w:rFonts w:cs="Times New Roman"/>
          <w:highlight w:val="white"/>
          <w:lang w:val="en-GB"/>
        </w:rPr>
      </w:pPr>
      <w:bookmarkStart w:id="17" w:name="_Toc153798431"/>
      <w:r w:rsidRPr="00BF024F">
        <w:rPr>
          <w:rFonts w:cs="Times New Roman"/>
          <w:highlight w:val="white"/>
          <w:lang w:val="en-GB"/>
        </w:rPr>
        <w:t>7.2 Revenue Projections and Sales Forecasts</w:t>
      </w:r>
      <w:bookmarkEnd w:id="17"/>
    </w:p>
    <w:tbl>
      <w:tblPr>
        <w:tblStyle w:val="Table2"/>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335"/>
        <w:gridCol w:w="2335"/>
        <w:gridCol w:w="2335"/>
        <w:gridCol w:w="2335"/>
      </w:tblGrid>
      <w:tr w:rsidR="00810ECC" w:rsidRPr="00BF024F" w14:paraId="6399B927" w14:textId="77777777" w:rsidTr="00EC1DD0">
        <w:tc>
          <w:tcPr>
            <w:tcW w:w="1250" w:type="pct"/>
            <w:shd w:val="clear" w:color="auto" w:fill="auto"/>
            <w:tcMar>
              <w:top w:w="100" w:type="dxa"/>
              <w:left w:w="100" w:type="dxa"/>
              <w:bottom w:w="100" w:type="dxa"/>
              <w:right w:w="100" w:type="dxa"/>
            </w:tcMar>
          </w:tcPr>
          <w:p w14:paraId="54DAE358"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Year</w:t>
            </w:r>
          </w:p>
        </w:tc>
        <w:tc>
          <w:tcPr>
            <w:tcW w:w="1250" w:type="pct"/>
            <w:shd w:val="clear" w:color="auto" w:fill="auto"/>
            <w:tcMar>
              <w:top w:w="100" w:type="dxa"/>
              <w:left w:w="100" w:type="dxa"/>
              <w:bottom w:w="100" w:type="dxa"/>
              <w:right w:w="100" w:type="dxa"/>
            </w:tcMar>
          </w:tcPr>
          <w:p w14:paraId="6C509915"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Units Sold</w:t>
            </w:r>
          </w:p>
        </w:tc>
        <w:tc>
          <w:tcPr>
            <w:tcW w:w="1250" w:type="pct"/>
            <w:shd w:val="clear" w:color="auto" w:fill="auto"/>
            <w:tcMar>
              <w:top w:w="100" w:type="dxa"/>
              <w:left w:w="100" w:type="dxa"/>
              <w:bottom w:w="100" w:type="dxa"/>
              <w:right w:w="100" w:type="dxa"/>
            </w:tcMar>
          </w:tcPr>
          <w:p w14:paraId="6B0DACF8"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Unit Price (£)</w:t>
            </w:r>
          </w:p>
        </w:tc>
        <w:tc>
          <w:tcPr>
            <w:tcW w:w="1250" w:type="pct"/>
            <w:shd w:val="clear" w:color="auto" w:fill="auto"/>
            <w:tcMar>
              <w:top w:w="100" w:type="dxa"/>
              <w:left w:w="100" w:type="dxa"/>
              <w:bottom w:w="100" w:type="dxa"/>
              <w:right w:w="100" w:type="dxa"/>
            </w:tcMar>
          </w:tcPr>
          <w:p w14:paraId="06B18721"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Total Revenue (£)</w:t>
            </w:r>
          </w:p>
        </w:tc>
      </w:tr>
      <w:tr w:rsidR="00810ECC" w:rsidRPr="00BF024F" w14:paraId="66740851" w14:textId="77777777" w:rsidTr="00EC1DD0">
        <w:tc>
          <w:tcPr>
            <w:tcW w:w="1250" w:type="pct"/>
            <w:shd w:val="clear" w:color="auto" w:fill="auto"/>
            <w:tcMar>
              <w:top w:w="100" w:type="dxa"/>
              <w:left w:w="100" w:type="dxa"/>
              <w:bottom w:w="100" w:type="dxa"/>
              <w:right w:w="100" w:type="dxa"/>
            </w:tcMar>
          </w:tcPr>
          <w:p w14:paraId="1B6107E7"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2024</w:t>
            </w:r>
          </w:p>
        </w:tc>
        <w:tc>
          <w:tcPr>
            <w:tcW w:w="1250" w:type="pct"/>
            <w:shd w:val="clear" w:color="auto" w:fill="auto"/>
            <w:tcMar>
              <w:top w:w="100" w:type="dxa"/>
              <w:left w:w="100" w:type="dxa"/>
              <w:bottom w:w="100" w:type="dxa"/>
              <w:right w:w="100" w:type="dxa"/>
            </w:tcMar>
          </w:tcPr>
          <w:p w14:paraId="7478F09F"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500</w:t>
            </w:r>
          </w:p>
        </w:tc>
        <w:tc>
          <w:tcPr>
            <w:tcW w:w="1250" w:type="pct"/>
            <w:shd w:val="clear" w:color="auto" w:fill="auto"/>
            <w:tcMar>
              <w:top w:w="100" w:type="dxa"/>
              <w:left w:w="100" w:type="dxa"/>
              <w:bottom w:w="100" w:type="dxa"/>
              <w:right w:w="100" w:type="dxa"/>
            </w:tcMar>
          </w:tcPr>
          <w:p w14:paraId="5EB3FD72"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500</w:t>
            </w:r>
          </w:p>
        </w:tc>
        <w:tc>
          <w:tcPr>
            <w:tcW w:w="1250" w:type="pct"/>
            <w:shd w:val="clear" w:color="auto" w:fill="auto"/>
            <w:tcMar>
              <w:top w:w="100" w:type="dxa"/>
              <w:left w:w="100" w:type="dxa"/>
              <w:bottom w:w="100" w:type="dxa"/>
              <w:right w:w="100" w:type="dxa"/>
            </w:tcMar>
          </w:tcPr>
          <w:p w14:paraId="3A0ED7A8"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2,50,000</w:t>
            </w:r>
          </w:p>
        </w:tc>
      </w:tr>
      <w:tr w:rsidR="00810ECC" w:rsidRPr="00BF024F" w14:paraId="3419F55C" w14:textId="77777777" w:rsidTr="00EC1DD0">
        <w:tc>
          <w:tcPr>
            <w:tcW w:w="1250" w:type="pct"/>
            <w:shd w:val="clear" w:color="auto" w:fill="auto"/>
            <w:tcMar>
              <w:top w:w="100" w:type="dxa"/>
              <w:left w:w="100" w:type="dxa"/>
              <w:bottom w:w="100" w:type="dxa"/>
              <w:right w:w="100" w:type="dxa"/>
            </w:tcMar>
          </w:tcPr>
          <w:p w14:paraId="0C7005CA"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2025</w:t>
            </w:r>
          </w:p>
        </w:tc>
        <w:tc>
          <w:tcPr>
            <w:tcW w:w="1250" w:type="pct"/>
            <w:shd w:val="clear" w:color="auto" w:fill="auto"/>
            <w:tcMar>
              <w:top w:w="100" w:type="dxa"/>
              <w:left w:w="100" w:type="dxa"/>
              <w:bottom w:w="100" w:type="dxa"/>
              <w:right w:w="100" w:type="dxa"/>
            </w:tcMar>
          </w:tcPr>
          <w:p w14:paraId="409ABB3F"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800</w:t>
            </w:r>
          </w:p>
        </w:tc>
        <w:tc>
          <w:tcPr>
            <w:tcW w:w="1250" w:type="pct"/>
            <w:shd w:val="clear" w:color="auto" w:fill="auto"/>
            <w:tcMar>
              <w:top w:w="100" w:type="dxa"/>
              <w:left w:w="100" w:type="dxa"/>
              <w:bottom w:w="100" w:type="dxa"/>
              <w:right w:w="100" w:type="dxa"/>
            </w:tcMar>
          </w:tcPr>
          <w:p w14:paraId="0B0E47D1"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480</w:t>
            </w:r>
          </w:p>
        </w:tc>
        <w:tc>
          <w:tcPr>
            <w:tcW w:w="1250" w:type="pct"/>
            <w:shd w:val="clear" w:color="auto" w:fill="auto"/>
            <w:tcMar>
              <w:top w:w="100" w:type="dxa"/>
              <w:left w:w="100" w:type="dxa"/>
              <w:bottom w:w="100" w:type="dxa"/>
              <w:right w:w="100" w:type="dxa"/>
            </w:tcMar>
          </w:tcPr>
          <w:p w14:paraId="3DE5CDEE"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3,84,000</w:t>
            </w:r>
          </w:p>
        </w:tc>
      </w:tr>
      <w:tr w:rsidR="00810ECC" w:rsidRPr="00BF024F" w14:paraId="6C6E4D34" w14:textId="77777777" w:rsidTr="00EC1DD0">
        <w:tc>
          <w:tcPr>
            <w:tcW w:w="1250" w:type="pct"/>
            <w:shd w:val="clear" w:color="auto" w:fill="auto"/>
            <w:tcMar>
              <w:top w:w="100" w:type="dxa"/>
              <w:left w:w="100" w:type="dxa"/>
              <w:bottom w:w="100" w:type="dxa"/>
              <w:right w:w="100" w:type="dxa"/>
            </w:tcMar>
          </w:tcPr>
          <w:p w14:paraId="62E6925A"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2026</w:t>
            </w:r>
          </w:p>
        </w:tc>
        <w:tc>
          <w:tcPr>
            <w:tcW w:w="1250" w:type="pct"/>
            <w:shd w:val="clear" w:color="auto" w:fill="auto"/>
            <w:tcMar>
              <w:top w:w="100" w:type="dxa"/>
              <w:left w:w="100" w:type="dxa"/>
              <w:bottom w:w="100" w:type="dxa"/>
              <w:right w:w="100" w:type="dxa"/>
            </w:tcMar>
          </w:tcPr>
          <w:p w14:paraId="42896EEC"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1,200</w:t>
            </w:r>
          </w:p>
        </w:tc>
        <w:tc>
          <w:tcPr>
            <w:tcW w:w="1250" w:type="pct"/>
            <w:shd w:val="clear" w:color="auto" w:fill="auto"/>
            <w:tcMar>
              <w:top w:w="100" w:type="dxa"/>
              <w:left w:w="100" w:type="dxa"/>
              <w:bottom w:w="100" w:type="dxa"/>
              <w:right w:w="100" w:type="dxa"/>
            </w:tcMar>
          </w:tcPr>
          <w:p w14:paraId="2D71209D"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460</w:t>
            </w:r>
          </w:p>
        </w:tc>
        <w:tc>
          <w:tcPr>
            <w:tcW w:w="1250" w:type="pct"/>
            <w:shd w:val="clear" w:color="auto" w:fill="auto"/>
            <w:tcMar>
              <w:top w:w="100" w:type="dxa"/>
              <w:left w:w="100" w:type="dxa"/>
              <w:bottom w:w="100" w:type="dxa"/>
              <w:right w:w="100" w:type="dxa"/>
            </w:tcMar>
          </w:tcPr>
          <w:p w14:paraId="67FCE872"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552,000</w:t>
            </w:r>
          </w:p>
        </w:tc>
      </w:tr>
      <w:tr w:rsidR="00810ECC" w:rsidRPr="00BF024F" w14:paraId="1F7DBC0C" w14:textId="77777777" w:rsidTr="00EC1DD0">
        <w:tc>
          <w:tcPr>
            <w:tcW w:w="1250" w:type="pct"/>
            <w:shd w:val="clear" w:color="auto" w:fill="auto"/>
            <w:tcMar>
              <w:top w:w="100" w:type="dxa"/>
              <w:left w:w="100" w:type="dxa"/>
              <w:bottom w:w="100" w:type="dxa"/>
              <w:right w:w="100" w:type="dxa"/>
            </w:tcMar>
          </w:tcPr>
          <w:p w14:paraId="5E94C464"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2027</w:t>
            </w:r>
          </w:p>
        </w:tc>
        <w:tc>
          <w:tcPr>
            <w:tcW w:w="1250" w:type="pct"/>
            <w:shd w:val="clear" w:color="auto" w:fill="auto"/>
            <w:tcMar>
              <w:top w:w="100" w:type="dxa"/>
              <w:left w:w="100" w:type="dxa"/>
              <w:bottom w:w="100" w:type="dxa"/>
              <w:right w:w="100" w:type="dxa"/>
            </w:tcMar>
          </w:tcPr>
          <w:p w14:paraId="0C3F1DF4"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 xml:space="preserve">1,500 </w:t>
            </w:r>
          </w:p>
        </w:tc>
        <w:tc>
          <w:tcPr>
            <w:tcW w:w="1250" w:type="pct"/>
            <w:shd w:val="clear" w:color="auto" w:fill="auto"/>
            <w:tcMar>
              <w:top w:w="100" w:type="dxa"/>
              <w:left w:w="100" w:type="dxa"/>
              <w:bottom w:w="100" w:type="dxa"/>
              <w:right w:w="100" w:type="dxa"/>
            </w:tcMar>
          </w:tcPr>
          <w:p w14:paraId="6C6CC326"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440</w:t>
            </w:r>
          </w:p>
        </w:tc>
        <w:tc>
          <w:tcPr>
            <w:tcW w:w="1250" w:type="pct"/>
            <w:shd w:val="clear" w:color="auto" w:fill="auto"/>
            <w:tcMar>
              <w:top w:w="100" w:type="dxa"/>
              <w:left w:w="100" w:type="dxa"/>
              <w:bottom w:w="100" w:type="dxa"/>
              <w:right w:w="100" w:type="dxa"/>
            </w:tcMar>
          </w:tcPr>
          <w:p w14:paraId="23877AC6"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660,000</w:t>
            </w:r>
          </w:p>
        </w:tc>
      </w:tr>
      <w:tr w:rsidR="00810ECC" w:rsidRPr="00BF024F" w14:paraId="78706EBD" w14:textId="77777777" w:rsidTr="00EC1DD0">
        <w:tc>
          <w:tcPr>
            <w:tcW w:w="1250" w:type="pct"/>
            <w:shd w:val="clear" w:color="auto" w:fill="auto"/>
            <w:tcMar>
              <w:top w:w="100" w:type="dxa"/>
              <w:left w:w="100" w:type="dxa"/>
              <w:bottom w:w="100" w:type="dxa"/>
              <w:right w:w="100" w:type="dxa"/>
            </w:tcMar>
          </w:tcPr>
          <w:p w14:paraId="35A3E217"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lastRenderedPageBreak/>
              <w:t>2028</w:t>
            </w:r>
          </w:p>
        </w:tc>
        <w:tc>
          <w:tcPr>
            <w:tcW w:w="1250" w:type="pct"/>
            <w:shd w:val="clear" w:color="auto" w:fill="auto"/>
            <w:tcMar>
              <w:top w:w="100" w:type="dxa"/>
              <w:left w:w="100" w:type="dxa"/>
              <w:bottom w:w="100" w:type="dxa"/>
              <w:right w:w="100" w:type="dxa"/>
            </w:tcMar>
          </w:tcPr>
          <w:p w14:paraId="6B255C00"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2,000</w:t>
            </w:r>
          </w:p>
        </w:tc>
        <w:tc>
          <w:tcPr>
            <w:tcW w:w="1250" w:type="pct"/>
            <w:shd w:val="clear" w:color="auto" w:fill="auto"/>
            <w:tcMar>
              <w:top w:w="100" w:type="dxa"/>
              <w:left w:w="100" w:type="dxa"/>
              <w:bottom w:w="100" w:type="dxa"/>
              <w:right w:w="100" w:type="dxa"/>
            </w:tcMar>
          </w:tcPr>
          <w:p w14:paraId="13476F6D"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420</w:t>
            </w:r>
          </w:p>
        </w:tc>
        <w:tc>
          <w:tcPr>
            <w:tcW w:w="1250" w:type="pct"/>
            <w:shd w:val="clear" w:color="auto" w:fill="auto"/>
            <w:tcMar>
              <w:top w:w="100" w:type="dxa"/>
              <w:left w:w="100" w:type="dxa"/>
              <w:bottom w:w="100" w:type="dxa"/>
              <w:right w:w="100" w:type="dxa"/>
            </w:tcMar>
          </w:tcPr>
          <w:p w14:paraId="368A7327"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840,000</w:t>
            </w:r>
          </w:p>
        </w:tc>
      </w:tr>
    </w:tbl>
    <w:p w14:paraId="0C55451F" w14:textId="77777777" w:rsidR="00810ECC" w:rsidRPr="00BF024F" w:rsidRDefault="00810ECC" w:rsidP="00810ECC">
      <w:pPr>
        <w:pStyle w:val="Normal1"/>
        <w:spacing w:line="360" w:lineRule="auto"/>
        <w:jc w:val="center"/>
        <w:rPr>
          <w:rFonts w:ascii="Times New Roman" w:eastAsia="Times New Roman" w:hAnsi="Times New Roman" w:cs="Times New Roman"/>
          <w:b/>
          <w:color w:val="000000" w:themeColor="text1"/>
          <w:sz w:val="24"/>
          <w:szCs w:val="24"/>
          <w:lang w:val="en-GB"/>
        </w:rPr>
      </w:pPr>
      <w:r w:rsidRPr="00BF024F">
        <w:rPr>
          <w:rFonts w:ascii="Times New Roman" w:eastAsia="Times New Roman" w:hAnsi="Times New Roman" w:cs="Times New Roman"/>
          <w:b/>
          <w:color w:val="000000" w:themeColor="text1"/>
          <w:sz w:val="24"/>
          <w:szCs w:val="24"/>
          <w:lang w:val="en-GB"/>
        </w:rPr>
        <w:t>Table 2: Revenue Projections and Sales Forecasts</w:t>
      </w:r>
    </w:p>
    <w:p w14:paraId="3E495E80" w14:textId="77777777" w:rsidR="00810ECC" w:rsidRPr="00BF024F" w:rsidRDefault="00810ECC" w:rsidP="00810ECC">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lang w:val="en-GB"/>
        </w:rPr>
        <w:t>(Source: Self-Developed)</w:t>
      </w:r>
    </w:p>
    <w:p w14:paraId="1FBB1CBC" w14:textId="77777777" w:rsidR="00810ECC" w:rsidRPr="00BF024F" w:rsidRDefault="00810ECC" w:rsidP="00810ECC">
      <w:pPr>
        <w:pStyle w:val="Heading2"/>
        <w:rPr>
          <w:rFonts w:cs="Times New Roman"/>
          <w:highlight w:val="white"/>
          <w:lang w:val="en-GB"/>
        </w:rPr>
      </w:pPr>
      <w:bookmarkStart w:id="18" w:name="_Toc153798432"/>
      <w:r w:rsidRPr="00BF024F">
        <w:rPr>
          <w:rFonts w:cs="Times New Roman"/>
          <w:highlight w:val="white"/>
          <w:lang w:val="en-GB"/>
        </w:rPr>
        <w:t>7.3 Projected Balance Sheet</w:t>
      </w:r>
      <w:bookmarkEnd w:id="18"/>
    </w:p>
    <w:tbl>
      <w:tblPr>
        <w:tblStyle w:val="Table3"/>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497"/>
        <w:gridCol w:w="1358"/>
        <w:gridCol w:w="1306"/>
        <w:gridCol w:w="1384"/>
        <w:gridCol w:w="1461"/>
        <w:gridCol w:w="1334"/>
      </w:tblGrid>
      <w:tr w:rsidR="00810ECC" w:rsidRPr="00BF024F" w14:paraId="5C46D0B5" w14:textId="77777777" w:rsidTr="00EC1DD0">
        <w:trPr>
          <w:trHeight w:val="415"/>
        </w:trPr>
        <w:tc>
          <w:tcPr>
            <w:tcW w:w="1337" w:type="pct"/>
            <w:shd w:val="clear" w:color="auto" w:fill="auto"/>
            <w:tcMar>
              <w:top w:w="100" w:type="dxa"/>
              <w:left w:w="100" w:type="dxa"/>
              <w:bottom w:w="100" w:type="dxa"/>
              <w:right w:w="100" w:type="dxa"/>
            </w:tcMar>
          </w:tcPr>
          <w:p w14:paraId="684A0FAB"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Assets</w:t>
            </w:r>
          </w:p>
        </w:tc>
        <w:tc>
          <w:tcPr>
            <w:tcW w:w="727" w:type="pct"/>
            <w:shd w:val="clear" w:color="auto" w:fill="auto"/>
            <w:tcMar>
              <w:top w:w="100" w:type="dxa"/>
              <w:left w:w="100" w:type="dxa"/>
              <w:bottom w:w="100" w:type="dxa"/>
              <w:right w:w="100" w:type="dxa"/>
            </w:tcMar>
          </w:tcPr>
          <w:p w14:paraId="7C47F5E0"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2024 (£)</w:t>
            </w:r>
          </w:p>
        </w:tc>
        <w:tc>
          <w:tcPr>
            <w:tcW w:w="699" w:type="pct"/>
            <w:shd w:val="clear" w:color="auto" w:fill="auto"/>
            <w:tcMar>
              <w:top w:w="100" w:type="dxa"/>
              <w:left w:w="100" w:type="dxa"/>
              <w:bottom w:w="100" w:type="dxa"/>
              <w:right w:w="100" w:type="dxa"/>
            </w:tcMar>
          </w:tcPr>
          <w:p w14:paraId="6FB07BA6"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2025 (£)</w:t>
            </w:r>
          </w:p>
        </w:tc>
        <w:tc>
          <w:tcPr>
            <w:tcW w:w="741" w:type="pct"/>
            <w:shd w:val="clear" w:color="auto" w:fill="auto"/>
            <w:tcMar>
              <w:top w:w="100" w:type="dxa"/>
              <w:left w:w="100" w:type="dxa"/>
              <w:bottom w:w="100" w:type="dxa"/>
              <w:right w:w="100" w:type="dxa"/>
            </w:tcMar>
          </w:tcPr>
          <w:p w14:paraId="60847116"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2026 (£)</w:t>
            </w:r>
          </w:p>
        </w:tc>
        <w:tc>
          <w:tcPr>
            <w:tcW w:w="782" w:type="pct"/>
            <w:shd w:val="clear" w:color="auto" w:fill="auto"/>
            <w:tcMar>
              <w:top w:w="100" w:type="dxa"/>
              <w:left w:w="100" w:type="dxa"/>
              <w:bottom w:w="100" w:type="dxa"/>
              <w:right w:w="100" w:type="dxa"/>
            </w:tcMar>
          </w:tcPr>
          <w:p w14:paraId="53F3347B"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2027 (£)</w:t>
            </w:r>
          </w:p>
        </w:tc>
        <w:tc>
          <w:tcPr>
            <w:tcW w:w="714" w:type="pct"/>
            <w:shd w:val="clear" w:color="auto" w:fill="auto"/>
            <w:tcMar>
              <w:top w:w="100" w:type="dxa"/>
              <w:left w:w="100" w:type="dxa"/>
              <w:bottom w:w="100" w:type="dxa"/>
              <w:right w:w="100" w:type="dxa"/>
            </w:tcMar>
          </w:tcPr>
          <w:p w14:paraId="34312435"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2028 (£)</w:t>
            </w:r>
          </w:p>
        </w:tc>
      </w:tr>
      <w:tr w:rsidR="00810ECC" w:rsidRPr="00BF024F" w14:paraId="524703B6" w14:textId="77777777" w:rsidTr="00EC1DD0">
        <w:trPr>
          <w:trHeight w:val="435"/>
        </w:trPr>
        <w:tc>
          <w:tcPr>
            <w:tcW w:w="5000" w:type="pct"/>
            <w:gridSpan w:val="6"/>
            <w:shd w:val="clear" w:color="auto" w:fill="auto"/>
            <w:tcMar>
              <w:top w:w="100" w:type="dxa"/>
              <w:left w:w="100" w:type="dxa"/>
              <w:bottom w:w="100" w:type="dxa"/>
              <w:right w:w="100" w:type="dxa"/>
            </w:tcMar>
          </w:tcPr>
          <w:p w14:paraId="23C18639"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Current Assets</w:t>
            </w:r>
          </w:p>
        </w:tc>
      </w:tr>
      <w:tr w:rsidR="00810ECC" w:rsidRPr="00BF024F" w14:paraId="2C5E281E" w14:textId="77777777" w:rsidTr="00EC1DD0">
        <w:trPr>
          <w:trHeight w:val="415"/>
        </w:trPr>
        <w:tc>
          <w:tcPr>
            <w:tcW w:w="1337" w:type="pct"/>
            <w:shd w:val="clear" w:color="auto" w:fill="auto"/>
            <w:tcMar>
              <w:top w:w="100" w:type="dxa"/>
              <w:left w:w="100" w:type="dxa"/>
              <w:bottom w:w="100" w:type="dxa"/>
              <w:right w:w="100" w:type="dxa"/>
            </w:tcMar>
          </w:tcPr>
          <w:p w14:paraId="09663024"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Cash and Cash Equivalents</w:t>
            </w:r>
          </w:p>
        </w:tc>
        <w:tc>
          <w:tcPr>
            <w:tcW w:w="727" w:type="pct"/>
            <w:shd w:val="clear" w:color="auto" w:fill="auto"/>
            <w:tcMar>
              <w:top w:w="100" w:type="dxa"/>
              <w:left w:w="100" w:type="dxa"/>
              <w:bottom w:w="100" w:type="dxa"/>
              <w:right w:w="100" w:type="dxa"/>
            </w:tcMar>
          </w:tcPr>
          <w:p w14:paraId="30519272"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50,000</w:t>
            </w:r>
          </w:p>
        </w:tc>
        <w:tc>
          <w:tcPr>
            <w:tcW w:w="699" w:type="pct"/>
            <w:shd w:val="clear" w:color="auto" w:fill="auto"/>
            <w:tcMar>
              <w:top w:w="100" w:type="dxa"/>
              <w:left w:w="100" w:type="dxa"/>
              <w:bottom w:w="100" w:type="dxa"/>
              <w:right w:w="100" w:type="dxa"/>
            </w:tcMar>
          </w:tcPr>
          <w:p w14:paraId="446BF030"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150,000</w:t>
            </w:r>
          </w:p>
        </w:tc>
        <w:tc>
          <w:tcPr>
            <w:tcW w:w="741" w:type="pct"/>
            <w:shd w:val="clear" w:color="auto" w:fill="auto"/>
            <w:tcMar>
              <w:top w:w="100" w:type="dxa"/>
              <w:left w:w="100" w:type="dxa"/>
              <w:bottom w:w="100" w:type="dxa"/>
              <w:right w:w="100" w:type="dxa"/>
            </w:tcMar>
          </w:tcPr>
          <w:p w14:paraId="7BEA33EE"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200,000</w:t>
            </w:r>
          </w:p>
        </w:tc>
        <w:tc>
          <w:tcPr>
            <w:tcW w:w="782" w:type="pct"/>
            <w:shd w:val="clear" w:color="auto" w:fill="auto"/>
            <w:tcMar>
              <w:top w:w="100" w:type="dxa"/>
              <w:left w:w="100" w:type="dxa"/>
              <w:bottom w:w="100" w:type="dxa"/>
              <w:right w:w="100" w:type="dxa"/>
            </w:tcMar>
          </w:tcPr>
          <w:p w14:paraId="62D73123"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300,000</w:t>
            </w:r>
          </w:p>
        </w:tc>
        <w:tc>
          <w:tcPr>
            <w:tcW w:w="714" w:type="pct"/>
            <w:shd w:val="clear" w:color="auto" w:fill="auto"/>
            <w:tcMar>
              <w:top w:w="100" w:type="dxa"/>
              <w:left w:w="100" w:type="dxa"/>
              <w:bottom w:w="100" w:type="dxa"/>
              <w:right w:w="100" w:type="dxa"/>
            </w:tcMar>
          </w:tcPr>
          <w:p w14:paraId="7484F955"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 xml:space="preserve">400,000 </w:t>
            </w:r>
          </w:p>
        </w:tc>
      </w:tr>
      <w:tr w:rsidR="00810ECC" w:rsidRPr="00BF024F" w14:paraId="6DA36DD0" w14:textId="77777777" w:rsidTr="00EC1DD0">
        <w:trPr>
          <w:trHeight w:val="430"/>
        </w:trPr>
        <w:tc>
          <w:tcPr>
            <w:tcW w:w="1337" w:type="pct"/>
            <w:shd w:val="clear" w:color="auto" w:fill="auto"/>
            <w:tcMar>
              <w:top w:w="100" w:type="dxa"/>
              <w:left w:w="100" w:type="dxa"/>
              <w:bottom w:w="100" w:type="dxa"/>
              <w:right w:w="100" w:type="dxa"/>
            </w:tcMar>
          </w:tcPr>
          <w:p w14:paraId="3335D2A7"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Accounts Receivable</w:t>
            </w:r>
          </w:p>
        </w:tc>
        <w:tc>
          <w:tcPr>
            <w:tcW w:w="727" w:type="pct"/>
            <w:shd w:val="clear" w:color="auto" w:fill="auto"/>
            <w:tcMar>
              <w:top w:w="100" w:type="dxa"/>
              <w:left w:w="100" w:type="dxa"/>
              <w:bottom w:w="100" w:type="dxa"/>
              <w:right w:w="100" w:type="dxa"/>
            </w:tcMar>
          </w:tcPr>
          <w:p w14:paraId="32DF1CA5"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20,000</w:t>
            </w:r>
          </w:p>
        </w:tc>
        <w:tc>
          <w:tcPr>
            <w:tcW w:w="699" w:type="pct"/>
            <w:shd w:val="clear" w:color="auto" w:fill="auto"/>
            <w:tcMar>
              <w:top w:w="100" w:type="dxa"/>
              <w:left w:w="100" w:type="dxa"/>
              <w:bottom w:w="100" w:type="dxa"/>
              <w:right w:w="100" w:type="dxa"/>
            </w:tcMar>
          </w:tcPr>
          <w:p w14:paraId="345AC6D3"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30,000</w:t>
            </w:r>
          </w:p>
        </w:tc>
        <w:tc>
          <w:tcPr>
            <w:tcW w:w="741" w:type="pct"/>
            <w:shd w:val="clear" w:color="auto" w:fill="auto"/>
            <w:tcMar>
              <w:top w:w="100" w:type="dxa"/>
              <w:left w:w="100" w:type="dxa"/>
              <w:bottom w:w="100" w:type="dxa"/>
              <w:right w:w="100" w:type="dxa"/>
            </w:tcMar>
          </w:tcPr>
          <w:p w14:paraId="198A612D"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50,000</w:t>
            </w:r>
          </w:p>
        </w:tc>
        <w:tc>
          <w:tcPr>
            <w:tcW w:w="782" w:type="pct"/>
            <w:shd w:val="clear" w:color="auto" w:fill="auto"/>
            <w:tcMar>
              <w:top w:w="100" w:type="dxa"/>
              <w:left w:w="100" w:type="dxa"/>
              <w:bottom w:w="100" w:type="dxa"/>
              <w:right w:w="100" w:type="dxa"/>
            </w:tcMar>
          </w:tcPr>
          <w:p w14:paraId="6CBEAAA0"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80,000</w:t>
            </w:r>
          </w:p>
        </w:tc>
        <w:tc>
          <w:tcPr>
            <w:tcW w:w="714" w:type="pct"/>
            <w:shd w:val="clear" w:color="auto" w:fill="auto"/>
            <w:tcMar>
              <w:top w:w="100" w:type="dxa"/>
              <w:left w:w="100" w:type="dxa"/>
              <w:bottom w:w="100" w:type="dxa"/>
              <w:right w:w="100" w:type="dxa"/>
            </w:tcMar>
          </w:tcPr>
          <w:p w14:paraId="69A4AD90"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 xml:space="preserve">100,000 </w:t>
            </w:r>
          </w:p>
        </w:tc>
      </w:tr>
      <w:tr w:rsidR="00810ECC" w:rsidRPr="00BF024F" w14:paraId="6A2F1ED0" w14:textId="77777777" w:rsidTr="00EC1DD0">
        <w:trPr>
          <w:trHeight w:val="415"/>
        </w:trPr>
        <w:tc>
          <w:tcPr>
            <w:tcW w:w="1337" w:type="pct"/>
            <w:shd w:val="clear" w:color="auto" w:fill="auto"/>
            <w:tcMar>
              <w:top w:w="100" w:type="dxa"/>
              <w:left w:w="100" w:type="dxa"/>
              <w:bottom w:w="100" w:type="dxa"/>
              <w:right w:w="100" w:type="dxa"/>
            </w:tcMar>
          </w:tcPr>
          <w:p w14:paraId="31B8B21C"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 xml:space="preserve">Inventory </w:t>
            </w:r>
          </w:p>
        </w:tc>
        <w:tc>
          <w:tcPr>
            <w:tcW w:w="727" w:type="pct"/>
            <w:shd w:val="clear" w:color="auto" w:fill="auto"/>
            <w:tcMar>
              <w:top w:w="100" w:type="dxa"/>
              <w:left w:w="100" w:type="dxa"/>
              <w:bottom w:w="100" w:type="dxa"/>
              <w:right w:w="100" w:type="dxa"/>
            </w:tcMar>
          </w:tcPr>
          <w:p w14:paraId="1595A53B"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15,000</w:t>
            </w:r>
          </w:p>
        </w:tc>
        <w:tc>
          <w:tcPr>
            <w:tcW w:w="699" w:type="pct"/>
            <w:shd w:val="clear" w:color="auto" w:fill="auto"/>
            <w:tcMar>
              <w:top w:w="100" w:type="dxa"/>
              <w:left w:w="100" w:type="dxa"/>
              <w:bottom w:w="100" w:type="dxa"/>
              <w:right w:w="100" w:type="dxa"/>
            </w:tcMar>
          </w:tcPr>
          <w:p w14:paraId="28F07FBB"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25,000</w:t>
            </w:r>
          </w:p>
        </w:tc>
        <w:tc>
          <w:tcPr>
            <w:tcW w:w="741" w:type="pct"/>
            <w:shd w:val="clear" w:color="auto" w:fill="auto"/>
            <w:tcMar>
              <w:top w:w="100" w:type="dxa"/>
              <w:left w:w="100" w:type="dxa"/>
              <w:bottom w:w="100" w:type="dxa"/>
              <w:right w:w="100" w:type="dxa"/>
            </w:tcMar>
          </w:tcPr>
          <w:p w14:paraId="2D6104B9"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30,000</w:t>
            </w:r>
          </w:p>
        </w:tc>
        <w:tc>
          <w:tcPr>
            <w:tcW w:w="782" w:type="pct"/>
            <w:shd w:val="clear" w:color="auto" w:fill="auto"/>
            <w:tcMar>
              <w:top w:w="100" w:type="dxa"/>
              <w:left w:w="100" w:type="dxa"/>
              <w:bottom w:w="100" w:type="dxa"/>
              <w:right w:w="100" w:type="dxa"/>
            </w:tcMar>
          </w:tcPr>
          <w:p w14:paraId="7DFEF43C"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40,000</w:t>
            </w:r>
          </w:p>
        </w:tc>
        <w:tc>
          <w:tcPr>
            <w:tcW w:w="714" w:type="pct"/>
            <w:shd w:val="clear" w:color="auto" w:fill="auto"/>
            <w:tcMar>
              <w:top w:w="100" w:type="dxa"/>
              <w:left w:w="100" w:type="dxa"/>
              <w:bottom w:w="100" w:type="dxa"/>
              <w:right w:w="100" w:type="dxa"/>
            </w:tcMar>
          </w:tcPr>
          <w:p w14:paraId="38ECA97E"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50,000</w:t>
            </w:r>
          </w:p>
        </w:tc>
      </w:tr>
      <w:tr w:rsidR="00810ECC" w:rsidRPr="00BF024F" w14:paraId="04E61722" w14:textId="77777777" w:rsidTr="00EC1DD0">
        <w:trPr>
          <w:trHeight w:val="415"/>
        </w:trPr>
        <w:tc>
          <w:tcPr>
            <w:tcW w:w="1337" w:type="pct"/>
            <w:shd w:val="clear" w:color="auto" w:fill="auto"/>
            <w:tcMar>
              <w:top w:w="100" w:type="dxa"/>
              <w:left w:w="100" w:type="dxa"/>
              <w:bottom w:w="100" w:type="dxa"/>
              <w:right w:w="100" w:type="dxa"/>
            </w:tcMar>
          </w:tcPr>
          <w:p w14:paraId="2CBDFBD0"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Total Current Assets</w:t>
            </w:r>
          </w:p>
        </w:tc>
        <w:tc>
          <w:tcPr>
            <w:tcW w:w="727" w:type="pct"/>
            <w:shd w:val="clear" w:color="auto" w:fill="auto"/>
            <w:tcMar>
              <w:top w:w="100" w:type="dxa"/>
              <w:left w:w="100" w:type="dxa"/>
              <w:bottom w:w="100" w:type="dxa"/>
              <w:right w:w="100" w:type="dxa"/>
            </w:tcMar>
          </w:tcPr>
          <w:p w14:paraId="0F7223C5"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85,000</w:t>
            </w:r>
          </w:p>
        </w:tc>
        <w:tc>
          <w:tcPr>
            <w:tcW w:w="699" w:type="pct"/>
            <w:shd w:val="clear" w:color="auto" w:fill="auto"/>
            <w:tcMar>
              <w:top w:w="100" w:type="dxa"/>
              <w:left w:w="100" w:type="dxa"/>
              <w:bottom w:w="100" w:type="dxa"/>
              <w:right w:w="100" w:type="dxa"/>
            </w:tcMar>
          </w:tcPr>
          <w:p w14:paraId="28D301CD"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205,000</w:t>
            </w:r>
          </w:p>
        </w:tc>
        <w:tc>
          <w:tcPr>
            <w:tcW w:w="741" w:type="pct"/>
            <w:shd w:val="clear" w:color="auto" w:fill="auto"/>
            <w:tcMar>
              <w:top w:w="100" w:type="dxa"/>
              <w:left w:w="100" w:type="dxa"/>
              <w:bottom w:w="100" w:type="dxa"/>
              <w:right w:w="100" w:type="dxa"/>
            </w:tcMar>
          </w:tcPr>
          <w:p w14:paraId="41F8E905"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280,000</w:t>
            </w:r>
          </w:p>
        </w:tc>
        <w:tc>
          <w:tcPr>
            <w:tcW w:w="782" w:type="pct"/>
            <w:shd w:val="clear" w:color="auto" w:fill="auto"/>
            <w:tcMar>
              <w:top w:w="100" w:type="dxa"/>
              <w:left w:w="100" w:type="dxa"/>
              <w:bottom w:w="100" w:type="dxa"/>
              <w:right w:w="100" w:type="dxa"/>
            </w:tcMar>
          </w:tcPr>
          <w:p w14:paraId="05102C9A"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420,000</w:t>
            </w:r>
          </w:p>
        </w:tc>
        <w:tc>
          <w:tcPr>
            <w:tcW w:w="714" w:type="pct"/>
            <w:shd w:val="clear" w:color="auto" w:fill="auto"/>
            <w:tcMar>
              <w:top w:w="100" w:type="dxa"/>
              <w:left w:w="100" w:type="dxa"/>
              <w:bottom w:w="100" w:type="dxa"/>
              <w:right w:w="100" w:type="dxa"/>
            </w:tcMar>
          </w:tcPr>
          <w:p w14:paraId="588BC3DF"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550,000</w:t>
            </w:r>
          </w:p>
        </w:tc>
      </w:tr>
      <w:tr w:rsidR="00810ECC" w:rsidRPr="00BF024F" w14:paraId="77624DEC" w14:textId="77777777" w:rsidTr="00EC1DD0">
        <w:trPr>
          <w:trHeight w:val="435"/>
        </w:trPr>
        <w:tc>
          <w:tcPr>
            <w:tcW w:w="5000" w:type="pct"/>
            <w:gridSpan w:val="6"/>
            <w:shd w:val="clear" w:color="auto" w:fill="auto"/>
            <w:tcMar>
              <w:top w:w="100" w:type="dxa"/>
              <w:left w:w="100" w:type="dxa"/>
              <w:bottom w:w="100" w:type="dxa"/>
              <w:right w:w="100" w:type="dxa"/>
            </w:tcMar>
          </w:tcPr>
          <w:p w14:paraId="0A123405"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Non-Current Assets</w:t>
            </w:r>
          </w:p>
        </w:tc>
      </w:tr>
      <w:tr w:rsidR="00810ECC" w:rsidRPr="00BF024F" w14:paraId="48360ED1" w14:textId="77777777" w:rsidTr="00EC1DD0">
        <w:trPr>
          <w:trHeight w:val="142"/>
        </w:trPr>
        <w:tc>
          <w:tcPr>
            <w:tcW w:w="1337" w:type="pct"/>
            <w:shd w:val="clear" w:color="auto" w:fill="auto"/>
            <w:tcMar>
              <w:top w:w="100" w:type="dxa"/>
              <w:left w:w="100" w:type="dxa"/>
              <w:bottom w:w="100" w:type="dxa"/>
              <w:right w:w="100" w:type="dxa"/>
            </w:tcMar>
          </w:tcPr>
          <w:p w14:paraId="11545A16"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Property, Plant, and Equipment</w:t>
            </w:r>
          </w:p>
        </w:tc>
        <w:tc>
          <w:tcPr>
            <w:tcW w:w="727" w:type="pct"/>
            <w:shd w:val="clear" w:color="auto" w:fill="auto"/>
            <w:tcMar>
              <w:top w:w="100" w:type="dxa"/>
              <w:left w:w="100" w:type="dxa"/>
              <w:bottom w:w="100" w:type="dxa"/>
              <w:right w:w="100" w:type="dxa"/>
            </w:tcMar>
          </w:tcPr>
          <w:p w14:paraId="6C10C180"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150,000</w:t>
            </w:r>
          </w:p>
        </w:tc>
        <w:tc>
          <w:tcPr>
            <w:tcW w:w="699" w:type="pct"/>
            <w:shd w:val="clear" w:color="auto" w:fill="auto"/>
            <w:tcMar>
              <w:top w:w="100" w:type="dxa"/>
              <w:left w:w="100" w:type="dxa"/>
              <w:bottom w:w="100" w:type="dxa"/>
              <w:right w:w="100" w:type="dxa"/>
            </w:tcMar>
          </w:tcPr>
          <w:p w14:paraId="59DC3E97"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 xml:space="preserve">200,000  </w:t>
            </w:r>
          </w:p>
        </w:tc>
        <w:tc>
          <w:tcPr>
            <w:tcW w:w="741" w:type="pct"/>
            <w:shd w:val="clear" w:color="auto" w:fill="auto"/>
            <w:tcMar>
              <w:top w:w="100" w:type="dxa"/>
              <w:left w:w="100" w:type="dxa"/>
              <w:bottom w:w="100" w:type="dxa"/>
              <w:right w:w="100" w:type="dxa"/>
            </w:tcMar>
          </w:tcPr>
          <w:p w14:paraId="715A00B1"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250,000</w:t>
            </w:r>
          </w:p>
        </w:tc>
        <w:tc>
          <w:tcPr>
            <w:tcW w:w="782" w:type="pct"/>
            <w:shd w:val="clear" w:color="auto" w:fill="auto"/>
            <w:tcMar>
              <w:top w:w="100" w:type="dxa"/>
              <w:left w:w="100" w:type="dxa"/>
              <w:bottom w:w="100" w:type="dxa"/>
              <w:right w:w="100" w:type="dxa"/>
            </w:tcMar>
          </w:tcPr>
          <w:p w14:paraId="24D97E57"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300,000</w:t>
            </w:r>
          </w:p>
        </w:tc>
        <w:tc>
          <w:tcPr>
            <w:tcW w:w="714" w:type="pct"/>
            <w:shd w:val="clear" w:color="auto" w:fill="auto"/>
            <w:tcMar>
              <w:top w:w="100" w:type="dxa"/>
              <w:left w:w="100" w:type="dxa"/>
              <w:bottom w:w="100" w:type="dxa"/>
              <w:right w:w="100" w:type="dxa"/>
            </w:tcMar>
          </w:tcPr>
          <w:p w14:paraId="46D082C8"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350,000</w:t>
            </w:r>
          </w:p>
        </w:tc>
      </w:tr>
      <w:tr w:rsidR="00810ECC" w:rsidRPr="00BF024F" w14:paraId="21A05571" w14:textId="77777777" w:rsidTr="00EC1DD0">
        <w:trPr>
          <w:trHeight w:val="142"/>
        </w:trPr>
        <w:tc>
          <w:tcPr>
            <w:tcW w:w="1337" w:type="pct"/>
            <w:shd w:val="clear" w:color="auto" w:fill="auto"/>
            <w:tcMar>
              <w:top w:w="100" w:type="dxa"/>
              <w:left w:w="100" w:type="dxa"/>
              <w:bottom w:w="100" w:type="dxa"/>
              <w:right w:w="100" w:type="dxa"/>
            </w:tcMar>
          </w:tcPr>
          <w:p w14:paraId="5CE351CC"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Intangible Assets (e.g., patents)</w:t>
            </w:r>
          </w:p>
        </w:tc>
        <w:tc>
          <w:tcPr>
            <w:tcW w:w="727" w:type="pct"/>
            <w:shd w:val="clear" w:color="auto" w:fill="auto"/>
            <w:tcMar>
              <w:top w:w="100" w:type="dxa"/>
              <w:left w:w="100" w:type="dxa"/>
              <w:bottom w:w="100" w:type="dxa"/>
              <w:right w:w="100" w:type="dxa"/>
            </w:tcMar>
          </w:tcPr>
          <w:p w14:paraId="17C5F234"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30,000</w:t>
            </w:r>
          </w:p>
        </w:tc>
        <w:tc>
          <w:tcPr>
            <w:tcW w:w="699" w:type="pct"/>
            <w:shd w:val="clear" w:color="auto" w:fill="auto"/>
            <w:tcMar>
              <w:top w:w="100" w:type="dxa"/>
              <w:left w:w="100" w:type="dxa"/>
              <w:bottom w:w="100" w:type="dxa"/>
              <w:right w:w="100" w:type="dxa"/>
            </w:tcMar>
          </w:tcPr>
          <w:p w14:paraId="1FE9685E"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40,000</w:t>
            </w:r>
          </w:p>
        </w:tc>
        <w:tc>
          <w:tcPr>
            <w:tcW w:w="741" w:type="pct"/>
            <w:shd w:val="clear" w:color="auto" w:fill="auto"/>
            <w:tcMar>
              <w:top w:w="100" w:type="dxa"/>
              <w:left w:w="100" w:type="dxa"/>
              <w:bottom w:w="100" w:type="dxa"/>
              <w:right w:w="100" w:type="dxa"/>
            </w:tcMar>
          </w:tcPr>
          <w:p w14:paraId="5855AFD2"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50,000</w:t>
            </w:r>
          </w:p>
        </w:tc>
        <w:tc>
          <w:tcPr>
            <w:tcW w:w="782" w:type="pct"/>
            <w:shd w:val="clear" w:color="auto" w:fill="auto"/>
            <w:tcMar>
              <w:top w:w="100" w:type="dxa"/>
              <w:left w:w="100" w:type="dxa"/>
              <w:bottom w:w="100" w:type="dxa"/>
              <w:right w:w="100" w:type="dxa"/>
            </w:tcMar>
          </w:tcPr>
          <w:p w14:paraId="6A46E4AD"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60,000</w:t>
            </w:r>
          </w:p>
        </w:tc>
        <w:tc>
          <w:tcPr>
            <w:tcW w:w="714" w:type="pct"/>
            <w:shd w:val="clear" w:color="auto" w:fill="auto"/>
            <w:tcMar>
              <w:top w:w="100" w:type="dxa"/>
              <w:left w:w="100" w:type="dxa"/>
              <w:bottom w:w="100" w:type="dxa"/>
              <w:right w:w="100" w:type="dxa"/>
            </w:tcMar>
          </w:tcPr>
          <w:p w14:paraId="3CBFB570"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70,000</w:t>
            </w:r>
          </w:p>
        </w:tc>
      </w:tr>
      <w:tr w:rsidR="00810ECC" w:rsidRPr="00BF024F" w14:paraId="5DCC02EF" w14:textId="77777777" w:rsidTr="00EC1DD0">
        <w:trPr>
          <w:trHeight w:val="142"/>
        </w:trPr>
        <w:tc>
          <w:tcPr>
            <w:tcW w:w="1337" w:type="pct"/>
            <w:shd w:val="clear" w:color="auto" w:fill="auto"/>
            <w:tcMar>
              <w:top w:w="100" w:type="dxa"/>
              <w:left w:w="100" w:type="dxa"/>
              <w:bottom w:w="100" w:type="dxa"/>
              <w:right w:w="100" w:type="dxa"/>
            </w:tcMar>
          </w:tcPr>
          <w:p w14:paraId="1EFA9C08"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Total Non-Current Assets</w:t>
            </w:r>
          </w:p>
        </w:tc>
        <w:tc>
          <w:tcPr>
            <w:tcW w:w="727" w:type="pct"/>
            <w:shd w:val="clear" w:color="auto" w:fill="auto"/>
            <w:tcMar>
              <w:top w:w="100" w:type="dxa"/>
              <w:left w:w="100" w:type="dxa"/>
              <w:bottom w:w="100" w:type="dxa"/>
              <w:right w:w="100" w:type="dxa"/>
            </w:tcMar>
          </w:tcPr>
          <w:p w14:paraId="0F40996E"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180,000</w:t>
            </w:r>
          </w:p>
        </w:tc>
        <w:tc>
          <w:tcPr>
            <w:tcW w:w="699" w:type="pct"/>
            <w:shd w:val="clear" w:color="auto" w:fill="auto"/>
            <w:tcMar>
              <w:top w:w="100" w:type="dxa"/>
              <w:left w:w="100" w:type="dxa"/>
              <w:bottom w:w="100" w:type="dxa"/>
              <w:right w:w="100" w:type="dxa"/>
            </w:tcMar>
          </w:tcPr>
          <w:p w14:paraId="3C4ABF1E"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240,000</w:t>
            </w:r>
          </w:p>
        </w:tc>
        <w:tc>
          <w:tcPr>
            <w:tcW w:w="741" w:type="pct"/>
            <w:shd w:val="clear" w:color="auto" w:fill="auto"/>
            <w:tcMar>
              <w:top w:w="100" w:type="dxa"/>
              <w:left w:w="100" w:type="dxa"/>
              <w:bottom w:w="100" w:type="dxa"/>
              <w:right w:w="100" w:type="dxa"/>
            </w:tcMar>
          </w:tcPr>
          <w:p w14:paraId="1A92B78B"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300,000</w:t>
            </w:r>
          </w:p>
        </w:tc>
        <w:tc>
          <w:tcPr>
            <w:tcW w:w="782" w:type="pct"/>
            <w:shd w:val="clear" w:color="auto" w:fill="auto"/>
            <w:tcMar>
              <w:top w:w="100" w:type="dxa"/>
              <w:left w:w="100" w:type="dxa"/>
              <w:bottom w:w="100" w:type="dxa"/>
              <w:right w:w="100" w:type="dxa"/>
            </w:tcMar>
          </w:tcPr>
          <w:p w14:paraId="09981A94"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360,000</w:t>
            </w:r>
          </w:p>
        </w:tc>
        <w:tc>
          <w:tcPr>
            <w:tcW w:w="714" w:type="pct"/>
            <w:shd w:val="clear" w:color="auto" w:fill="auto"/>
            <w:tcMar>
              <w:top w:w="100" w:type="dxa"/>
              <w:left w:w="100" w:type="dxa"/>
              <w:bottom w:w="100" w:type="dxa"/>
              <w:right w:w="100" w:type="dxa"/>
            </w:tcMar>
          </w:tcPr>
          <w:p w14:paraId="2B405365"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420,000</w:t>
            </w:r>
          </w:p>
        </w:tc>
      </w:tr>
      <w:tr w:rsidR="00810ECC" w:rsidRPr="00BF024F" w14:paraId="1B9138F5" w14:textId="77777777" w:rsidTr="00EC1DD0">
        <w:trPr>
          <w:trHeight w:val="142"/>
        </w:trPr>
        <w:tc>
          <w:tcPr>
            <w:tcW w:w="1337" w:type="pct"/>
            <w:shd w:val="clear" w:color="auto" w:fill="auto"/>
            <w:tcMar>
              <w:top w:w="100" w:type="dxa"/>
              <w:left w:w="100" w:type="dxa"/>
              <w:bottom w:w="100" w:type="dxa"/>
              <w:right w:w="100" w:type="dxa"/>
            </w:tcMar>
          </w:tcPr>
          <w:p w14:paraId="76998255"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 xml:space="preserve">Total Assets </w:t>
            </w:r>
          </w:p>
        </w:tc>
        <w:tc>
          <w:tcPr>
            <w:tcW w:w="727" w:type="pct"/>
            <w:shd w:val="clear" w:color="auto" w:fill="auto"/>
            <w:tcMar>
              <w:top w:w="100" w:type="dxa"/>
              <w:left w:w="100" w:type="dxa"/>
              <w:bottom w:w="100" w:type="dxa"/>
              <w:right w:w="100" w:type="dxa"/>
            </w:tcMar>
          </w:tcPr>
          <w:p w14:paraId="7A29EC37"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265,000</w:t>
            </w:r>
          </w:p>
        </w:tc>
        <w:tc>
          <w:tcPr>
            <w:tcW w:w="699" w:type="pct"/>
            <w:shd w:val="clear" w:color="auto" w:fill="auto"/>
            <w:tcMar>
              <w:top w:w="100" w:type="dxa"/>
              <w:left w:w="100" w:type="dxa"/>
              <w:bottom w:w="100" w:type="dxa"/>
              <w:right w:w="100" w:type="dxa"/>
            </w:tcMar>
          </w:tcPr>
          <w:p w14:paraId="3557E534"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 xml:space="preserve">445,000 </w:t>
            </w:r>
          </w:p>
        </w:tc>
        <w:tc>
          <w:tcPr>
            <w:tcW w:w="741" w:type="pct"/>
            <w:shd w:val="clear" w:color="auto" w:fill="auto"/>
            <w:tcMar>
              <w:top w:w="100" w:type="dxa"/>
              <w:left w:w="100" w:type="dxa"/>
              <w:bottom w:w="100" w:type="dxa"/>
              <w:right w:w="100" w:type="dxa"/>
            </w:tcMar>
          </w:tcPr>
          <w:p w14:paraId="0800D309"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580,000</w:t>
            </w:r>
          </w:p>
        </w:tc>
        <w:tc>
          <w:tcPr>
            <w:tcW w:w="782" w:type="pct"/>
            <w:shd w:val="clear" w:color="auto" w:fill="auto"/>
            <w:tcMar>
              <w:top w:w="100" w:type="dxa"/>
              <w:left w:w="100" w:type="dxa"/>
              <w:bottom w:w="100" w:type="dxa"/>
              <w:right w:w="100" w:type="dxa"/>
            </w:tcMar>
          </w:tcPr>
          <w:p w14:paraId="22ACBD43"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780,000</w:t>
            </w:r>
          </w:p>
        </w:tc>
        <w:tc>
          <w:tcPr>
            <w:tcW w:w="714" w:type="pct"/>
            <w:shd w:val="clear" w:color="auto" w:fill="auto"/>
            <w:tcMar>
              <w:top w:w="100" w:type="dxa"/>
              <w:left w:w="100" w:type="dxa"/>
              <w:bottom w:w="100" w:type="dxa"/>
              <w:right w:w="100" w:type="dxa"/>
            </w:tcMar>
          </w:tcPr>
          <w:p w14:paraId="57E587A2"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970,000</w:t>
            </w:r>
          </w:p>
        </w:tc>
      </w:tr>
      <w:tr w:rsidR="00810ECC" w:rsidRPr="00BF024F" w14:paraId="74CFBE7E" w14:textId="77777777" w:rsidTr="00EC1DD0">
        <w:trPr>
          <w:trHeight w:val="435"/>
        </w:trPr>
        <w:tc>
          <w:tcPr>
            <w:tcW w:w="5000" w:type="pct"/>
            <w:gridSpan w:val="6"/>
            <w:shd w:val="clear" w:color="auto" w:fill="auto"/>
            <w:tcMar>
              <w:top w:w="100" w:type="dxa"/>
              <w:left w:w="100" w:type="dxa"/>
              <w:bottom w:w="100" w:type="dxa"/>
              <w:right w:w="100" w:type="dxa"/>
            </w:tcMar>
          </w:tcPr>
          <w:p w14:paraId="2D42C015"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 xml:space="preserve">Liabilities </w:t>
            </w:r>
          </w:p>
        </w:tc>
      </w:tr>
      <w:tr w:rsidR="00810ECC" w:rsidRPr="00BF024F" w14:paraId="77AB6527" w14:textId="77777777" w:rsidTr="00EC1DD0">
        <w:trPr>
          <w:trHeight w:val="142"/>
        </w:trPr>
        <w:tc>
          <w:tcPr>
            <w:tcW w:w="1337" w:type="pct"/>
            <w:shd w:val="clear" w:color="auto" w:fill="auto"/>
            <w:tcMar>
              <w:top w:w="100" w:type="dxa"/>
              <w:left w:w="100" w:type="dxa"/>
              <w:bottom w:w="100" w:type="dxa"/>
              <w:right w:w="100" w:type="dxa"/>
            </w:tcMar>
          </w:tcPr>
          <w:p w14:paraId="60CBD1F2"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 xml:space="preserve">Accounts Payable </w:t>
            </w:r>
          </w:p>
        </w:tc>
        <w:tc>
          <w:tcPr>
            <w:tcW w:w="727" w:type="pct"/>
            <w:shd w:val="clear" w:color="auto" w:fill="auto"/>
            <w:tcMar>
              <w:top w:w="100" w:type="dxa"/>
              <w:left w:w="100" w:type="dxa"/>
              <w:bottom w:w="100" w:type="dxa"/>
              <w:right w:w="100" w:type="dxa"/>
            </w:tcMar>
          </w:tcPr>
          <w:p w14:paraId="06421998"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15,000</w:t>
            </w:r>
          </w:p>
        </w:tc>
        <w:tc>
          <w:tcPr>
            <w:tcW w:w="699" w:type="pct"/>
            <w:shd w:val="clear" w:color="auto" w:fill="auto"/>
            <w:tcMar>
              <w:top w:w="100" w:type="dxa"/>
              <w:left w:w="100" w:type="dxa"/>
              <w:bottom w:w="100" w:type="dxa"/>
              <w:right w:w="100" w:type="dxa"/>
            </w:tcMar>
          </w:tcPr>
          <w:p w14:paraId="30DC862E"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20,000</w:t>
            </w:r>
          </w:p>
        </w:tc>
        <w:tc>
          <w:tcPr>
            <w:tcW w:w="741" w:type="pct"/>
            <w:shd w:val="clear" w:color="auto" w:fill="auto"/>
            <w:tcMar>
              <w:top w:w="100" w:type="dxa"/>
              <w:left w:w="100" w:type="dxa"/>
              <w:bottom w:w="100" w:type="dxa"/>
              <w:right w:w="100" w:type="dxa"/>
            </w:tcMar>
          </w:tcPr>
          <w:p w14:paraId="171461C3"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25,000</w:t>
            </w:r>
          </w:p>
        </w:tc>
        <w:tc>
          <w:tcPr>
            <w:tcW w:w="782" w:type="pct"/>
            <w:shd w:val="clear" w:color="auto" w:fill="auto"/>
            <w:tcMar>
              <w:top w:w="100" w:type="dxa"/>
              <w:left w:w="100" w:type="dxa"/>
              <w:bottom w:w="100" w:type="dxa"/>
              <w:right w:w="100" w:type="dxa"/>
            </w:tcMar>
          </w:tcPr>
          <w:p w14:paraId="03F74185"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35,000</w:t>
            </w:r>
          </w:p>
        </w:tc>
        <w:tc>
          <w:tcPr>
            <w:tcW w:w="714" w:type="pct"/>
            <w:shd w:val="clear" w:color="auto" w:fill="auto"/>
            <w:tcMar>
              <w:top w:w="100" w:type="dxa"/>
              <w:left w:w="100" w:type="dxa"/>
              <w:bottom w:w="100" w:type="dxa"/>
              <w:right w:w="100" w:type="dxa"/>
            </w:tcMar>
          </w:tcPr>
          <w:p w14:paraId="3F995053"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40,000</w:t>
            </w:r>
          </w:p>
        </w:tc>
      </w:tr>
      <w:tr w:rsidR="00810ECC" w:rsidRPr="00BF024F" w14:paraId="3149D9B1" w14:textId="77777777" w:rsidTr="00EC1DD0">
        <w:trPr>
          <w:trHeight w:val="142"/>
        </w:trPr>
        <w:tc>
          <w:tcPr>
            <w:tcW w:w="1337" w:type="pct"/>
            <w:shd w:val="clear" w:color="auto" w:fill="auto"/>
            <w:tcMar>
              <w:top w:w="100" w:type="dxa"/>
              <w:left w:w="100" w:type="dxa"/>
              <w:bottom w:w="100" w:type="dxa"/>
              <w:right w:w="100" w:type="dxa"/>
            </w:tcMar>
          </w:tcPr>
          <w:p w14:paraId="055483AE"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lastRenderedPageBreak/>
              <w:t>Loans Payable</w:t>
            </w:r>
          </w:p>
        </w:tc>
        <w:tc>
          <w:tcPr>
            <w:tcW w:w="727" w:type="pct"/>
            <w:shd w:val="clear" w:color="auto" w:fill="auto"/>
            <w:tcMar>
              <w:top w:w="100" w:type="dxa"/>
              <w:left w:w="100" w:type="dxa"/>
              <w:bottom w:w="100" w:type="dxa"/>
              <w:right w:w="100" w:type="dxa"/>
            </w:tcMar>
          </w:tcPr>
          <w:p w14:paraId="164C5D17"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100,000</w:t>
            </w:r>
          </w:p>
        </w:tc>
        <w:tc>
          <w:tcPr>
            <w:tcW w:w="699" w:type="pct"/>
            <w:shd w:val="clear" w:color="auto" w:fill="auto"/>
            <w:tcMar>
              <w:top w:w="100" w:type="dxa"/>
              <w:left w:w="100" w:type="dxa"/>
              <w:bottom w:w="100" w:type="dxa"/>
              <w:right w:w="100" w:type="dxa"/>
            </w:tcMar>
          </w:tcPr>
          <w:p w14:paraId="0A9BFBA6"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150,000</w:t>
            </w:r>
          </w:p>
        </w:tc>
        <w:tc>
          <w:tcPr>
            <w:tcW w:w="741" w:type="pct"/>
            <w:shd w:val="clear" w:color="auto" w:fill="auto"/>
            <w:tcMar>
              <w:top w:w="100" w:type="dxa"/>
              <w:left w:w="100" w:type="dxa"/>
              <w:bottom w:w="100" w:type="dxa"/>
              <w:right w:w="100" w:type="dxa"/>
            </w:tcMar>
          </w:tcPr>
          <w:p w14:paraId="1D11BCF0"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180,000</w:t>
            </w:r>
          </w:p>
        </w:tc>
        <w:tc>
          <w:tcPr>
            <w:tcW w:w="782" w:type="pct"/>
            <w:shd w:val="clear" w:color="auto" w:fill="auto"/>
            <w:tcMar>
              <w:top w:w="100" w:type="dxa"/>
              <w:left w:w="100" w:type="dxa"/>
              <w:bottom w:w="100" w:type="dxa"/>
              <w:right w:w="100" w:type="dxa"/>
            </w:tcMar>
          </w:tcPr>
          <w:p w14:paraId="4C8A0E6A"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200,000</w:t>
            </w:r>
          </w:p>
        </w:tc>
        <w:tc>
          <w:tcPr>
            <w:tcW w:w="714" w:type="pct"/>
            <w:shd w:val="clear" w:color="auto" w:fill="auto"/>
            <w:tcMar>
              <w:top w:w="100" w:type="dxa"/>
              <w:left w:w="100" w:type="dxa"/>
              <w:bottom w:w="100" w:type="dxa"/>
              <w:right w:w="100" w:type="dxa"/>
            </w:tcMar>
          </w:tcPr>
          <w:p w14:paraId="6757E06E"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 xml:space="preserve">250,000 </w:t>
            </w:r>
          </w:p>
        </w:tc>
      </w:tr>
      <w:tr w:rsidR="00810ECC" w:rsidRPr="00BF024F" w14:paraId="58A9B0E3" w14:textId="77777777" w:rsidTr="00EC1DD0">
        <w:trPr>
          <w:trHeight w:val="142"/>
        </w:trPr>
        <w:tc>
          <w:tcPr>
            <w:tcW w:w="1337" w:type="pct"/>
            <w:shd w:val="clear" w:color="auto" w:fill="auto"/>
            <w:tcMar>
              <w:top w:w="100" w:type="dxa"/>
              <w:left w:w="100" w:type="dxa"/>
              <w:bottom w:w="100" w:type="dxa"/>
              <w:right w:w="100" w:type="dxa"/>
            </w:tcMar>
          </w:tcPr>
          <w:p w14:paraId="79312D32"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 xml:space="preserve">Total Liabilities  </w:t>
            </w:r>
          </w:p>
        </w:tc>
        <w:tc>
          <w:tcPr>
            <w:tcW w:w="727" w:type="pct"/>
            <w:shd w:val="clear" w:color="auto" w:fill="auto"/>
            <w:tcMar>
              <w:top w:w="100" w:type="dxa"/>
              <w:left w:w="100" w:type="dxa"/>
              <w:bottom w:w="100" w:type="dxa"/>
              <w:right w:w="100" w:type="dxa"/>
            </w:tcMar>
          </w:tcPr>
          <w:p w14:paraId="6E9FC575"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115,000</w:t>
            </w:r>
          </w:p>
        </w:tc>
        <w:tc>
          <w:tcPr>
            <w:tcW w:w="699" w:type="pct"/>
            <w:shd w:val="clear" w:color="auto" w:fill="auto"/>
            <w:tcMar>
              <w:top w:w="100" w:type="dxa"/>
              <w:left w:w="100" w:type="dxa"/>
              <w:bottom w:w="100" w:type="dxa"/>
              <w:right w:w="100" w:type="dxa"/>
            </w:tcMar>
          </w:tcPr>
          <w:p w14:paraId="026701BC"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170,000</w:t>
            </w:r>
          </w:p>
        </w:tc>
        <w:tc>
          <w:tcPr>
            <w:tcW w:w="741" w:type="pct"/>
            <w:shd w:val="clear" w:color="auto" w:fill="auto"/>
            <w:tcMar>
              <w:top w:w="100" w:type="dxa"/>
              <w:left w:w="100" w:type="dxa"/>
              <w:bottom w:w="100" w:type="dxa"/>
              <w:right w:w="100" w:type="dxa"/>
            </w:tcMar>
          </w:tcPr>
          <w:p w14:paraId="44BA2FE3"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205,000</w:t>
            </w:r>
          </w:p>
        </w:tc>
        <w:tc>
          <w:tcPr>
            <w:tcW w:w="782" w:type="pct"/>
            <w:shd w:val="clear" w:color="auto" w:fill="auto"/>
            <w:tcMar>
              <w:top w:w="100" w:type="dxa"/>
              <w:left w:w="100" w:type="dxa"/>
              <w:bottom w:w="100" w:type="dxa"/>
              <w:right w:w="100" w:type="dxa"/>
            </w:tcMar>
          </w:tcPr>
          <w:p w14:paraId="35CBDFD9"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235,000</w:t>
            </w:r>
          </w:p>
        </w:tc>
        <w:tc>
          <w:tcPr>
            <w:tcW w:w="714" w:type="pct"/>
            <w:shd w:val="clear" w:color="auto" w:fill="auto"/>
            <w:tcMar>
              <w:top w:w="100" w:type="dxa"/>
              <w:left w:w="100" w:type="dxa"/>
              <w:bottom w:w="100" w:type="dxa"/>
              <w:right w:w="100" w:type="dxa"/>
            </w:tcMar>
          </w:tcPr>
          <w:p w14:paraId="69576424"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290,000</w:t>
            </w:r>
          </w:p>
        </w:tc>
      </w:tr>
      <w:tr w:rsidR="00810ECC" w:rsidRPr="00BF024F" w14:paraId="26CADAA7" w14:textId="77777777" w:rsidTr="00EC1DD0">
        <w:trPr>
          <w:trHeight w:val="435"/>
        </w:trPr>
        <w:tc>
          <w:tcPr>
            <w:tcW w:w="5000" w:type="pct"/>
            <w:gridSpan w:val="6"/>
            <w:shd w:val="clear" w:color="auto" w:fill="auto"/>
            <w:tcMar>
              <w:top w:w="100" w:type="dxa"/>
              <w:left w:w="100" w:type="dxa"/>
              <w:bottom w:w="100" w:type="dxa"/>
              <w:right w:w="100" w:type="dxa"/>
            </w:tcMar>
          </w:tcPr>
          <w:p w14:paraId="00F3DF51"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Owner's Equity</w:t>
            </w:r>
          </w:p>
        </w:tc>
      </w:tr>
      <w:tr w:rsidR="00810ECC" w:rsidRPr="00BF024F" w14:paraId="762941D0" w14:textId="77777777" w:rsidTr="00EC1DD0">
        <w:trPr>
          <w:trHeight w:val="142"/>
        </w:trPr>
        <w:tc>
          <w:tcPr>
            <w:tcW w:w="1337" w:type="pct"/>
            <w:shd w:val="clear" w:color="auto" w:fill="auto"/>
            <w:tcMar>
              <w:top w:w="100" w:type="dxa"/>
              <w:left w:w="100" w:type="dxa"/>
              <w:bottom w:w="100" w:type="dxa"/>
              <w:right w:w="100" w:type="dxa"/>
            </w:tcMar>
          </w:tcPr>
          <w:p w14:paraId="4F33034C"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Owner's Investment</w:t>
            </w:r>
          </w:p>
        </w:tc>
        <w:tc>
          <w:tcPr>
            <w:tcW w:w="727" w:type="pct"/>
            <w:shd w:val="clear" w:color="auto" w:fill="auto"/>
            <w:tcMar>
              <w:top w:w="100" w:type="dxa"/>
              <w:left w:w="100" w:type="dxa"/>
              <w:bottom w:w="100" w:type="dxa"/>
              <w:right w:w="100" w:type="dxa"/>
            </w:tcMar>
          </w:tcPr>
          <w:p w14:paraId="73125CA6"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 xml:space="preserve">150,000 </w:t>
            </w:r>
          </w:p>
        </w:tc>
        <w:tc>
          <w:tcPr>
            <w:tcW w:w="699" w:type="pct"/>
            <w:shd w:val="clear" w:color="auto" w:fill="auto"/>
            <w:tcMar>
              <w:top w:w="100" w:type="dxa"/>
              <w:left w:w="100" w:type="dxa"/>
              <w:bottom w:w="100" w:type="dxa"/>
              <w:right w:w="100" w:type="dxa"/>
            </w:tcMar>
          </w:tcPr>
          <w:p w14:paraId="22795354"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0</w:t>
            </w:r>
          </w:p>
        </w:tc>
        <w:tc>
          <w:tcPr>
            <w:tcW w:w="741" w:type="pct"/>
            <w:shd w:val="clear" w:color="auto" w:fill="auto"/>
            <w:tcMar>
              <w:top w:w="100" w:type="dxa"/>
              <w:left w:w="100" w:type="dxa"/>
              <w:bottom w:w="100" w:type="dxa"/>
              <w:right w:w="100" w:type="dxa"/>
            </w:tcMar>
          </w:tcPr>
          <w:p w14:paraId="237E7D48"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0</w:t>
            </w:r>
          </w:p>
        </w:tc>
        <w:tc>
          <w:tcPr>
            <w:tcW w:w="782" w:type="pct"/>
            <w:shd w:val="clear" w:color="auto" w:fill="auto"/>
            <w:tcMar>
              <w:top w:w="100" w:type="dxa"/>
              <w:left w:w="100" w:type="dxa"/>
              <w:bottom w:w="100" w:type="dxa"/>
              <w:right w:w="100" w:type="dxa"/>
            </w:tcMar>
          </w:tcPr>
          <w:p w14:paraId="4698FCBC"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0</w:t>
            </w:r>
          </w:p>
        </w:tc>
        <w:tc>
          <w:tcPr>
            <w:tcW w:w="714" w:type="pct"/>
            <w:shd w:val="clear" w:color="auto" w:fill="auto"/>
            <w:tcMar>
              <w:top w:w="100" w:type="dxa"/>
              <w:left w:w="100" w:type="dxa"/>
              <w:bottom w:w="100" w:type="dxa"/>
              <w:right w:w="100" w:type="dxa"/>
            </w:tcMar>
          </w:tcPr>
          <w:p w14:paraId="7624A05F"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0</w:t>
            </w:r>
          </w:p>
        </w:tc>
      </w:tr>
      <w:tr w:rsidR="00810ECC" w:rsidRPr="00BF024F" w14:paraId="7EDC04ED" w14:textId="77777777" w:rsidTr="00EC1DD0">
        <w:trPr>
          <w:trHeight w:val="142"/>
        </w:trPr>
        <w:tc>
          <w:tcPr>
            <w:tcW w:w="1337" w:type="pct"/>
            <w:shd w:val="clear" w:color="auto" w:fill="auto"/>
            <w:tcMar>
              <w:top w:w="100" w:type="dxa"/>
              <w:left w:w="100" w:type="dxa"/>
              <w:bottom w:w="100" w:type="dxa"/>
              <w:right w:w="100" w:type="dxa"/>
            </w:tcMar>
          </w:tcPr>
          <w:p w14:paraId="27CEB895"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 xml:space="preserve">Retained Earnings </w:t>
            </w:r>
          </w:p>
        </w:tc>
        <w:tc>
          <w:tcPr>
            <w:tcW w:w="727" w:type="pct"/>
            <w:shd w:val="clear" w:color="auto" w:fill="auto"/>
            <w:tcMar>
              <w:top w:w="100" w:type="dxa"/>
              <w:left w:w="100" w:type="dxa"/>
              <w:bottom w:w="100" w:type="dxa"/>
              <w:right w:w="100" w:type="dxa"/>
            </w:tcMar>
          </w:tcPr>
          <w:p w14:paraId="408BF4E2"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0</w:t>
            </w:r>
          </w:p>
        </w:tc>
        <w:tc>
          <w:tcPr>
            <w:tcW w:w="699" w:type="pct"/>
            <w:shd w:val="clear" w:color="auto" w:fill="auto"/>
            <w:tcMar>
              <w:top w:w="100" w:type="dxa"/>
              <w:left w:w="100" w:type="dxa"/>
              <w:bottom w:w="100" w:type="dxa"/>
              <w:right w:w="100" w:type="dxa"/>
            </w:tcMar>
          </w:tcPr>
          <w:p w14:paraId="543E6A40"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125,000</w:t>
            </w:r>
          </w:p>
        </w:tc>
        <w:tc>
          <w:tcPr>
            <w:tcW w:w="741" w:type="pct"/>
            <w:shd w:val="clear" w:color="auto" w:fill="auto"/>
            <w:tcMar>
              <w:top w:w="100" w:type="dxa"/>
              <w:left w:w="100" w:type="dxa"/>
              <w:bottom w:w="100" w:type="dxa"/>
              <w:right w:w="100" w:type="dxa"/>
            </w:tcMar>
          </w:tcPr>
          <w:p w14:paraId="797F0585"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175,000</w:t>
            </w:r>
          </w:p>
        </w:tc>
        <w:tc>
          <w:tcPr>
            <w:tcW w:w="782" w:type="pct"/>
            <w:shd w:val="clear" w:color="auto" w:fill="auto"/>
            <w:tcMar>
              <w:top w:w="100" w:type="dxa"/>
              <w:left w:w="100" w:type="dxa"/>
              <w:bottom w:w="100" w:type="dxa"/>
              <w:right w:w="100" w:type="dxa"/>
            </w:tcMar>
          </w:tcPr>
          <w:p w14:paraId="1903AB37"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245,000</w:t>
            </w:r>
          </w:p>
        </w:tc>
        <w:tc>
          <w:tcPr>
            <w:tcW w:w="714" w:type="pct"/>
            <w:shd w:val="clear" w:color="auto" w:fill="auto"/>
            <w:tcMar>
              <w:top w:w="100" w:type="dxa"/>
              <w:left w:w="100" w:type="dxa"/>
              <w:bottom w:w="100" w:type="dxa"/>
              <w:right w:w="100" w:type="dxa"/>
            </w:tcMar>
          </w:tcPr>
          <w:p w14:paraId="3CCC2609"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380,000</w:t>
            </w:r>
          </w:p>
        </w:tc>
      </w:tr>
      <w:tr w:rsidR="00810ECC" w:rsidRPr="00BF024F" w14:paraId="6CD99EAF" w14:textId="77777777" w:rsidTr="00EC1DD0">
        <w:trPr>
          <w:trHeight w:val="142"/>
        </w:trPr>
        <w:tc>
          <w:tcPr>
            <w:tcW w:w="1337" w:type="pct"/>
            <w:shd w:val="clear" w:color="auto" w:fill="auto"/>
            <w:tcMar>
              <w:top w:w="100" w:type="dxa"/>
              <w:left w:w="100" w:type="dxa"/>
              <w:bottom w:w="100" w:type="dxa"/>
              <w:right w:w="100" w:type="dxa"/>
            </w:tcMar>
          </w:tcPr>
          <w:p w14:paraId="59B5FA3F"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 xml:space="preserve">Total Owner's Equity </w:t>
            </w:r>
          </w:p>
        </w:tc>
        <w:tc>
          <w:tcPr>
            <w:tcW w:w="727" w:type="pct"/>
            <w:shd w:val="clear" w:color="auto" w:fill="auto"/>
            <w:tcMar>
              <w:top w:w="100" w:type="dxa"/>
              <w:left w:w="100" w:type="dxa"/>
              <w:bottom w:w="100" w:type="dxa"/>
              <w:right w:w="100" w:type="dxa"/>
            </w:tcMar>
          </w:tcPr>
          <w:p w14:paraId="354E305C" w14:textId="77777777" w:rsidR="00810ECC" w:rsidRPr="00BF024F" w:rsidRDefault="00810ECC" w:rsidP="00EC1DD0">
            <w:pPr>
              <w:pStyle w:val="Normal1"/>
              <w:widowControl w:val="0"/>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 xml:space="preserve">150,000 </w:t>
            </w:r>
          </w:p>
        </w:tc>
        <w:tc>
          <w:tcPr>
            <w:tcW w:w="699" w:type="pct"/>
            <w:shd w:val="clear" w:color="auto" w:fill="auto"/>
            <w:tcMar>
              <w:top w:w="100" w:type="dxa"/>
              <w:left w:w="100" w:type="dxa"/>
              <w:bottom w:w="100" w:type="dxa"/>
              <w:right w:w="100" w:type="dxa"/>
            </w:tcMar>
          </w:tcPr>
          <w:p w14:paraId="13A1FB5D" w14:textId="77777777" w:rsidR="00810ECC" w:rsidRPr="00BF024F" w:rsidRDefault="00810ECC" w:rsidP="00EC1DD0">
            <w:pPr>
              <w:pStyle w:val="Normal1"/>
              <w:widowControl w:val="0"/>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125,000</w:t>
            </w:r>
          </w:p>
        </w:tc>
        <w:tc>
          <w:tcPr>
            <w:tcW w:w="741" w:type="pct"/>
            <w:shd w:val="clear" w:color="auto" w:fill="auto"/>
            <w:tcMar>
              <w:top w:w="100" w:type="dxa"/>
              <w:left w:w="100" w:type="dxa"/>
              <w:bottom w:w="100" w:type="dxa"/>
              <w:right w:w="100" w:type="dxa"/>
            </w:tcMar>
          </w:tcPr>
          <w:p w14:paraId="4834CC44" w14:textId="77777777" w:rsidR="00810ECC" w:rsidRPr="00BF024F" w:rsidRDefault="00810ECC" w:rsidP="00EC1DD0">
            <w:pPr>
              <w:pStyle w:val="Normal1"/>
              <w:widowControl w:val="0"/>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175,000</w:t>
            </w:r>
          </w:p>
        </w:tc>
        <w:tc>
          <w:tcPr>
            <w:tcW w:w="782" w:type="pct"/>
            <w:shd w:val="clear" w:color="auto" w:fill="auto"/>
            <w:tcMar>
              <w:top w:w="100" w:type="dxa"/>
              <w:left w:w="100" w:type="dxa"/>
              <w:bottom w:w="100" w:type="dxa"/>
              <w:right w:w="100" w:type="dxa"/>
            </w:tcMar>
          </w:tcPr>
          <w:p w14:paraId="2C8D305C" w14:textId="77777777" w:rsidR="00810ECC" w:rsidRPr="00BF024F" w:rsidRDefault="00810ECC" w:rsidP="00EC1DD0">
            <w:pPr>
              <w:pStyle w:val="Normal1"/>
              <w:widowControl w:val="0"/>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245,000</w:t>
            </w:r>
          </w:p>
        </w:tc>
        <w:tc>
          <w:tcPr>
            <w:tcW w:w="714" w:type="pct"/>
            <w:shd w:val="clear" w:color="auto" w:fill="auto"/>
            <w:tcMar>
              <w:top w:w="100" w:type="dxa"/>
              <w:left w:w="100" w:type="dxa"/>
              <w:bottom w:w="100" w:type="dxa"/>
              <w:right w:w="100" w:type="dxa"/>
            </w:tcMar>
          </w:tcPr>
          <w:p w14:paraId="3F85033A" w14:textId="77777777" w:rsidR="00810ECC" w:rsidRPr="00BF024F" w:rsidRDefault="00810ECC" w:rsidP="00EC1DD0">
            <w:pPr>
              <w:pStyle w:val="Normal1"/>
              <w:widowControl w:val="0"/>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380,000</w:t>
            </w:r>
          </w:p>
        </w:tc>
      </w:tr>
      <w:tr w:rsidR="00810ECC" w:rsidRPr="00BF024F" w14:paraId="69A66B19" w14:textId="77777777" w:rsidTr="00EC1DD0">
        <w:trPr>
          <w:trHeight w:val="142"/>
        </w:trPr>
        <w:tc>
          <w:tcPr>
            <w:tcW w:w="1337" w:type="pct"/>
            <w:shd w:val="clear" w:color="auto" w:fill="auto"/>
            <w:tcMar>
              <w:top w:w="100" w:type="dxa"/>
              <w:left w:w="100" w:type="dxa"/>
              <w:bottom w:w="100" w:type="dxa"/>
              <w:right w:w="100" w:type="dxa"/>
            </w:tcMar>
          </w:tcPr>
          <w:p w14:paraId="73A99EE0" w14:textId="77777777" w:rsidR="00810ECC" w:rsidRPr="00BF024F" w:rsidRDefault="00810ECC" w:rsidP="00EC1D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Total Liabilities and Owner's Equity</w:t>
            </w:r>
          </w:p>
        </w:tc>
        <w:tc>
          <w:tcPr>
            <w:tcW w:w="727" w:type="pct"/>
            <w:shd w:val="clear" w:color="auto" w:fill="auto"/>
            <w:tcMar>
              <w:top w:w="100" w:type="dxa"/>
              <w:left w:w="100" w:type="dxa"/>
              <w:bottom w:w="100" w:type="dxa"/>
              <w:right w:w="100" w:type="dxa"/>
            </w:tcMar>
          </w:tcPr>
          <w:p w14:paraId="4D40E897"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265,000</w:t>
            </w:r>
          </w:p>
        </w:tc>
        <w:tc>
          <w:tcPr>
            <w:tcW w:w="699" w:type="pct"/>
            <w:shd w:val="clear" w:color="auto" w:fill="auto"/>
            <w:tcMar>
              <w:top w:w="100" w:type="dxa"/>
              <w:left w:w="100" w:type="dxa"/>
              <w:bottom w:w="100" w:type="dxa"/>
              <w:right w:w="100" w:type="dxa"/>
            </w:tcMar>
          </w:tcPr>
          <w:p w14:paraId="4E27D461"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445,000</w:t>
            </w:r>
          </w:p>
        </w:tc>
        <w:tc>
          <w:tcPr>
            <w:tcW w:w="741" w:type="pct"/>
            <w:shd w:val="clear" w:color="auto" w:fill="auto"/>
            <w:tcMar>
              <w:top w:w="100" w:type="dxa"/>
              <w:left w:w="100" w:type="dxa"/>
              <w:bottom w:w="100" w:type="dxa"/>
              <w:right w:w="100" w:type="dxa"/>
            </w:tcMar>
          </w:tcPr>
          <w:p w14:paraId="690B59D0"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580,000</w:t>
            </w:r>
          </w:p>
        </w:tc>
        <w:tc>
          <w:tcPr>
            <w:tcW w:w="782" w:type="pct"/>
            <w:shd w:val="clear" w:color="auto" w:fill="auto"/>
            <w:tcMar>
              <w:top w:w="100" w:type="dxa"/>
              <w:left w:w="100" w:type="dxa"/>
              <w:bottom w:w="100" w:type="dxa"/>
              <w:right w:w="100" w:type="dxa"/>
            </w:tcMar>
          </w:tcPr>
          <w:p w14:paraId="738172D3"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780,000</w:t>
            </w:r>
          </w:p>
        </w:tc>
        <w:tc>
          <w:tcPr>
            <w:tcW w:w="714" w:type="pct"/>
            <w:shd w:val="clear" w:color="auto" w:fill="auto"/>
            <w:tcMar>
              <w:top w:w="100" w:type="dxa"/>
              <w:left w:w="100" w:type="dxa"/>
              <w:bottom w:w="100" w:type="dxa"/>
              <w:right w:w="100" w:type="dxa"/>
            </w:tcMar>
          </w:tcPr>
          <w:p w14:paraId="481F08EE" w14:textId="77777777" w:rsidR="00810ECC" w:rsidRPr="00BF024F" w:rsidRDefault="00810ECC" w:rsidP="00EC1D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970,000</w:t>
            </w:r>
          </w:p>
        </w:tc>
      </w:tr>
    </w:tbl>
    <w:p w14:paraId="306799B7" w14:textId="77777777" w:rsidR="00810ECC" w:rsidRPr="00BF024F" w:rsidRDefault="00810ECC" w:rsidP="00810ECC">
      <w:pPr>
        <w:pStyle w:val="Normal1"/>
        <w:spacing w:line="360" w:lineRule="auto"/>
        <w:jc w:val="center"/>
        <w:rPr>
          <w:rFonts w:ascii="Times New Roman" w:eastAsia="Times New Roman" w:hAnsi="Times New Roman" w:cs="Times New Roman"/>
          <w:b/>
          <w:color w:val="000000" w:themeColor="text1"/>
          <w:sz w:val="24"/>
          <w:szCs w:val="24"/>
          <w:lang w:val="en-GB"/>
        </w:rPr>
      </w:pPr>
      <w:r w:rsidRPr="00BF024F">
        <w:rPr>
          <w:rFonts w:ascii="Times New Roman" w:eastAsia="Times New Roman" w:hAnsi="Times New Roman" w:cs="Times New Roman"/>
          <w:b/>
          <w:color w:val="000000" w:themeColor="text1"/>
          <w:sz w:val="24"/>
          <w:szCs w:val="24"/>
          <w:lang w:val="en-GB"/>
        </w:rPr>
        <w:t>Table 3: Projected Balance Sheet</w:t>
      </w:r>
    </w:p>
    <w:p w14:paraId="1180D015" w14:textId="77777777" w:rsidR="00810ECC" w:rsidRPr="00BF024F" w:rsidRDefault="00810ECC" w:rsidP="00810ECC">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lang w:val="en-GB"/>
        </w:rPr>
        <w:t>(Source: Self-Developed)</w:t>
      </w:r>
    </w:p>
    <w:p w14:paraId="15BB7DDD" w14:textId="77777777" w:rsidR="00810ECC" w:rsidRPr="00BF024F" w:rsidRDefault="00810ECC" w:rsidP="00810ECC">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BF024F">
        <w:rPr>
          <w:rFonts w:ascii="Times New Roman" w:eastAsia="Times New Roman" w:hAnsi="Times New Roman" w:cs="Times New Roman"/>
          <w:b/>
          <w:color w:val="000000" w:themeColor="text1"/>
          <w:sz w:val="24"/>
          <w:szCs w:val="24"/>
          <w:highlight w:val="white"/>
          <w:lang w:val="en-GB"/>
        </w:rPr>
        <w:t>Assumptions:</w:t>
      </w:r>
    </w:p>
    <w:p w14:paraId="54D83EA8" w14:textId="77777777" w:rsidR="00810ECC" w:rsidRPr="00BF024F" w:rsidRDefault="00810ECC" w:rsidP="00810ECC">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Owners’ Investment is made in Year 1 (2024).</w:t>
      </w:r>
    </w:p>
    <w:p w14:paraId="06E895CA" w14:textId="77777777" w:rsidR="00810ECC" w:rsidRPr="00BF024F" w:rsidRDefault="00810ECC" w:rsidP="00810ECC">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Loans payable are anticipated to cover start-up and operational expenditures.</w:t>
      </w:r>
    </w:p>
    <w:p w14:paraId="23C7294C" w14:textId="77777777" w:rsidR="00810ECC" w:rsidRPr="00BF024F" w:rsidRDefault="00810ECC" w:rsidP="00810ECC">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BF024F">
        <w:rPr>
          <w:rFonts w:ascii="Times New Roman" w:eastAsia="Times New Roman" w:hAnsi="Times New Roman" w:cs="Times New Roman"/>
          <w:color w:val="000000" w:themeColor="text1"/>
          <w:sz w:val="24"/>
          <w:szCs w:val="24"/>
          <w:highlight w:val="white"/>
          <w:lang w:val="en-GB"/>
        </w:rPr>
        <w:t>Retained earnings signify revenue reinvested in the business.</w:t>
      </w:r>
    </w:p>
    <w:p w14:paraId="2A8803F4" w14:textId="77777777" w:rsidR="00810ECC" w:rsidRPr="00BF024F" w:rsidRDefault="00810ECC" w:rsidP="00810ECC">
      <w:pPr>
        <w:pStyle w:val="Heading1"/>
        <w:rPr>
          <w:rFonts w:cs="Times New Roman"/>
          <w:highlight w:val="white"/>
          <w:lang w:val="en-GB"/>
        </w:rPr>
      </w:pPr>
      <w:bookmarkStart w:id="19" w:name="_Toc153798433"/>
      <w:r w:rsidRPr="00BF024F">
        <w:rPr>
          <w:rFonts w:cs="Times New Roman"/>
          <w:highlight w:val="white"/>
          <w:lang w:val="en-GB"/>
        </w:rPr>
        <w:t>8. Funding Requirements and Sources</w:t>
      </w:r>
      <w:bookmarkEnd w:id="19"/>
    </w:p>
    <w:p w14:paraId="3F0C7C16" w14:textId="77777777" w:rsidR="00810ECC" w:rsidRPr="00BF024F" w:rsidRDefault="00810ECC" w:rsidP="00810ECC">
      <w:pPr>
        <w:pStyle w:val="Heading2"/>
        <w:rPr>
          <w:rFonts w:cs="Times New Roman"/>
          <w:highlight w:val="white"/>
          <w:lang w:val="en-GB"/>
        </w:rPr>
      </w:pPr>
      <w:bookmarkStart w:id="20" w:name="_Toc153798434"/>
      <w:r w:rsidRPr="00BF024F">
        <w:rPr>
          <w:rFonts w:cs="Times New Roman"/>
          <w:highlight w:val="white"/>
          <w:lang w:val="en-GB"/>
        </w:rPr>
        <w:t>8.1 Detailed Funding Requirements for the Business</w:t>
      </w:r>
      <w:bookmarkEnd w:id="20"/>
    </w:p>
    <w:p w14:paraId="5D0126AA" w14:textId="77777777" w:rsidR="00810ECC" w:rsidRPr="00BF024F" w:rsidRDefault="00810ECC" w:rsidP="00810ECC">
      <w:pPr>
        <w:rPr>
          <w:rFonts w:cs="Times New Roman"/>
          <w:color w:val="000000" w:themeColor="text1"/>
          <w:lang w:val="en-GB"/>
        </w:rPr>
      </w:pPr>
      <w:r w:rsidRPr="00BF024F">
        <w:rPr>
          <w:rFonts w:cs="Times New Roman"/>
          <w:color w:val="000000" w:themeColor="text1"/>
          <w:lang w:val="en-GB"/>
        </w:rPr>
        <w:t>The projected balance sheet imitates the sound financial health of EcoRevamp Solutions, with accumulative revenue and well-managed assets. The comprehensive funding necessities indicate a strategic approach. The initial owner's investment of £150,000 conceals start-up costs, while retained earnings fund operating and expansion requirements. Loans payable, starting at £100,000 in 2024, accommodate scaling production and marketing efforts. This financing structure endorses a sensible mixture of equity and debt, supporting sustainable development. The sensible apportionment of reserves, as demonstrated, supports short-term liquidity and long-term asset growth, consolidation EcoRevamp Solutions' financial strength and ability for future development.</w:t>
      </w:r>
      <w:bookmarkStart w:id="21" w:name="_Toc153798435"/>
    </w:p>
    <w:p w14:paraId="10353D53" w14:textId="77777777" w:rsidR="00810ECC" w:rsidRPr="00BF024F" w:rsidRDefault="00810ECC" w:rsidP="00810ECC">
      <w:pPr>
        <w:pStyle w:val="Heading2"/>
        <w:rPr>
          <w:rFonts w:cs="Times New Roman"/>
          <w:lang w:val="en-GB"/>
        </w:rPr>
      </w:pPr>
      <w:r w:rsidRPr="00BF024F">
        <w:rPr>
          <w:rFonts w:cs="Times New Roman"/>
          <w:highlight w:val="white"/>
          <w:lang w:val="en-GB"/>
        </w:rPr>
        <w:lastRenderedPageBreak/>
        <w:t>8.2 Potential External Funding Sources</w:t>
      </w:r>
      <w:bookmarkStart w:id="22" w:name="_Toc153798436"/>
      <w:bookmarkEnd w:id="21"/>
    </w:p>
    <w:p w14:paraId="657E4C67" w14:textId="77777777" w:rsidR="00810ECC" w:rsidRPr="00BF024F" w:rsidRDefault="00810ECC" w:rsidP="00810ECC">
      <w:pPr>
        <w:rPr>
          <w:rFonts w:cs="Times New Roman"/>
          <w:color w:val="000000" w:themeColor="text1"/>
          <w:lang w:val="en-GB"/>
        </w:rPr>
      </w:pPr>
      <w:r w:rsidRPr="00BF024F">
        <w:rPr>
          <w:rFonts w:cs="Times New Roman"/>
          <w:color w:val="000000" w:themeColor="text1"/>
          <w:lang w:val="en-GB"/>
        </w:rPr>
        <w:t>EcoRevamp outcomes have numerous possible external backing sources to support its growth course. Primarily, regarding for a business loan from fiscal connotations or government- backed programs can provide a substantial distillation of capital (Babyish et al. 2021). Crowdfunding platforms offer the opportunity to be complicated with environmentally conscious communities, supporting its charge. Likewise, venture capital or angel stakeholders with an interest in sustainable innovativeness might give strategic backing and expertise sharing in privilege programs supporting renewable energy and environmental systems is alternative choice. Collaborating with assiduity-specific mates might correspondingly lead to strategic investments (Bernardino et al. 2020). By intensifying backing sources, EcoRevamp results boards to secure the important capital for development while nurturing connections with independences take part a commitment to sustainable living.</w:t>
      </w:r>
    </w:p>
    <w:p w14:paraId="3945EE8D" w14:textId="77777777" w:rsidR="00810ECC" w:rsidRPr="00BF024F" w:rsidRDefault="00810ECC" w:rsidP="00810ECC">
      <w:pPr>
        <w:pStyle w:val="Heading2"/>
        <w:rPr>
          <w:rFonts w:cs="Times New Roman"/>
          <w:lang w:val="en-GB"/>
        </w:rPr>
      </w:pPr>
      <w:r w:rsidRPr="00BF024F">
        <w:rPr>
          <w:rFonts w:cs="Times New Roman"/>
          <w:highlight w:val="white"/>
          <w:lang w:val="en-GB"/>
        </w:rPr>
        <w:t>8.3 Justification for the Chosen Funding Sources</w:t>
      </w:r>
      <w:bookmarkStart w:id="23" w:name="_Toc153798437"/>
      <w:bookmarkEnd w:id="22"/>
    </w:p>
    <w:p w14:paraId="4ADD569D" w14:textId="77777777" w:rsidR="00810ECC" w:rsidRPr="00BF024F" w:rsidRDefault="00810ECC" w:rsidP="00810ECC">
      <w:pPr>
        <w:rPr>
          <w:rFonts w:cs="Times New Roman"/>
          <w:color w:val="000000" w:themeColor="text1"/>
          <w:lang w:val="en-GB"/>
        </w:rPr>
      </w:pPr>
      <w:r w:rsidRPr="00BF024F">
        <w:rPr>
          <w:rFonts w:cs="Times New Roman"/>
          <w:color w:val="000000" w:themeColor="text1"/>
          <w:lang w:val="en-GB"/>
        </w:rPr>
        <w:t>The designated funding sources are in line with EcoRevamp Solutions' proactive and development strategy. Business loans provide an instantaneous capital booster to conceal initial start-up costs and operational prerequisites. Crowdfunding redirects its mission to involve an ecologically conscious community and possibly construct a faithful customer base. Venture capital and angel investors bring not only funds but correspondingly valuable skills and networking perceptions behind sustainable trade (Yang et al. 2019). In search of grants can upsurge the financial resources while supporting the focus on renewable energy and green originations. Functioning with industry-specific partners not only reinforces sponsoring but correspondingly nurtures strategic alliances for future growth (Vanity et al. 2019).</w:t>
      </w:r>
    </w:p>
    <w:p w14:paraId="28509223" w14:textId="77777777" w:rsidR="00810ECC" w:rsidRPr="00BF024F" w:rsidRDefault="00810ECC" w:rsidP="00810ECC">
      <w:pPr>
        <w:pStyle w:val="Heading1"/>
        <w:rPr>
          <w:rFonts w:cs="Times New Roman"/>
          <w:highlight w:val="white"/>
          <w:lang w:val="en-GB"/>
        </w:rPr>
      </w:pPr>
      <w:r w:rsidRPr="00BF024F">
        <w:rPr>
          <w:rFonts w:cs="Times New Roman"/>
          <w:highlight w:val="white"/>
          <w:lang w:val="en-GB"/>
        </w:rPr>
        <w:t>9. Conclusion</w:t>
      </w:r>
      <w:bookmarkEnd w:id="23"/>
      <w:r w:rsidRPr="00BF024F">
        <w:rPr>
          <w:rFonts w:cs="Times New Roman"/>
          <w:highlight w:val="white"/>
          <w:lang w:val="en-GB"/>
        </w:rPr>
        <w:t xml:space="preserve"> </w:t>
      </w:r>
    </w:p>
    <w:p w14:paraId="36031F08" w14:textId="77777777" w:rsidR="00810ECC" w:rsidRPr="00BF024F" w:rsidRDefault="00810ECC" w:rsidP="00810ECC">
      <w:pPr>
        <w:rPr>
          <w:rFonts w:cs="Times New Roman"/>
          <w:color w:val="000000" w:themeColor="text1"/>
          <w:lang w:val="en-GB"/>
        </w:rPr>
      </w:pPr>
      <w:r w:rsidRPr="00BF024F">
        <w:rPr>
          <w:rFonts w:cs="Times New Roman"/>
          <w:color w:val="000000" w:themeColor="text1"/>
          <w:lang w:val="en-GB"/>
        </w:rPr>
        <w:t>EcoRevamp Solutions stands controlled to transform the renewable energy segment with its innovative home energy retrofitting services. Concentrated on sustainability and technology incorporation, the business discourses market gaps and takes advantage of an increasing demand for environmental living. Through a strategic approach to funding, the corporation's objectives are to not only meet its returns forecasts but correspondingly subsidize expressively to a greener and more sustainable future. Through constant invention, community engagement, and financial practicality, EcoRevamp Solutions is well-positioned for accomplishment in the dynamic background of renewable energy solutions.</w:t>
      </w:r>
    </w:p>
    <w:p w14:paraId="30CA5956" w14:textId="77777777" w:rsidR="00810ECC" w:rsidRPr="00974F23" w:rsidRDefault="00810ECC" w:rsidP="00810ECC">
      <w:pPr>
        <w:rPr>
          <w:b/>
          <w:color w:val="000000" w:themeColor="text1"/>
          <w:sz w:val="28"/>
          <w:szCs w:val="40"/>
          <w:lang w:val="en-GB"/>
        </w:rPr>
      </w:pPr>
      <w:r w:rsidRPr="00974F23">
        <w:rPr>
          <w:color w:val="000000" w:themeColor="text1"/>
          <w:lang w:val="en-GB"/>
        </w:rPr>
        <w:br w:type="page"/>
      </w:r>
    </w:p>
    <w:p w14:paraId="5DD21381" w14:textId="77777777" w:rsidR="00810ECC" w:rsidRPr="00974F23" w:rsidRDefault="00810ECC" w:rsidP="00810ECC">
      <w:pPr>
        <w:pStyle w:val="Heading1"/>
        <w:rPr>
          <w:lang w:val="en-GB"/>
        </w:rPr>
      </w:pPr>
      <w:bookmarkStart w:id="24" w:name="_Toc153798438"/>
      <w:r w:rsidRPr="00974F23">
        <w:rPr>
          <w:lang w:val="en-GB"/>
        </w:rPr>
        <w:lastRenderedPageBreak/>
        <w:t>Reference List</w:t>
      </w:r>
      <w:bookmarkEnd w:id="24"/>
    </w:p>
    <w:p w14:paraId="5F431ED8" w14:textId="77777777" w:rsidR="00810ECC" w:rsidRPr="00974F23" w:rsidRDefault="00810ECC" w:rsidP="00810ECC">
      <w:pPr>
        <w:pStyle w:val="Normal1"/>
        <w:spacing w:before="240" w:line="360" w:lineRule="auto"/>
        <w:jc w:val="both"/>
        <w:rPr>
          <w:rFonts w:ascii="Times New Roman" w:hAnsi="Times New Roman" w:cs="Times New Roman"/>
          <w:color w:val="000000" w:themeColor="text1"/>
          <w:sz w:val="24"/>
          <w:szCs w:val="20"/>
          <w:shd w:val="clear" w:color="auto" w:fill="FFFFFF"/>
          <w:lang w:val="en-GB"/>
        </w:rPr>
      </w:pPr>
      <w:r w:rsidRPr="00974F23">
        <w:rPr>
          <w:rFonts w:ascii="Times New Roman" w:hAnsi="Times New Roman" w:cs="Times New Roman"/>
          <w:color w:val="000000" w:themeColor="text1"/>
          <w:sz w:val="24"/>
          <w:szCs w:val="20"/>
          <w:shd w:val="clear" w:color="auto" w:fill="FFFFFF"/>
          <w:lang w:val="en-GB"/>
        </w:rPr>
        <w:t>Alabid, J., Bennadji, A. and Seddiki, M., (2022). A review on the energy retrofit policies and improvements of the UK existing buildings, challenges and benefits. </w:t>
      </w:r>
      <w:r w:rsidRPr="00974F23">
        <w:rPr>
          <w:rFonts w:ascii="Times New Roman" w:hAnsi="Times New Roman" w:cs="Times New Roman"/>
          <w:i/>
          <w:iCs/>
          <w:color w:val="000000" w:themeColor="text1"/>
          <w:sz w:val="24"/>
          <w:szCs w:val="20"/>
          <w:shd w:val="clear" w:color="auto" w:fill="FFFFFF"/>
          <w:lang w:val="en-GB"/>
        </w:rPr>
        <w:t>Renewable and sustainable energy reviews</w:t>
      </w:r>
      <w:r w:rsidRPr="00974F23">
        <w:rPr>
          <w:rFonts w:ascii="Times New Roman" w:hAnsi="Times New Roman" w:cs="Times New Roman"/>
          <w:color w:val="000000" w:themeColor="text1"/>
          <w:sz w:val="24"/>
          <w:szCs w:val="20"/>
          <w:shd w:val="clear" w:color="auto" w:fill="FFFFFF"/>
          <w:lang w:val="en-GB"/>
        </w:rPr>
        <w:t>, </w:t>
      </w:r>
      <w:r w:rsidRPr="00974F23">
        <w:rPr>
          <w:rFonts w:ascii="Times New Roman" w:hAnsi="Times New Roman" w:cs="Times New Roman"/>
          <w:iCs/>
          <w:color w:val="000000" w:themeColor="text1"/>
          <w:sz w:val="24"/>
          <w:szCs w:val="20"/>
          <w:shd w:val="clear" w:color="auto" w:fill="FFFFFF"/>
          <w:lang w:val="en-GB"/>
        </w:rPr>
        <w:t>159</w:t>
      </w:r>
      <w:r w:rsidRPr="00974F23">
        <w:rPr>
          <w:rFonts w:ascii="Times New Roman" w:hAnsi="Times New Roman" w:cs="Times New Roman"/>
          <w:color w:val="000000" w:themeColor="text1"/>
          <w:sz w:val="24"/>
          <w:szCs w:val="20"/>
          <w:shd w:val="clear" w:color="auto" w:fill="FFFFFF"/>
          <w:lang w:val="en-GB"/>
        </w:rPr>
        <w:t>, p.112161. [doi: https://doi.org/10.1016/j.rser.2022.112161]</w:t>
      </w:r>
    </w:p>
    <w:p w14:paraId="2D031C49" w14:textId="77777777" w:rsidR="00810ECC" w:rsidRPr="00974F23" w:rsidRDefault="00810ECC" w:rsidP="00810ECC">
      <w:pPr>
        <w:pStyle w:val="Normal1"/>
        <w:spacing w:before="200" w:after="200" w:line="360" w:lineRule="auto"/>
        <w:jc w:val="both"/>
        <w:rPr>
          <w:rFonts w:ascii="Times New Roman" w:eastAsia="Times New Roman" w:hAnsi="Times New Roman" w:cs="Times New Roman"/>
          <w:color w:val="000000" w:themeColor="text1"/>
          <w:sz w:val="24"/>
          <w:szCs w:val="24"/>
          <w:highlight w:val="white"/>
          <w:lang w:val="en-GB"/>
        </w:rPr>
      </w:pPr>
      <w:r w:rsidRPr="00974F23">
        <w:rPr>
          <w:rFonts w:ascii="Times New Roman" w:eastAsia="Times New Roman" w:hAnsi="Times New Roman" w:cs="Times New Roman"/>
          <w:color w:val="000000" w:themeColor="text1"/>
          <w:sz w:val="24"/>
          <w:szCs w:val="24"/>
          <w:highlight w:val="white"/>
          <w:lang w:val="en-GB"/>
        </w:rPr>
        <w:t xml:space="preserve">Babich, V., Marinesi, S. and Tsoukalas, G., (2021). Does crowdfunding benefit entrepreneurs and venture capital investors?. </w:t>
      </w:r>
      <w:r w:rsidRPr="00974F23">
        <w:rPr>
          <w:rFonts w:ascii="Times New Roman" w:eastAsia="Times New Roman" w:hAnsi="Times New Roman" w:cs="Times New Roman"/>
          <w:i/>
          <w:color w:val="000000" w:themeColor="text1"/>
          <w:sz w:val="24"/>
          <w:szCs w:val="24"/>
          <w:highlight w:val="white"/>
          <w:lang w:val="en-GB"/>
        </w:rPr>
        <w:t>Manufacturing &amp; Service Operations Management</w:t>
      </w:r>
      <w:r w:rsidRPr="00974F23">
        <w:rPr>
          <w:rFonts w:ascii="Times New Roman" w:eastAsia="Times New Roman" w:hAnsi="Times New Roman" w:cs="Times New Roman"/>
          <w:color w:val="000000" w:themeColor="text1"/>
          <w:sz w:val="24"/>
          <w:szCs w:val="24"/>
          <w:highlight w:val="white"/>
          <w:lang w:val="en-GB"/>
        </w:rPr>
        <w:t>, 23(2), pp.508-524. [doi: https://doi.org/10.1287/msom.2019.0835]</w:t>
      </w:r>
    </w:p>
    <w:p w14:paraId="6B60F1DC" w14:textId="77777777" w:rsidR="00810ECC" w:rsidRPr="00974F23" w:rsidRDefault="00810ECC" w:rsidP="00810ECC">
      <w:pPr>
        <w:pStyle w:val="Normal1"/>
        <w:spacing w:before="240" w:line="360" w:lineRule="auto"/>
        <w:jc w:val="both"/>
        <w:rPr>
          <w:rFonts w:ascii="Times New Roman" w:hAnsi="Times New Roman" w:cs="Times New Roman"/>
          <w:color w:val="000000" w:themeColor="text1"/>
          <w:sz w:val="24"/>
          <w:szCs w:val="20"/>
          <w:shd w:val="clear" w:color="auto" w:fill="FFFFFF"/>
          <w:lang w:val="en-GB"/>
        </w:rPr>
      </w:pPr>
      <w:r w:rsidRPr="00974F23">
        <w:rPr>
          <w:rFonts w:ascii="Times New Roman" w:hAnsi="Times New Roman" w:cs="Times New Roman"/>
          <w:color w:val="000000" w:themeColor="text1"/>
          <w:sz w:val="24"/>
          <w:szCs w:val="20"/>
          <w:shd w:val="clear" w:color="auto" w:fill="FFFFFF"/>
          <w:lang w:val="en-GB"/>
        </w:rPr>
        <w:t>Bergman, N. and Foxon, T.J., (2020). Reframing policy for the energy efficiency challenge: Insights from housing retrofits in the United Kingdom. </w:t>
      </w:r>
      <w:r w:rsidRPr="00974F23">
        <w:rPr>
          <w:rFonts w:ascii="Times New Roman" w:hAnsi="Times New Roman" w:cs="Times New Roman"/>
          <w:i/>
          <w:iCs/>
          <w:color w:val="000000" w:themeColor="text1"/>
          <w:sz w:val="24"/>
          <w:szCs w:val="20"/>
          <w:shd w:val="clear" w:color="auto" w:fill="FFFFFF"/>
          <w:lang w:val="en-GB"/>
        </w:rPr>
        <w:t>Energy Research &amp; Social Science</w:t>
      </w:r>
      <w:r w:rsidRPr="00974F23">
        <w:rPr>
          <w:rFonts w:ascii="Times New Roman" w:hAnsi="Times New Roman" w:cs="Times New Roman"/>
          <w:color w:val="000000" w:themeColor="text1"/>
          <w:sz w:val="24"/>
          <w:szCs w:val="20"/>
          <w:shd w:val="clear" w:color="auto" w:fill="FFFFFF"/>
          <w:lang w:val="en-GB"/>
        </w:rPr>
        <w:t>, </w:t>
      </w:r>
      <w:r w:rsidRPr="00974F23">
        <w:rPr>
          <w:rFonts w:ascii="Times New Roman" w:hAnsi="Times New Roman" w:cs="Times New Roman"/>
          <w:iCs/>
          <w:color w:val="000000" w:themeColor="text1"/>
          <w:sz w:val="24"/>
          <w:szCs w:val="20"/>
          <w:shd w:val="clear" w:color="auto" w:fill="FFFFFF"/>
          <w:lang w:val="en-GB"/>
        </w:rPr>
        <w:t>63</w:t>
      </w:r>
      <w:r w:rsidRPr="00974F23">
        <w:rPr>
          <w:rFonts w:ascii="Times New Roman" w:hAnsi="Times New Roman" w:cs="Times New Roman"/>
          <w:color w:val="000000" w:themeColor="text1"/>
          <w:sz w:val="24"/>
          <w:szCs w:val="20"/>
          <w:shd w:val="clear" w:color="auto" w:fill="FFFFFF"/>
          <w:lang w:val="en-GB"/>
        </w:rPr>
        <w:t>, p.101386. [doi: https://doi.org/10.1016/j.erss.2019.101386]</w:t>
      </w:r>
    </w:p>
    <w:p w14:paraId="012B80DC" w14:textId="77777777" w:rsidR="00810ECC" w:rsidRPr="00974F23" w:rsidRDefault="00810ECC" w:rsidP="00810ECC">
      <w:pPr>
        <w:pStyle w:val="Normal1"/>
        <w:spacing w:before="200" w:after="200" w:line="360" w:lineRule="auto"/>
        <w:jc w:val="both"/>
        <w:rPr>
          <w:rFonts w:ascii="Times New Roman" w:eastAsia="Times New Roman" w:hAnsi="Times New Roman" w:cs="Times New Roman"/>
          <w:color w:val="000000" w:themeColor="text1"/>
          <w:sz w:val="24"/>
          <w:szCs w:val="24"/>
          <w:highlight w:val="white"/>
          <w:lang w:val="en-GB"/>
        </w:rPr>
      </w:pPr>
      <w:r w:rsidRPr="00974F23">
        <w:rPr>
          <w:rFonts w:ascii="Times New Roman" w:eastAsia="Times New Roman" w:hAnsi="Times New Roman" w:cs="Times New Roman"/>
          <w:color w:val="000000" w:themeColor="text1"/>
          <w:sz w:val="24"/>
          <w:szCs w:val="24"/>
          <w:highlight w:val="white"/>
          <w:lang w:val="en-GB"/>
        </w:rPr>
        <w:t xml:space="preserve">Bernardino, S. and Santos, J.F., (2020). Crowdfunding: an exploratory study on knowledge, benefits and barriers perceived by young potential entrepreneurs. </w:t>
      </w:r>
      <w:r w:rsidRPr="00974F23">
        <w:rPr>
          <w:rFonts w:ascii="Times New Roman" w:eastAsia="Times New Roman" w:hAnsi="Times New Roman" w:cs="Times New Roman"/>
          <w:i/>
          <w:color w:val="000000" w:themeColor="text1"/>
          <w:sz w:val="24"/>
          <w:szCs w:val="24"/>
          <w:highlight w:val="white"/>
          <w:lang w:val="en-GB"/>
        </w:rPr>
        <w:t>Journal of Risk and Financial Management</w:t>
      </w:r>
      <w:r w:rsidRPr="00974F23">
        <w:rPr>
          <w:rFonts w:ascii="Times New Roman" w:eastAsia="Times New Roman" w:hAnsi="Times New Roman" w:cs="Times New Roman"/>
          <w:color w:val="000000" w:themeColor="text1"/>
          <w:sz w:val="24"/>
          <w:szCs w:val="24"/>
          <w:highlight w:val="white"/>
          <w:lang w:val="en-GB"/>
        </w:rPr>
        <w:t>, 13(4), p.81. [doi: https://doi.org/10.3390/jrfm13040081]</w:t>
      </w:r>
    </w:p>
    <w:p w14:paraId="7CFB15D1" w14:textId="77777777" w:rsidR="00810ECC" w:rsidRPr="00974F23" w:rsidRDefault="00810ECC" w:rsidP="00810ECC">
      <w:pPr>
        <w:spacing w:before="240"/>
        <w:rPr>
          <w:rFonts w:cs="Times New Roman"/>
          <w:color w:val="000000" w:themeColor="text1"/>
          <w:szCs w:val="20"/>
          <w:shd w:val="clear" w:color="auto" w:fill="FFFFFF"/>
          <w:lang w:val="en-GB"/>
        </w:rPr>
      </w:pPr>
      <w:r w:rsidRPr="00974F23">
        <w:rPr>
          <w:rFonts w:cs="Times New Roman"/>
          <w:color w:val="000000" w:themeColor="text1"/>
          <w:szCs w:val="20"/>
          <w:shd w:val="clear" w:color="auto" w:fill="FFFFFF"/>
          <w:lang w:val="en-GB"/>
        </w:rPr>
        <w:t>Bobrova, Y., Papachristos, G. and Chiu, L.F., (2021). Homeowner low carbon retrofits: Implications for future UK policy. </w:t>
      </w:r>
      <w:r w:rsidRPr="00974F23">
        <w:rPr>
          <w:rFonts w:cs="Times New Roman"/>
          <w:i/>
          <w:iCs/>
          <w:color w:val="000000" w:themeColor="text1"/>
          <w:szCs w:val="20"/>
          <w:shd w:val="clear" w:color="auto" w:fill="FFFFFF"/>
          <w:lang w:val="en-GB"/>
        </w:rPr>
        <w:t>Energy policy</w:t>
      </w:r>
      <w:r w:rsidRPr="00974F23">
        <w:rPr>
          <w:rFonts w:cs="Times New Roman"/>
          <w:color w:val="000000" w:themeColor="text1"/>
          <w:szCs w:val="20"/>
          <w:shd w:val="clear" w:color="auto" w:fill="FFFFFF"/>
          <w:lang w:val="en-GB"/>
        </w:rPr>
        <w:t>, </w:t>
      </w:r>
      <w:r w:rsidRPr="00974F23">
        <w:rPr>
          <w:rFonts w:cs="Times New Roman"/>
          <w:iCs/>
          <w:color w:val="000000" w:themeColor="text1"/>
          <w:szCs w:val="20"/>
          <w:shd w:val="clear" w:color="auto" w:fill="FFFFFF"/>
          <w:lang w:val="en-GB"/>
        </w:rPr>
        <w:t>155</w:t>
      </w:r>
      <w:r w:rsidRPr="00974F23">
        <w:rPr>
          <w:rFonts w:cs="Times New Roman"/>
          <w:color w:val="000000" w:themeColor="text1"/>
          <w:szCs w:val="20"/>
          <w:shd w:val="clear" w:color="auto" w:fill="FFFFFF"/>
          <w:lang w:val="en-GB"/>
        </w:rPr>
        <w:t>, p.112344. [doi: https://doi.org/10.1016/j.enpol.2021.112344]</w:t>
      </w:r>
    </w:p>
    <w:p w14:paraId="4780DEF9" w14:textId="77777777" w:rsidR="00810ECC" w:rsidRPr="00974F23" w:rsidRDefault="00810ECC" w:rsidP="00810ECC">
      <w:pPr>
        <w:pStyle w:val="Normal1"/>
        <w:spacing w:before="240" w:line="360" w:lineRule="auto"/>
        <w:jc w:val="both"/>
        <w:rPr>
          <w:rFonts w:ascii="Times New Roman" w:hAnsi="Times New Roman" w:cs="Times New Roman"/>
          <w:color w:val="000000" w:themeColor="text1"/>
          <w:sz w:val="24"/>
          <w:szCs w:val="20"/>
          <w:shd w:val="clear" w:color="auto" w:fill="FFFFFF"/>
          <w:lang w:val="en-GB"/>
        </w:rPr>
      </w:pPr>
      <w:r w:rsidRPr="00974F23">
        <w:rPr>
          <w:rFonts w:ascii="Times New Roman" w:hAnsi="Times New Roman" w:cs="Times New Roman"/>
          <w:color w:val="000000" w:themeColor="text1"/>
          <w:sz w:val="24"/>
          <w:szCs w:val="20"/>
          <w:shd w:val="clear" w:color="auto" w:fill="FFFFFF"/>
          <w:lang w:val="en-GB"/>
        </w:rPr>
        <w:t>Butt, B., Jones, R.V. and Fuertes, A., (2021). Opportunities and barriers to business engagement in the UK domestic retrofit sector: An industry perspective. </w:t>
      </w:r>
      <w:r w:rsidRPr="00974F23">
        <w:rPr>
          <w:rFonts w:ascii="Times New Roman" w:hAnsi="Times New Roman" w:cs="Times New Roman"/>
          <w:i/>
          <w:iCs/>
          <w:color w:val="000000" w:themeColor="text1"/>
          <w:sz w:val="24"/>
          <w:szCs w:val="20"/>
          <w:shd w:val="clear" w:color="auto" w:fill="FFFFFF"/>
          <w:lang w:val="en-GB"/>
        </w:rPr>
        <w:t>Building Services Engineering Research and Technology</w:t>
      </w:r>
      <w:r w:rsidRPr="00974F23">
        <w:rPr>
          <w:rFonts w:ascii="Times New Roman" w:hAnsi="Times New Roman" w:cs="Times New Roman"/>
          <w:color w:val="000000" w:themeColor="text1"/>
          <w:sz w:val="24"/>
          <w:szCs w:val="20"/>
          <w:shd w:val="clear" w:color="auto" w:fill="FFFFFF"/>
          <w:lang w:val="en-GB"/>
        </w:rPr>
        <w:t>, </w:t>
      </w:r>
      <w:r w:rsidRPr="00974F23">
        <w:rPr>
          <w:rFonts w:ascii="Times New Roman" w:hAnsi="Times New Roman" w:cs="Times New Roman"/>
          <w:iCs/>
          <w:color w:val="000000" w:themeColor="text1"/>
          <w:sz w:val="24"/>
          <w:szCs w:val="20"/>
          <w:shd w:val="clear" w:color="auto" w:fill="FFFFFF"/>
          <w:lang w:val="en-GB"/>
        </w:rPr>
        <w:t>42</w:t>
      </w:r>
      <w:r w:rsidRPr="00974F23">
        <w:rPr>
          <w:rFonts w:ascii="Times New Roman" w:hAnsi="Times New Roman" w:cs="Times New Roman"/>
          <w:color w:val="000000" w:themeColor="text1"/>
          <w:sz w:val="24"/>
          <w:szCs w:val="20"/>
          <w:shd w:val="clear" w:color="auto" w:fill="FFFFFF"/>
          <w:lang w:val="en-GB"/>
        </w:rPr>
        <w:t>(3), pp.293-305. [doi: https://doi.org/10.1177/0143624420975640]</w:t>
      </w:r>
    </w:p>
    <w:p w14:paraId="35F6D8FD" w14:textId="77777777" w:rsidR="00810ECC" w:rsidRPr="00974F23" w:rsidRDefault="00810ECC" w:rsidP="00810ECC">
      <w:pPr>
        <w:spacing w:before="240"/>
        <w:rPr>
          <w:rFonts w:cs="Times New Roman"/>
          <w:color w:val="000000" w:themeColor="text1"/>
          <w:szCs w:val="20"/>
          <w:shd w:val="clear" w:color="auto" w:fill="FFFFFF"/>
          <w:lang w:val="en-GB"/>
        </w:rPr>
      </w:pPr>
      <w:r w:rsidRPr="00974F23">
        <w:rPr>
          <w:rFonts w:cs="Times New Roman"/>
          <w:color w:val="000000" w:themeColor="text1"/>
          <w:szCs w:val="20"/>
          <w:shd w:val="clear" w:color="auto" w:fill="FFFFFF"/>
          <w:lang w:val="en-GB"/>
        </w:rPr>
        <w:t>Gupta, R. and Gregg, M., (2020). Domestic energy mapping to enable area-based whole house retrofits. </w:t>
      </w:r>
      <w:r w:rsidRPr="00974F23">
        <w:rPr>
          <w:rFonts w:cs="Times New Roman"/>
          <w:i/>
          <w:iCs/>
          <w:color w:val="000000" w:themeColor="text1"/>
          <w:szCs w:val="20"/>
          <w:shd w:val="clear" w:color="auto" w:fill="FFFFFF"/>
          <w:lang w:val="en-GB"/>
        </w:rPr>
        <w:t>Energy and Buildings</w:t>
      </w:r>
      <w:r w:rsidRPr="00974F23">
        <w:rPr>
          <w:rFonts w:cs="Times New Roman"/>
          <w:color w:val="000000" w:themeColor="text1"/>
          <w:szCs w:val="20"/>
          <w:shd w:val="clear" w:color="auto" w:fill="FFFFFF"/>
          <w:lang w:val="en-GB"/>
        </w:rPr>
        <w:t>, </w:t>
      </w:r>
      <w:r w:rsidRPr="00974F23">
        <w:rPr>
          <w:rFonts w:cs="Times New Roman"/>
          <w:iCs/>
          <w:color w:val="000000" w:themeColor="text1"/>
          <w:szCs w:val="20"/>
          <w:shd w:val="clear" w:color="auto" w:fill="FFFFFF"/>
          <w:lang w:val="en-GB"/>
        </w:rPr>
        <w:t>229</w:t>
      </w:r>
      <w:r w:rsidRPr="00974F23">
        <w:rPr>
          <w:rFonts w:cs="Times New Roman"/>
          <w:color w:val="000000" w:themeColor="text1"/>
          <w:szCs w:val="20"/>
          <w:shd w:val="clear" w:color="auto" w:fill="FFFFFF"/>
          <w:lang w:val="en-GB"/>
        </w:rPr>
        <w:t>, p.110514. [doi: https://doi.org/10.1016/j.enbuild.2020.110514]</w:t>
      </w:r>
    </w:p>
    <w:p w14:paraId="59EF3647" w14:textId="77777777" w:rsidR="00810ECC" w:rsidRPr="00974F23" w:rsidRDefault="00810ECC" w:rsidP="00810ECC">
      <w:pPr>
        <w:spacing w:before="240"/>
        <w:rPr>
          <w:rFonts w:cs="Times New Roman"/>
          <w:color w:val="000000" w:themeColor="text1"/>
          <w:szCs w:val="20"/>
          <w:shd w:val="clear" w:color="auto" w:fill="FFFFFF"/>
          <w:lang w:val="en-GB"/>
        </w:rPr>
      </w:pPr>
      <w:r w:rsidRPr="00974F23">
        <w:rPr>
          <w:rFonts w:cs="Times New Roman"/>
          <w:color w:val="000000" w:themeColor="text1"/>
          <w:szCs w:val="20"/>
          <w:shd w:val="clear" w:color="auto" w:fill="FFFFFF"/>
          <w:lang w:val="en-GB"/>
        </w:rPr>
        <w:t>Hurst, L.J. and O'Donovan, T.S., (2019). A review of the limitations of life cycle energy analysis for the design of fabric first low-energy domestic retrofits. </w:t>
      </w:r>
      <w:r w:rsidRPr="00974F23">
        <w:rPr>
          <w:rFonts w:cs="Times New Roman"/>
          <w:i/>
          <w:iCs/>
          <w:color w:val="000000" w:themeColor="text1"/>
          <w:szCs w:val="20"/>
          <w:shd w:val="clear" w:color="auto" w:fill="FFFFFF"/>
          <w:lang w:val="en-GB"/>
        </w:rPr>
        <w:t>Energy and Buildings</w:t>
      </w:r>
      <w:r w:rsidRPr="00974F23">
        <w:rPr>
          <w:rFonts w:cs="Times New Roman"/>
          <w:color w:val="000000" w:themeColor="text1"/>
          <w:szCs w:val="20"/>
          <w:shd w:val="clear" w:color="auto" w:fill="FFFFFF"/>
          <w:lang w:val="en-GB"/>
        </w:rPr>
        <w:t>, </w:t>
      </w:r>
      <w:r w:rsidRPr="00974F23">
        <w:rPr>
          <w:rFonts w:cs="Times New Roman"/>
          <w:iCs/>
          <w:color w:val="000000" w:themeColor="text1"/>
          <w:szCs w:val="20"/>
          <w:shd w:val="clear" w:color="auto" w:fill="FFFFFF"/>
          <w:lang w:val="en-GB"/>
        </w:rPr>
        <w:t>203</w:t>
      </w:r>
      <w:r w:rsidRPr="00974F23">
        <w:rPr>
          <w:rFonts w:cs="Times New Roman"/>
          <w:color w:val="000000" w:themeColor="text1"/>
          <w:szCs w:val="20"/>
          <w:shd w:val="clear" w:color="auto" w:fill="FFFFFF"/>
          <w:lang w:val="en-GB"/>
        </w:rPr>
        <w:t>, p.109447. [doi: https://doi.org/10.1016/j.enbuild.2019.109447]</w:t>
      </w:r>
    </w:p>
    <w:p w14:paraId="49022FDD" w14:textId="77777777" w:rsidR="00810ECC" w:rsidRPr="00974F23" w:rsidRDefault="00810ECC" w:rsidP="00810ECC">
      <w:pPr>
        <w:spacing w:before="240"/>
        <w:rPr>
          <w:rFonts w:cs="Times New Roman"/>
          <w:color w:val="000000" w:themeColor="text1"/>
          <w:szCs w:val="20"/>
          <w:shd w:val="clear" w:color="auto" w:fill="FFFFFF"/>
          <w:lang w:val="en-GB"/>
        </w:rPr>
      </w:pPr>
      <w:r w:rsidRPr="00974F23">
        <w:rPr>
          <w:rFonts w:cs="Times New Roman"/>
          <w:color w:val="000000" w:themeColor="text1"/>
          <w:szCs w:val="20"/>
          <w:shd w:val="clear" w:color="auto" w:fill="FFFFFF"/>
          <w:lang w:val="en-GB"/>
        </w:rPr>
        <w:t>Ji, Y., Lee, A. and Swan, W., (2019). Retrofit modelling of existing dwellings in the UK: the Salford Energy House case study. </w:t>
      </w:r>
      <w:r w:rsidRPr="00974F23">
        <w:rPr>
          <w:rFonts w:cs="Times New Roman"/>
          <w:i/>
          <w:iCs/>
          <w:color w:val="000000" w:themeColor="text1"/>
          <w:szCs w:val="20"/>
          <w:shd w:val="clear" w:color="auto" w:fill="FFFFFF"/>
          <w:lang w:val="en-GB"/>
        </w:rPr>
        <w:t>International Journal of Building Pathology and Adaptation</w:t>
      </w:r>
      <w:r w:rsidRPr="00974F23">
        <w:rPr>
          <w:rFonts w:cs="Times New Roman"/>
          <w:color w:val="000000" w:themeColor="text1"/>
          <w:szCs w:val="20"/>
          <w:shd w:val="clear" w:color="auto" w:fill="FFFFFF"/>
          <w:lang w:val="en-GB"/>
        </w:rPr>
        <w:t>, </w:t>
      </w:r>
      <w:r w:rsidRPr="00974F23">
        <w:rPr>
          <w:rFonts w:cs="Times New Roman"/>
          <w:iCs/>
          <w:color w:val="000000" w:themeColor="text1"/>
          <w:szCs w:val="20"/>
          <w:shd w:val="clear" w:color="auto" w:fill="FFFFFF"/>
          <w:lang w:val="en-GB"/>
        </w:rPr>
        <w:t>37</w:t>
      </w:r>
      <w:r w:rsidRPr="00974F23">
        <w:rPr>
          <w:rFonts w:cs="Times New Roman"/>
          <w:color w:val="000000" w:themeColor="text1"/>
          <w:szCs w:val="20"/>
          <w:shd w:val="clear" w:color="auto" w:fill="FFFFFF"/>
          <w:lang w:val="en-GB"/>
        </w:rPr>
        <w:t>(3), pp.344-360. [doi: https://doi.org/10.1108/IJBPA-12-2018-0106]</w:t>
      </w:r>
    </w:p>
    <w:p w14:paraId="73F3049A" w14:textId="77777777" w:rsidR="00810ECC" w:rsidRPr="00974F23" w:rsidRDefault="00810ECC" w:rsidP="00810ECC">
      <w:pPr>
        <w:pStyle w:val="Normal1"/>
        <w:spacing w:before="240" w:line="360" w:lineRule="auto"/>
        <w:jc w:val="both"/>
        <w:rPr>
          <w:rFonts w:ascii="Times New Roman" w:hAnsi="Times New Roman" w:cs="Times New Roman"/>
          <w:color w:val="000000" w:themeColor="text1"/>
          <w:sz w:val="24"/>
          <w:szCs w:val="20"/>
          <w:shd w:val="clear" w:color="auto" w:fill="FFFFFF"/>
          <w:lang w:val="en-GB"/>
        </w:rPr>
      </w:pPr>
      <w:r w:rsidRPr="00974F23">
        <w:rPr>
          <w:rFonts w:ascii="Times New Roman" w:hAnsi="Times New Roman" w:cs="Times New Roman"/>
          <w:color w:val="000000" w:themeColor="text1"/>
          <w:sz w:val="24"/>
          <w:szCs w:val="20"/>
          <w:shd w:val="clear" w:color="auto" w:fill="FFFFFF"/>
          <w:lang w:val="en-GB"/>
        </w:rPr>
        <w:lastRenderedPageBreak/>
        <w:t>Karji, A., Woldesenbet, A., Khanzadi, M. and Tafazzoli, M., (2019). Assessment of social sustainability indicators in mass housing construction: a case study of Mehr housing project. </w:t>
      </w:r>
      <w:r w:rsidRPr="00974F23">
        <w:rPr>
          <w:rFonts w:ascii="Times New Roman" w:hAnsi="Times New Roman" w:cs="Times New Roman"/>
          <w:i/>
          <w:iCs/>
          <w:color w:val="000000" w:themeColor="text1"/>
          <w:sz w:val="24"/>
          <w:szCs w:val="20"/>
          <w:shd w:val="clear" w:color="auto" w:fill="FFFFFF"/>
          <w:lang w:val="en-GB"/>
        </w:rPr>
        <w:t>Sustainable Cities and Society</w:t>
      </w:r>
      <w:r w:rsidRPr="00974F23">
        <w:rPr>
          <w:rFonts w:ascii="Times New Roman" w:hAnsi="Times New Roman" w:cs="Times New Roman"/>
          <w:color w:val="000000" w:themeColor="text1"/>
          <w:sz w:val="24"/>
          <w:szCs w:val="20"/>
          <w:shd w:val="clear" w:color="auto" w:fill="FFFFFF"/>
          <w:lang w:val="en-GB"/>
        </w:rPr>
        <w:t>, </w:t>
      </w:r>
      <w:r w:rsidRPr="00974F23">
        <w:rPr>
          <w:rFonts w:ascii="Times New Roman" w:hAnsi="Times New Roman" w:cs="Times New Roman"/>
          <w:iCs/>
          <w:color w:val="000000" w:themeColor="text1"/>
          <w:sz w:val="24"/>
          <w:szCs w:val="20"/>
          <w:shd w:val="clear" w:color="auto" w:fill="FFFFFF"/>
          <w:lang w:val="en-GB"/>
        </w:rPr>
        <w:t>50</w:t>
      </w:r>
      <w:r w:rsidRPr="00974F23">
        <w:rPr>
          <w:rFonts w:ascii="Times New Roman" w:hAnsi="Times New Roman" w:cs="Times New Roman"/>
          <w:color w:val="000000" w:themeColor="text1"/>
          <w:sz w:val="24"/>
          <w:szCs w:val="20"/>
          <w:shd w:val="clear" w:color="auto" w:fill="FFFFFF"/>
          <w:lang w:val="en-GB"/>
        </w:rPr>
        <w:t>, p.101697. [doi: https://doi.org/10.1016/j.scs.2019.101697]</w:t>
      </w:r>
    </w:p>
    <w:p w14:paraId="4D04878C" w14:textId="77777777" w:rsidR="00810ECC" w:rsidRPr="00974F23" w:rsidRDefault="00810ECC" w:rsidP="00810ECC">
      <w:pPr>
        <w:pStyle w:val="Normal1"/>
        <w:spacing w:before="240" w:line="360" w:lineRule="auto"/>
        <w:jc w:val="both"/>
        <w:rPr>
          <w:rFonts w:ascii="Times New Roman" w:hAnsi="Times New Roman" w:cs="Times New Roman"/>
          <w:color w:val="000000" w:themeColor="text1"/>
          <w:sz w:val="24"/>
          <w:szCs w:val="20"/>
          <w:shd w:val="clear" w:color="auto" w:fill="FFFFFF"/>
          <w:lang w:val="de-DE"/>
        </w:rPr>
      </w:pPr>
      <w:r w:rsidRPr="00974F23">
        <w:rPr>
          <w:rFonts w:ascii="Times New Roman" w:hAnsi="Times New Roman" w:cs="Times New Roman"/>
          <w:color w:val="000000" w:themeColor="text1"/>
          <w:sz w:val="24"/>
          <w:szCs w:val="20"/>
          <w:shd w:val="clear" w:color="auto" w:fill="FFFFFF"/>
          <w:lang w:val="en-GB"/>
        </w:rPr>
        <w:t>Lambrechts, W., Mitchell, A., Lemon, M., Mazhar, M.U., Ooms, W. and van Heerde, R., (2021). The transition of Dutch social housing corporations to sustainable business models for new buildings and retrofits. </w:t>
      </w:r>
      <w:r w:rsidRPr="00974F23">
        <w:rPr>
          <w:rFonts w:ascii="Times New Roman" w:hAnsi="Times New Roman" w:cs="Times New Roman"/>
          <w:i/>
          <w:iCs/>
          <w:color w:val="000000" w:themeColor="text1"/>
          <w:sz w:val="24"/>
          <w:szCs w:val="20"/>
          <w:shd w:val="clear" w:color="auto" w:fill="FFFFFF"/>
          <w:lang w:val="de-DE"/>
        </w:rPr>
        <w:t>Energies</w:t>
      </w:r>
      <w:r w:rsidRPr="00974F23">
        <w:rPr>
          <w:rFonts w:ascii="Times New Roman" w:hAnsi="Times New Roman" w:cs="Times New Roman"/>
          <w:color w:val="000000" w:themeColor="text1"/>
          <w:sz w:val="24"/>
          <w:szCs w:val="20"/>
          <w:shd w:val="clear" w:color="auto" w:fill="FFFFFF"/>
          <w:lang w:val="de-DE"/>
        </w:rPr>
        <w:t>, </w:t>
      </w:r>
      <w:r w:rsidRPr="00974F23">
        <w:rPr>
          <w:rFonts w:ascii="Times New Roman" w:hAnsi="Times New Roman" w:cs="Times New Roman"/>
          <w:iCs/>
          <w:color w:val="000000" w:themeColor="text1"/>
          <w:sz w:val="24"/>
          <w:szCs w:val="20"/>
          <w:shd w:val="clear" w:color="auto" w:fill="FFFFFF"/>
          <w:lang w:val="de-DE"/>
        </w:rPr>
        <w:t>14</w:t>
      </w:r>
      <w:r w:rsidRPr="00974F23">
        <w:rPr>
          <w:rFonts w:ascii="Times New Roman" w:hAnsi="Times New Roman" w:cs="Times New Roman"/>
          <w:color w:val="000000" w:themeColor="text1"/>
          <w:sz w:val="24"/>
          <w:szCs w:val="20"/>
          <w:shd w:val="clear" w:color="auto" w:fill="FFFFFF"/>
          <w:lang w:val="de-DE"/>
        </w:rPr>
        <w:t>(3), p.631. [doi: https://doi.org/10.3390/en14030631]</w:t>
      </w:r>
    </w:p>
    <w:p w14:paraId="41D0EC96" w14:textId="77777777" w:rsidR="00810ECC" w:rsidRPr="00974F23" w:rsidRDefault="00810ECC" w:rsidP="00810ECC">
      <w:pPr>
        <w:pStyle w:val="Normal2"/>
        <w:spacing w:before="240" w:after="240" w:line="360" w:lineRule="auto"/>
        <w:jc w:val="both"/>
        <w:rPr>
          <w:rFonts w:ascii="Times New Roman" w:hAnsi="Times New Roman" w:cs="Times New Roman"/>
          <w:color w:val="000000" w:themeColor="text1"/>
          <w:sz w:val="24"/>
          <w:szCs w:val="24"/>
          <w:lang w:val="en-GB"/>
        </w:rPr>
      </w:pPr>
      <w:r w:rsidRPr="00974F23">
        <w:rPr>
          <w:rFonts w:ascii="Times New Roman" w:hAnsi="Times New Roman" w:cs="Times New Roman"/>
          <w:color w:val="000000" w:themeColor="text1"/>
          <w:sz w:val="24"/>
          <w:szCs w:val="24"/>
          <w:lang w:val="en-US"/>
        </w:rPr>
        <w:t xml:space="preserve">Legislation.gov.uk.(2023). </w:t>
      </w:r>
      <w:r w:rsidRPr="00974F23">
        <w:rPr>
          <w:rFonts w:ascii="Times New Roman" w:hAnsi="Times New Roman" w:cs="Times New Roman"/>
          <w:i/>
          <w:color w:val="000000" w:themeColor="text1"/>
          <w:sz w:val="24"/>
          <w:szCs w:val="24"/>
          <w:lang w:val="en-GB"/>
        </w:rPr>
        <w:t>Limited Liability Partnerships Act 2000 - Explanatory Notes</w:t>
      </w:r>
      <w:r w:rsidRPr="00974F23">
        <w:rPr>
          <w:rFonts w:ascii="Times New Roman" w:hAnsi="Times New Roman" w:cs="Times New Roman"/>
          <w:color w:val="000000" w:themeColor="text1"/>
          <w:sz w:val="24"/>
          <w:szCs w:val="24"/>
          <w:lang w:val="en-GB"/>
        </w:rPr>
        <w:t>. [online] Available at: https://www.legislation.gov.uk/ukpga/2000/12/notes/division/4 [Accessed 11 Nov. 2023].</w:t>
      </w:r>
    </w:p>
    <w:p w14:paraId="07111175" w14:textId="77777777" w:rsidR="00810ECC" w:rsidRPr="00974F23" w:rsidRDefault="00810ECC" w:rsidP="00810ECC">
      <w:pPr>
        <w:pStyle w:val="Normal1"/>
        <w:spacing w:before="240" w:line="360" w:lineRule="auto"/>
        <w:jc w:val="both"/>
        <w:rPr>
          <w:rFonts w:ascii="Times New Roman" w:hAnsi="Times New Roman" w:cs="Times New Roman"/>
          <w:color w:val="000000" w:themeColor="text1"/>
          <w:sz w:val="24"/>
          <w:szCs w:val="24"/>
          <w:shd w:val="clear" w:color="auto" w:fill="FFFFFF"/>
          <w:lang w:val="en-GB"/>
        </w:rPr>
      </w:pPr>
      <w:r w:rsidRPr="00974F23">
        <w:rPr>
          <w:rFonts w:ascii="Times New Roman" w:hAnsi="Times New Roman" w:cs="Times New Roman"/>
          <w:color w:val="000000" w:themeColor="text1"/>
          <w:sz w:val="24"/>
          <w:szCs w:val="24"/>
          <w:shd w:val="clear" w:color="auto" w:fill="FFFFFF"/>
          <w:lang w:val="en-GB"/>
        </w:rPr>
        <w:t>Lowe, R. and Chiu, L.F., (2020). Innovation in deep housing retrofit in the United Kingdom: The role of situated creativity in transforming practice. </w:t>
      </w:r>
      <w:r w:rsidRPr="00974F23">
        <w:rPr>
          <w:rFonts w:ascii="Times New Roman" w:hAnsi="Times New Roman" w:cs="Times New Roman"/>
          <w:i/>
          <w:iCs/>
          <w:color w:val="000000" w:themeColor="text1"/>
          <w:sz w:val="24"/>
          <w:szCs w:val="24"/>
          <w:shd w:val="clear" w:color="auto" w:fill="FFFFFF"/>
          <w:lang w:val="en-GB"/>
        </w:rPr>
        <w:t>Energy Research &amp; Social Science</w:t>
      </w:r>
      <w:r w:rsidRPr="00974F23">
        <w:rPr>
          <w:rFonts w:ascii="Times New Roman" w:hAnsi="Times New Roman" w:cs="Times New Roman"/>
          <w:color w:val="000000" w:themeColor="text1"/>
          <w:sz w:val="24"/>
          <w:szCs w:val="24"/>
          <w:shd w:val="clear" w:color="auto" w:fill="FFFFFF"/>
          <w:lang w:val="en-GB"/>
        </w:rPr>
        <w:t>, </w:t>
      </w:r>
      <w:r w:rsidRPr="00974F23">
        <w:rPr>
          <w:rFonts w:ascii="Times New Roman" w:hAnsi="Times New Roman" w:cs="Times New Roman"/>
          <w:iCs/>
          <w:color w:val="000000" w:themeColor="text1"/>
          <w:sz w:val="24"/>
          <w:szCs w:val="24"/>
          <w:shd w:val="clear" w:color="auto" w:fill="FFFFFF"/>
          <w:lang w:val="en-GB"/>
        </w:rPr>
        <w:t>63</w:t>
      </w:r>
      <w:r w:rsidRPr="00974F23">
        <w:rPr>
          <w:rFonts w:ascii="Times New Roman" w:hAnsi="Times New Roman" w:cs="Times New Roman"/>
          <w:color w:val="000000" w:themeColor="text1"/>
          <w:sz w:val="24"/>
          <w:szCs w:val="24"/>
          <w:shd w:val="clear" w:color="auto" w:fill="FFFFFF"/>
          <w:lang w:val="en-GB"/>
        </w:rPr>
        <w:t>, p.101391. [doi: https://doi.org/10.1016/j.erss.2019.101391]</w:t>
      </w:r>
    </w:p>
    <w:p w14:paraId="34D77C9D" w14:textId="77777777" w:rsidR="00810ECC" w:rsidRPr="00974F23" w:rsidRDefault="00810ECC" w:rsidP="00810ECC">
      <w:pPr>
        <w:pStyle w:val="Normal1"/>
        <w:spacing w:before="240" w:line="360" w:lineRule="auto"/>
        <w:jc w:val="both"/>
        <w:rPr>
          <w:rFonts w:ascii="Times New Roman" w:hAnsi="Times New Roman" w:cs="Times New Roman"/>
          <w:color w:val="000000" w:themeColor="text1"/>
          <w:sz w:val="24"/>
          <w:szCs w:val="24"/>
          <w:lang w:val="en-GB"/>
        </w:rPr>
      </w:pPr>
      <w:r w:rsidRPr="00974F23">
        <w:rPr>
          <w:rFonts w:ascii="Times New Roman" w:hAnsi="Times New Roman" w:cs="Times New Roman"/>
          <w:color w:val="000000" w:themeColor="text1"/>
          <w:sz w:val="24"/>
          <w:szCs w:val="24"/>
          <w:lang w:val="en-GB"/>
        </w:rPr>
        <w:t xml:space="preserve">Lucía Fernández and, O. (2023) </w:t>
      </w:r>
      <w:r w:rsidRPr="00974F23">
        <w:rPr>
          <w:rFonts w:ascii="Times New Roman" w:hAnsi="Times New Roman" w:cs="Times New Roman"/>
          <w:i/>
          <w:iCs/>
          <w:color w:val="000000" w:themeColor="text1"/>
          <w:sz w:val="24"/>
          <w:szCs w:val="24"/>
          <w:lang w:val="en-GB"/>
        </w:rPr>
        <w:t>UK: Attitudes to renewable energy 2023</w:t>
      </w:r>
      <w:r w:rsidRPr="00974F23">
        <w:rPr>
          <w:rFonts w:ascii="Times New Roman" w:hAnsi="Times New Roman" w:cs="Times New Roman"/>
          <w:color w:val="000000" w:themeColor="text1"/>
          <w:sz w:val="24"/>
          <w:szCs w:val="24"/>
          <w:lang w:val="en-GB"/>
        </w:rPr>
        <w:t xml:space="preserve">, </w:t>
      </w:r>
      <w:r w:rsidRPr="00974F23">
        <w:rPr>
          <w:rFonts w:ascii="Times New Roman" w:hAnsi="Times New Roman" w:cs="Times New Roman"/>
          <w:i/>
          <w:iCs/>
          <w:color w:val="000000" w:themeColor="text1"/>
          <w:sz w:val="24"/>
          <w:szCs w:val="24"/>
          <w:lang w:val="en-GB"/>
        </w:rPr>
        <w:t>Statista</w:t>
      </w:r>
      <w:r w:rsidRPr="00974F23">
        <w:rPr>
          <w:rFonts w:ascii="Times New Roman" w:hAnsi="Times New Roman" w:cs="Times New Roman"/>
          <w:color w:val="000000" w:themeColor="text1"/>
          <w:sz w:val="24"/>
          <w:szCs w:val="24"/>
          <w:lang w:val="en-GB"/>
        </w:rPr>
        <w:t xml:space="preserve">. Available at: https://www.statista.com/statistics/425000/united-kingdom-uk-attitudes-towards-renewables/ (Accessed: 11 November 2023). </w:t>
      </w:r>
    </w:p>
    <w:p w14:paraId="49D454F9" w14:textId="77777777" w:rsidR="00810ECC" w:rsidRPr="00974F23" w:rsidRDefault="00810ECC" w:rsidP="00810ECC">
      <w:pPr>
        <w:pStyle w:val="Normal2"/>
        <w:spacing w:before="240" w:after="240" w:line="360" w:lineRule="auto"/>
        <w:jc w:val="both"/>
        <w:rPr>
          <w:rFonts w:ascii="Times New Roman" w:hAnsi="Times New Roman" w:cs="Times New Roman"/>
          <w:color w:val="000000" w:themeColor="text1"/>
          <w:sz w:val="24"/>
          <w:szCs w:val="24"/>
          <w:lang w:val="en-GB"/>
        </w:rPr>
      </w:pPr>
      <w:r w:rsidRPr="00974F23">
        <w:rPr>
          <w:rFonts w:ascii="Times New Roman" w:hAnsi="Times New Roman" w:cs="Times New Roman"/>
          <w:color w:val="000000" w:themeColor="text1"/>
          <w:sz w:val="24"/>
          <w:szCs w:val="24"/>
          <w:lang w:val="en-GB"/>
        </w:rPr>
        <w:t xml:space="preserve">Mattheus, Mahmoudi, H., Yousef Alyousef and Noreddine Ghaffour (2023). Solar desalination: A review of recent developments in environmental, regulatory and economic issues. </w:t>
      </w:r>
      <w:r w:rsidRPr="00974F23">
        <w:rPr>
          <w:rFonts w:ascii="Times New Roman" w:hAnsi="Times New Roman" w:cs="Times New Roman"/>
          <w:i/>
          <w:color w:val="000000" w:themeColor="text1"/>
          <w:sz w:val="24"/>
          <w:szCs w:val="24"/>
          <w:lang w:val="en-GB"/>
        </w:rPr>
        <w:t>Solar Compass</w:t>
      </w:r>
      <w:r w:rsidRPr="00974F23">
        <w:rPr>
          <w:rFonts w:ascii="Times New Roman" w:hAnsi="Times New Roman" w:cs="Times New Roman"/>
          <w:color w:val="000000" w:themeColor="text1"/>
          <w:sz w:val="24"/>
          <w:szCs w:val="24"/>
          <w:lang w:val="en-GB"/>
        </w:rPr>
        <w:t>, [online] 5, pp.100034–100034. doi:https://doi.org/10.1016/j.solcom.2023.100034.</w:t>
      </w:r>
    </w:p>
    <w:p w14:paraId="71CCA84D" w14:textId="77777777" w:rsidR="00810ECC" w:rsidRPr="00974F23" w:rsidRDefault="00810ECC" w:rsidP="00810ECC">
      <w:pPr>
        <w:spacing w:before="240"/>
        <w:rPr>
          <w:rFonts w:cs="Times New Roman"/>
          <w:color w:val="000000" w:themeColor="text1"/>
          <w:szCs w:val="20"/>
          <w:shd w:val="clear" w:color="auto" w:fill="FFFFFF"/>
          <w:lang w:val="en-GB"/>
        </w:rPr>
      </w:pPr>
      <w:r w:rsidRPr="00974F23">
        <w:rPr>
          <w:rFonts w:cs="Times New Roman"/>
          <w:color w:val="000000" w:themeColor="text1"/>
          <w:szCs w:val="20"/>
          <w:shd w:val="clear" w:color="auto" w:fill="FFFFFF"/>
          <w:lang w:val="en-GB"/>
        </w:rPr>
        <w:t>Miu, L. and Hawkes, A.D., (2020). Private landlords and energy efficiency: Evidence for policymakers from a large-scale study in the United Kingdom. </w:t>
      </w:r>
      <w:r w:rsidRPr="00974F23">
        <w:rPr>
          <w:rFonts w:cs="Times New Roman"/>
          <w:i/>
          <w:iCs/>
          <w:color w:val="000000" w:themeColor="text1"/>
          <w:szCs w:val="20"/>
          <w:shd w:val="clear" w:color="auto" w:fill="FFFFFF"/>
          <w:lang w:val="en-GB"/>
        </w:rPr>
        <w:t>Energy policy</w:t>
      </w:r>
      <w:r w:rsidRPr="00974F23">
        <w:rPr>
          <w:rFonts w:cs="Times New Roman"/>
          <w:color w:val="000000" w:themeColor="text1"/>
          <w:szCs w:val="20"/>
          <w:shd w:val="clear" w:color="auto" w:fill="FFFFFF"/>
          <w:lang w:val="en-GB"/>
        </w:rPr>
        <w:t>, </w:t>
      </w:r>
      <w:r w:rsidRPr="00974F23">
        <w:rPr>
          <w:rFonts w:cs="Times New Roman"/>
          <w:iCs/>
          <w:color w:val="000000" w:themeColor="text1"/>
          <w:szCs w:val="20"/>
          <w:shd w:val="clear" w:color="auto" w:fill="FFFFFF"/>
          <w:lang w:val="en-GB"/>
        </w:rPr>
        <w:t>142</w:t>
      </w:r>
      <w:r w:rsidRPr="00974F23">
        <w:rPr>
          <w:rFonts w:cs="Times New Roman"/>
          <w:color w:val="000000" w:themeColor="text1"/>
          <w:szCs w:val="20"/>
          <w:shd w:val="clear" w:color="auto" w:fill="FFFFFF"/>
          <w:lang w:val="en-GB"/>
        </w:rPr>
        <w:t>, p.111446. [doi: https://doi.org/10.1016/j.enpol.2020.111446]</w:t>
      </w:r>
    </w:p>
    <w:p w14:paraId="536175A0" w14:textId="77777777" w:rsidR="00810ECC" w:rsidRPr="00974F23" w:rsidRDefault="00810ECC" w:rsidP="00810ECC">
      <w:pPr>
        <w:pStyle w:val="Normal1"/>
        <w:spacing w:before="240" w:line="360" w:lineRule="auto"/>
        <w:jc w:val="both"/>
        <w:rPr>
          <w:rFonts w:ascii="Times New Roman" w:hAnsi="Times New Roman" w:cs="Times New Roman"/>
          <w:color w:val="000000" w:themeColor="text1"/>
          <w:sz w:val="24"/>
          <w:szCs w:val="24"/>
          <w:lang w:val="en-GB"/>
        </w:rPr>
      </w:pPr>
      <w:r w:rsidRPr="00974F23">
        <w:rPr>
          <w:rFonts w:ascii="Times New Roman" w:hAnsi="Times New Roman" w:cs="Times New Roman"/>
          <w:color w:val="000000" w:themeColor="text1"/>
          <w:sz w:val="24"/>
          <w:szCs w:val="24"/>
          <w:lang w:val="en-GB"/>
        </w:rPr>
        <w:t>Mordorintelligence</w:t>
      </w:r>
      <w:r w:rsidRPr="00974F23">
        <w:rPr>
          <w:rFonts w:ascii="Times New Roman" w:hAnsi="Times New Roman" w:cs="Times New Roman"/>
          <w:i/>
          <w:iCs/>
          <w:color w:val="000000" w:themeColor="text1"/>
          <w:sz w:val="24"/>
          <w:szCs w:val="24"/>
          <w:lang w:val="en-GB"/>
        </w:rPr>
        <w:t xml:space="preserve">, </w:t>
      </w:r>
      <w:r w:rsidRPr="00974F23">
        <w:rPr>
          <w:rFonts w:ascii="Times New Roman" w:hAnsi="Times New Roman" w:cs="Times New Roman"/>
          <w:iCs/>
          <w:color w:val="000000" w:themeColor="text1"/>
          <w:sz w:val="24"/>
          <w:szCs w:val="24"/>
          <w:lang w:val="en-GB"/>
        </w:rPr>
        <w:t>2023.</w:t>
      </w:r>
      <w:r w:rsidRPr="00974F23">
        <w:rPr>
          <w:rFonts w:ascii="Times New Roman" w:hAnsi="Times New Roman" w:cs="Times New Roman"/>
          <w:i/>
          <w:iCs/>
          <w:color w:val="000000" w:themeColor="text1"/>
          <w:sz w:val="24"/>
          <w:szCs w:val="24"/>
          <w:lang w:val="en-GB"/>
        </w:rPr>
        <w:t xml:space="preserve"> United Kingdom Renewable Energy Market Size</w:t>
      </w:r>
      <w:r w:rsidRPr="00974F23">
        <w:rPr>
          <w:rFonts w:ascii="Times New Roman" w:hAnsi="Times New Roman" w:cs="Times New Roman"/>
          <w:color w:val="000000" w:themeColor="text1"/>
          <w:sz w:val="24"/>
          <w:szCs w:val="24"/>
          <w:lang w:val="en-GB"/>
        </w:rPr>
        <w:t xml:space="preserve"> (2022) </w:t>
      </w:r>
      <w:r w:rsidRPr="00974F23">
        <w:rPr>
          <w:rFonts w:ascii="Times New Roman" w:hAnsi="Times New Roman" w:cs="Times New Roman"/>
          <w:i/>
          <w:iCs/>
          <w:color w:val="000000" w:themeColor="text1"/>
          <w:sz w:val="24"/>
          <w:szCs w:val="24"/>
          <w:lang w:val="en-GB"/>
        </w:rPr>
        <w:t>Market Research Company - Mordor IntelligenceTM</w:t>
      </w:r>
      <w:r w:rsidRPr="00974F23">
        <w:rPr>
          <w:rFonts w:ascii="Times New Roman" w:hAnsi="Times New Roman" w:cs="Times New Roman"/>
          <w:color w:val="000000" w:themeColor="text1"/>
          <w:sz w:val="24"/>
          <w:szCs w:val="24"/>
          <w:lang w:val="en-GB"/>
        </w:rPr>
        <w:t xml:space="preserve">. Available at: https://www.mordorintelligence.com/industry-reports/united-kingdom-renewable-energy-market/market-size (Accessed: 11 November 2023). </w:t>
      </w:r>
    </w:p>
    <w:p w14:paraId="5CEA6B71" w14:textId="77777777" w:rsidR="00810ECC" w:rsidRPr="00974F23" w:rsidRDefault="00810ECC" w:rsidP="00810ECC">
      <w:pPr>
        <w:pStyle w:val="Normal1"/>
        <w:spacing w:before="240" w:line="360" w:lineRule="auto"/>
        <w:jc w:val="both"/>
        <w:rPr>
          <w:rFonts w:ascii="Times New Roman" w:eastAsia="Times New Roman" w:hAnsi="Times New Roman" w:cs="Times New Roman"/>
          <w:color w:val="000000" w:themeColor="text1"/>
          <w:sz w:val="24"/>
          <w:szCs w:val="24"/>
          <w:highlight w:val="white"/>
          <w:lang w:val="en-GB"/>
        </w:rPr>
      </w:pPr>
      <w:r w:rsidRPr="00974F23">
        <w:rPr>
          <w:rFonts w:ascii="Times New Roman" w:eastAsia="Times New Roman" w:hAnsi="Times New Roman" w:cs="Times New Roman"/>
          <w:color w:val="000000" w:themeColor="text1"/>
          <w:sz w:val="24"/>
          <w:szCs w:val="24"/>
          <w:highlight w:val="white"/>
          <w:lang w:val="en-GB"/>
        </w:rPr>
        <w:lastRenderedPageBreak/>
        <w:t>Post.parliament.uk (2023), Available at: https://post.parliament.uk/research-briefings/post-pn-0690/#:~:text=Bioenergy%20is%20currently%20the%20second,UK%20electricity%20supply%20in%202021. [Accessed 17th Nov 2023]</w:t>
      </w:r>
    </w:p>
    <w:p w14:paraId="2828B29B" w14:textId="77777777" w:rsidR="00810ECC" w:rsidRPr="00974F23" w:rsidRDefault="00810ECC" w:rsidP="00810ECC">
      <w:pPr>
        <w:spacing w:before="240"/>
        <w:rPr>
          <w:rFonts w:cs="Times New Roman"/>
          <w:color w:val="000000" w:themeColor="text1"/>
          <w:szCs w:val="20"/>
          <w:shd w:val="clear" w:color="auto" w:fill="FFFFFF"/>
          <w:lang w:val="en-GB"/>
        </w:rPr>
      </w:pPr>
      <w:r w:rsidRPr="00974F23">
        <w:rPr>
          <w:rFonts w:cs="Times New Roman"/>
          <w:color w:val="000000" w:themeColor="text1"/>
          <w:szCs w:val="20"/>
          <w:shd w:val="clear" w:color="auto" w:fill="FFFFFF"/>
          <w:lang w:val="en-GB"/>
        </w:rPr>
        <w:t>Qu, K., Chen, X., Wang, Y., Calautit, J., Riffat, S. and Cui, X., (2021). Comprehensive energy, economic and thermal comfort assessments for the passive energy retrofit of historical buildings-A case study of a late nineteenth-century Victorian house renovation in the UK. </w:t>
      </w:r>
      <w:r w:rsidRPr="00974F23">
        <w:rPr>
          <w:rFonts w:cs="Times New Roman"/>
          <w:i/>
          <w:iCs/>
          <w:color w:val="000000" w:themeColor="text1"/>
          <w:szCs w:val="20"/>
          <w:shd w:val="clear" w:color="auto" w:fill="FFFFFF"/>
          <w:lang w:val="en-GB"/>
        </w:rPr>
        <w:t>Energy</w:t>
      </w:r>
      <w:r w:rsidRPr="00974F23">
        <w:rPr>
          <w:rFonts w:cs="Times New Roman"/>
          <w:color w:val="000000" w:themeColor="text1"/>
          <w:szCs w:val="20"/>
          <w:shd w:val="clear" w:color="auto" w:fill="FFFFFF"/>
          <w:lang w:val="en-GB"/>
        </w:rPr>
        <w:t>, </w:t>
      </w:r>
      <w:r w:rsidRPr="00974F23">
        <w:rPr>
          <w:rFonts w:cs="Times New Roman"/>
          <w:iCs/>
          <w:color w:val="000000" w:themeColor="text1"/>
          <w:szCs w:val="20"/>
          <w:shd w:val="clear" w:color="auto" w:fill="FFFFFF"/>
          <w:lang w:val="en-GB"/>
        </w:rPr>
        <w:t>220</w:t>
      </w:r>
      <w:r w:rsidRPr="00974F23">
        <w:rPr>
          <w:rFonts w:cs="Times New Roman"/>
          <w:color w:val="000000" w:themeColor="text1"/>
          <w:szCs w:val="20"/>
          <w:shd w:val="clear" w:color="auto" w:fill="FFFFFF"/>
          <w:lang w:val="en-GB"/>
        </w:rPr>
        <w:t>, p.119646. [doi: https://doi.org/10.1016/j.energy.2020.119646]</w:t>
      </w:r>
    </w:p>
    <w:p w14:paraId="3C58B502" w14:textId="77777777" w:rsidR="00810ECC" w:rsidRPr="00974F23" w:rsidRDefault="00810ECC" w:rsidP="00810ECC">
      <w:pPr>
        <w:pStyle w:val="Normal1"/>
        <w:spacing w:before="240" w:line="360" w:lineRule="auto"/>
        <w:jc w:val="both"/>
        <w:rPr>
          <w:rFonts w:ascii="Times New Roman" w:hAnsi="Times New Roman" w:cs="Times New Roman"/>
          <w:color w:val="000000" w:themeColor="text1"/>
          <w:sz w:val="24"/>
          <w:szCs w:val="20"/>
          <w:shd w:val="clear" w:color="auto" w:fill="FFFFFF"/>
          <w:lang w:val="en-GB"/>
        </w:rPr>
      </w:pPr>
      <w:r w:rsidRPr="00974F23">
        <w:rPr>
          <w:rFonts w:ascii="Times New Roman" w:hAnsi="Times New Roman" w:cs="Times New Roman"/>
          <w:color w:val="000000" w:themeColor="text1"/>
          <w:sz w:val="24"/>
          <w:szCs w:val="20"/>
          <w:shd w:val="clear" w:color="auto" w:fill="FFFFFF"/>
          <w:lang w:val="en-GB"/>
        </w:rPr>
        <w:t>Saffari, M. and Beagon, P., (2022). Home energy retrofit: Reviewing its depth, scale of delivery, and sustainability. </w:t>
      </w:r>
      <w:r w:rsidRPr="00974F23">
        <w:rPr>
          <w:rFonts w:ascii="Times New Roman" w:hAnsi="Times New Roman" w:cs="Times New Roman"/>
          <w:i/>
          <w:iCs/>
          <w:color w:val="000000" w:themeColor="text1"/>
          <w:sz w:val="24"/>
          <w:szCs w:val="20"/>
          <w:shd w:val="clear" w:color="auto" w:fill="FFFFFF"/>
          <w:lang w:val="en-GB"/>
        </w:rPr>
        <w:t>Energy and Buildings</w:t>
      </w:r>
      <w:r w:rsidRPr="00974F23">
        <w:rPr>
          <w:rFonts w:ascii="Times New Roman" w:hAnsi="Times New Roman" w:cs="Times New Roman"/>
          <w:color w:val="000000" w:themeColor="text1"/>
          <w:sz w:val="24"/>
          <w:szCs w:val="20"/>
          <w:shd w:val="clear" w:color="auto" w:fill="FFFFFF"/>
          <w:lang w:val="en-GB"/>
        </w:rPr>
        <w:t>, </w:t>
      </w:r>
      <w:r w:rsidRPr="00974F23">
        <w:rPr>
          <w:rFonts w:ascii="Times New Roman" w:hAnsi="Times New Roman" w:cs="Times New Roman"/>
          <w:iCs/>
          <w:color w:val="000000" w:themeColor="text1"/>
          <w:sz w:val="24"/>
          <w:szCs w:val="20"/>
          <w:shd w:val="clear" w:color="auto" w:fill="FFFFFF"/>
          <w:lang w:val="en-GB"/>
        </w:rPr>
        <w:t>269</w:t>
      </w:r>
      <w:r w:rsidRPr="00974F23">
        <w:rPr>
          <w:rFonts w:ascii="Times New Roman" w:hAnsi="Times New Roman" w:cs="Times New Roman"/>
          <w:color w:val="000000" w:themeColor="text1"/>
          <w:sz w:val="24"/>
          <w:szCs w:val="20"/>
          <w:shd w:val="clear" w:color="auto" w:fill="FFFFFF"/>
          <w:lang w:val="en-GB"/>
        </w:rPr>
        <w:t>, p.112253. [doi: https://doi.org/10.1016/j.enbuild.2022.112253]</w:t>
      </w:r>
    </w:p>
    <w:p w14:paraId="3224D941" w14:textId="77777777" w:rsidR="00810ECC" w:rsidRPr="00974F23" w:rsidRDefault="00810ECC" w:rsidP="00810ECC">
      <w:pPr>
        <w:pStyle w:val="Normal2"/>
        <w:spacing w:after="240" w:line="360" w:lineRule="auto"/>
        <w:jc w:val="both"/>
        <w:rPr>
          <w:rFonts w:ascii="Times New Roman" w:hAnsi="Times New Roman" w:cs="Times New Roman"/>
          <w:color w:val="000000" w:themeColor="text1"/>
          <w:sz w:val="24"/>
          <w:szCs w:val="24"/>
          <w:lang w:val="en-GB"/>
        </w:rPr>
      </w:pPr>
      <w:r w:rsidRPr="00974F23">
        <w:rPr>
          <w:rFonts w:ascii="Times New Roman" w:hAnsi="Times New Roman" w:cs="Times New Roman"/>
          <w:color w:val="000000" w:themeColor="text1"/>
          <w:sz w:val="24"/>
          <w:szCs w:val="24"/>
          <w:lang w:val="en-GB"/>
        </w:rPr>
        <w:t xml:space="preserve">Thomsonreuters.com (2023). </w:t>
      </w:r>
      <w:r w:rsidRPr="00974F23">
        <w:rPr>
          <w:rFonts w:ascii="Times New Roman" w:hAnsi="Times New Roman" w:cs="Times New Roman"/>
          <w:i/>
          <w:color w:val="000000" w:themeColor="text1"/>
          <w:sz w:val="24"/>
          <w:szCs w:val="24"/>
          <w:lang w:val="en-GB"/>
        </w:rPr>
        <w:t>Limited liability partnership (LLP) | Practical Law</w:t>
      </w:r>
      <w:r w:rsidRPr="00974F23">
        <w:rPr>
          <w:rFonts w:ascii="Times New Roman" w:hAnsi="Times New Roman" w:cs="Times New Roman"/>
          <w:color w:val="000000" w:themeColor="text1"/>
          <w:sz w:val="24"/>
          <w:szCs w:val="24"/>
          <w:lang w:val="en-GB"/>
        </w:rPr>
        <w:t>. [online] Available at: https://uk.practicallaw.thomsonreuters.com/2-107-6762?transitionType=Default&amp;contextData=(sc.Default) [Accessed 11 Nov. 2023].</w:t>
      </w:r>
    </w:p>
    <w:p w14:paraId="4AAF700C" w14:textId="77777777" w:rsidR="00810ECC" w:rsidRPr="00974F23" w:rsidRDefault="00810ECC" w:rsidP="00810ECC">
      <w:pPr>
        <w:pStyle w:val="Normal1"/>
        <w:spacing w:before="200" w:after="200" w:line="360" w:lineRule="auto"/>
        <w:jc w:val="both"/>
        <w:rPr>
          <w:rFonts w:ascii="Times New Roman" w:eastAsia="Times New Roman" w:hAnsi="Times New Roman" w:cs="Times New Roman"/>
          <w:color w:val="000000" w:themeColor="text1"/>
          <w:sz w:val="24"/>
          <w:szCs w:val="24"/>
          <w:highlight w:val="white"/>
          <w:lang w:val="en-GB"/>
        </w:rPr>
      </w:pPr>
      <w:r w:rsidRPr="00974F23">
        <w:rPr>
          <w:rFonts w:ascii="Times New Roman" w:eastAsia="Times New Roman" w:hAnsi="Times New Roman" w:cs="Times New Roman"/>
          <w:color w:val="000000" w:themeColor="text1"/>
          <w:sz w:val="24"/>
          <w:szCs w:val="24"/>
          <w:highlight w:val="white"/>
          <w:lang w:val="en-GB"/>
        </w:rPr>
        <w:t xml:space="preserve">Vaznyte, E. and Andries, P., (2019). Entrepreneurial orientation and start-ups' external financing. </w:t>
      </w:r>
      <w:r w:rsidRPr="00974F23">
        <w:rPr>
          <w:rFonts w:ascii="Times New Roman" w:eastAsia="Times New Roman" w:hAnsi="Times New Roman" w:cs="Times New Roman"/>
          <w:i/>
          <w:color w:val="000000" w:themeColor="text1"/>
          <w:sz w:val="24"/>
          <w:szCs w:val="24"/>
          <w:highlight w:val="white"/>
          <w:lang w:val="en-GB"/>
        </w:rPr>
        <w:t>Journal of business venturing</w:t>
      </w:r>
      <w:r w:rsidRPr="00974F23">
        <w:rPr>
          <w:rFonts w:ascii="Times New Roman" w:eastAsia="Times New Roman" w:hAnsi="Times New Roman" w:cs="Times New Roman"/>
          <w:color w:val="000000" w:themeColor="text1"/>
          <w:sz w:val="24"/>
          <w:szCs w:val="24"/>
          <w:highlight w:val="white"/>
          <w:lang w:val="en-GB"/>
        </w:rPr>
        <w:t>, 34(3), pp.439-458. [doi: https://doi.org/10.1016/j.jbusvent.2019.01.006]</w:t>
      </w:r>
    </w:p>
    <w:p w14:paraId="476A699B" w14:textId="77777777" w:rsidR="00810ECC" w:rsidRPr="00974F23" w:rsidRDefault="00810ECC" w:rsidP="00810ECC">
      <w:pPr>
        <w:pStyle w:val="Normal1"/>
        <w:spacing w:before="200" w:after="200" w:line="360" w:lineRule="auto"/>
        <w:jc w:val="both"/>
        <w:rPr>
          <w:rFonts w:ascii="Times New Roman" w:eastAsia="Times New Roman" w:hAnsi="Times New Roman" w:cs="Times New Roman"/>
          <w:color w:val="000000" w:themeColor="text1"/>
          <w:sz w:val="24"/>
          <w:szCs w:val="24"/>
          <w:highlight w:val="white"/>
          <w:lang w:val="en-GB"/>
        </w:rPr>
      </w:pPr>
      <w:r w:rsidRPr="00974F23">
        <w:rPr>
          <w:rFonts w:ascii="Times New Roman" w:eastAsia="Times New Roman" w:hAnsi="Times New Roman" w:cs="Times New Roman"/>
          <w:color w:val="000000" w:themeColor="text1"/>
          <w:sz w:val="24"/>
          <w:szCs w:val="24"/>
          <w:highlight w:val="white"/>
          <w:lang w:val="en-GB"/>
        </w:rPr>
        <w:t xml:space="preserve">Yang, X., He, L., Xia, Y. and Chen, Y., (2019). Effect of government subsidies on renewable energy investments: The threshold effect. </w:t>
      </w:r>
      <w:r w:rsidRPr="00974F23">
        <w:rPr>
          <w:rFonts w:ascii="Times New Roman" w:eastAsia="Times New Roman" w:hAnsi="Times New Roman" w:cs="Times New Roman"/>
          <w:i/>
          <w:color w:val="000000" w:themeColor="text1"/>
          <w:sz w:val="24"/>
          <w:szCs w:val="24"/>
          <w:highlight w:val="white"/>
          <w:lang w:val="en-GB"/>
        </w:rPr>
        <w:t>Energy Policy</w:t>
      </w:r>
      <w:r w:rsidRPr="00974F23">
        <w:rPr>
          <w:rFonts w:ascii="Times New Roman" w:eastAsia="Times New Roman" w:hAnsi="Times New Roman" w:cs="Times New Roman"/>
          <w:color w:val="000000" w:themeColor="text1"/>
          <w:sz w:val="24"/>
          <w:szCs w:val="24"/>
          <w:highlight w:val="white"/>
          <w:lang w:val="en-GB"/>
        </w:rPr>
        <w:t xml:space="preserve">, 132, pp.156-166. [doi: </w:t>
      </w:r>
      <w:hyperlink r:id="rId9" w:history="1">
        <w:r w:rsidRPr="00974F23">
          <w:rPr>
            <w:rStyle w:val="Hyperlink"/>
            <w:rFonts w:ascii="Times New Roman" w:eastAsia="Times New Roman" w:hAnsi="Times New Roman" w:cs="Times New Roman"/>
            <w:color w:val="000000" w:themeColor="text1"/>
            <w:sz w:val="24"/>
            <w:szCs w:val="24"/>
            <w:lang w:val="en-GB"/>
          </w:rPr>
          <w:t>https://doi.org/10.1016/j.enpol.2019.05.039</w:t>
        </w:r>
      </w:hyperlink>
      <w:r w:rsidRPr="00974F23">
        <w:rPr>
          <w:rFonts w:ascii="Times New Roman" w:eastAsia="Times New Roman" w:hAnsi="Times New Roman" w:cs="Times New Roman"/>
          <w:color w:val="000000" w:themeColor="text1"/>
          <w:sz w:val="24"/>
          <w:szCs w:val="24"/>
          <w:highlight w:val="white"/>
          <w:lang w:val="en-GB"/>
        </w:rPr>
        <w:t>]</w:t>
      </w:r>
    </w:p>
    <w:p w14:paraId="586232B4" w14:textId="77777777" w:rsidR="00810ECC" w:rsidRPr="00974F23" w:rsidRDefault="00810ECC" w:rsidP="00810ECC">
      <w:pPr>
        <w:spacing w:before="240"/>
        <w:rPr>
          <w:rFonts w:cs="Times New Roman"/>
          <w:color w:val="000000" w:themeColor="text1"/>
          <w:szCs w:val="20"/>
          <w:shd w:val="clear" w:color="auto" w:fill="FFFFFF"/>
          <w:lang w:val="en-GB"/>
        </w:rPr>
      </w:pPr>
      <w:r w:rsidRPr="00974F23">
        <w:rPr>
          <w:rFonts w:cs="Times New Roman"/>
          <w:color w:val="000000" w:themeColor="text1"/>
          <w:szCs w:val="20"/>
          <w:shd w:val="clear" w:color="auto" w:fill="FFFFFF"/>
          <w:lang w:val="en-GB"/>
        </w:rPr>
        <w:t>Zhang, H., Hewage, K., Karunathilake, H., Feng, H. and Sadiq, R., (2021). Research on policy strategies for implementing energy retrofits in the residential buildings. </w:t>
      </w:r>
      <w:r w:rsidRPr="00974F23">
        <w:rPr>
          <w:rFonts w:cs="Times New Roman"/>
          <w:i/>
          <w:iCs/>
          <w:color w:val="000000" w:themeColor="text1"/>
          <w:szCs w:val="20"/>
          <w:shd w:val="clear" w:color="auto" w:fill="FFFFFF"/>
          <w:lang w:val="en-GB"/>
        </w:rPr>
        <w:t>Journal of Building Engineering</w:t>
      </w:r>
      <w:r w:rsidRPr="00974F23">
        <w:rPr>
          <w:rFonts w:cs="Times New Roman"/>
          <w:color w:val="000000" w:themeColor="text1"/>
          <w:szCs w:val="20"/>
          <w:shd w:val="clear" w:color="auto" w:fill="FFFFFF"/>
          <w:lang w:val="en-GB"/>
        </w:rPr>
        <w:t>, </w:t>
      </w:r>
      <w:r w:rsidRPr="00974F23">
        <w:rPr>
          <w:rFonts w:cs="Times New Roman"/>
          <w:iCs/>
          <w:color w:val="000000" w:themeColor="text1"/>
          <w:szCs w:val="20"/>
          <w:shd w:val="clear" w:color="auto" w:fill="FFFFFF"/>
          <w:lang w:val="en-GB"/>
        </w:rPr>
        <w:t>43</w:t>
      </w:r>
      <w:r w:rsidRPr="00974F23">
        <w:rPr>
          <w:rFonts w:cs="Times New Roman"/>
          <w:color w:val="000000" w:themeColor="text1"/>
          <w:szCs w:val="20"/>
          <w:shd w:val="clear" w:color="auto" w:fill="FFFFFF"/>
          <w:lang w:val="en-GB"/>
        </w:rPr>
        <w:t>, p.103161. [doi: https://doi.org/10.1016/j.jobe.2021.103161]</w:t>
      </w:r>
    </w:p>
    <w:p w14:paraId="4A400399" w14:textId="77777777" w:rsidR="00810ECC" w:rsidRPr="00974F23" w:rsidRDefault="00810ECC" w:rsidP="00810ECC">
      <w:pPr>
        <w:pStyle w:val="Normal1"/>
        <w:spacing w:before="240" w:line="360" w:lineRule="auto"/>
        <w:jc w:val="both"/>
        <w:rPr>
          <w:rFonts w:ascii="Times New Roman" w:eastAsia="Times New Roman" w:hAnsi="Times New Roman" w:cs="Times New Roman"/>
          <w:color w:val="000000" w:themeColor="text1"/>
          <w:sz w:val="28"/>
          <w:szCs w:val="24"/>
          <w:highlight w:val="white"/>
          <w:lang w:val="en-GB"/>
        </w:rPr>
      </w:pPr>
    </w:p>
    <w:p w14:paraId="207BC6F0" w14:textId="4CA2B897" w:rsidR="005155AD" w:rsidRDefault="005155AD"/>
    <w:sectPr w:rsidR="005155AD" w:rsidSect="00326E7A">
      <w:footerReference w:type="default" r:id="rId10"/>
      <w:pgSz w:w="12240" w:h="15840"/>
      <w:pgMar w:top="1440" w:right="1440" w:bottom="1440" w:left="1440" w:header="720" w:footer="720" w:gutter="0"/>
      <w:pgNumType w:start="1"/>
      <w:cols w:space="708"/>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88101155"/>
      <w:docPartObj>
        <w:docPartGallery w:val="Page Numbers (Bottom of Page)"/>
        <w:docPartUnique/>
      </w:docPartObj>
    </w:sdtPr>
    <w:sdtEndPr>
      <w:rPr>
        <w:rFonts w:ascii="Times New Roman" w:hAnsi="Times New Roman" w:cs="Times New Roman"/>
        <w:noProof/>
        <w:sz w:val="24"/>
      </w:rPr>
    </w:sdtEndPr>
    <w:sdtContent>
      <w:p w14:paraId="10083D7C" w14:textId="77777777" w:rsidR="00326E7A" w:rsidRPr="00326E7A" w:rsidRDefault="003B100D">
        <w:pPr>
          <w:pStyle w:val="Footer"/>
          <w:jc w:val="right"/>
          <w:rPr>
            <w:rFonts w:ascii="Times New Roman" w:hAnsi="Times New Roman" w:cs="Times New Roman"/>
            <w:sz w:val="24"/>
          </w:rPr>
        </w:pPr>
        <w:r w:rsidRPr="00326E7A">
          <w:rPr>
            <w:rFonts w:ascii="Times New Roman" w:hAnsi="Times New Roman" w:cs="Times New Roman"/>
            <w:sz w:val="24"/>
          </w:rPr>
          <w:fldChar w:fldCharType="begin"/>
        </w:r>
        <w:r w:rsidRPr="00326E7A">
          <w:rPr>
            <w:rFonts w:ascii="Times New Roman" w:hAnsi="Times New Roman" w:cs="Times New Roman"/>
            <w:sz w:val="24"/>
          </w:rPr>
          <w:instrText xml:space="preserve"> PAGE   \* MERGEFORMAT </w:instrText>
        </w:r>
        <w:r w:rsidRPr="00326E7A">
          <w:rPr>
            <w:rFonts w:ascii="Times New Roman" w:hAnsi="Times New Roman" w:cs="Times New Roman"/>
            <w:sz w:val="24"/>
          </w:rPr>
          <w:fldChar w:fldCharType="separate"/>
        </w:r>
        <w:r>
          <w:rPr>
            <w:rFonts w:ascii="Times New Roman" w:hAnsi="Times New Roman" w:cs="Times New Roman"/>
            <w:noProof/>
            <w:sz w:val="24"/>
          </w:rPr>
          <w:t>16</w:t>
        </w:r>
        <w:r w:rsidRPr="00326E7A">
          <w:rPr>
            <w:rFonts w:ascii="Times New Roman" w:hAnsi="Times New Roman" w:cs="Times New Roman"/>
            <w:noProof/>
            <w:sz w:val="24"/>
          </w:rPr>
          <w:fldChar w:fldCharType="end"/>
        </w:r>
      </w:p>
    </w:sdtContent>
  </w:sdt>
  <w:p w14:paraId="272B7798" w14:textId="77777777" w:rsidR="00326E7A" w:rsidRDefault="003B100D">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AA1672"/>
    <w:multiLevelType w:val="multilevel"/>
    <w:tmpl w:val="A96873B0"/>
    <w:lvl w:ilvl="0">
      <w:start w:val="1"/>
      <w:numFmt w:val="bullet"/>
      <w:lvlText w:val="●"/>
      <w:lvlJc w:val="left"/>
      <w:pPr>
        <w:ind w:left="720" w:hanging="360"/>
      </w:pPr>
      <w:rPr>
        <w:color w:val="FF000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A4A760"/>
    <w:multiLevelType w:val="hybridMultilevel"/>
    <w:tmpl w:val="00000000"/>
    <w:lvl w:ilvl="0" w:tplc="ABFEC9BA">
      <w:start w:val="1"/>
      <w:numFmt w:val="bullet"/>
      <w:lvlText w:val="●"/>
      <w:lvlJc w:val="left"/>
      <w:pPr>
        <w:ind w:left="720" w:hanging="360"/>
      </w:pPr>
      <w:rPr>
        <w:u w:val="none"/>
      </w:rPr>
    </w:lvl>
    <w:lvl w:ilvl="1" w:tplc="59B00A86">
      <w:start w:val="1"/>
      <w:numFmt w:val="bullet"/>
      <w:lvlText w:val="○"/>
      <w:lvlJc w:val="left"/>
      <w:pPr>
        <w:ind w:left="1440" w:hanging="360"/>
      </w:pPr>
      <w:rPr>
        <w:u w:val="none"/>
      </w:rPr>
    </w:lvl>
    <w:lvl w:ilvl="2" w:tplc="2856E562">
      <w:start w:val="1"/>
      <w:numFmt w:val="bullet"/>
      <w:lvlText w:val="■"/>
      <w:lvlJc w:val="left"/>
      <w:pPr>
        <w:ind w:left="2160" w:hanging="360"/>
      </w:pPr>
      <w:rPr>
        <w:u w:val="none"/>
      </w:rPr>
    </w:lvl>
    <w:lvl w:ilvl="3" w:tplc="7BF6FD48">
      <w:start w:val="1"/>
      <w:numFmt w:val="bullet"/>
      <w:lvlText w:val="●"/>
      <w:lvlJc w:val="left"/>
      <w:pPr>
        <w:ind w:left="2880" w:hanging="360"/>
      </w:pPr>
      <w:rPr>
        <w:u w:val="none"/>
      </w:rPr>
    </w:lvl>
    <w:lvl w:ilvl="4" w:tplc="7C262EA6">
      <w:start w:val="1"/>
      <w:numFmt w:val="bullet"/>
      <w:lvlText w:val="○"/>
      <w:lvlJc w:val="left"/>
      <w:pPr>
        <w:ind w:left="3600" w:hanging="360"/>
      </w:pPr>
      <w:rPr>
        <w:u w:val="none"/>
      </w:rPr>
    </w:lvl>
    <w:lvl w:ilvl="5" w:tplc="F2F2D618">
      <w:start w:val="1"/>
      <w:numFmt w:val="bullet"/>
      <w:lvlText w:val="■"/>
      <w:lvlJc w:val="left"/>
      <w:pPr>
        <w:ind w:left="4320" w:hanging="360"/>
      </w:pPr>
      <w:rPr>
        <w:u w:val="none"/>
      </w:rPr>
    </w:lvl>
    <w:lvl w:ilvl="6" w:tplc="CD001D3E">
      <w:start w:val="1"/>
      <w:numFmt w:val="bullet"/>
      <w:lvlText w:val="●"/>
      <w:lvlJc w:val="left"/>
      <w:pPr>
        <w:ind w:left="5040" w:hanging="360"/>
      </w:pPr>
      <w:rPr>
        <w:u w:val="none"/>
      </w:rPr>
    </w:lvl>
    <w:lvl w:ilvl="7" w:tplc="499AE940">
      <w:start w:val="1"/>
      <w:numFmt w:val="bullet"/>
      <w:lvlText w:val="○"/>
      <w:lvlJc w:val="left"/>
      <w:pPr>
        <w:ind w:left="5760" w:hanging="360"/>
      </w:pPr>
      <w:rPr>
        <w:u w:val="none"/>
      </w:rPr>
    </w:lvl>
    <w:lvl w:ilvl="8" w:tplc="F6804150">
      <w:start w:val="1"/>
      <w:numFmt w:val="bullet"/>
      <w:lvlText w:val="■"/>
      <w:lvlJc w:val="left"/>
      <w:pPr>
        <w:ind w:left="6480" w:hanging="360"/>
      </w:pPr>
      <w:rPr>
        <w:u w:val="none"/>
      </w:rPr>
    </w:lvl>
  </w:abstractNum>
  <w:abstractNum w:abstractNumId="2" w15:restartNumberingAfterBreak="0">
    <w:nsid w:val="26A70DC8"/>
    <w:multiLevelType w:val="multilevel"/>
    <w:tmpl w:val="A8CC27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0C70D27"/>
    <w:multiLevelType w:val="multilevel"/>
    <w:tmpl w:val="67C088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C9711A7"/>
    <w:multiLevelType w:val="multilevel"/>
    <w:tmpl w:val="950A3606"/>
    <w:lvl w:ilvl="0">
      <w:start w:val="1"/>
      <w:numFmt w:val="bullet"/>
      <w:lvlText w:val="●"/>
      <w:lvlJc w:val="left"/>
      <w:pPr>
        <w:ind w:left="720" w:hanging="360"/>
      </w:pPr>
      <w:rPr>
        <w:color w:val="FF000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4"/>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ECC"/>
    <w:rsid w:val="00001D3B"/>
    <w:rsid w:val="003B100D"/>
    <w:rsid w:val="005155AD"/>
    <w:rsid w:val="005B2D59"/>
    <w:rsid w:val="00810E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5CF2E"/>
  <w15:chartTrackingRefBased/>
  <w15:docId w15:val="{D6A754C8-A48C-4F2F-BA8D-995F6DDB4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0ECC"/>
    <w:pPr>
      <w:spacing w:after="0" w:line="276" w:lineRule="auto"/>
    </w:pPr>
    <w:rPr>
      <w:rFonts w:ascii="Arial" w:eastAsia="Arial" w:hAnsi="Arial" w:cs="Arial"/>
      <w:lang w:val="en-IN"/>
    </w:rPr>
  </w:style>
  <w:style w:type="paragraph" w:styleId="Heading1">
    <w:name w:val="heading 1"/>
    <w:basedOn w:val="Normal1"/>
    <w:next w:val="Normal1"/>
    <w:link w:val="Heading1Char"/>
    <w:rsid w:val="00810ECC"/>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link w:val="Heading2Char"/>
    <w:rsid w:val="00810ECC"/>
    <w:pPr>
      <w:keepNext/>
      <w:keepLines/>
      <w:spacing w:before="360" w:after="120" w:line="360" w:lineRule="auto"/>
      <w:jc w:val="both"/>
      <w:outlineLvl w:val="1"/>
    </w:pPr>
    <w:rPr>
      <w:rFonts w:ascii="Times New Roman" w:hAnsi="Times New Roman"/>
      <w:b/>
      <w:i/>
      <w:color w:val="000000" w:themeColor="text1"/>
      <w:sz w:val="2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10ECC"/>
    <w:pPr>
      <w:spacing w:after="0" w:line="276" w:lineRule="auto"/>
    </w:pPr>
    <w:rPr>
      <w:rFonts w:ascii="Arial" w:eastAsia="Arial" w:hAnsi="Arial" w:cs="Arial"/>
      <w:lang w:val="en-IN"/>
    </w:rPr>
  </w:style>
  <w:style w:type="paragraph" w:styleId="Footer">
    <w:name w:val="footer"/>
    <w:basedOn w:val="Normal"/>
    <w:link w:val="FooterChar"/>
    <w:uiPriority w:val="99"/>
    <w:unhideWhenUsed/>
    <w:rsid w:val="00810ECC"/>
    <w:pPr>
      <w:tabs>
        <w:tab w:val="center" w:pos="4680"/>
        <w:tab w:val="right" w:pos="9360"/>
      </w:tabs>
      <w:spacing w:line="240" w:lineRule="auto"/>
    </w:pPr>
  </w:style>
  <w:style w:type="character" w:customStyle="1" w:styleId="FooterChar">
    <w:name w:val="Footer Char"/>
    <w:basedOn w:val="DefaultParagraphFont"/>
    <w:link w:val="Footer"/>
    <w:uiPriority w:val="99"/>
    <w:rsid w:val="00810ECC"/>
    <w:rPr>
      <w:rFonts w:ascii="Arial" w:eastAsia="Arial" w:hAnsi="Arial" w:cs="Arial"/>
      <w:lang w:val="en-IN"/>
    </w:rPr>
  </w:style>
  <w:style w:type="character" w:customStyle="1" w:styleId="Heading1Char">
    <w:name w:val="Heading 1 Char"/>
    <w:basedOn w:val="DefaultParagraphFont"/>
    <w:link w:val="Heading1"/>
    <w:rsid w:val="00810ECC"/>
    <w:rPr>
      <w:rFonts w:ascii="Times New Roman" w:eastAsia="Arial" w:hAnsi="Times New Roman" w:cs="Arial"/>
      <w:b/>
      <w:color w:val="000000" w:themeColor="text1"/>
      <w:sz w:val="28"/>
      <w:szCs w:val="40"/>
      <w:lang w:val="en-IN"/>
    </w:rPr>
  </w:style>
  <w:style w:type="character" w:customStyle="1" w:styleId="Heading2Char">
    <w:name w:val="Heading 2 Char"/>
    <w:basedOn w:val="DefaultParagraphFont"/>
    <w:link w:val="Heading2"/>
    <w:rsid w:val="00810ECC"/>
    <w:rPr>
      <w:rFonts w:ascii="Times New Roman" w:eastAsia="Arial" w:hAnsi="Times New Roman" w:cs="Arial"/>
      <w:b/>
      <w:i/>
      <w:color w:val="000000" w:themeColor="text1"/>
      <w:sz w:val="26"/>
      <w:szCs w:val="32"/>
      <w:lang w:val="en-IN"/>
    </w:rPr>
  </w:style>
  <w:style w:type="table" w:customStyle="1" w:styleId="Table1">
    <w:name w:val="Table1"/>
    <w:basedOn w:val="TableNormal"/>
    <w:rsid w:val="00810ECC"/>
    <w:pPr>
      <w:spacing w:after="0" w:line="276" w:lineRule="auto"/>
    </w:pPr>
    <w:rPr>
      <w:rFonts w:ascii="Arial" w:eastAsia="Arial" w:hAnsi="Arial" w:cs="Arial"/>
      <w:lang w:val="en-IN"/>
    </w:rPr>
    <w:tblPr>
      <w:tblStyleRowBandSize w:val="1"/>
      <w:tblStyleColBandSize w:val="1"/>
      <w:tblInd w:w="0" w:type="nil"/>
      <w:tblCellMar>
        <w:top w:w="100" w:type="dxa"/>
        <w:left w:w="100" w:type="dxa"/>
        <w:bottom w:w="100" w:type="dxa"/>
        <w:right w:w="100" w:type="dxa"/>
      </w:tblCellMar>
    </w:tblPr>
  </w:style>
  <w:style w:type="table" w:customStyle="1" w:styleId="Table2">
    <w:name w:val="Table2"/>
    <w:basedOn w:val="TableNormal"/>
    <w:rsid w:val="00810ECC"/>
    <w:pPr>
      <w:spacing w:after="0" w:line="276" w:lineRule="auto"/>
    </w:pPr>
    <w:rPr>
      <w:rFonts w:ascii="Arial" w:eastAsia="Arial" w:hAnsi="Arial" w:cs="Arial"/>
      <w:lang w:val="en-IN"/>
    </w:rPr>
    <w:tblPr>
      <w:tblStyleRowBandSize w:val="1"/>
      <w:tblStyleColBandSize w:val="1"/>
      <w:tblInd w:w="0" w:type="nil"/>
      <w:tblCellMar>
        <w:top w:w="100" w:type="dxa"/>
        <w:left w:w="100" w:type="dxa"/>
        <w:bottom w:w="100" w:type="dxa"/>
        <w:right w:w="100" w:type="dxa"/>
      </w:tblCellMar>
    </w:tblPr>
  </w:style>
  <w:style w:type="table" w:customStyle="1" w:styleId="Table3">
    <w:name w:val="Table3"/>
    <w:basedOn w:val="TableNormal"/>
    <w:rsid w:val="00810ECC"/>
    <w:pPr>
      <w:spacing w:after="0" w:line="276" w:lineRule="auto"/>
    </w:pPr>
    <w:rPr>
      <w:rFonts w:ascii="Arial" w:eastAsia="Arial" w:hAnsi="Arial" w:cs="Arial"/>
      <w:lang w:val="en-IN"/>
    </w:rPr>
    <w:tblPr>
      <w:tblStyleRowBandSize w:val="1"/>
      <w:tblStyleColBandSize w:val="1"/>
      <w:tblInd w:w="0" w:type="nil"/>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810ECC"/>
    <w:pPr>
      <w:spacing w:before="480" w:after="0" w:line="276" w:lineRule="auto"/>
      <w:jc w:val="left"/>
      <w:outlineLvl w:val="9"/>
    </w:pPr>
    <w:rPr>
      <w:rFonts w:asciiTheme="majorHAnsi" w:eastAsiaTheme="majorEastAsia" w:hAnsiTheme="majorHAnsi" w:cstheme="majorBidi"/>
      <w:bCs/>
      <w:color w:val="2F5496" w:themeColor="accent1" w:themeShade="BF"/>
      <w:szCs w:val="28"/>
      <w:lang w:val="en-US" w:eastAsia="ja-JP"/>
    </w:rPr>
  </w:style>
  <w:style w:type="paragraph" w:styleId="TOC1">
    <w:name w:val="toc 1"/>
    <w:basedOn w:val="Normal"/>
    <w:next w:val="Normal"/>
    <w:autoRedefine/>
    <w:uiPriority w:val="39"/>
    <w:unhideWhenUsed/>
    <w:rsid w:val="00810ECC"/>
    <w:pPr>
      <w:spacing w:after="100" w:line="360" w:lineRule="auto"/>
      <w:jc w:val="both"/>
    </w:pPr>
    <w:rPr>
      <w:rFonts w:ascii="Times New Roman" w:hAnsi="Times New Roman"/>
      <w:sz w:val="24"/>
    </w:rPr>
  </w:style>
  <w:style w:type="paragraph" w:styleId="TOC2">
    <w:name w:val="toc 2"/>
    <w:basedOn w:val="Normal"/>
    <w:next w:val="Normal"/>
    <w:autoRedefine/>
    <w:uiPriority w:val="39"/>
    <w:unhideWhenUsed/>
    <w:rsid w:val="00810ECC"/>
    <w:pPr>
      <w:spacing w:after="100" w:line="360" w:lineRule="auto"/>
      <w:ind w:left="220"/>
      <w:jc w:val="both"/>
    </w:pPr>
    <w:rPr>
      <w:rFonts w:ascii="Times New Roman" w:hAnsi="Times New Roman"/>
      <w:sz w:val="24"/>
    </w:rPr>
  </w:style>
  <w:style w:type="character" w:styleId="Hyperlink">
    <w:name w:val="Hyperlink"/>
    <w:basedOn w:val="DefaultParagraphFont"/>
    <w:uiPriority w:val="99"/>
    <w:unhideWhenUsed/>
    <w:rsid w:val="00810ECC"/>
    <w:rPr>
      <w:color w:val="0563C1" w:themeColor="hyperlink"/>
      <w:u w:val="single"/>
    </w:rPr>
  </w:style>
  <w:style w:type="paragraph" w:customStyle="1" w:styleId="Normal2">
    <w:name w:val="Normal2"/>
    <w:rsid w:val="00810ECC"/>
    <w:pPr>
      <w:spacing w:after="0" w:line="276" w:lineRule="auto"/>
    </w:pPr>
    <w:rPr>
      <w:rFonts w:ascii="Arial" w:eastAsia="Arial" w:hAnsi="Arial" w:cs="Arial"/>
      <w:lang w:val="en-IN"/>
    </w:rPr>
  </w:style>
  <w:style w:type="paragraph" w:styleId="ListParagraph">
    <w:name w:val="List Paragraph"/>
    <w:basedOn w:val="Normal"/>
    <w:uiPriority w:val="34"/>
    <w:qFormat/>
    <w:rsid w:val="00810ECC"/>
    <w:pPr>
      <w:spacing w:line="360" w:lineRule="auto"/>
      <w:ind w:left="720"/>
      <w:contextualSpacing/>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016/j.enpol.2019.05.0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18</Pages>
  <Words>4242</Words>
  <Characters>24186</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Mujtahid Hussain</dc:creator>
  <cp:keywords/>
  <dc:description/>
  <cp:lastModifiedBy>Mohammad Mujtahid Hussain</cp:lastModifiedBy>
  <cp:revision>1</cp:revision>
  <dcterms:created xsi:type="dcterms:W3CDTF">2023-12-20T00:30:00Z</dcterms:created>
  <dcterms:modified xsi:type="dcterms:W3CDTF">2023-12-20T01:09:00Z</dcterms:modified>
</cp:coreProperties>
</file>