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center"/>
        <w:rPr>
          <w:rFonts w:ascii="Calibri" w:hAnsi="Calibri" w:cs="Calibri" w:eastAsia="Calibri"/>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MODULE TITLE AND CODE: BMIH 5007 </w:t>
      </w:r>
      <w:r>
        <w:rPr>
          <w:rFonts w:ascii="Calibri" w:hAnsi="Calibri" w:cs="Calibri" w:eastAsia="Calibri"/>
          <w:b/>
          <w:i/>
          <w:color w:val="4472C4"/>
          <w:spacing w:val="0"/>
          <w:position w:val="0"/>
          <w:sz w:val="40"/>
          <w:shd w:fill="auto" w:val="clear"/>
        </w:rPr>
        <w:t xml:space="preserve">– FINANCIAL MANAGEMENT FOR THE HOTEL INDUSTRY</w:t>
      </w:r>
    </w:p>
    <w:p>
      <w:pPr>
        <w:spacing w:before="0" w:after="160" w:line="360"/>
        <w:ind w:right="0" w:left="0" w:firstLine="0"/>
        <w:jc w:val="center"/>
        <w:rPr>
          <w:rFonts w:ascii="Agency FB" w:hAnsi="Agency FB" w:cs="Agency FB" w:eastAsia="Agency FB"/>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Case Study of Urban Heights </w:t>
      </w:r>
    </w:p>
    <w:p>
      <w:pPr>
        <w:spacing w:before="0" w:after="160" w:line="360"/>
        <w:ind w:right="0" w:left="0" w:firstLine="0"/>
        <w:jc w:val="center"/>
        <w:rPr>
          <w:rFonts w:ascii="Agency FB" w:hAnsi="Agency FB" w:cs="Agency FB" w:eastAsia="Agency FB"/>
          <w:b/>
          <w:i/>
          <w:color w:val="4472C4"/>
          <w:spacing w:val="0"/>
          <w:position w:val="0"/>
          <w:sz w:val="40"/>
          <w:shd w:fill="auto" w:val="clear"/>
        </w:rPr>
      </w:pPr>
    </w:p>
    <w:p>
      <w:pPr>
        <w:spacing w:before="0" w:after="160" w:line="360"/>
        <w:ind w:right="0" w:left="0" w:firstLine="0"/>
        <w:jc w:val="center"/>
        <w:rPr>
          <w:rFonts w:ascii="Agency FB" w:hAnsi="Agency FB" w:cs="Agency FB" w:eastAsia="Agency FB"/>
          <w:b/>
          <w:i/>
          <w:color w:val="4472C4"/>
          <w:spacing w:val="0"/>
          <w:position w:val="0"/>
          <w:sz w:val="40"/>
          <w:shd w:fill="auto" w:val="clear"/>
        </w:rPr>
      </w:pPr>
    </w:p>
    <w:p>
      <w:pPr>
        <w:spacing w:before="0" w:after="160" w:line="360"/>
        <w:ind w:right="0" w:left="0" w:firstLine="0"/>
        <w:jc w:val="center"/>
        <w:rPr>
          <w:rFonts w:ascii="Agency FB" w:hAnsi="Agency FB" w:cs="Agency FB" w:eastAsia="Agency FB"/>
          <w:b/>
          <w:i/>
          <w:color w:val="4472C4"/>
          <w:spacing w:val="0"/>
          <w:position w:val="0"/>
          <w:sz w:val="40"/>
          <w:shd w:fill="auto" w:val="clear"/>
        </w:rPr>
      </w:pPr>
    </w:p>
    <w:p>
      <w:pPr>
        <w:spacing w:before="0" w:after="160" w:line="360"/>
        <w:ind w:right="0" w:left="0" w:firstLine="0"/>
        <w:jc w:val="both"/>
        <w:rPr>
          <w:rFonts w:ascii="Agency FB" w:hAnsi="Agency FB" w:cs="Agency FB" w:eastAsia="Agency FB"/>
          <w:b/>
          <w:i/>
          <w:color w:val="4472C4"/>
          <w:spacing w:val="0"/>
          <w:position w:val="0"/>
          <w:sz w:val="40"/>
          <w:shd w:fill="auto" w:val="clear"/>
        </w:rPr>
      </w:pPr>
    </w:p>
    <w:p>
      <w:pPr>
        <w:spacing w:before="0" w:after="160" w:line="360"/>
        <w:ind w:right="0" w:left="0" w:firstLine="0"/>
        <w:jc w:val="both"/>
        <w:rPr>
          <w:rFonts w:ascii="Agency FB" w:hAnsi="Agency FB" w:cs="Agency FB" w:eastAsia="Agency FB"/>
          <w:b/>
          <w:i/>
          <w:color w:val="4472C4"/>
          <w:spacing w:val="0"/>
          <w:position w:val="0"/>
          <w:sz w:val="40"/>
          <w:shd w:fill="auto" w:val="clear"/>
        </w:rPr>
      </w:pPr>
    </w:p>
    <w:p>
      <w:pPr>
        <w:spacing w:before="0" w:after="160" w:line="360"/>
        <w:ind w:right="0" w:left="0" w:firstLine="0"/>
        <w:jc w:val="center"/>
        <w:rPr>
          <w:rFonts w:ascii="Agency FB" w:hAnsi="Agency FB" w:cs="Agency FB" w:eastAsia="Agency FB"/>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Student Name: Zomir Hussain Khan</w:t>
      </w:r>
    </w:p>
    <w:p>
      <w:pPr>
        <w:spacing w:before="0" w:after="160" w:line="360"/>
        <w:ind w:right="0" w:left="0" w:firstLine="0"/>
        <w:jc w:val="center"/>
        <w:rPr>
          <w:rFonts w:ascii="Agency FB" w:hAnsi="Agency FB" w:cs="Agency FB" w:eastAsia="Agency FB"/>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Student ID: 2209207</w:t>
      </w:r>
    </w:p>
    <w:p>
      <w:pPr>
        <w:spacing w:before="0" w:after="160" w:line="360"/>
        <w:ind w:right="0" w:left="0" w:firstLine="0"/>
        <w:jc w:val="center"/>
        <w:rPr>
          <w:rFonts w:ascii="Agency FB" w:hAnsi="Agency FB" w:cs="Agency FB" w:eastAsia="Agency FB"/>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Lecturer: Tristan Hawkins</w:t>
      </w:r>
    </w:p>
    <w:p>
      <w:pPr>
        <w:keepNext w:val="true"/>
        <w:keepLines w:val="true"/>
        <w:widowControl w:val="false"/>
        <w:spacing w:before="240" w:after="0" w:line="360"/>
        <w:ind w:right="0" w:left="0" w:firstLine="0"/>
        <w:jc w:val="center"/>
        <w:rPr>
          <w:rFonts w:ascii="Agency FB" w:hAnsi="Agency FB" w:cs="Agency FB" w:eastAsia="Agency FB"/>
          <w:b/>
          <w:i/>
          <w:color w:val="4472C4"/>
          <w:spacing w:val="0"/>
          <w:position w:val="0"/>
          <w:sz w:val="40"/>
          <w:shd w:fill="auto" w:val="clear"/>
        </w:rPr>
      </w:pPr>
      <w:r>
        <w:rPr>
          <w:rFonts w:ascii="Agency FB" w:hAnsi="Agency FB" w:cs="Agency FB" w:eastAsia="Agency FB"/>
          <w:b/>
          <w:i/>
          <w:color w:val="4472C4"/>
          <w:spacing w:val="0"/>
          <w:position w:val="0"/>
          <w:sz w:val="40"/>
          <w:shd w:fill="auto" w:val="clear"/>
        </w:rPr>
        <w:t xml:space="preserve">Word Count: 2051</w:t>
      </w:r>
    </w:p>
    <w:p>
      <w:pPr>
        <w:keepNext w:val="true"/>
        <w:keepLines w:val="true"/>
        <w:widowControl w:val="false"/>
        <w:spacing w:before="240" w:after="0" w:line="360"/>
        <w:ind w:right="0" w:left="0" w:firstLine="0"/>
        <w:jc w:val="center"/>
        <w:rPr>
          <w:rFonts w:ascii="Agency FB" w:hAnsi="Agency FB" w:cs="Agency FB" w:eastAsia="Agency FB"/>
          <w:b/>
          <w:i/>
          <w:color w:val="4472C4"/>
          <w:spacing w:val="0"/>
          <w:position w:val="0"/>
          <w:sz w:val="40"/>
          <w:shd w:fill="auto" w:val="clear"/>
        </w:rPr>
      </w:pPr>
    </w:p>
    <w:p>
      <w:pPr>
        <w:keepNext w:val="true"/>
        <w:keepLines w:val="true"/>
        <w:widowControl w:val="false"/>
        <w:spacing w:before="240" w:after="0" w:line="360"/>
        <w:ind w:right="0" w:left="0" w:firstLine="0"/>
        <w:jc w:val="center"/>
        <w:rPr>
          <w:rFonts w:ascii="Agency FB" w:hAnsi="Agency FB" w:cs="Agency FB" w:eastAsia="Agency FB"/>
          <w:b/>
          <w:i/>
          <w:color w:val="4472C4"/>
          <w:spacing w:val="0"/>
          <w:position w:val="0"/>
          <w:sz w:val="40"/>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Introduction</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modern era of business is about making sustainable income throughout the year. The overall profitability of big companies depends on the prospect of how it can be used properly and efficiently. The Urban Heights hotel is one of those that are mostly looking forward for the profit. However, if we look at it in last few years, we will see that the revenue gone downhill. It can be said that the profitability also impacted by this also. In this report, the main target will be to look forward into the financials and also find out the reasons behind the profitability drop and revenue loss (</w:t>
      </w:r>
      <w:r>
        <w:rPr>
          <w:rFonts w:ascii="Arial" w:hAnsi="Arial" w:cs="Arial" w:eastAsia="Arial"/>
          <w:color w:val="222222"/>
          <w:spacing w:val="0"/>
          <w:position w:val="0"/>
          <w:sz w:val="24"/>
          <w:shd w:fill="FFFFFF" w:val="clear"/>
        </w:rPr>
        <w:t xml:space="preserve">Abebe, 2009</w:t>
      </w:r>
      <w:r>
        <w:rPr>
          <w:rFonts w:ascii="Arial" w:hAnsi="Arial" w:cs="Arial" w:eastAsia="Arial"/>
          <w:color w:val="000000"/>
          <w:spacing w:val="0"/>
          <w:position w:val="0"/>
          <w:sz w:val="24"/>
          <w:shd w:fill="auto" w:val="clear"/>
        </w:rPr>
        <w:t xml:space="preserve">). This report will also focus on the prospect of real reasons behind them and will look forward into seeing how to resolve them so that the business will run as smoothly as before and will aid the overall development of the business so that the revenue will have an upward trend which is mandatory for a business to sustain it for long term period. </w:t>
      </w:r>
    </w:p>
    <w:p>
      <w:pPr>
        <w:spacing w:before="0" w:after="160" w:line="360"/>
        <w:ind w:right="0" w:left="0" w:firstLine="0"/>
        <w:jc w:val="left"/>
        <w:rPr>
          <w:rFonts w:ascii="Arial" w:hAnsi="Arial" w:cs="Arial" w:eastAsia="Arial"/>
          <w:color w:val="000000"/>
          <w:spacing w:val="0"/>
          <w:position w:val="0"/>
          <w:sz w:val="27"/>
          <w:shd w:fill="auto" w:val="clear"/>
        </w:rPr>
      </w:pPr>
      <w:r>
        <w:rPr>
          <w:rFonts w:ascii="Arial" w:hAnsi="Arial" w:cs="Arial" w:eastAsia="Arial"/>
          <w:color w:val="000000"/>
          <w:spacing w:val="0"/>
          <w:position w:val="0"/>
          <w:sz w:val="27"/>
          <w:shd w:fill="auto" w:val="clear"/>
        </w:rPr>
        <w:t xml:space="preserve"> </w:t>
      </w:r>
    </w:p>
    <w:p>
      <w:pPr>
        <w:spacing w:before="0" w:after="160" w:line="360"/>
        <w:ind w:right="0" w:left="0" w:firstLine="0"/>
        <w:jc w:val="left"/>
        <w:rPr>
          <w:rFonts w:ascii="Arial" w:hAnsi="Arial" w:cs="Arial" w:eastAsia="Arial"/>
          <w:color w:val="000000"/>
          <w:spacing w:val="0"/>
          <w:position w:val="0"/>
          <w:sz w:val="27"/>
          <w:shd w:fill="auto" w:val="clear"/>
        </w:rPr>
      </w:pP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Evaluation of Trends and Patterns of Urban Heights</w:t>
      </w:r>
    </w:p>
    <w:p>
      <w:pPr>
        <w:keepNext w:val="true"/>
        <w:keepLines w:val="true"/>
        <w:spacing w:before="40" w:after="160" w:line="360"/>
        <w:ind w:right="0" w:left="0" w:firstLine="0"/>
        <w:jc w:val="left"/>
        <w:rPr>
          <w:rFonts w:ascii="Arial" w:hAnsi="Arial" w:cs="Arial" w:eastAsia="Arial"/>
          <w:i/>
          <w:color w:val="auto"/>
          <w:spacing w:val="0"/>
          <w:position w:val="0"/>
          <w:sz w:val="28"/>
          <w:u w:val="single"/>
          <w:shd w:fill="auto" w:val="clear"/>
        </w:rPr>
      </w:pPr>
      <w:r>
        <w:rPr>
          <w:rFonts w:ascii="Arial" w:hAnsi="Arial" w:cs="Arial" w:eastAsia="Arial"/>
          <w:i/>
          <w:color w:val="auto"/>
          <w:spacing w:val="0"/>
          <w:position w:val="0"/>
          <w:sz w:val="28"/>
          <w:u w:val="single"/>
          <w:shd w:fill="auto" w:val="clear"/>
        </w:rPr>
        <w:t xml:space="preserve">Revenue Analysis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we are seeing in last 3 years, in 2021 the revenue was the highest 2,500,000 GBP and it was gradually declining over the years which will be the in future year. The revenue analysis of the last 3 years shows that the trend is downward which is problematic. </w:t>
      </w:r>
    </w:p>
    <w:tbl>
      <w:tblPr/>
      <w:tblGrid>
        <w:gridCol w:w="2380"/>
        <w:gridCol w:w="1420"/>
        <w:gridCol w:w="1420"/>
        <w:gridCol w:w="1418"/>
      </w:tblGrid>
      <w:tr>
        <w:trPr>
          <w:trHeight w:val="315" w:hRule="auto"/>
          <w:jc w:val="center"/>
        </w:trPr>
        <w:tc>
          <w:tcPr>
            <w:tcW w:w="238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Year</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2021</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2022</w:t>
            </w:r>
          </w:p>
        </w:tc>
        <w:tc>
          <w:tcPr>
            <w:tcW w:w="1418"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2023</w:t>
            </w:r>
          </w:p>
        </w:tc>
      </w:tr>
      <w:tr>
        <w:trPr>
          <w:trHeight w:val="300" w:hRule="auto"/>
          <w:jc w:val="center"/>
        </w:trPr>
        <w:tc>
          <w:tcPr>
            <w:tcW w:w="238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Revenue</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£2,500,000</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£2,200,000</w:t>
            </w:r>
          </w:p>
        </w:tc>
        <w:tc>
          <w:tcPr>
            <w:tcW w:w="1418"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£1,800,000</w:t>
            </w:r>
          </w:p>
        </w:tc>
      </w:tr>
    </w:tbl>
    <w:p>
      <w:pPr>
        <w:spacing w:before="0" w:after="16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Figure 01:  Revenue Chart of Urban Heights.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revenue analysis does not show the whole picture. For this reason, we need to check the operating expense and also the income statement which will further help us on learning what is the key point in problem in revenue stream. </w:t>
      </w:r>
    </w:p>
    <w:p>
      <w:pPr>
        <w:spacing w:before="0" w:after="160" w:line="360"/>
        <w:ind w:right="0" w:left="0" w:firstLine="0"/>
        <w:jc w:val="center"/>
        <w:rPr>
          <w:rFonts w:ascii="Arial" w:hAnsi="Arial" w:cs="Arial" w:eastAsia="Arial"/>
          <w:color w:val="auto"/>
          <w:spacing w:val="0"/>
          <w:position w:val="0"/>
          <w:sz w:val="24"/>
          <w:shd w:fill="auto" w:val="clear"/>
        </w:rPr>
      </w:pPr>
      <w:r>
        <w:object w:dxaOrig="6811" w:dyaOrig="4060">
          <v:rect xmlns:o="urn:schemas-microsoft-com:office:office" xmlns:v="urn:schemas-microsoft-com:vml" id="rectole0000000000" style="width:340.550000pt;height:203.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2: Revenue Analysis of Urban Heights (Source: Case Study)</w:t>
      </w:r>
    </w:p>
    <w:p>
      <w:pPr>
        <w:keepNext w:val="true"/>
        <w:keepLines w:val="true"/>
        <w:spacing w:before="40" w:after="160" w:line="360"/>
        <w:ind w:right="0" w:left="0" w:firstLine="0"/>
        <w:jc w:val="left"/>
        <w:rPr>
          <w:rFonts w:ascii="Arial" w:hAnsi="Arial" w:cs="Arial" w:eastAsia="Arial"/>
          <w:i/>
          <w:color w:val="auto"/>
          <w:spacing w:val="0"/>
          <w:position w:val="0"/>
          <w:sz w:val="28"/>
          <w:u w:val="single"/>
          <w:shd w:fill="auto" w:val="clear"/>
        </w:rPr>
      </w:pPr>
      <w:r>
        <w:rPr>
          <w:rFonts w:ascii="Arial" w:hAnsi="Arial" w:cs="Arial" w:eastAsia="Arial"/>
          <w:i/>
          <w:color w:val="auto"/>
          <w:spacing w:val="0"/>
          <w:position w:val="0"/>
          <w:sz w:val="28"/>
          <w:u w:val="single"/>
          <w:shd w:fill="auto" w:val="clear"/>
        </w:rPr>
        <w:t xml:space="preserve">Net Income</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we are looking forward to the net income, we are seeing the dropping in net income. In 2023 we are seeing the net income is negative which is alarming. This is the prime reason due to drop in revenue and also increased in operating expense which is problematic for the company in long run. </w:t>
      </w:r>
    </w:p>
    <w:p>
      <w:pPr>
        <w:spacing w:before="0" w:after="160" w:line="360"/>
        <w:ind w:right="0" w:left="0" w:firstLine="0"/>
        <w:jc w:val="both"/>
        <w:rPr>
          <w:rFonts w:ascii="Arial" w:hAnsi="Arial" w:cs="Arial" w:eastAsia="Arial"/>
          <w:color w:val="auto"/>
          <w:spacing w:val="0"/>
          <w:position w:val="0"/>
          <w:sz w:val="24"/>
          <w:shd w:fill="auto" w:val="clear"/>
        </w:rPr>
      </w:pPr>
    </w:p>
    <w:tbl>
      <w:tblPr/>
      <w:tblGrid>
        <w:gridCol w:w="2380"/>
        <w:gridCol w:w="1420"/>
        <w:gridCol w:w="1420"/>
        <w:gridCol w:w="1377"/>
      </w:tblGrid>
      <w:tr>
        <w:trPr>
          <w:trHeight w:val="315" w:hRule="auto"/>
          <w:jc w:val="center"/>
        </w:trPr>
        <w:tc>
          <w:tcPr>
            <w:tcW w:w="238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Item </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2021</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2022</w:t>
            </w:r>
          </w:p>
        </w:tc>
        <w:tc>
          <w:tcPr>
            <w:tcW w:w="1377"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2023</w:t>
            </w:r>
          </w:p>
        </w:tc>
      </w:tr>
      <w:tr>
        <w:trPr>
          <w:trHeight w:val="300" w:hRule="auto"/>
          <w:jc w:val="center"/>
        </w:trPr>
        <w:tc>
          <w:tcPr>
            <w:tcW w:w="238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Net Income </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£700,000 </w:t>
            </w:r>
          </w:p>
        </w:tc>
        <w:tc>
          <w:tcPr>
            <w:tcW w:w="1420"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£200,000 </w:t>
            </w:r>
          </w:p>
        </w:tc>
        <w:tc>
          <w:tcPr>
            <w:tcW w:w="1377" w:type="dxa"/>
            <w:tcBorders>
              <w:top w:val="single" w:color="ffffff" w:sz="4"/>
              <w:left w:val="single" w:color="ffffff" w:sz="4"/>
              <w:bottom w:val="single" w:color="ffffff" w:sz="4"/>
              <w:right w:val="single" w:color="ffffff" w:sz="4"/>
            </w:tcBorders>
            <w:shd w:color="auto" w:fill="ededed"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(£500,000)</w:t>
            </w:r>
          </w:p>
        </w:tc>
      </w:tr>
    </w:tbl>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center"/>
        <w:rPr>
          <w:rFonts w:ascii="Arial" w:hAnsi="Arial" w:cs="Arial" w:eastAsia="Arial"/>
          <w:color w:val="auto"/>
          <w:spacing w:val="0"/>
          <w:position w:val="0"/>
          <w:sz w:val="24"/>
          <w:shd w:fill="auto" w:val="clear"/>
        </w:rPr>
      </w:pPr>
      <w:r>
        <w:object w:dxaOrig="7776" w:dyaOrig="4320">
          <v:rect xmlns:o="urn:schemas-microsoft-com:office:office" xmlns:v="urn:schemas-microsoft-com:vml" id="rectole0000000001" style="width:388.800000pt;height:216.0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3: Net Income Analysis of Urban Heights (Source: Case Study)</w:t>
      </w:r>
    </w:p>
    <w:p>
      <w:pPr>
        <w:keepNext w:val="true"/>
        <w:keepLines w:val="true"/>
        <w:spacing w:before="40" w:after="160" w:line="360"/>
        <w:ind w:right="0" w:left="0" w:firstLine="0"/>
        <w:jc w:val="left"/>
        <w:rPr>
          <w:rFonts w:ascii="Arial" w:hAnsi="Arial" w:cs="Arial" w:eastAsia="Arial"/>
          <w:i/>
          <w:color w:val="auto"/>
          <w:spacing w:val="0"/>
          <w:position w:val="0"/>
          <w:sz w:val="28"/>
          <w:u w:val="single"/>
          <w:shd w:fill="auto" w:val="clear"/>
        </w:rPr>
      </w:pPr>
      <w:r>
        <w:rPr>
          <w:rFonts w:ascii="Arial" w:hAnsi="Arial" w:cs="Arial" w:eastAsia="Arial"/>
          <w:i/>
          <w:color w:val="auto"/>
          <w:spacing w:val="0"/>
          <w:position w:val="0"/>
          <w:sz w:val="28"/>
          <w:u w:val="single"/>
          <w:shd w:fill="auto" w:val="clear"/>
        </w:rPr>
        <w:t xml:space="preserve">Operating Expense Curve</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problem with operating expense was that it is constantly uprising. The biggest problem here is that if the hotel is not going for the expansion, the higher operating expense is not justified. </w:t>
      </w:r>
    </w:p>
    <w:tbl>
      <w:tblPr/>
      <w:tblGrid>
        <w:gridCol w:w="3556"/>
        <w:gridCol w:w="1418"/>
        <w:gridCol w:w="1420"/>
        <w:gridCol w:w="1418"/>
      </w:tblGrid>
      <w:tr>
        <w:trPr>
          <w:trHeight w:val="315" w:hRule="auto"/>
          <w:jc w:val="center"/>
        </w:trPr>
        <w:tc>
          <w:tcPr>
            <w:tcW w:w="355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Item </w:t>
            </w:r>
          </w:p>
        </w:tc>
        <w:tc>
          <w:tcPr>
            <w:tcW w:w="1418"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2021</w:t>
            </w:r>
          </w:p>
        </w:tc>
        <w:tc>
          <w:tcPr>
            <w:tcW w:w="142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2022</w:t>
            </w:r>
          </w:p>
        </w:tc>
        <w:tc>
          <w:tcPr>
            <w:tcW w:w="1418"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2023</w:t>
            </w:r>
          </w:p>
        </w:tc>
      </w:tr>
      <w:tr>
        <w:trPr>
          <w:trHeight w:val="300" w:hRule="auto"/>
          <w:jc w:val="center"/>
        </w:trPr>
        <w:tc>
          <w:tcPr>
            <w:tcW w:w="3556"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Operating Expenses </w:t>
            </w:r>
          </w:p>
        </w:tc>
        <w:tc>
          <w:tcPr>
            <w:tcW w:w="1418"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£1,800,000 </w:t>
            </w:r>
          </w:p>
        </w:tc>
        <w:tc>
          <w:tcPr>
            <w:tcW w:w="1420"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£2,000,000 </w:t>
            </w:r>
          </w:p>
        </w:tc>
        <w:tc>
          <w:tcPr>
            <w:tcW w:w="1418"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right"/>
              <w:rPr>
                <w:spacing w:val="0"/>
                <w:position w:val="0"/>
                <w:shd w:fill="auto" w:val="clear"/>
              </w:rPr>
            </w:pPr>
            <w:r>
              <w:rPr>
                <w:rFonts w:ascii="Arial" w:hAnsi="Arial" w:cs="Arial" w:eastAsia="Arial"/>
                <w:color w:val="000000"/>
                <w:spacing w:val="0"/>
                <w:position w:val="0"/>
                <w:sz w:val="24"/>
                <w:shd w:fill="auto" w:val="clear"/>
              </w:rPr>
              <w:t xml:space="preserve">£2,300,000</w:t>
            </w:r>
          </w:p>
        </w:tc>
      </w:tr>
    </w:tbl>
    <w:p>
      <w:pPr>
        <w:spacing w:before="0" w:after="160" w:line="360"/>
        <w:ind w:right="0" w:left="0" w:firstLine="0"/>
        <w:jc w:val="both"/>
        <w:rPr>
          <w:rFonts w:ascii="Arial" w:hAnsi="Arial" w:cs="Arial" w:eastAsia="Arial"/>
          <w:color w:val="000000"/>
          <w:spacing w:val="0"/>
          <w:position w:val="0"/>
          <w:sz w:val="24"/>
          <w:shd w:fill="auto" w:val="clear"/>
        </w:rPr>
      </w:pP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biggest problem here is to check for necessary details. The operating expense is constantly rising which is problem. It may be argued that the rising use of other expenses is due to pandemic but it is sure that it has not dropped after 2022 when the pandemic is attenuated. For this reason, we need to look further for the understanding the reason behind increased expense curve.</w:t>
      </w:r>
    </w:p>
    <w:p>
      <w:pPr>
        <w:spacing w:before="0" w:after="160" w:line="360"/>
        <w:ind w:right="0" w:left="0" w:firstLine="0"/>
        <w:jc w:val="center"/>
        <w:rPr>
          <w:rFonts w:ascii="Arial" w:hAnsi="Arial" w:cs="Arial" w:eastAsia="Arial"/>
          <w:b/>
          <w:color w:val="000000"/>
          <w:spacing w:val="0"/>
          <w:position w:val="0"/>
          <w:sz w:val="27"/>
          <w:shd w:fill="auto" w:val="clear"/>
        </w:rPr>
      </w:pPr>
      <w:r>
        <w:object w:dxaOrig="6854" w:dyaOrig="4147">
          <v:rect xmlns:o="urn:schemas-microsoft-com:office:office" xmlns:v="urn:schemas-microsoft-com:vml" id="rectole0000000002" style="width:342.700000pt;height:207.3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Figure 4: Operating Expense Analysis of Urban Heights</w:t>
      </w: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Balance Sheet Analysis </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 company's financial health may be seen in its balance sheet, which details its assets, liabilities, and equity as of a certain time. In order to evaluate the company's financial health from 2021</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2023, this article will use the Asset/Liability table.</w:t>
      </w:r>
    </w:p>
    <w:tbl>
      <w:tblPr/>
      <w:tblGrid>
        <w:gridCol w:w="3812"/>
        <w:gridCol w:w="1801"/>
        <w:gridCol w:w="1801"/>
        <w:gridCol w:w="1801"/>
      </w:tblGrid>
      <w:tr>
        <w:trPr>
          <w:trHeight w:val="345"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Asset/Liability</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2021</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2022</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2023</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Cash and Equivalents</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£100,000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Accounts Receivable</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£150,000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£80,000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Property and Equipment</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£5,000,000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£4,800,000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£4,500,000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Total Assets</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£5,450,000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£5,100,000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£4,680,000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Accounts Payable</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£250,000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£270,000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£300,000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Long-term Debt</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£3,000,000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£3,000,000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£3,000,000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Total Liabilities</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£3,250,000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£3,270,000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£3,300,000</w:t>
            </w:r>
          </w:p>
        </w:tc>
      </w:tr>
      <w:tr>
        <w:trPr>
          <w:trHeight w:val="329" w:hRule="auto"/>
          <w:jc w:val="left"/>
        </w:trPr>
        <w:tc>
          <w:tcPr>
            <w:tcW w:w="3812"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Equity</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£2,200,000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£1,830,000</w:t>
            </w:r>
          </w:p>
        </w:tc>
        <w:tc>
          <w:tcPr>
            <w:tcW w:w="1801" w:type="dxa"/>
            <w:tcBorders>
              <w:top w:val="single" w:color="c9c9c9" w:sz="4"/>
              <w:left w:val="single" w:color="c9c9c9" w:sz="4"/>
              <w:bottom w:val="single" w:color="c9c9c9" w:sz="4"/>
              <w:right w:val="single" w:color="c9c9c9" w:sz="4"/>
            </w:tcBorders>
            <w:shd w:color="000000" w:fill="ffffff" w:val="clear"/>
            <w:tcMar>
              <w:left w:w="108" w:type="dxa"/>
              <w:right w:w="108" w:type="dxa"/>
            </w:tcMar>
            <w:vAlign w:val="top"/>
          </w:tcPr>
          <w:p>
            <w:pPr>
              <w:spacing w:before="0" w:after="0" w:line="360"/>
              <w:ind w:right="0" w:left="0" w:firstLine="0"/>
              <w:jc w:val="center"/>
              <w:rPr>
                <w:spacing w:val="0"/>
                <w:position w:val="0"/>
                <w:shd w:fill="auto" w:val="clear"/>
              </w:rPr>
            </w:pPr>
            <w:r>
              <w:rPr>
                <w:rFonts w:ascii="Arial" w:hAnsi="Arial" w:cs="Arial" w:eastAsia="Arial"/>
                <w:color w:val="000000"/>
                <w:spacing w:val="0"/>
                <w:position w:val="0"/>
                <w:sz w:val="24"/>
                <w:shd w:fill="auto" w:val="clear"/>
              </w:rPr>
              <w:t xml:space="preserve">£1,380,000</w:t>
            </w:r>
          </w:p>
        </w:tc>
      </w:tr>
    </w:tbl>
    <w:p>
      <w:pPr>
        <w:spacing w:before="0" w:after="16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Figure 5: Balance Sheet of Urban Heights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decline in assets, including cash and equivalents, is a major concern. After a decline of 300,000 GBP in 2021, the firm's cash reserves fell to 100,000 GBP in 2023. If the company's liquid assets have dropped significantly, it can indicate that it is having trouble meeting its short-term obligations (Barker et al, 2024). There was a drop in accounts receivable as well, from £150,000 in 2021 to £80,000 the following year. Either greater collection or fewer sales can be to blame.</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From £5,000,000 in 2021 to £4,500,000 in 2023, the value of non-current assets, which include property and equipment, decreased. As a result of sales or depreciation, the company's asset base could have shrunk. It follows that the asset value declined from £5,450,000 in 2021 to £4,680,000 in 2023.</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From £250,000 in 2021 to £300,000 in 2023, accounts payable increased. The company may be taking more time to pay its suppliers or operational expenses may be on the rise if this trend continues. Throughout all three years, the company's long-term debt level remained at £3,000,000, indicating that it has refrained from significantly increasing its debt or making major repayments.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increase in accounts payable was the primary factor in the total liability increase from £3,250,000 in 2021 to £3,300,000 in 2023. The corporation may find its finances tightened due to this increase in liabilities and decrease in asset base.</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Concerningly, the company's equity balance has dropped significantly. In 2023, equity dropped to £1,380,000 from £2,200,000 the previous year. A decrease in retained earnings and net worth could be the result of dividend payments or financial losses sustained by the company.</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Finally, the financial analysis of the Asset/Liability table reveals many concerns. The decreasing levels of assets, accounts receivable, and cash and equivalents point to reduced operational footprint and liquidity concerns (</w:t>
      </w:r>
      <w:r>
        <w:rPr>
          <w:rFonts w:ascii="Arial" w:hAnsi="Arial" w:cs="Arial" w:eastAsia="Arial"/>
          <w:color w:val="222222"/>
          <w:spacing w:val="0"/>
          <w:position w:val="0"/>
          <w:sz w:val="24"/>
          <w:shd w:fill="FFFFFF" w:val="clear"/>
        </w:rPr>
        <w:t xml:space="preserve">Binti et al, 2010</w:t>
      </w:r>
      <w:r>
        <w:rPr>
          <w:rFonts w:ascii="Arial" w:hAnsi="Arial" w:cs="Arial" w:eastAsia="Arial"/>
          <w:color w:val="000000"/>
          <w:spacing w:val="0"/>
          <w:position w:val="0"/>
          <w:sz w:val="24"/>
          <w:shd w:fill="auto" w:val="clear"/>
        </w:rPr>
        <w:t xml:space="preserve">). Financial or operational problems might be indicated by a decline in equity and an increase in accounts receivable. Examine the income statement, cash flow statement, and other financial documents to have a better understanding of the company's financial performance and health.</w:t>
      </w: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Main Reason behind the Decline in Profitability for Urban Heights  </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Profit for Urban Heights declines from 2021</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2023, according to the Asset/Liability table. The company's income and expenses are not included in the table, but by analysing the changes in the asset and liability accounts and drawing connections to the actual world, we can figure out why the profitability is going down.</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Liquidity Crisis </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Several factors can explain why cash and equivalents would fall from £300,000 in 2021 to £100,000 in 2023. A company's financial status might be impacted by a decline in sales revenue, an increase in operating costs, or a big investment in assets or projects (</w:t>
      </w:r>
      <w:r>
        <w:rPr>
          <w:rFonts w:ascii="Arial" w:hAnsi="Arial" w:cs="Arial" w:eastAsia="Arial"/>
          <w:color w:val="222222"/>
          <w:spacing w:val="0"/>
          <w:position w:val="0"/>
          <w:sz w:val="24"/>
          <w:shd w:fill="FFFFFF" w:val="clear"/>
        </w:rPr>
        <w:t xml:space="preserve">Bruynseels, 2012</w:t>
      </w:r>
      <w:r>
        <w:rPr>
          <w:rFonts w:ascii="Arial" w:hAnsi="Arial" w:cs="Arial" w:eastAsia="Arial"/>
          <w:color w:val="000000"/>
          <w:spacing w:val="0"/>
          <w:position w:val="0"/>
          <w:sz w:val="24"/>
          <w:shd w:fill="auto" w:val="clear"/>
        </w:rPr>
        <w:t xml:space="preserve">). Cash flow and cash and equivalents holdings at Urban Heights could have been diminished due to a decline in revenues or an increase in operating expenses.</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Economic Turmoil</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Between 2021 and 2023, the amount of accounts receivable fell from £150,000 to £80,000. This can mean that sales are down or that collecting is up (</w:t>
      </w:r>
      <w:r>
        <w:rPr>
          <w:rFonts w:ascii="Arial" w:hAnsi="Arial" w:cs="Arial" w:eastAsia="Arial"/>
          <w:color w:val="222222"/>
          <w:spacing w:val="0"/>
          <w:position w:val="0"/>
          <w:sz w:val="24"/>
          <w:shd w:fill="FFFFFF" w:val="clear"/>
        </w:rPr>
        <w:t xml:space="preserve">Chen, 2012</w:t>
      </w:r>
      <w:r>
        <w:rPr>
          <w:rFonts w:ascii="Arial" w:hAnsi="Arial" w:cs="Arial" w:eastAsia="Arial"/>
          <w:color w:val="000000"/>
          <w:spacing w:val="0"/>
          <w:position w:val="0"/>
          <w:sz w:val="24"/>
          <w:shd w:fill="auto" w:val="clear"/>
        </w:rPr>
        <w:t xml:space="preserve">). If that's the case, the commercial decline at Urban Heights may have been caused by industry-wide economic factors, shifting consumer preferences, or increased competition.</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Equipment and Property Depreciation</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Asset depreciation or disposal caused the balance to dip from £5,000,000 in 2021 to £4,500,000 in 2023. Declining profitability or a change in business strategy might force real companies to sell assets or reduce their size (</w:t>
      </w:r>
      <w:r>
        <w:rPr>
          <w:rFonts w:ascii="Arial" w:hAnsi="Arial" w:cs="Arial" w:eastAsia="Arial"/>
          <w:color w:val="222222"/>
          <w:spacing w:val="0"/>
          <w:position w:val="0"/>
          <w:sz w:val="24"/>
          <w:shd w:fill="FFFFFF" w:val="clear"/>
        </w:rPr>
        <w:t xml:space="preserve">Collett et al, 2014</w:t>
      </w:r>
      <w:r>
        <w:rPr>
          <w:rFonts w:ascii="Arial" w:hAnsi="Arial" w:cs="Arial" w:eastAsia="Arial"/>
          <w:color w:val="000000"/>
          <w:spacing w:val="0"/>
          <w:position w:val="0"/>
          <w:sz w:val="24"/>
          <w:shd w:fill="auto" w:val="clear"/>
        </w:rPr>
        <w:t xml:space="preserve">). If Urban Heights wants to save costs, it could sell off non-essential assets or reduce its workforce.</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Supply Chain Problem</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Between 2021 and 2023, the accounts payable balance increased from £250,000 to £300,000. This can mean that paying suppliers is taking longer for Urban Heights, or that operational expenses are going higher (</w:t>
      </w:r>
      <w:r>
        <w:rPr>
          <w:rFonts w:ascii="Arial" w:hAnsi="Arial" w:cs="Arial" w:eastAsia="Arial"/>
          <w:color w:val="222222"/>
          <w:spacing w:val="0"/>
          <w:position w:val="0"/>
          <w:sz w:val="24"/>
          <w:shd w:fill="FFFFFF" w:val="clear"/>
        </w:rPr>
        <w:t xml:space="preserve">Furrer et al, 2007</w:t>
      </w:r>
      <w:r>
        <w:rPr>
          <w:rFonts w:ascii="Arial" w:hAnsi="Arial" w:cs="Arial" w:eastAsia="Arial"/>
          <w:color w:val="000000"/>
          <w:spacing w:val="0"/>
          <w:position w:val="0"/>
          <w:sz w:val="24"/>
          <w:shd w:fill="auto" w:val="clear"/>
        </w:rPr>
        <w:t xml:space="preserve">). In practice, companies may delay paying their creditors or suppliers when they are experiencing problems with cash flow or liquidity as a result of declining profitability.</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Severe Loss in Equity Balance</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most telling sign of Urban Heights' declining profitability is the equity balance, which dropped from £2,200,000 in 2021 to £1,380,000 in 2023. A decrease in equity and retained earnings could be caused by dividends or losses; equity is the net worth of the firm. If Urban Heights is not making enough money, it might be because of internal problems or external market conditions.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Urban Heights' profitability fell between 2021 and 2023, according to trends in the various accounts, however the Asset/Liability table doesn't reveal all. The reasons for this decrease might be due to a decline in revenues, an increase in operating expenditures, the sale or downsizing of assets, worries about cash flow, or even poor market conditions or internal operational challenges (</w:t>
      </w:r>
      <w:r>
        <w:rPr>
          <w:rFonts w:ascii="Arial" w:hAnsi="Arial" w:cs="Arial" w:eastAsia="Arial"/>
          <w:color w:val="222222"/>
          <w:spacing w:val="0"/>
          <w:position w:val="0"/>
          <w:sz w:val="24"/>
          <w:shd w:fill="FFFFFF" w:val="clear"/>
        </w:rPr>
        <w:t xml:space="preserve">Kraus et al, 2013</w:t>
      </w:r>
      <w:r>
        <w:rPr>
          <w:rFonts w:ascii="Arial" w:hAnsi="Arial" w:cs="Arial" w:eastAsia="Arial"/>
          <w:color w:val="000000"/>
          <w:spacing w:val="0"/>
          <w:position w:val="0"/>
          <w:sz w:val="24"/>
          <w:shd w:fill="auto" w:val="clear"/>
        </w:rPr>
        <w:t xml:space="preserve">). Examining the income statement, cash flow statement, and other financial data from the firm is necessary to identify the reasons for the declining profitability.</w:t>
      </w: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Comprehensive Turnaround Strategy </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Urban Heights must take action soon to improve its profitability and financial health due to troubling financial trends. This article details a comprehensive turnaround strategy to revitalise the company's operations, utilise its resources, and position it for long-term prosperity.</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Revenue Growth Strategy</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turnaround approach starts with revenue growth. Urban Heights requires a full market assessment to locate new growth opportunities, untapped market segments, and increasing trends to boost sales (</w:t>
      </w:r>
      <w:r>
        <w:rPr>
          <w:rFonts w:ascii="Arial" w:hAnsi="Arial" w:cs="Arial" w:eastAsia="Arial"/>
          <w:color w:val="222222"/>
          <w:spacing w:val="0"/>
          <w:position w:val="0"/>
          <w:sz w:val="24"/>
          <w:shd w:fill="FFFFFF" w:val="clear"/>
        </w:rPr>
        <w:t xml:space="preserve">Liou et al, 2007</w:t>
      </w:r>
      <w:r>
        <w:rPr>
          <w:rFonts w:ascii="Arial" w:hAnsi="Arial" w:cs="Arial" w:eastAsia="Arial"/>
          <w:color w:val="000000"/>
          <w:spacing w:val="0"/>
          <w:position w:val="0"/>
          <w:sz w:val="24"/>
          <w:shd w:fill="auto" w:val="clear"/>
        </w:rPr>
        <w:t xml:space="preserve">). Marketing and sales strategy may be updated with targeted promotions, price changes, or product/service diversification. Strategic relationships may expand the company's clientele and distribution channels, increasing revenue.</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Cost Optimisation</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Turnaround plans must optimise costs. Urban Heights should assess all operational expenses and optimise or eliminate non-essential charges to save costs. Renegotiating supplier and service provider contracts may enhance terms and pricing utilising the company's purchasing power (</w:t>
      </w:r>
      <w:r>
        <w:rPr>
          <w:rFonts w:ascii="Arial" w:hAnsi="Arial" w:cs="Arial" w:eastAsia="Arial"/>
          <w:color w:val="222222"/>
          <w:spacing w:val="0"/>
          <w:position w:val="0"/>
          <w:sz w:val="24"/>
          <w:shd w:fill="FFFFFF" w:val="clear"/>
        </w:rPr>
        <w:t xml:space="preserve">Ndofor et al, 2013</w:t>
      </w:r>
      <w:r>
        <w:rPr>
          <w:rFonts w:ascii="Arial" w:hAnsi="Arial" w:cs="Arial" w:eastAsia="Arial"/>
          <w:color w:val="000000"/>
          <w:spacing w:val="0"/>
          <w:position w:val="0"/>
          <w:sz w:val="24"/>
          <w:shd w:fill="auto" w:val="clear"/>
        </w:rPr>
        <w:t xml:space="preserve">). Technology and internal process simplification may decrease duplication and overhead.</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Asset Optimisation</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Turnaround at Urban Heights involves asset optimisation. The company should assess its asset portfolio to sell or repurpose underutilised or non-core assets. Outsourcing or leasing non-critical equipment or services reduces capital and maintenance costs (</w:t>
      </w:r>
      <w:r>
        <w:rPr>
          <w:rFonts w:ascii="Arial" w:hAnsi="Arial" w:cs="Arial" w:eastAsia="Arial"/>
          <w:color w:val="222222"/>
          <w:spacing w:val="0"/>
          <w:position w:val="0"/>
          <w:sz w:val="24"/>
          <w:shd w:fill="FFFFFF" w:val="clear"/>
        </w:rPr>
        <w:t xml:space="preserve">O'Kane et al, 2012</w:t>
      </w:r>
      <w:r>
        <w:rPr>
          <w:rFonts w:ascii="Arial" w:hAnsi="Arial" w:cs="Arial" w:eastAsia="Arial"/>
          <w:color w:val="000000"/>
          <w:spacing w:val="0"/>
          <w:position w:val="0"/>
          <w:sz w:val="24"/>
          <w:shd w:fill="auto" w:val="clear"/>
        </w:rPr>
        <w:t xml:space="preserve">). Asset pooling and joint ventures with important partners may reduce duplication and improve resource use.</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Working Capital Optimisation</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Working capital management matters. Urban Heights should improve collections and reduce consumer debt by tightening accounts receivable management (</w:t>
      </w:r>
      <w:r>
        <w:rPr>
          <w:rFonts w:ascii="Arial" w:hAnsi="Arial" w:cs="Arial" w:eastAsia="Arial"/>
          <w:color w:val="222222"/>
          <w:spacing w:val="0"/>
          <w:position w:val="0"/>
          <w:sz w:val="24"/>
          <w:shd w:fill="FFFFFF" w:val="clear"/>
        </w:rPr>
        <w:t xml:space="preserve">Pearce et al, 2008</w:t>
      </w:r>
      <w:r>
        <w:rPr>
          <w:rFonts w:ascii="Arial" w:hAnsi="Arial" w:cs="Arial" w:eastAsia="Arial"/>
          <w:color w:val="000000"/>
          <w:spacing w:val="0"/>
          <w:position w:val="0"/>
          <w:sz w:val="24"/>
          <w:shd w:fill="auto" w:val="clear"/>
        </w:rPr>
        <w:t xml:space="preserve">). Renegotiating supplier and creditor payment terms to meet the company's cash flow cycles may delay liquidity payments. Consider factoring or supply chain financing to improve cash flow and working capital.</w:t>
      </w:r>
    </w:p>
    <w:p>
      <w:pPr>
        <w:spacing w:before="0" w:after="16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Supply Chain Process Enhancement</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Reorganisation may streamline processes and focus on important abilities. Urban Heights should evaluate its organisational structure and amalgamate unneeded divisions. Performance-based appraisals may identify and retain top performers and eliminate underperformers and non-essential workers (</w:t>
      </w:r>
      <w:r>
        <w:rPr>
          <w:rFonts w:ascii="Arial" w:hAnsi="Arial" w:cs="Arial" w:eastAsia="Arial"/>
          <w:color w:val="222222"/>
          <w:spacing w:val="0"/>
          <w:position w:val="0"/>
          <w:sz w:val="24"/>
          <w:shd w:fill="FFFFFF" w:val="clear"/>
        </w:rPr>
        <w:t xml:space="preserve">Schweizer et al, 2017</w:t>
      </w:r>
      <w:r>
        <w:rPr>
          <w:rFonts w:ascii="Arial" w:hAnsi="Arial" w:cs="Arial" w:eastAsia="Arial"/>
          <w:color w:val="000000"/>
          <w:spacing w:val="0"/>
          <w:position w:val="0"/>
          <w:sz w:val="24"/>
          <w:shd w:fill="auto" w:val="clear"/>
        </w:rPr>
        <w:t xml:space="preserve">). Strategic divestments or spin-offs of non-core business units or divisions may assist the company focus on profitability.</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Finally, turnaround plan success requires stakeholder engagement. Urban Heights must advise shareholders, creditors, and employees about the turnaround strategy and its impacts (</w:t>
      </w:r>
      <w:r>
        <w:rPr>
          <w:rFonts w:ascii="Arial" w:hAnsi="Arial" w:cs="Arial" w:eastAsia="Arial"/>
          <w:color w:val="222222"/>
          <w:spacing w:val="0"/>
          <w:position w:val="0"/>
          <w:sz w:val="24"/>
          <w:shd w:fill="FFFFFF" w:val="clear"/>
        </w:rPr>
        <w:t xml:space="preserve">Tangpong et al, 2015</w:t>
      </w:r>
      <w:r>
        <w:rPr>
          <w:rFonts w:ascii="Arial" w:hAnsi="Arial" w:cs="Arial" w:eastAsia="Arial"/>
          <w:color w:val="000000"/>
          <w:spacing w:val="0"/>
          <w:position w:val="0"/>
          <w:sz w:val="24"/>
          <w:shd w:fill="auto" w:val="clear"/>
        </w:rPr>
        <w:t xml:space="preserve">). Key stakeholders must be engaged, their concerns addressed, and a culture of accountability and shared responsibility for firm success maintained. Renegotiating loan terms or securing fresh financing may help turnaround attempts.</w:t>
      </w:r>
    </w:p>
    <w:p>
      <w:pPr>
        <w:spacing w:before="0" w:after="16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entire turnaround strategy demands strong leadership, dedication, and stakeholder participation. To overcome this challenging period and attain profitability and financial stability, Urban Heights must monitor, modify, and respond to market developments (</w:t>
      </w:r>
      <w:r>
        <w:rPr>
          <w:rFonts w:ascii="Arial" w:hAnsi="Arial" w:cs="Arial" w:eastAsia="Arial"/>
          <w:color w:val="222222"/>
          <w:spacing w:val="0"/>
          <w:position w:val="0"/>
          <w:sz w:val="24"/>
          <w:shd w:fill="FFFFFF" w:val="clear"/>
        </w:rPr>
        <w:t xml:space="preserve">Trahms et al, 2013</w:t>
      </w:r>
      <w:r>
        <w:rPr>
          <w:rFonts w:ascii="Arial" w:hAnsi="Arial" w:cs="Arial" w:eastAsia="Arial"/>
          <w:color w:val="000000"/>
          <w:spacing w:val="0"/>
          <w:position w:val="0"/>
          <w:sz w:val="24"/>
          <w:shd w:fill="auto" w:val="clear"/>
        </w:rPr>
        <w:t xml:space="preserve">). Revenue improvement, cost optimisation, asset optimisation, working capital management, restructuring, and stakeholder involvement may help Urban Heights succeed.</w:t>
      </w:r>
    </w:p>
    <w:p>
      <w:pPr>
        <w:spacing w:before="0" w:after="160" w:line="360"/>
        <w:ind w:right="0" w:left="0" w:firstLine="0"/>
        <w:jc w:val="left"/>
        <w:rPr>
          <w:rFonts w:ascii="Arial" w:hAnsi="Arial" w:cs="Arial" w:eastAsia="Arial"/>
          <w:color w:val="000000"/>
          <w:spacing w:val="0"/>
          <w:position w:val="0"/>
          <w:sz w:val="27"/>
          <w:shd w:fill="auto" w:val="clear"/>
        </w:rPr>
      </w:pPr>
    </w:p>
    <w:p>
      <w:pPr>
        <w:spacing w:before="0" w:after="160" w:line="360"/>
        <w:ind w:right="0" w:left="0" w:firstLine="0"/>
        <w:jc w:val="left"/>
        <w:rPr>
          <w:rFonts w:ascii="Arial" w:hAnsi="Arial" w:cs="Arial" w:eastAsia="Arial"/>
          <w:color w:val="000000"/>
          <w:spacing w:val="0"/>
          <w:position w:val="0"/>
          <w:sz w:val="27"/>
          <w:shd w:fill="auto" w:val="clear"/>
        </w:rPr>
      </w:pPr>
      <w:r>
        <w:rPr>
          <w:rFonts w:ascii="Arial" w:hAnsi="Arial" w:cs="Arial" w:eastAsia="Arial"/>
          <w:color w:val="000000"/>
          <w:spacing w:val="0"/>
          <w:position w:val="0"/>
          <w:sz w:val="27"/>
          <w:shd w:fill="auto" w:val="clear"/>
        </w:rPr>
        <w:t xml:space="preserve"> </w:t>
      </w:r>
    </w:p>
    <w:p>
      <w:pPr>
        <w:spacing w:before="0" w:after="160" w:line="360"/>
        <w:ind w:right="0" w:left="0" w:firstLine="0"/>
        <w:jc w:val="left"/>
        <w:rPr>
          <w:rFonts w:ascii="Arial" w:hAnsi="Arial" w:cs="Arial" w:eastAsia="Arial"/>
          <w:color w:val="000000"/>
          <w:spacing w:val="0"/>
          <w:position w:val="0"/>
          <w:sz w:val="27"/>
          <w:shd w:fill="auto" w:val="clear"/>
        </w:rPr>
      </w:pP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Conclusion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today's contemporary age of company, the ultimate goal is to generate a steady revenue throughout the whole year. The potential for how it might be used in an appropriate and effective manner is a critical factor in determining the total profitability of large corporations. There are a number of hotels, such the Urban Heights hotel, that are mostly anticipating becoming profitable. On the other hand, if we take a look at it over the last several years, we will see that the revenue has been decreasing. There is a possibility that this has an effect on the profitability of the business as well. In this study, the primary objective will be to look forward into the financials and also to discover the causes behind the decrease in profitability and the loss of income. The report will also concentrate on the possibility of real reasons behind them, and it will look forward to determining how to resolve them in order to ensure that the business will continue to operate as smoothly as it did in the past. Additionally, it has assisted in the overall development of the business in order to ensure that the revenue had an upward trend, which is essential for a business to maintain its operations for an extended period of time.</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3" w:after="160" w:line="360"/>
        <w:ind w:right="0" w:left="0" w:firstLine="0"/>
        <w:jc w:val="left"/>
        <w:rPr>
          <w:rFonts w:ascii="Arial" w:hAnsi="Arial" w:cs="Arial" w:eastAsia="Arial"/>
          <w:i/>
          <w:color w:val="000000"/>
          <w:spacing w:val="0"/>
          <w:position w:val="0"/>
          <w:sz w:val="32"/>
          <w:u w:val="single"/>
          <w:shd w:fill="auto" w:val="clear"/>
        </w:rPr>
      </w:pPr>
      <w:r>
        <w:rPr>
          <w:rFonts w:ascii="Arial" w:hAnsi="Arial" w:cs="Arial" w:eastAsia="Arial"/>
          <w:i/>
          <w:color w:val="000000"/>
          <w:spacing w:val="0"/>
          <w:position w:val="0"/>
          <w:sz w:val="32"/>
          <w:u w:val="single"/>
          <w:shd w:fill="auto" w:val="clear"/>
        </w:rPr>
        <w:t xml:space="preserve">References </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Abebe, M. A. (2009). Leadership characteristics of declining firms attempting turnaround: An empirical examination. </w:t>
      </w:r>
      <w:r>
        <w:rPr>
          <w:rFonts w:ascii="Arial" w:hAnsi="Arial" w:cs="Arial" w:eastAsia="Arial"/>
          <w:i/>
          <w:color w:val="222222"/>
          <w:spacing w:val="0"/>
          <w:position w:val="0"/>
          <w:sz w:val="24"/>
          <w:shd w:fill="FFFFFF" w:val="clear"/>
        </w:rPr>
        <w:t xml:space="preserve">Journal of Strategy and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w:t>
      </w:r>
      <w:r>
        <w:rPr>
          <w:rFonts w:ascii="Arial" w:hAnsi="Arial" w:cs="Arial" w:eastAsia="Arial"/>
          <w:color w:val="222222"/>
          <w:spacing w:val="0"/>
          <w:position w:val="0"/>
          <w:sz w:val="24"/>
          <w:shd w:fill="FFFFFF" w:val="clear"/>
        </w:rPr>
        <w:t xml:space="preserve">(3), 201-216.</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Abebe, M. A., &amp; Tangpong, C. (2018). Founder</w:t>
      </w:r>
      <w:r>
        <w:rPr>
          <w:rFonts w:ascii="Cambria Math" w:hAnsi="Cambria Math" w:cs="Cambria Math" w:eastAsia="Cambria Math"/>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CEOs and corporate turnaround among declining firms.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Corporate Governance: An International Review</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26</w:t>
      </w:r>
      <w:r>
        <w:rPr>
          <w:rFonts w:ascii="Arial" w:hAnsi="Arial" w:cs="Arial" w:eastAsia="Arial"/>
          <w:color w:val="222222"/>
          <w:spacing w:val="0"/>
          <w:position w:val="0"/>
          <w:sz w:val="24"/>
          <w:shd w:fill="FFFFFF" w:val="clear"/>
        </w:rPr>
        <w:t xml:space="preserve">(1), 45-57.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Barker III, V. L., Luger, J., Schmitt, A., &amp; Xin, K. R. (2024). Corporate decline and turnarounds in times of digitalization. </w:t>
      </w:r>
      <w:r>
        <w:rPr>
          <w:rFonts w:ascii="Arial" w:hAnsi="Arial" w:cs="Arial" w:eastAsia="Arial"/>
          <w:i/>
          <w:color w:val="222222"/>
          <w:spacing w:val="0"/>
          <w:position w:val="0"/>
          <w:sz w:val="24"/>
          <w:shd w:fill="FFFFFF" w:val="clear"/>
        </w:rPr>
        <w:t xml:space="preserve">Long Range Planning</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57</w:t>
      </w:r>
      <w:r>
        <w:rPr>
          <w:rFonts w:ascii="Arial" w:hAnsi="Arial" w:cs="Arial" w:eastAsia="Arial"/>
          <w:color w:val="222222"/>
          <w:spacing w:val="0"/>
          <w:position w:val="0"/>
          <w:sz w:val="24"/>
          <w:shd w:fill="FFFFFF" w:val="clear"/>
        </w:rPr>
        <w:t xml:space="preserve">(1), 102211.</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Binti, S., Zeni, &amp; Ameer, R. (2010). Turnaround prediction of distressed companies: evidence from Malaysia. </w:t>
      </w:r>
      <w:r>
        <w:rPr>
          <w:rFonts w:ascii="Arial" w:hAnsi="Arial" w:cs="Arial" w:eastAsia="Arial"/>
          <w:i/>
          <w:color w:val="222222"/>
          <w:spacing w:val="0"/>
          <w:position w:val="0"/>
          <w:sz w:val="24"/>
          <w:shd w:fill="FFFFFF" w:val="clear"/>
        </w:rPr>
        <w:t xml:space="preserve">Journal of Financial Reporting and Accounting</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8</w:t>
      </w:r>
      <w:r>
        <w:rPr>
          <w:rFonts w:ascii="Arial" w:hAnsi="Arial" w:cs="Arial" w:eastAsia="Arial"/>
          <w:color w:val="222222"/>
          <w:spacing w:val="0"/>
          <w:position w:val="0"/>
          <w:sz w:val="24"/>
          <w:shd w:fill="FFFFFF" w:val="clear"/>
        </w:rPr>
        <w:t xml:space="preserve">(2), 143-159.</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Bruynseels, L., &amp; Willekens, M. (2012). The effect of strategic and operating turnaround initiatives on audit reporting for distressed companies. </w:t>
      </w:r>
      <w:r>
        <w:rPr>
          <w:rFonts w:ascii="Arial" w:hAnsi="Arial" w:cs="Arial" w:eastAsia="Arial"/>
          <w:i/>
          <w:color w:val="222222"/>
          <w:spacing w:val="0"/>
          <w:position w:val="0"/>
          <w:sz w:val="24"/>
          <w:shd w:fill="FFFFFF" w:val="clear"/>
        </w:rPr>
        <w:t xml:space="preserve">Accounting, Organisations and Society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37</w:t>
      </w:r>
      <w:r>
        <w:rPr>
          <w:rFonts w:ascii="Arial" w:hAnsi="Arial" w:cs="Arial" w:eastAsia="Arial"/>
          <w:color w:val="222222"/>
          <w:spacing w:val="0"/>
          <w:position w:val="0"/>
          <w:sz w:val="24"/>
          <w:shd w:fill="FFFFFF" w:val="clear"/>
        </w:rPr>
        <w:t xml:space="preserve">(4), 223-241.</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Chen, G., &amp; Hambrick, D. C. (2012). CEO replacement in turnaround situations: Executive (mis) fit and its performance implications. </w:t>
      </w:r>
      <w:r>
        <w:rPr>
          <w:rFonts w:ascii="Arial" w:hAnsi="Arial" w:cs="Arial" w:eastAsia="Arial"/>
          <w:i/>
          <w:color w:val="222222"/>
          <w:spacing w:val="0"/>
          <w:position w:val="0"/>
          <w:sz w:val="24"/>
          <w:shd w:fill="FFFFFF" w:val="clear"/>
        </w:rPr>
        <w:t xml:space="preserve">Organisation Science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23</w:t>
      </w:r>
      <w:r>
        <w:rPr>
          <w:rFonts w:ascii="Arial" w:hAnsi="Arial" w:cs="Arial" w:eastAsia="Arial"/>
          <w:color w:val="222222"/>
          <w:spacing w:val="0"/>
          <w:position w:val="0"/>
          <w:sz w:val="24"/>
          <w:shd w:fill="FFFFFF" w:val="clear"/>
        </w:rPr>
        <w:t xml:space="preserve">(1), 225-243.</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Collett, N., Pandit, N. R., &amp; Saarikko, J. (2014). Success and failure in turnaround attempts. An analysis of SMEs within the Finnish Restructuring of Enterprises Act. </w:t>
      </w:r>
      <w:r>
        <w:rPr>
          <w:rFonts w:ascii="Arial" w:hAnsi="Arial" w:cs="Arial" w:eastAsia="Arial"/>
          <w:i/>
          <w:color w:val="222222"/>
          <w:spacing w:val="0"/>
          <w:position w:val="0"/>
          <w:sz w:val="24"/>
          <w:shd w:fill="FFFFFF" w:val="clear"/>
        </w:rPr>
        <w:t xml:space="preserve">Entrepreneurship &amp; Regional Development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26</w:t>
      </w:r>
      <w:r>
        <w:rPr>
          <w:rFonts w:ascii="Arial" w:hAnsi="Arial" w:cs="Arial" w:eastAsia="Arial"/>
          <w:color w:val="222222"/>
          <w:spacing w:val="0"/>
          <w:position w:val="0"/>
          <w:sz w:val="24"/>
          <w:shd w:fill="FFFFFF" w:val="clear"/>
        </w:rPr>
        <w:t xml:space="preserve">(1-2), 123-141.</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Furrer, O., Rajendran Pandian, J., &amp; Thomas, H. (2007). Corporate strategy and shareholder value during decline and turnaround. </w:t>
      </w:r>
      <w:r>
        <w:rPr>
          <w:rFonts w:ascii="Arial" w:hAnsi="Arial" w:cs="Arial" w:eastAsia="Arial"/>
          <w:i/>
          <w:color w:val="222222"/>
          <w:spacing w:val="0"/>
          <w:position w:val="0"/>
          <w:sz w:val="24"/>
          <w:shd w:fill="FFFFFF" w:val="clear"/>
        </w:rPr>
        <w:t xml:space="preserve">Management Decision</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45</w:t>
      </w:r>
      <w:r>
        <w:rPr>
          <w:rFonts w:ascii="Arial" w:hAnsi="Arial" w:cs="Arial" w:eastAsia="Arial"/>
          <w:color w:val="222222"/>
          <w:spacing w:val="0"/>
          <w:position w:val="0"/>
          <w:sz w:val="24"/>
          <w:shd w:fill="FFFFFF" w:val="clear"/>
        </w:rPr>
        <w:t xml:space="preserve">(3), 372-392.</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Kraus, S., Moog, P., Schlepphorst, S., &amp; Raich, M. (2013). Crisis and turnaround management in SMEs: a qualitative-empirical investigation of 30 companies. </w:t>
      </w:r>
      <w:r>
        <w:rPr>
          <w:rFonts w:ascii="Arial" w:hAnsi="Arial" w:cs="Arial" w:eastAsia="Arial"/>
          <w:i/>
          <w:color w:val="222222"/>
          <w:spacing w:val="0"/>
          <w:position w:val="0"/>
          <w:sz w:val="24"/>
          <w:shd w:fill="FFFFFF" w:val="clear"/>
        </w:rPr>
        <w:t xml:space="preserve">International Journal of Entrepreneurial Venturing</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w:t>
      </w:r>
      <w:r>
        <w:rPr>
          <w:rFonts w:ascii="Arial" w:hAnsi="Arial" w:cs="Arial" w:eastAsia="Arial"/>
          <w:color w:val="222222"/>
          <w:spacing w:val="0"/>
          <w:position w:val="0"/>
          <w:sz w:val="24"/>
          <w:shd w:fill="FFFFFF" w:val="clear"/>
        </w:rPr>
        <w:t xml:space="preserve">(4), 406-430.</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Lawton, T., Rajwani, T., &amp; O'Kane, C. (2011). Strategic reorientation and business turnaround: the case of global legacy airlines. </w:t>
      </w:r>
      <w:r>
        <w:rPr>
          <w:rFonts w:ascii="Arial" w:hAnsi="Arial" w:cs="Arial" w:eastAsia="Arial"/>
          <w:i/>
          <w:color w:val="222222"/>
          <w:spacing w:val="0"/>
          <w:position w:val="0"/>
          <w:sz w:val="24"/>
          <w:shd w:fill="FFFFFF" w:val="clear"/>
        </w:rPr>
        <w:t xml:space="preserve">Journal of Strategy and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w:t>
      </w:r>
      <w:r>
        <w:rPr>
          <w:rFonts w:ascii="Arial" w:hAnsi="Arial" w:cs="Arial" w:eastAsia="Arial"/>
          <w:color w:val="222222"/>
          <w:spacing w:val="0"/>
          <w:position w:val="0"/>
          <w:sz w:val="24"/>
          <w:shd w:fill="FFFFFF" w:val="clear"/>
        </w:rPr>
        <w:t xml:space="preserve">(3), 215-237.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Liou, D. K., &amp; Smith, M. (2007). Financial distress and corporate turnaround: a review of the literature and agenda for research. </w:t>
      </w:r>
      <w:r>
        <w:rPr>
          <w:rFonts w:ascii="Arial" w:hAnsi="Arial" w:cs="Arial" w:eastAsia="Arial"/>
          <w:i/>
          <w:color w:val="222222"/>
          <w:spacing w:val="0"/>
          <w:position w:val="0"/>
          <w:sz w:val="24"/>
          <w:shd w:fill="FFFFFF" w:val="clear"/>
        </w:rPr>
        <w:t xml:space="preserve">Accounting, Accountability &amp; Performance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13</w:t>
      </w:r>
      <w:r>
        <w:rPr>
          <w:rFonts w:ascii="Arial" w:hAnsi="Arial" w:cs="Arial" w:eastAsia="Arial"/>
          <w:color w:val="222222"/>
          <w:spacing w:val="0"/>
          <w:position w:val="0"/>
          <w:sz w:val="24"/>
          <w:shd w:fill="FFFFFF" w:val="clear"/>
        </w:rPr>
        <w:t xml:space="preserve">(1), 74-114.</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Ndofor, H. A., Vanevenhoven, J., &amp; Barker III, V. L. (2013). Software firm turnarounds in the 1990s: An analysis of reversing decline in a growing, dynamic industry. </w:t>
      </w:r>
      <w:r>
        <w:rPr>
          <w:rFonts w:ascii="Arial" w:hAnsi="Arial" w:cs="Arial" w:eastAsia="Arial"/>
          <w:i/>
          <w:color w:val="222222"/>
          <w:spacing w:val="0"/>
          <w:position w:val="0"/>
          <w:sz w:val="24"/>
          <w:shd w:fill="FFFFFF" w:val="clear"/>
        </w:rPr>
        <w:t xml:space="preserve">Strategic Management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34</w:t>
      </w:r>
      <w:r>
        <w:rPr>
          <w:rFonts w:ascii="Arial" w:hAnsi="Arial" w:cs="Arial" w:eastAsia="Arial"/>
          <w:color w:val="222222"/>
          <w:spacing w:val="0"/>
          <w:position w:val="0"/>
          <w:sz w:val="24"/>
          <w:shd w:fill="FFFFFF" w:val="clear"/>
        </w:rPr>
        <w:t xml:space="preserve">(9), 1123-1133.</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O'Kane, C., &amp; Cunningham, J. (2012). Leadership changes and approaches during company turnaround. </w:t>
      </w:r>
      <w:r>
        <w:rPr>
          <w:rFonts w:ascii="Arial" w:hAnsi="Arial" w:cs="Arial" w:eastAsia="Arial"/>
          <w:i/>
          <w:color w:val="222222"/>
          <w:spacing w:val="0"/>
          <w:position w:val="0"/>
          <w:sz w:val="24"/>
          <w:shd w:fill="FFFFFF" w:val="clear"/>
        </w:rPr>
        <w:t xml:space="preserve">International Studies of Management &amp; Organisation</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42</w:t>
      </w:r>
      <w:r>
        <w:rPr>
          <w:rFonts w:ascii="Arial" w:hAnsi="Arial" w:cs="Arial" w:eastAsia="Arial"/>
          <w:color w:val="222222"/>
          <w:spacing w:val="0"/>
          <w:position w:val="0"/>
          <w:sz w:val="24"/>
          <w:shd w:fill="FFFFFF" w:val="clear"/>
        </w:rPr>
        <w:t xml:space="preserve">(4), 52-85.</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O'Kane, C., &amp; Cunningham, J. (2014). Turnaround leadership core tensions during the company turnaround process. </w:t>
      </w:r>
      <w:r>
        <w:rPr>
          <w:rFonts w:ascii="Arial" w:hAnsi="Arial" w:cs="Arial" w:eastAsia="Arial"/>
          <w:i/>
          <w:color w:val="222222"/>
          <w:spacing w:val="0"/>
          <w:position w:val="0"/>
          <w:sz w:val="24"/>
          <w:shd w:fill="FFFFFF" w:val="clear"/>
        </w:rPr>
        <w:t xml:space="preserve">European Management Journal</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32</w:t>
      </w:r>
      <w:r>
        <w:rPr>
          <w:rFonts w:ascii="Arial" w:hAnsi="Arial" w:cs="Arial" w:eastAsia="Arial"/>
          <w:color w:val="222222"/>
          <w:spacing w:val="0"/>
          <w:position w:val="0"/>
          <w:sz w:val="24"/>
          <w:shd w:fill="FFFFFF" w:val="clear"/>
        </w:rPr>
        <w:t xml:space="preserve">(6), 963-980.</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Pearce II, J. A., &amp; Robbins, D. K. (2008). Strategic transformation as the essential last step in the process of business turnaround. </w:t>
      </w:r>
      <w:r>
        <w:rPr>
          <w:rFonts w:ascii="Arial" w:hAnsi="Arial" w:cs="Arial" w:eastAsia="Arial"/>
          <w:i/>
          <w:color w:val="222222"/>
          <w:spacing w:val="0"/>
          <w:position w:val="0"/>
          <w:sz w:val="24"/>
          <w:shd w:fill="FFFFFF" w:val="clear"/>
        </w:rPr>
        <w:t xml:space="preserve">Business Horizons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51</w:t>
      </w:r>
      <w:r>
        <w:rPr>
          <w:rFonts w:ascii="Arial" w:hAnsi="Arial" w:cs="Arial" w:eastAsia="Arial"/>
          <w:color w:val="222222"/>
          <w:spacing w:val="0"/>
          <w:position w:val="0"/>
          <w:sz w:val="24"/>
          <w:shd w:fill="FFFFFF" w:val="clear"/>
        </w:rPr>
        <w:t xml:space="preserve">(2), 121-130.</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Pretorius, M. (2009). Defining business decline, failure and turnaround: A content analysis.</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Schmitt, A., &amp; Raisch, S. (2013). Corporate turnarounds: The duality of retrenchment and recovery. </w:t>
      </w:r>
      <w:r>
        <w:rPr>
          <w:rFonts w:ascii="Arial" w:hAnsi="Arial" w:cs="Arial" w:eastAsia="Arial"/>
          <w:i/>
          <w:color w:val="222222"/>
          <w:spacing w:val="0"/>
          <w:position w:val="0"/>
          <w:sz w:val="24"/>
          <w:shd w:fill="FFFFFF" w:val="clear"/>
        </w:rPr>
        <w:t xml:space="preserve">Journal of Management Studies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50</w:t>
      </w:r>
      <w:r>
        <w:rPr>
          <w:rFonts w:ascii="Arial" w:hAnsi="Arial" w:cs="Arial" w:eastAsia="Arial"/>
          <w:color w:val="222222"/>
          <w:spacing w:val="0"/>
          <w:position w:val="0"/>
          <w:sz w:val="24"/>
          <w:shd w:fill="FFFFFF" w:val="clear"/>
        </w:rPr>
        <w:t xml:space="preserve">(7), 1216-1244.</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Schweizer, L., &amp; Nienhaus, A. (2017). Corporate distress and turnaround: integrating the literature and directing future research. </w:t>
      </w:r>
      <w:r>
        <w:rPr>
          <w:rFonts w:ascii="Arial" w:hAnsi="Arial" w:cs="Arial" w:eastAsia="Arial"/>
          <w:i/>
          <w:color w:val="222222"/>
          <w:spacing w:val="0"/>
          <w:position w:val="0"/>
          <w:sz w:val="24"/>
          <w:shd w:fill="FFFFFF" w:val="clear"/>
        </w:rPr>
        <w:t xml:space="preserve">Business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10</w:t>
      </w:r>
      <w:r>
        <w:rPr>
          <w:rFonts w:ascii="Arial" w:hAnsi="Arial" w:cs="Arial" w:eastAsia="Arial"/>
          <w:color w:val="222222"/>
          <w:spacing w:val="0"/>
          <w:position w:val="0"/>
          <w:sz w:val="24"/>
          <w:shd w:fill="FFFFFF" w:val="clear"/>
        </w:rPr>
        <w:t xml:space="preserve">, 3-47.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Slatter, S. (2006). </w:t>
      </w:r>
      <w:r>
        <w:rPr>
          <w:rFonts w:ascii="Arial" w:hAnsi="Arial" w:cs="Arial" w:eastAsia="Arial"/>
          <w:i/>
          <w:color w:val="222222"/>
          <w:spacing w:val="0"/>
          <w:position w:val="0"/>
          <w:sz w:val="24"/>
          <w:shd w:fill="FFFFFF" w:val="clear"/>
        </w:rPr>
        <w:t xml:space="preserve">Leading corporate turnaround: How leaders fix troubled companies</w:t>
      </w:r>
      <w:r>
        <w:rPr>
          <w:rFonts w:ascii="Arial" w:hAnsi="Arial" w:cs="Arial" w:eastAsia="Arial"/>
          <w:color w:val="222222"/>
          <w:spacing w:val="0"/>
          <w:position w:val="0"/>
          <w:sz w:val="24"/>
          <w:shd w:fill="FFFFFF" w:val="clear"/>
        </w:rPr>
        <w:t xml:space="preserve">. John Wiley &amp; Sons.</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Solnet, D. J., Paulsen, N., &amp; Cooper, C. (2010). Decline and turnaround: a literature review and proposed research agenda for the hotel sector. </w:t>
      </w:r>
      <w:r>
        <w:rPr>
          <w:rFonts w:ascii="Arial" w:hAnsi="Arial" w:cs="Arial" w:eastAsia="Arial"/>
          <w:i/>
          <w:color w:val="222222"/>
          <w:spacing w:val="0"/>
          <w:position w:val="0"/>
          <w:sz w:val="24"/>
          <w:shd w:fill="FFFFFF" w:val="clear"/>
        </w:rPr>
        <w:t xml:space="preserve">Current Issues in Tourism</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13</w:t>
      </w:r>
      <w:r>
        <w:rPr>
          <w:rFonts w:ascii="Arial" w:hAnsi="Arial" w:cs="Arial" w:eastAsia="Arial"/>
          <w:color w:val="222222"/>
          <w:spacing w:val="0"/>
          <w:position w:val="0"/>
          <w:sz w:val="24"/>
          <w:shd w:fill="FFFFFF" w:val="clear"/>
        </w:rPr>
        <w:t xml:space="preserve">(2), 139-159.</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Tangpong, C., Abebe, M., &amp; Li, Z. (2015). A temporal approach to retrenchment and successful turnaround in declining firms. </w:t>
      </w:r>
      <w:r>
        <w:rPr>
          <w:rFonts w:ascii="Arial" w:hAnsi="Arial" w:cs="Arial" w:eastAsia="Arial"/>
          <w:i/>
          <w:color w:val="222222"/>
          <w:spacing w:val="0"/>
          <w:position w:val="0"/>
          <w:sz w:val="24"/>
          <w:shd w:fill="FFFFFF" w:val="clear"/>
        </w:rPr>
        <w:t xml:space="preserve">Journal of Management Studies</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52</w:t>
      </w:r>
      <w:r>
        <w:rPr>
          <w:rFonts w:ascii="Arial" w:hAnsi="Arial" w:cs="Arial" w:eastAsia="Arial"/>
          <w:color w:val="222222"/>
          <w:spacing w:val="0"/>
          <w:position w:val="0"/>
          <w:sz w:val="24"/>
          <w:shd w:fill="FFFFFF" w:val="clear"/>
        </w:rPr>
        <w:t xml:space="preserve">(5), 647-677.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Trahms, C. A., Ndofor, H. A., &amp; Sirmon, D. G. (2013). Organisational decline and turnaround: A review and agenda for future research. </w:t>
      </w:r>
      <w:r>
        <w:rPr>
          <w:rFonts w:ascii="Arial" w:hAnsi="Arial" w:cs="Arial" w:eastAsia="Arial"/>
          <w:i/>
          <w:color w:val="222222"/>
          <w:spacing w:val="0"/>
          <w:position w:val="0"/>
          <w:sz w:val="24"/>
          <w:shd w:fill="FFFFFF" w:val="clear"/>
        </w:rPr>
        <w:t xml:space="preserve">Journal of management</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39</w:t>
      </w:r>
      <w:r>
        <w:rPr>
          <w:rFonts w:ascii="Arial" w:hAnsi="Arial" w:cs="Arial" w:eastAsia="Arial"/>
          <w:color w:val="222222"/>
          <w:spacing w:val="0"/>
          <w:position w:val="0"/>
          <w:sz w:val="24"/>
          <w:shd w:fill="FFFFFF" w:val="clear"/>
        </w:rPr>
        <w:t xml:space="preserve">(5), 1277-1307.</w:t>
      </w:r>
    </w:p>
    <w:p>
      <w:pPr>
        <w:spacing w:before="0" w:after="16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Santana, M., Valle, R., &amp; Galan, J. L. (2017). Turnaround strategies for companies in crisis: Watch out the causes of decline before firing people. </w:t>
      </w:r>
      <w:r>
        <w:rPr>
          <w:rFonts w:ascii="Arial" w:hAnsi="Arial" w:cs="Arial" w:eastAsia="Arial"/>
          <w:i/>
          <w:color w:val="222222"/>
          <w:spacing w:val="0"/>
          <w:position w:val="0"/>
          <w:sz w:val="24"/>
          <w:shd w:fill="FFFFFF" w:val="clear"/>
        </w:rPr>
        <w:t xml:space="preserve">BRQ Business Research Quarterly</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20</w:t>
      </w:r>
      <w:r>
        <w:rPr>
          <w:rFonts w:ascii="Arial" w:hAnsi="Arial" w:cs="Arial" w:eastAsia="Arial"/>
          <w:color w:val="222222"/>
          <w:spacing w:val="0"/>
          <w:position w:val="0"/>
          <w:sz w:val="24"/>
          <w:shd w:fill="FFFFFF" w:val="clear"/>
        </w:rPr>
        <w:t xml:space="preserve">(3), 206-211.</w:t>
      </w:r>
    </w:p>
    <w:p>
      <w:pPr>
        <w:spacing w:before="0" w:after="160" w:line="360"/>
        <w:ind w:right="0" w:left="0" w:firstLine="0"/>
        <w:jc w:val="both"/>
        <w:rPr>
          <w:rFonts w:ascii="Arial" w:hAnsi="Arial" w:cs="Arial" w:eastAsia="Arial"/>
          <w:color w:val="222222"/>
          <w:spacing w:val="0"/>
          <w:position w:val="0"/>
          <w:sz w:val="24"/>
          <w:shd w:fill="FFFFFF" w:val="clear"/>
        </w:rPr>
      </w:pPr>
    </w:p>
    <w:p>
      <w:pPr>
        <w:spacing w:before="0" w:after="160" w:line="360"/>
        <w:ind w:right="0" w:left="0" w:firstLine="0"/>
        <w:jc w:val="both"/>
        <w:rPr>
          <w:rFonts w:ascii="Arial" w:hAnsi="Arial" w:cs="Arial" w:eastAsia="Arial"/>
          <w:color w:val="222222"/>
          <w:spacing w:val="0"/>
          <w:position w:val="0"/>
          <w:sz w:val="24"/>
          <w:shd w:fill="FFFFFF" w:val="clear"/>
        </w:rPr>
      </w:pPr>
    </w:p>
    <w:p>
      <w:pPr>
        <w:spacing w:before="0" w:after="160" w:line="360"/>
        <w:ind w:right="0" w:left="0" w:firstLine="0"/>
        <w:jc w:val="both"/>
        <w:rPr>
          <w:rFonts w:ascii="Arial" w:hAnsi="Arial" w:cs="Arial" w:eastAsia="Arial"/>
          <w:color w:val="222222"/>
          <w:spacing w:val="0"/>
          <w:position w:val="0"/>
          <w:sz w:val="24"/>
          <w:shd w:fill="FFFFFF" w:val="clear"/>
        </w:rPr>
      </w:pPr>
    </w:p>
    <w:p>
      <w:pPr>
        <w:spacing w:before="0" w:after="160" w:line="360"/>
        <w:ind w:right="0" w:left="0" w:firstLine="0"/>
        <w:jc w:val="both"/>
        <w:rPr>
          <w:rFonts w:ascii="Arial" w:hAnsi="Arial" w:cs="Arial" w:eastAsia="Arial"/>
          <w:color w:val="222222"/>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