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679AA" w14:textId="77777777" w:rsidR="009E119E" w:rsidRPr="009E119E" w:rsidRDefault="009E119E" w:rsidP="009E119E">
      <w:pPr>
        <w:spacing w:line="360" w:lineRule="auto"/>
        <w:jc w:val="center"/>
        <w:rPr>
          <w:rFonts w:ascii="Arial" w:hAnsi="Arial" w:cs="Arial"/>
          <w:b/>
          <w:bCs/>
          <w:sz w:val="36"/>
          <w:szCs w:val="36"/>
          <w:u w:val="single"/>
          <w:lang w:val="en-US"/>
        </w:rPr>
      </w:pPr>
      <w:r w:rsidRPr="009E119E">
        <w:rPr>
          <w:rFonts w:ascii="Arial" w:hAnsi="Arial" w:cs="Arial"/>
          <w:b/>
          <w:bCs/>
          <w:sz w:val="36"/>
          <w:szCs w:val="36"/>
          <w:u w:val="single"/>
          <w:lang w:val="en-US"/>
        </w:rPr>
        <w:t xml:space="preserve">Part 2-Speech </w:t>
      </w:r>
    </w:p>
    <w:p w14:paraId="53862588" w14:textId="77777777" w:rsidR="009E119E" w:rsidRPr="009E119E" w:rsidRDefault="009E119E" w:rsidP="009E119E">
      <w:pPr>
        <w:spacing w:line="360" w:lineRule="auto"/>
        <w:jc w:val="center"/>
        <w:rPr>
          <w:rFonts w:ascii="Arial" w:hAnsi="Arial" w:cs="Arial"/>
          <w:b/>
          <w:bCs/>
          <w:sz w:val="36"/>
          <w:szCs w:val="36"/>
          <w:u w:val="single"/>
          <w:lang w:val="en-US"/>
        </w:rPr>
      </w:pPr>
    </w:p>
    <w:p w14:paraId="5C5AA3C7" w14:textId="77777777" w:rsidR="009E119E" w:rsidRPr="009E119E" w:rsidRDefault="009E119E" w:rsidP="009E119E">
      <w:pPr>
        <w:spacing w:line="360" w:lineRule="auto"/>
        <w:rPr>
          <w:rFonts w:ascii="Arial" w:hAnsi="Arial" w:cs="Arial"/>
          <w:b/>
          <w:bCs/>
          <w:sz w:val="36"/>
          <w:szCs w:val="36"/>
          <w:u w:val="single"/>
          <w:lang w:val="en-US"/>
        </w:rPr>
      </w:pPr>
      <w:r w:rsidRPr="009E119E">
        <w:rPr>
          <w:rFonts w:ascii="Arial" w:hAnsi="Arial" w:cs="Arial"/>
          <w:b/>
          <w:bCs/>
          <w:sz w:val="36"/>
          <w:szCs w:val="36"/>
          <w:u w:val="single"/>
          <w:lang w:val="en-US"/>
        </w:rPr>
        <w:t>Slide 1</w:t>
      </w:r>
    </w:p>
    <w:p w14:paraId="1C49ED2D"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Bore da/ good morning </w:t>
      </w:r>
    </w:p>
    <w:p w14:paraId="5B1C8FB1"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Prynhawn da/ Good afternoon,</w:t>
      </w:r>
    </w:p>
    <w:p w14:paraId="71C169EA"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My name is Abigail Sullivan, Student number 1704224. I will begin my presentation of Part 2 of my John Muir Award project today by reflecting on my experience at Cyfarthfa Park balancing ponds. I'll follow up with an academic evaluation of sustainability in early years education. Additionally, to a specific sustainability issue relevant to my community in Merthyr Tydfil, I will make references to current theories, policies, and research throughout the presentation. My objective is to demonstrate how my practical experiences from Part 1 have improved my understanding of sustainability and how these experiences might support education for sustainable development in early years settings.</w:t>
      </w:r>
    </w:p>
    <w:p w14:paraId="24093670"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2-Why Cyfarthfa Park?</w:t>
      </w:r>
    </w:p>
    <w:p w14:paraId="107A270E"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I choose the balancing ponds at Cyfarthfa Park because they have a strong connection to my own Cynefin, a </w:t>
      </w:r>
      <w:r w:rsidRPr="009E119E">
        <w:rPr>
          <w:rFonts w:ascii="Arial" w:hAnsi="Arial" w:cs="Arial"/>
          <w:sz w:val="36"/>
          <w:szCs w:val="36"/>
        </w:rPr>
        <w:lastRenderedPageBreak/>
        <w:t>location that inspired both my childhood and my daughter's. It is somewhere I visited many times as a young child and I continued this with my daughter. It is somewhere we go for many hours of exploring as a family. The ponds are still one of the few places in the park that have been more influenced by nature than by humans, despite changes throughout time. Chawla (1998) claims childhood special places frequently act as the basis for lifetime environmental awareness, and I found this to be true from my own experience. Furthermore, Tinney and Merriman (2018) emphasise how Cynefin develops children's sense of identity, community, and belonging all of which were important to my own experience.</w:t>
      </w:r>
    </w:p>
    <w:p w14:paraId="3938F8B0"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3- My Journey – The John Muir Award</w:t>
      </w:r>
    </w:p>
    <w:p w14:paraId="59A93F0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I engaged with the four phases of Discover, Explore, Conserve, and Share with the John Muir Award. I used all four phases during my many documented visits. </w:t>
      </w:r>
    </w:p>
    <w:p w14:paraId="4CE4714C"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I slowed down and paid close attention to my surroundings during the Discovery phase. The small ripples on the water, the soft dirt beneath my feet, the smell of wet soil, and the algae floating just below the </w:t>
      </w:r>
      <w:r w:rsidRPr="009E119E">
        <w:rPr>
          <w:rFonts w:ascii="Arial" w:hAnsi="Arial" w:cs="Arial"/>
          <w:sz w:val="36"/>
          <w:szCs w:val="36"/>
        </w:rPr>
        <w:lastRenderedPageBreak/>
        <w:t xml:space="preserve">surface were all things I had never noticed before. The insects skimming the pond, the ducks swimming between the water and the bank, the squirrels scuttling through the woods, and the little pops of colour from wildflowers all caught my attention. These events are documented on my sensory boards, demonstrating how I was able to relate to the pond as a living space rather than simply a place I passed by engaging my senses. This is documented within my scrap book through a senses poem and a video I recorded. </w:t>
      </w:r>
    </w:p>
    <w:p w14:paraId="72DB4474"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In order to understand how the ponds function as part of a larger environment, I used Explore to walk the paths, watch wildlife activity, and use the park map. I was able to identify the interconnected nature of water, plants, insects, and birds due to this project.</w:t>
      </w:r>
    </w:p>
    <w:p w14:paraId="60DDF9C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Using information from wildlife groups such as canalrivertrust.org.uk (n.d.) and Rolfe (2025), I developed a duck-friendly feeding guide through Conserve, concentrating on a significant action that immediately improved the health of the ducks at the balance ponds. This made it easier for me to understand how everyday human actions, such as feeding bread, might accidentally harm wildlife. Creating the guide reinforced my feeling of responsibility and increased my awareness of my own duty as a pond visitor. Additionally, it enabled me to provide an example of sustainable and respectful behaviour for my daughter, who actively participated in the process.</w:t>
      </w:r>
    </w:p>
    <w:p w14:paraId="3EC4D110"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Through share, I communicated what I had discovered in a distinctive, imaginative, and approachable way. Firstly, I helped raise awareness about healthy feeding methods by sharing the duck-friendly feeding guide with friends, family, coworkers, children in my setting, and other parents. Additionally, "Dewi the Duck," an original children's story I wrote, was a key element of my SHARE section. The instant we spotted 'Dewi' standing on the pond wall before he leaped into the water, my daughter, named him Dewi, and I immediately connected with him. The story was formed by this emotional connection, which made it an effective tool for teaching young children about sustainability. By telling Dewi's story, I was able to communicate environmental principles in a creative, child-friendly manner that supported early years education.</w:t>
      </w:r>
    </w:p>
    <w:p w14:paraId="1F95375E"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4 — What I discovered?</w:t>
      </w:r>
    </w:p>
    <w:p w14:paraId="3A79E1D9"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I had never really stopped to observe my surroundings until this project. The way the animals, such as the squirrels and pigeons interacted with one another, the light through the very large trees shining on the water, and the peaceful, however noisy sounds of the wildlife and wind of the area were just a few of the little motions and interactions I had always missed when I took the time to look around the pond and the surroundings. Particularly when my daughter and I first saw Dewi the Duck, it gave the experience a more personal feeling. In that instant, the pond became more than simply a familiar spot I passed; it became a live ecosystem. This is in line with Davis's (2015, 2024) claim that lived, emotional experiences serve as the foundation for sustainability.</w:t>
      </w:r>
    </w:p>
    <w:p w14:paraId="70DA0D5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Prior to this, I mostly associated sustainability with global issues such as pollution, climate change, and biodiversity loss. However, Elliott &amp; Davis (2020) states daily interactions with the non-human environments also influence sustainability. Observing Dewi and the other animals made it easier for me to see sustainability as a relational, local event that is taking place in front of me.</w:t>
      </w:r>
    </w:p>
    <w:p w14:paraId="783F5FD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This relates to posthuman and new materialist viewpoints (Pacini-Ketchabaw </w:t>
      </w:r>
      <w:r w:rsidRPr="009E119E">
        <w:rPr>
          <w:rFonts w:ascii="Arial" w:hAnsi="Arial" w:cs="Arial"/>
          <w:i/>
          <w:iCs/>
          <w:sz w:val="36"/>
          <w:szCs w:val="36"/>
        </w:rPr>
        <w:t>et al.,</w:t>
      </w:r>
      <w:r w:rsidRPr="009E119E">
        <w:rPr>
          <w:rFonts w:ascii="Arial" w:hAnsi="Arial" w:cs="Arial"/>
          <w:sz w:val="36"/>
          <w:szCs w:val="36"/>
        </w:rPr>
        <w:t xml:space="preserve"> 2016; Taylor, 2017), which focus on learning with nature compared to only learning about it. I discovered that the pond itself slowed my thoughts, sparked my interest, and made it easier for me to see how everything was related to everything else. A key component of modern Education for Sustainable Development strategies is the transition from watching to interacting with nature.</w:t>
      </w:r>
    </w:p>
    <w:p w14:paraId="324D41E1"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I will now move onto my academic section.</w:t>
      </w:r>
    </w:p>
    <w:p w14:paraId="58E52F2D"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5 — Defining sustainability</w:t>
      </w:r>
    </w:p>
    <w:p w14:paraId="6B4FB467"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There are several ways to define sustainability. It is defined as meeting the needs of the present while maintaining the ability of future generations to meet their own needs in the Brundtland Report (1987) Secretary-General and Development (1987). This is expanded into four aspects by UNESCO (2017) Unesco, South Africa. Ministry Of Education and Ngo-Unesco Liaison Committee (2004): environmental, social, economic, and cultural. The Wellbeing of Future Generations Act (2015) in Wales made sustainability a legal obligation that calls for long-term planning, prevention, and cooperation. Furthermore, according to Davis (2015, 2024) and </w:t>
      </w:r>
      <w:r w:rsidRPr="009E119E">
        <w:rPr>
          <w:rFonts w:ascii="Arial" w:hAnsi="Arial" w:cs="Arial"/>
          <w:sz w:val="36"/>
          <w:szCs w:val="36"/>
        </w:rPr>
        <w:lastRenderedPageBreak/>
        <w:t>Elliott &amp; Davis (2020) modern early years academics, sustainability in the early years is relational, rights-based, and rooted in children's lived experiences.</w:t>
      </w:r>
    </w:p>
    <w:p w14:paraId="6BC8B233"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To further explore this, it is important to acknowledge that sustainability is a contentious and politically sensitive issue. The Brundtland concept is criticised by researchers such as Jickling &amp; Wals (2008) for being too vague and for placing sustainability within liberal theories of economic development. They contend that in order to promote fundamental, political involvement, sustainability education must go beyond policy compliance. Similarly, Bonnett (2002) &amp; Güler Yıldız </w:t>
      </w:r>
      <w:r w:rsidRPr="009E119E">
        <w:rPr>
          <w:rFonts w:ascii="Arial" w:hAnsi="Arial" w:cs="Arial"/>
          <w:i/>
          <w:iCs/>
          <w:sz w:val="36"/>
          <w:szCs w:val="36"/>
        </w:rPr>
        <w:t>et al.</w:t>
      </w:r>
      <w:r w:rsidRPr="009E119E">
        <w:rPr>
          <w:rFonts w:ascii="Arial" w:hAnsi="Arial" w:cs="Arial"/>
          <w:sz w:val="36"/>
          <w:szCs w:val="36"/>
        </w:rPr>
        <w:t xml:space="preserve"> (2021) contends that sustainability is frequently viewed as a management or technical issue rather than a profoundly moral and ethical one, which runs the risk of limiting it to a collection of policy goals rather than a change-making educational process.</w:t>
      </w:r>
    </w:p>
    <w:p w14:paraId="0D694631"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Early years practice can benefit from this feedback. Sustainability runs the risk of becoming meaningless if it is limited to basic actions such as recycling or picking up litter. Davis (2015) argues that early years sustainability may become easier and simple, focused only on environmental details rather than more profound issues of equality and power. This is supported by recent research by Árlemalm-Hagsér (2023), which claims that early years sustainability education frequently becomes superficial when practitioners steer clear of difficult or disagreeable topics, resulting in activities that appear sustainable but do not really challenge children's thinking or develop real independence. As a result, practitioners must maintain a balance between developmentally appropriate practice and chances for critical thinking, independence, and participation.</w:t>
      </w:r>
    </w:p>
    <w:p w14:paraId="1AB67C6D" w14:textId="77777777" w:rsidR="009E119E" w:rsidRPr="009E119E" w:rsidRDefault="009E119E" w:rsidP="009E119E">
      <w:pPr>
        <w:spacing w:line="360" w:lineRule="auto"/>
        <w:rPr>
          <w:rFonts w:ascii="Arial" w:hAnsi="Arial" w:cs="Arial"/>
          <w:sz w:val="36"/>
          <w:szCs w:val="36"/>
          <w:u w:val="single"/>
        </w:rPr>
      </w:pPr>
      <w:r w:rsidRPr="009E119E">
        <w:rPr>
          <w:rFonts w:ascii="Arial" w:hAnsi="Arial" w:cs="Arial"/>
          <w:b/>
          <w:bCs/>
          <w:sz w:val="36"/>
          <w:szCs w:val="36"/>
          <w:u w:val="single"/>
        </w:rPr>
        <w:t>Slide 6 — why early years?</w:t>
      </w:r>
    </w:p>
    <w:p w14:paraId="65D02508"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The early years play an important role for the development of sustainable mindsets. Hedefalk, Almqvist and Östman (2014) suggest that involvement, discussion, and inquiry are how young children learn about sustainability. Additionally, early years environments must promote children's independence, rights, and critical thinking, according to Engdahl (2015) and Samuelsson &amp; Park (2017). This is in line with the ESDGC (Welsh Government, 2008) and Curriculum for Wales (Welsh Government ,2022b), which present children as morally responsible, knowledgeable citizens who are aware of their influence on the world.</w:t>
      </w:r>
    </w:p>
    <w:p w14:paraId="7D299006"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lastRenderedPageBreak/>
        <w:t>Additionally, because children are not just future citizens but also current individuals with rights,</w:t>
      </w:r>
      <w:r w:rsidRPr="009E119E">
        <w:rPr>
          <w:rFonts w:ascii="Segoe UI" w:hAnsi="Segoe UI" w:cs="Segoe UI"/>
          <w:sz w:val="36"/>
          <w:szCs w:val="36"/>
        </w:rPr>
        <w:t xml:space="preserve"> </w:t>
      </w:r>
      <w:r w:rsidRPr="009E119E">
        <w:rPr>
          <w:rFonts w:ascii="Arial" w:hAnsi="Arial" w:cs="Arial"/>
          <w:sz w:val="36"/>
          <w:szCs w:val="36"/>
        </w:rPr>
        <w:t>independence, and power, early years education is becoming more widely acknowledged as a critical setting for sustainability education (Welsh Government, 2022b). Children's right to a healthy environment (Articles 24 &amp; 29) and their right to participate in choices that affect them (Article 12) are highlighted in the UNCRC (1989) UNICEF (n.d.). This presents sustainability as a responsibility based on rights rather than a choice.</w:t>
      </w:r>
    </w:p>
    <w:p w14:paraId="3E873A81"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According to research by Samuelsson, Li and Hu (2019), children can interact with difficult sustainability ideas if they are given the opportunity to do so through discussion, investigation, and practical experiences. Similarly, Somerville &amp; Williams (2015) emphasise that frequent exposure to local environments might help young children form social qualities such as empathy and responsibility. This supports the claim that learning about sustainability has to start early, be integrated into everyday activities, and be based on children' real-world experiences (Welsh Government, 2022b).</w:t>
      </w:r>
    </w:p>
    <w:p w14:paraId="64DC384F"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7 — Theme 1: Experiential learning</w:t>
      </w:r>
    </w:p>
    <w:p w14:paraId="6F69198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A key element of sustainability education is experiential learning. While Dewey (1938) maintained that learning results from doing and reflecting, Froebel (1887) promoted unity, connection and first</w:t>
      </w:r>
      <w:r w:rsidRPr="009E119E">
        <w:rPr>
          <w:rFonts w:ascii="Arial" w:hAnsi="Arial" w:cs="Arial"/>
          <w:sz w:val="36"/>
          <w:szCs w:val="36"/>
        </w:rPr>
        <w:noBreakHyphen/>
        <w:t>hand experience. My John Muir Award path is similar to Kolb’s (1984) experiential learning cycle, which consists of real experience, reflection, thinking and experimentation.</w:t>
      </w:r>
    </w:p>
    <w:p w14:paraId="2E05EA73"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This is supported by recent study. MacQuarrie, Nugent, and Warden (2015) demonstrate how nature-based environments enhance participation and teamwork. Additionally, Knight (2013) emphasises how problem-solving and resilience are fostered via outdoor learning. Barrable (2019) promotes a school of relationship in which ecological awareness is developed via emotional and sensory experiences.</w:t>
      </w:r>
    </w:p>
    <w:p w14:paraId="3400087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However, experiential learning isn't always transformative. One of the primary objections in the research that is now accessible is that outdoor experiences may become idealised or lack educational depth if they lack educational depth (Wals, 2011). For example, just putting children outside won't guarantee that they learn about sustainability; while having enjoyment is important, effective learning requires </w:t>
      </w:r>
      <w:r w:rsidRPr="009E119E">
        <w:rPr>
          <w:rFonts w:ascii="Arial" w:hAnsi="Arial" w:cs="Arial"/>
          <w:sz w:val="36"/>
          <w:szCs w:val="36"/>
        </w:rPr>
        <w:lastRenderedPageBreak/>
        <w:t>adults modelling and assisting children draw connections, raise questions, and consider what they observe, allowing curiosity and exploration.</w:t>
      </w:r>
    </w:p>
    <w:p w14:paraId="00523433"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Furthermore, systemic biases influence experiential learning. Children from underprivileged areas frequently have less opportunity for high-quality outdoor activities, which may reinforce social injustices, according to recent study. According to Waite, Goodenough, and Norris (2016)), children in underprivileged communities face significant barriers to nature-based experiences, and access to outdoor learning is unequally distributed. This is especially important in Merthyr, where poverty and environmental damage combine. Since access to meaningful outdoor and place-based learning is directly linked to broader social and environmental inequities, experiential learning must be viewed as both a pedagogical decision and a social justice issue (Greenwood &amp; McKenzie, 2019).</w:t>
      </w:r>
    </w:p>
    <w:p w14:paraId="6CA93003" w14:textId="77777777" w:rsidR="009E119E" w:rsidRPr="009E119E" w:rsidRDefault="009E119E" w:rsidP="009E119E">
      <w:pPr>
        <w:spacing w:line="360" w:lineRule="auto"/>
        <w:rPr>
          <w:rFonts w:ascii="Arial" w:hAnsi="Arial" w:cs="Arial"/>
          <w:b/>
          <w:bCs/>
          <w:sz w:val="36"/>
          <w:szCs w:val="36"/>
        </w:rPr>
      </w:pPr>
      <w:r w:rsidRPr="009E119E">
        <w:rPr>
          <w:rFonts w:ascii="Arial" w:hAnsi="Arial" w:cs="Arial"/>
          <w:b/>
          <w:bCs/>
          <w:sz w:val="36"/>
          <w:szCs w:val="36"/>
        </w:rPr>
        <w:t>Slide 8 — Theme 2: Place</w:t>
      </w:r>
      <w:r w:rsidRPr="009E119E">
        <w:rPr>
          <w:rFonts w:ascii="Arial" w:hAnsi="Arial" w:cs="Arial"/>
          <w:b/>
          <w:bCs/>
          <w:sz w:val="36"/>
          <w:szCs w:val="36"/>
        </w:rPr>
        <w:noBreakHyphen/>
        <w:t>based learning &amp; cynefin</w:t>
      </w:r>
    </w:p>
    <w:p w14:paraId="31A3D8BB"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Place-based learning is a key component of early years education in Wales, and the Cynefin idea highlights children's feeling of community and connection to their local surroundings. Research supports this emphasis; while Gruenewald and Smith (2014) &amp; Beames, Higgins and Nicol (2012) demonstrate how place-based curricula enhance ecological and cultural understanding, Sobel (2013) believes that children learn best when education is embedded in the environments and communities they are familiar with. According to Chawla's (2015) more recent research, significant childhood experiences in the local environment have a significant impact on future environmental views. Furthermore, Louv (2016) advises that child well-being and feeling of connection may be impacted by limited access to nature. When taken as a whole, these viewpoints show that, in the Welsh setting, place-based learning is important in encouraging long-term environmental responsibility.</w:t>
      </w:r>
    </w:p>
    <w:p w14:paraId="75BE4689"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This is reflected in my experience at the balancing ponds at Cyfarthfa Park. The ponds are a part of both my daughter's and my childhood. Tinney &amp; Merriman (2018) contend that early childhood education and ESDGC are the same, which is consistent with this age relationship.</w:t>
      </w:r>
    </w:p>
    <w:p w14:paraId="1FA4F659"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Place-based learning also requires significant involvement. Researchers such as Gruenewald (2008) believe that in addition to Cynefin's focus on identification and belonging, place-based education must include a fundamental approach to teaching </w:t>
      </w:r>
      <w:r w:rsidRPr="009E119E">
        <w:rPr>
          <w:rFonts w:ascii="Arial" w:hAnsi="Arial" w:cs="Arial"/>
          <w:sz w:val="36"/>
          <w:szCs w:val="36"/>
        </w:rPr>
        <w:lastRenderedPageBreak/>
        <w:t>of place, which looks at the social, political, and environmental past of an area. This is especially important in Merthyr, where locations as Cyfarthfa Park have been moulded by the town's industrial past, damage to the environment, and enduring social inequalities. According to recent reports, Merthyr has some of the worst environmental damage and deprivation in Wales. Local communities are particularly impacted by problems such as bad air quality, restricted access to high-quality green space, and high fly-tipping rates (Welsh Government, 2022a).</w:t>
      </w:r>
      <w:r w:rsidRPr="009E119E">
        <w:rPr>
          <w:rFonts w:ascii="Arial" w:eastAsia="Times New Roman" w:hAnsi="Arial" w:cs="Arial"/>
          <w:kern w:val="0"/>
          <w:sz w:val="36"/>
          <w:szCs w:val="36"/>
          <w:lang w:eastAsia="en-GB"/>
          <w14:ligatures w14:val="none"/>
        </w:rPr>
        <w:t xml:space="preserve"> </w:t>
      </w:r>
      <w:r w:rsidRPr="009E119E">
        <w:rPr>
          <w:rFonts w:ascii="Arial" w:hAnsi="Arial" w:cs="Arial"/>
          <w:sz w:val="36"/>
          <w:szCs w:val="36"/>
        </w:rPr>
        <w:t>To ensure that children interact with sustainability in a meaningful and socially conscious way, it is important to fully understand this history.</w:t>
      </w:r>
    </w:p>
    <w:p w14:paraId="168B827C"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9 — Merthyr issue: environmental decline</w:t>
      </w:r>
    </w:p>
    <w:p w14:paraId="011993D6"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The decline of the local environment, especially the loss of biodiversity, persistent rubbish, and contaminated green areas, is one of Merthyr Tydfil's most significant sustainability issues. According to Keep Wales Tidy (2025), "D-graded" streets areas with serious waste accumulations—have increased by 286% throughout Wales, with Merthyr being one of the worst impacted local authorities. Parts of Merthyr were also characterised as "overwhelmed by waste" in a (BBC Wales 2023 &amp; Lewis, 2025) inquiry, with locals stating that "rubbish is building up faster than it can be cleared." According to local reviews, Merthyr has one of the worst access to good-quality green space in Wales, combined with significant levels of pollution and fly-tipping (Cwm Taf Morgannwg Public Services Board, 2022). Water quality, biodiversity, public health, and children's access to safe, restorative outdoor spaces are all impacted by these environmental factors, which have far-reaching effects beyond beauty.</w:t>
      </w:r>
    </w:p>
    <w:p w14:paraId="4D49227A"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Above all else, it is impossible to isolate Merthyr's poor environmental condition from more general structural problems including social inequality, budget cuts, and lower council budgets. A consistent pattern of environmental inequality is demonstrated by research from Public Health Wales (2025), which reveals that disadvantaged communities suffer excessive environmental burdens, such as lower air quality, less access to green spaces, and greater waste levels. Davies </w:t>
      </w:r>
      <w:r w:rsidRPr="009E119E">
        <w:rPr>
          <w:rFonts w:ascii="Arial" w:hAnsi="Arial" w:cs="Arial"/>
          <w:i/>
          <w:iCs/>
          <w:sz w:val="36"/>
          <w:szCs w:val="36"/>
        </w:rPr>
        <w:t>et al.</w:t>
      </w:r>
      <w:r w:rsidRPr="009E119E">
        <w:rPr>
          <w:rFonts w:ascii="Arial" w:hAnsi="Arial" w:cs="Arial"/>
          <w:sz w:val="36"/>
          <w:szCs w:val="36"/>
        </w:rPr>
        <w:t xml:space="preserve"> (2022) support this view, arguing that post-industrial Welsh towns such as Merthyr, have been particularly affected by tight budgets that have undermined local authorities' ability to maintain public spaces. Furthermore, the Bevan Foundation (2021) emphasises how </w:t>
      </w:r>
      <w:r w:rsidRPr="009E119E">
        <w:rPr>
          <w:rFonts w:ascii="Arial" w:hAnsi="Arial" w:cs="Arial"/>
          <w:sz w:val="36"/>
          <w:szCs w:val="36"/>
        </w:rPr>
        <w:lastRenderedPageBreak/>
        <w:t>poverty and poor environmental conditions are closely linked in the South Wales Valleys, where people deal with both degraded landscapes and a lack of means to solve them.</w:t>
      </w:r>
    </w:p>
    <w:p w14:paraId="09BC82D5"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10 — Why it matters for early years?</w:t>
      </w:r>
    </w:p>
    <w:p w14:paraId="1FF3E286"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Children's play, learning, and well-being are all adversely impacted by damage to the environment. Waite, Warden and Barrable (2021) emphasise that for children to become resilient and curious, they require biodiverse settings. Furthermore, Chawla (1998) contends that early exposure to nature influences environmental sensitivity throughout one's life. Children's possibilities for connection, which are the foundation of sustainability learning, are diminished when local places are contaminated.</w:t>
      </w:r>
    </w:p>
    <w:p w14:paraId="6A45EA8C" w14:textId="77777777" w:rsidR="009E119E" w:rsidRPr="009E119E" w:rsidRDefault="009E119E" w:rsidP="009E119E">
      <w:pPr>
        <w:spacing w:line="360" w:lineRule="auto"/>
        <w:rPr>
          <w:rFonts w:ascii="Arial" w:hAnsi="Arial" w:cs="Arial"/>
          <w:strike/>
          <w:sz w:val="36"/>
          <w:szCs w:val="36"/>
        </w:rPr>
      </w:pPr>
      <w:r w:rsidRPr="009E119E">
        <w:rPr>
          <w:rFonts w:ascii="Arial" w:hAnsi="Arial" w:cs="Arial"/>
          <w:sz w:val="36"/>
          <w:szCs w:val="36"/>
        </w:rPr>
        <w:t>Reduced access to environment contributes to existing inequalities in Merthyr, where child poverty rates are among the highest in Wales.</w:t>
      </w:r>
      <w:r w:rsidRPr="009E119E">
        <w:rPr>
          <w:rFonts w:ascii="Segoe UI" w:hAnsi="Segoe UI" w:cs="Segoe UI"/>
          <w:sz w:val="36"/>
          <w:szCs w:val="36"/>
        </w:rPr>
        <w:t xml:space="preserve"> </w:t>
      </w:r>
      <w:r w:rsidRPr="009E119E">
        <w:rPr>
          <w:rFonts w:ascii="Arial" w:hAnsi="Arial" w:cs="Arial"/>
          <w:sz w:val="36"/>
          <w:szCs w:val="36"/>
        </w:rPr>
        <w:t xml:space="preserve">According to Public Health Wales (2023), children in Merthyr have some of the least access to high-quality green space in Wales, which has a direct impact on their physical and emotional wellness. </w:t>
      </w:r>
    </w:p>
    <w:p w14:paraId="1743DBB9"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These concerns bring up important ethical obligations for early years educators. Practitioners are required to figure out how to teach sustainability without disregarding the structural causes of decline while children's local settings are deteriorating in some areas. Elliott and Davis (2020) maintain that rather than criticising children for issues brought on by structural flaws, early years educators have a need to position sustainability education within fairness in society and the environment. Additionally, Davis and Elliott (2014) stress that young children require opportunities to develop initiative and critical awareness, whereas adults who are able to interpret environmental concerns in an honest and sympathetic manner must facilitate this.</w:t>
      </w:r>
    </w:p>
    <w:p w14:paraId="2150FA09"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This is in line with ESDGC principles of equality, rights, interdependence, and citizenship as well as the Well-being of Future Generations (Wales) Act 2015 (Welsh Government, 2015), which mandates that educators adopt long-term thinking and cooperation. In reality, this means that professionals must maintain a balance between enthusiasm and integrity, assisting children in taking care of their communities while making sure they understand that damage to the environment is a result of larger social and political structures.</w:t>
      </w:r>
    </w:p>
    <w:p w14:paraId="3A94FD18"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lastRenderedPageBreak/>
        <w:t>Slide 11 — what has been done? + what i can do?</w:t>
      </w:r>
    </w:p>
    <w:p w14:paraId="00BE42B0"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The Merthyr Tydfil County Borough Council has put into effect an Open Space Strategy and a Nature Recovery Action Plan (2019–2024). These address the need to "protect and improve biodiversity" under Section 6 of the Environment (Wales) Act. Additionally, volunteers have been recruited by community projects as Caru Cymru (2024) to clean up litter and enhance green areas. Inspection reports from 2024 and 2025, however, demonstrate that fly tipping, rubbish, and deteriorated green spaces are still widespread. This implies that although there are policy frameworks, their application varies.</w:t>
      </w:r>
    </w:p>
    <w:p w14:paraId="1E10F98F"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Early years educators such as myself may make a real contribution to local improvement in addition to these broader structural changes. For instance, in collaboration with Merthyr Tydfil CBC and Caru Cymru, I could work with children and their families to create small-scale, child-directed environmental projects such as adopting a small portion of the local green space, establishing pollinator-friendly planting areas, or regular litter picks around the setting. I could develop a social story similar to the one I created for my John Muir award, designed to be both child-friendly and educational. This story would provide informative guidance on the importance of caring for green spaces. Furthermore, I could share it with family, friends, and on community pages within the school to reach a wider audience.</w:t>
      </w:r>
    </w:p>
    <w:p w14:paraId="0C42AF75"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Moreover, by encouraging children to observe, record, and enquire about changes in their local surroundings, I could also include place-based inquiry into the curriculum and connect it to the Curriculum for Wales for informed citizens goal. Furthermore, I may increase family responsibility by getting families involved in small-scale community activities such as nature walks with a reason," sharing environmental stories, about looking and caring about Merthyr.</w:t>
      </w:r>
    </w:p>
    <w:p w14:paraId="7551C593"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Importantly, while these efforts don't address fundamental issues, they do empower children as engaged citizens and foster a caring culture, which is consistent with UNCRC Article 12 and the Well-Being of Future Generations Act's focus on involvement and long-term planning.</w:t>
      </w:r>
    </w:p>
    <w:p w14:paraId="5D158516" w14:textId="77777777" w:rsidR="009E119E" w:rsidRPr="009E119E" w:rsidRDefault="009E119E" w:rsidP="009E119E">
      <w:pPr>
        <w:spacing w:line="360" w:lineRule="auto"/>
        <w:rPr>
          <w:rFonts w:ascii="Arial" w:hAnsi="Arial" w:cs="Arial"/>
          <w:b/>
          <w:bCs/>
          <w:sz w:val="36"/>
          <w:szCs w:val="36"/>
          <w:u w:val="single"/>
        </w:rPr>
      </w:pPr>
      <w:r w:rsidRPr="009E119E">
        <w:rPr>
          <w:rFonts w:ascii="Arial" w:hAnsi="Arial" w:cs="Arial"/>
          <w:b/>
          <w:bCs/>
          <w:sz w:val="36"/>
          <w:szCs w:val="36"/>
          <w:u w:val="single"/>
        </w:rPr>
        <w:t>Slide 12 — conclusion</w:t>
      </w:r>
    </w:p>
    <w:p w14:paraId="1D9F75C9"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lastRenderedPageBreak/>
        <w:t>In conclusion, my experience with the John Muir Award in Cyfarthfa Park has demonstrated to me the effectiveness of real, local experiences in shaping children’s perceptions of sustainability. I became more aware of how social, emotional, and place-based learning may enhance early years education by slowing down, watching, investigating, and maintaining.</w:t>
      </w:r>
    </w:p>
    <w:p w14:paraId="09765CDD"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According to my academic review, sustainability education has to be experiential, critically informed, and grounded in children's Cynefin, but it also needs to take into account the larger structural problems that their communities are facing. Early years educators have a particularly significant role in Merthyr, where environmental damage, poverty, and reduced access to nature converge. We have an even greater responsibility because we work with children whose local environments are shaped by systemic unfair practices: to provide meaningful connections to nature, to frame sustainability within fairness and rights, and to assist children in understanding their place in the world with both hope and honesty.</w:t>
      </w:r>
    </w:p>
    <w:p w14:paraId="1CD550A5"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My knowledge of how sustainability may be integrated into early years practice in a way that is socially equitable, locally relevant, and really meaningful has been strengthened by combining theory, policy, and lived experience by doing the John Muir Project.</w:t>
      </w:r>
    </w:p>
    <w:p w14:paraId="3E8392EC" w14:textId="77777777" w:rsidR="009E119E" w:rsidRPr="009E119E" w:rsidRDefault="009E119E" w:rsidP="009E119E">
      <w:pPr>
        <w:spacing w:line="360" w:lineRule="auto"/>
        <w:rPr>
          <w:rFonts w:ascii="Arial" w:hAnsi="Arial" w:cs="Arial"/>
          <w:sz w:val="36"/>
          <w:szCs w:val="36"/>
        </w:rPr>
      </w:pPr>
      <w:r w:rsidRPr="009E119E">
        <w:rPr>
          <w:rFonts w:ascii="Arial" w:hAnsi="Arial" w:cs="Arial"/>
          <w:sz w:val="36"/>
          <w:szCs w:val="36"/>
        </w:rPr>
        <w:t xml:space="preserve">Thank you for listening. </w:t>
      </w:r>
    </w:p>
    <w:p w14:paraId="7ED5A272" w14:textId="77777777" w:rsidR="009E119E" w:rsidRDefault="009E119E"/>
    <w:sectPr w:rsidR="009E11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119E"/>
    <w:rsid w:val="009E119E"/>
    <w:rsid w:val="00E92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60156"/>
  <w15:chartTrackingRefBased/>
  <w15:docId w15:val="{2158E742-E626-4DF1-86A7-EBF340FBE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19E"/>
  </w:style>
  <w:style w:type="paragraph" w:styleId="Heading1">
    <w:name w:val="heading 1"/>
    <w:basedOn w:val="Normal"/>
    <w:next w:val="Normal"/>
    <w:link w:val="Heading1Char"/>
    <w:uiPriority w:val="9"/>
    <w:qFormat/>
    <w:rsid w:val="009E11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E11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E11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E11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1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1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1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1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1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11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E11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E11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E11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1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1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1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1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19E"/>
    <w:rPr>
      <w:rFonts w:eastAsiaTheme="majorEastAsia" w:cstheme="majorBidi"/>
      <w:color w:val="272727" w:themeColor="text1" w:themeTint="D8"/>
    </w:rPr>
  </w:style>
  <w:style w:type="paragraph" w:styleId="Title">
    <w:name w:val="Title"/>
    <w:basedOn w:val="Normal"/>
    <w:next w:val="Normal"/>
    <w:link w:val="TitleChar"/>
    <w:uiPriority w:val="10"/>
    <w:qFormat/>
    <w:rsid w:val="009E11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1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1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1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19E"/>
    <w:pPr>
      <w:spacing w:before="160"/>
      <w:jc w:val="center"/>
    </w:pPr>
    <w:rPr>
      <w:i/>
      <w:iCs/>
      <w:color w:val="404040" w:themeColor="text1" w:themeTint="BF"/>
    </w:rPr>
  </w:style>
  <w:style w:type="character" w:customStyle="1" w:styleId="QuoteChar">
    <w:name w:val="Quote Char"/>
    <w:basedOn w:val="DefaultParagraphFont"/>
    <w:link w:val="Quote"/>
    <w:uiPriority w:val="29"/>
    <w:rsid w:val="009E119E"/>
    <w:rPr>
      <w:i/>
      <w:iCs/>
      <w:color w:val="404040" w:themeColor="text1" w:themeTint="BF"/>
    </w:rPr>
  </w:style>
  <w:style w:type="paragraph" w:styleId="ListParagraph">
    <w:name w:val="List Paragraph"/>
    <w:basedOn w:val="Normal"/>
    <w:uiPriority w:val="34"/>
    <w:qFormat/>
    <w:rsid w:val="009E119E"/>
    <w:pPr>
      <w:ind w:left="720"/>
      <w:contextualSpacing/>
    </w:pPr>
  </w:style>
  <w:style w:type="character" w:styleId="IntenseEmphasis">
    <w:name w:val="Intense Emphasis"/>
    <w:basedOn w:val="DefaultParagraphFont"/>
    <w:uiPriority w:val="21"/>
    <w:qFormat/>
    <w:rsid w:val="009E119E"/>
    <w:rPr>
      <w:i/>
      <w:iCs/>
      <w:color w:val="0F4761" w:themeColor="accent1" w:themeShade="BF"/>
    </w:rPr>
  </w:style>
  <w:style w:type="paragraph" w:styleId="IntenseQuote">
    <w:name w:val="Intense Quote"/>
    <w:basedOn w:val="Normal"/>
    <w:next w:val="Normal"/>
    <w:link w:val="IntenseQuoteChar"/>
    <w:uiPriority w:val="30"/>
    <w:qFormat/>
    <w:rsid w:val="009E11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19E"/>
    <w:rPr>
      <w:i/>
      <w:iCs/>
      <w:color w:val="0F4761" w:themeColor="accent1" w:themeShade="BF"/>
    </w:rPr>
  </w:style>
  <w:style w:type="character" w:styleId="IntenseReference">
    <w:name w:val="Intense Reference"/>
    <w:basedOn w:val="DefaultParagraphFont"/>
    <w:uiPriority w:val="32"/>
    <w:qFormat/>
    <w:rsid w:val="009E119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3325</Words>
  <Characters>18959</Characters>
  <Application>Microsoft Office Word</Application>
  <DocSecurity>0</DocSecurity>
  <Lines>157</Lines>
  <Paragraphs>44</Paragraphs>
  <ScaleCrop>false</ScaleCrop>
  <Company/>
  <LinksUpToDate>false</LinksUpToDate>
  <CharactersWithSpaces>22240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1</cp:revision>
  <dcterms:created xsi:type="dcterms:W3CDTF">2026-06-26T17:39:00Z</dcterms:created>
  <dcterms:modified xsi:type="dcterms:W3CDTF">2026-06-26T17:41:00Z</dcterms:modified>
</cp:coreProperties>
</file>