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DBF9E9" w14:textId="77777777" w:rsidR="004614F5" w:rsidRPr="003A7972" w:rsidRDefault="004614F5" w:rsidP="00EA049C">
      <w:pPr>
        <w:spacing w:before="100" w:beforeAutospacing="1" w:after="100" w:afterAutospacing="1" w:line="360" w:lineRule="auto"/>
        <w:outlineLvl w:val="0"/>
        <w:rPr>
          <w:rFonts w:ascii="Arial" w:eastAsia="Times New Roman" w:hAnsi="Arial" w:cs="Arial"/>
          <w:kern w:val="36"/>
          <w:lang w:eastAsia="en-GB"/>
          <w14:ligatures w14:val="none"/>
        </w:rPr>
      </w:pPr>
      <w:r w:rsidRPr="003A7972">
        <w:rPr>
          <w:rFonts w:ascii="Arial" w:eastAsia="Times New Roman" w:hAnsi="Arial" w:cs="Arial"/>
          <w:kern w:val="36"/>
          <w:lang w:eastAsia="en-GB"/>
          <w14:ligatures w14:val="none"/>
        </w:rPr>
        <w:t>Student Name: Nadia Muriel Grobry</w:t>
      </w:r>
    </w:p>
    <w:p w14:paraId="74C6318E" w14:textId="77777777" w:rsidR="004614F5" w:rsidRPr="003A7972" w:rsidRDefault="004614F5" w:rsidP="00EA049C">
      <w:pPr>
        <w:spacing w:before="100" w:beforeAutospacing="1" w:after="100" w:afterAutospacing="1" w:line="360" w:lineRule="auto"/>
        <w:outlineLvl w:val="0"/>
        <w:rPr>
          <w:rFonts w:ascii="Arial" w:eastAsia="Times New Roman" w:hAnsi="Arial" w:cs="Arial"/>
          <w:kern w:val="36"/>
          <w:lang w:eastAsia="en-GB"/>
          <w14:ligatures w14:val="none"/>
        </w:rPr>
      </w:pPr>
      <w:r w:rsidRPr="003A7972">
        <w:rPr>
          <w:rFonts w:ascii="Arial" w:eastAsia="Times New Roman" w:hAnsi="Arial" w:cs="Arial"/>
          <w:kern w:val="36"/>
          <w:lang w:eastAsia="en-GB"/>
          <w14:ligatures w14:val="none"/>
        </w:rPr>
        <w:t>Student Number: 2244710</w:t>
      </w:r>
    </w:p>
    <w:p w14:paraId="1DC45D34" w14:textId="77777777" w:rsidR="004614F5" w:rsidRPr="003A7972" w:rsidRDefault="004614F5" w:rsidP="00EA049C">
      <w:pPr>
        <w:spacing w:before="100" w:beforeAutospacing="1" w:after="100" w:afterAutospacing="1" w:line="360" w:lineRule="auto"/>
        <w:outlineLvl w:val="0"/>
        <w:rPr>
          <w:rFonts w:ascii="Arial" w:eastAsia="Times New Roman" w:hAnsi="Arial" w:cs="Arial"/>
          <w:kern w:val="36"/>
          <w:lang w:eastAsia="en-GB"/>
          <w14:ligatures w14:val="none"/>
        </w:rPr>
      </w:pPr>
      <w:r w:rsidRPr="003A7972">
        <w:rPr>
          <w:rFonts w:ascii="Arial" w:eastAsia="Times New Roman" w:hAnsi="Arial" w:cs="Arial"/>
          <w:kern w:val="36"/>
          <w:lang w:eastAsia="en-GB"/>
          <w14:ligatures w14:val="none"/>
        </w:rPr>
        <w:t>Programme: BSc Health and Social Care</w:t>
      </w:r>
    </w:p>
    <w:p w14:paraId="3675BA10" w14:textId="77777777" w:rsidR="004614F5" w:rsidRPr="003A7972" w:rsidRDefault="004614F5" w:rsidP="00EA049C">
      <w:pPr>
        <w:spacing w:before="100" w:beforeAutospacing="1" w:after="100" w:afterAutospacing="1" w:line="360" w:lineRule="auto"/>
        <w:outlineLvl w:val="0"/>
        <w:rPr>
          <w:rFonts w:ascii="Arial" w:eastAsia="Times New Roman" w:hAnsi="Arial" w:cs="Arial"/>
          <w:kern w:val="36"/>
          <w:lang w:eastAsia="en-GB"/>
          <w14:ligatures w14:val="none"/>
        </w:rPr>
      </w:pPr>
      <w:r w:rsidRPr="003A7972">
        <w:rPr>
          <w:rFonts w:ascii="Arial" w:eastAsia="Times New Roman" w:hAnsi="Arial" w:cs="Arial"/>
          <w:kern w:val="36"/>
          <w:lang w:eastAsia="en-GB"/>
          <w14:ligatures w14:val="none"/>
        </w:rPr>
        <w:t>Module: Introduction to Independent Research Skills</w:t>
      </w:r>
    </w:p>
    <w:p w14:paraId="25D08515" w14:textId="77777777" w:rsidR="004614F5" w:rsidRPr="003A7972" w:rsidRDefault="004614F5" w:rsidP="00EA049C">
      <w:pPr>
        <w:spacing w:before="100" w:beforeAutospacing="1" w:after="100" w:afterAutospacing="1" w:line="360" w:lineRule="auto"/>
        <w:outlineLvl w:val="0"/>
        <w:rPr>
          <w:rFonts w:ascii="Arial" w:eastAsia="Times New Roman" w:hAnsi="Arial" w:cs="Arial"/>
          <w:kern w:val="36"/>
          <w:lang w:eastAsia="en-GB"/>
          <w14:ligatures w14:val="none"/>
        </w:rPr>
      </w:pPr>
      <w:r w:rsidRPr="003A7972">
        <w:rPr>
          <w:rFonts w:ascii="Arial" w:eastAsia="Times New Roman" w:hAnsi="Arial" w:cs="Arial"/>
          <w:kern w:val="36"/>
          <w:lang w:eastAsia="en-GB"/>
          <w14:ligatures w14:val="none"/>
        </w:rPr>
        <w:t>Module Code: BMHP5019_Birm</w:t>
      </w:r>
    </w:p>
    <w:p w14:paraId="2C646C45" w14:textId="77777777" w:rsidR="004614F5" w:rsidRPr="003A7972" w:rsidRDefault="004614F5" w:rsidP="00EA049C">
      <w:pPr>
        <w:spacing w:before="100" w:beforeAutospacing="1" w:after="100" w:afterAutospacing="1" w:line="360" w:lineRule="auto"/>
        <w:outlineLvl w:val="0"/>
        <w:rPr>
          <w:rFonts w:ascii="Arial" w:eastAsia="Times New Roman" w:hAnsi="Arial" w:cs="Arial"/>
          <w:kern w:val="36"/>
          <w:lang w:eastAsia="en-GB"/>
          <w14:ligatures w14:val="none"/>
        </w:rPr>
      </w:pPr>
      <w:r w:rsidRPr="003A7972">
        <w:rPr>
          <w:rFonts w:ascii="Arial" w:eastAsia="Times New Roman" w:hAnsi="Arial" w:cs="Arial"/>
          <w:kern w:val="36"/>
          <w:lang w:eastAsia="en-GB"/>
          <w14:ligatures w14:val="none"/>
        </w:rPr>
        <w:t>Lecture: Philip Jones</w:t>
      </w:r>
    </w:p>
    <w:p w14:paraId="32EAE127" w14:textId="77777777" w:rsidR="00F44DE7" w:rsidRDefault="00F44DE7" w:rsidP="00EA049C">
      <w:pPr>
        <w:spacing w:before="100" w:beforeAutospacing="1" w:after="100" w:afterAutospacing="1" w:line="360" w:lineRule="auto"/>
        <w:outlineLvl w:val="0"/>
        <w:rPr>
          <w:rFonts w:ascii="Arial" w:eastAsia="Times New Roman" w:hAnsi="Arial" w:cs="Arial"/>
          <w:b/>
          <w:bCs/>
          <w:kern w:val="36"/>
          <w:lang w:eastAsia="en-GB"/>
          <w14:ligatures w14:val="none"/>
        </w:rPr>
      </w:pPr>
    </w:p>
    <w:p w14:paraId="47A3E172" w14:textId="496E98DB" w:rsidR="009646BD" w:rsidRPr="00907239" w:rsidRDefault="004614F5" w:rsidP="00EA049C">
      <w:pPr>
        <w:spacing w:before="100" w:beforeAutospacing="1" w:after="100" w:afterAutospacing="1" w:line="360" w:lineRule="auto"/>
        <w:outlineLvl w:val="0"/>
        <w:rPr>
          <w:rFonts w:ascii="Arial" w:eastAsia="Times New Roman" w:hAnsi="Arial" w:cs="Arial"/>
          <w:b/>
          <w:bCs/>
          <w:kern w:val="36"/>
          <w:lang w:eastAsia="en-GB"/>
          <w14:ligatures w14:val="none"/>
        </w:rPr>
      </w:pPr>
      <w:r w:rsidRPr="00907239">
        <w:rPr>
          <w:rFonts w:ascii="Arial" w:eastAsia="Times New Roman" w:hAnsi="Arial" w:cs="Arial"/>
          <w:b/>
          <w:bCs/>
          <w:kern w:val="36"/>
          <w:lang w:eastAsia="en-GB"/>
          <w14:ligatures w14:val="none"/>
        </w:rPr>
        <w:t>Assignment Title: Component 1 Writing Assignment (Report Research)</w:t>
      </w:r>
    </w:p>
    <w:p w14:paraId="1509A2B0" w14:textId="75C55A40" w:rsidR="002A39DB" w:rsidRPr="00907239" w:rsidRDefault="002A39DB" w:rsidP="00EA049C">
      <w:pPr>
        <w:spacing w:before="100" w:beforeAutospacing="1" w:after="100" w:afterAutospacing="1" w:line="360" w:lineRule="auto"/>
        <w:outlineLvl w:val="0"/>
        <w:rPr>
          <w:rFonts w:ascii="Arial" w:eastAsia="Times New Roman" w:hAnsi="Arial" w:cs="Arial"/>
          <w:b/>
          <w:bCs/>
          <w:kern w:val="36"/>
          <w:lang w:eastAsia="en-GB"/>
          <w14:ligatures w14:val="none"/>
        </w:rPr>
      </w:pPr>
      <w:r w:rsidRPr="00907239">
        <w:rPr>
          <w:rFonts w:ascii="Arial" w:eastAsia="Times New Roman" w:hAnsi="Arial" w:cs="Arial"/>
          <w:b/>
          <w:bCs/>
          <w:kern w:val="36"/>
          <w:lang w:eastAsia="en-GB"/>
          <w14:ligatures w14:val="none"/>
        </w:rPr>
        <w:t>The Impact of Anorexia on Teenage Girls in the United Kingdom</w:t>
      </w:r>
    </w:p>
    <w:p w14:paraId="0442B031" w14:textId="3A20BD44" w:rsidR="002A39DB" w:rsidRPr="00E8211F" w:rsidRDefault="002A39DB" w:rsidP="00EA049C">
      <w:pPr>
        <w:spacing w:before="100" w:beforeAutospacing="1" w:after="100" w:afterAutospacing="1" w:line="360" w:lineRule="auto"/>
        <w:outlineLvl w:val="0"/>
        <w:rPr>
          <w:rFonts w:ascii="Arial" w:eastAsia="Times New Roman" w:hAnsi="Arial" w:cs="Arial"/>
          <w:b/>
          <w:bCs/>
          <w:kern w:val="36"/>
          <w:lang w:eastAsia="en-GB"/>
          <w14:ligatures w14:val="none"/>
        </w:rPr>
      </w:pPr>
      <w:r w:rsidRPr="00907239">
        <w:rPr>
          <w:rFonts w:ascii="Arial" w:eastAsia="Times New Roman" w:hAnsi="Arial" w:cs="Arial"/>
          <w:b/>
          <w:bCs/>
          <w:kern w:val="36"/>
          <w:lang w:eastAsia="en-GB"/>
          <w14:ligatures w14:val="none"/>
        </w:rPr>
        <w:t>A Scoping Review</w:t>
      </w:r>
    </w:p>
    <w:p w14:paraId="6D9E987A" w14:textId="2214E527" w:rsidR="00E8211F" w:rsidRPr="00C960D6" w:rsidRDefault="002A39DB" w:rsidP="00C960D6">
      <w:pPr>
        <w:pStyle w:val="ListParagraph"/>
        <w:numPr>
          <w:ilvl w:val="0"/>
          <w:numId w:val="9"/>
        </w:numPr>
        <w:spacing w:after="0" w:line="360" w:lineRule="auto"/>
        <w:rPr>
          <w:rFonts w:ascii="Arial" w:eastAsia="Times New Roman" w:hAnsi="Arial" w:cs="Arial"/>
          <w:kern w:val="0"/>
          <w:lang w:eastAsia="en-GB"/>
          <w14:ligatures w14:val="none"/>
        </w:rPr>
      </w:pPr>
      <w:r w:rsidRPr="00C960D6">
        <w:rPr>
          <w:rFonts w:ascii="Arial" w:eastAsia="Times New Roman" w:hAnsi="Arial" w:cs="Arial"/>
          <w:b/>
          <w:bCs/>
          <w:kern w:val="0"/>
          <w:lang w:eastAsia="en-GB"/>
          <w14:ligatures w14:val="none"/>
        </w:rPr>
        <w:t>Introduction</w:t>
      </w:r>
    </w:p>
    <w:p w14:paraId="784C7FD8" w14:textId="5AB11A16" w:rsidR="00E8211F" w:rsidRPr="00E8211F" w:rsidRDefault="004614F5"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Anorexia nervosa is a complex psychiatric disorder characterised by persistent restriction of food intake, intense fear of weight gain, and disturbances in self-perception of body image (NICE, 2020). Adolescence, especially for girls aged 13–17 years, is a period of increased vulnerability due to developmental, social, and psychological factors (NHS Digital, 2023). Despite growing awareness, anorexia remains under-recognised, with delays in diagnosis leading to serious physical and psychological complications (Beat, 2022).</w:t>
      </w:r>
    </w:p>
    <w:p w14:paraId="04383598" w14:textId="77777777" w:rsidR="004614F5" w:rsidRPr="00907239" w:rsidRDefault="004614F5"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The purpose of this scoping review is to synthesise existing research evidence on the impact of anorexia among teenage girls in the UK. By analysing peer-reviewed studies, the review aims to identify the effects of anorexia, highlight gaps in current knowledge, and inform UK-specific practices, policies, and prevention strategies. The primary research question guiding this study is: “What is the impact of anorexia on teenage girls in the United Kingdom?” The objectives are to map the current evidence, examine treatment outcomes, understand psychosocial influences, and assess service accessibility.</w:t>
      </w:r>
    </w:p>
    <w:p w14:paraId="3B769E12" w14:textId="77C8E9A6" w:rsidR="00E8211F" w:rsidRPr="00E8211F" w:rsidRDefault="004614F5"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b/>
          <w:bCs/>
          <w:kern w:val="0"/>
          <w:lang w:eastAsia="en-GB"/>
          <w14:ligatures w14:val="none"/>
        </w:rPr>
        <w:t xml:space="preserve">b) Background </w:t>
      </w:r>
      <w:r w:rsidRPr="00907239">
        <w:rPr>
          <w:rFonts w:ascii="Arial" w:eastAsia="Times New Roman" w:hAnsi="Arial" w:cs="Arial"/>
          <w:kern w:val="0"/>
          <w:lang w:eastAsia="en-GB"/>
          <w14:ligatures w14:val="none"/>
        </w:rPr>
        <w:t xml:space="preserve">Anorexia nervosa in the UK is recognised as a serious mental health issue among adolescents with complex physical, psychological, and social effects. National guidance, such as the NICE Guideline NG69, advises early detection, family involvement, </w:t>
      </w:r>
      <w:r w:rsidRPr="00907239">
        <w:rPr>
          <w:rFonts w:ascii="Arial" w:eastAsia="Times New Roman" w:hAnsi="Arial" w:cs="Arial"/>
          <w:kern w:val="0"/>
          <w:lang w:eastAsia="en-GB"/>
          <w14:ligatures w14:val="none"/>
        </w:rPr>
        <w:lastRenderedPageBreak/>
        <w:t>and evidence-based treatments for children and teenagers (NICE, 2020). The NHS Long Term Plan also highlights faster access to community eating disorder services, aiming to reduce hospital admissions and support better recovery outcomes (NHS England, 2019).</w:t>
      </w:r>
    </w:p>
    <w:p w14:paraId="411EAE85" w14:textId="5B3E72F1" w:rsidR="00E8211F" w:rsidRPr="00907239" w:rsidRDefault="004614F5"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Legislative frameworks, including the Children Act 1989 and Mental Health Act 1983, offer safeguarding measures and rights-based protection for minors with mental health disorders (HMSO, 1989; HMSO, 1983). In practice, teenage girls often face long waiting times, limited access to specialist services, and social pressures from academic expectations and appearance-based norms, which can lead to delayed help-seeking and worsening of symptoms (Beat, 2022; Holland &amp; Tiggemann, 2017). Therefore, multi-agency collaboration, school-based interventions, and accessible mental health services are essential in tackling anorexia within this population</w:t>
      </w:r>
    </w:p>
    <w:p w14:paraId="3B0970E7" w14:textId="77777777" w:rsidR="003D6B54" w:rsidRPr="00907239" w:rsidRDefault="003D6B54" w:rsidP="00EA049C">
      <w:pPr>
        <w:spacing w:before="100" w:beforeAutospacing="1" w:after="100" w:afterAutospacing="1" w:line="360" w:lineRule="auto"/>
        <w:rPr>
          <w:rFonts w:ascii="Arial" w:eastAsia="Times New Roman" w:hAnsi="Arial" w:cs="Arial"/>
          <w:b/>
          <w:bCs/>
          <w:kern w:val="0"/>
          <w:lang w:eastAsia="en-GB"/>
          <w14:ligatures w14:val="none"/>
        </w:rPr>
      </w:pPr>
      <w:r w:rsidRPr="00907239">
        <w:rPr>
          <w:rFonts w:ascii="Arial" w:eastAsia="Times New Roman" w:hAnsi="Arial" w:cs="Arial"/>
          <w:b/>
          <w:bCs/>
          <w:kern w:val="0"/>
          <w:lang w:eastAsia="en-GB"/>
          <w14:ligatures w14:val="none"/>
        </w:rPr>
        <w:t xml:space="preserve">C) </w:t>
      </w:r>
      <w:r w:rsidR="004614F5" w:rsidRPr="00907239">
        <w:rPr>
          <w:rFonts w:ascii="Arial" w:eastAsia="Times New Roman" w:hAnsi="Arial" w:cs="Arial"/>
          <w:b/>
          <w:bCs/>
          <w:kern w:val="0"/>
          <w:lang w:eastAsia="en-GB"/>
          <w14:ligatures w14:val="none"/>
        </w:rPr>
        <w:t>Methods</w:t>
      </w:r>
    </w:p>
    <w:p w14:paraId="19EA4EDD" w14:textId="7CFA213C" w:rsidR="003D6B54" w:rsidRPr="00907239" w:rsidRDefault="003D6B54"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b/>
          <w:bCs/>
          <w:kern w:val="0"/>
          <w:lang w:eastAsia="en-GB"/>
          <w14:ligatures w14:val="none"/>
        </w:rPr>
        <w:t xml:space="preserve">A systematic scoping review methodology </w:t>
      </w:r>
      <w:r w:rsidRPr="00907239">
        <w:rPr>
          <w:rFonts w:ascii="Arial" w:eastAsia="Times New Roman" w:hAnsi="Arial" w:cs="Arial"/>
          <w:kern w:val="0"/>
          <w:lang w:eastAsia="en-GB"/>
          <w14:ligatures w14:val="none"/>
        </w:rPr>
        <w:t>was employed using the frameworks of Arksey and O’Malley (2005) and Levac et al. (2010). Multiple databases, including PubMed, EBSCOhost, PsycINFO, and SAGE Journals, were searched with keywords such as “anorexia nervosa”, “adolescent girls”, “teenagers”, “United Kingdom”, “treatment outcomes”, and “psychosocial impact”. Boolean operators (“AND”, “OR”) were used to refine search results. The search was limited to English-language peer-reviewed articles published between 2000 and 2025 to ensure relevance to contemporary UK practice. Reference lists of selected studies were hand-searched to identify additional relevant publications.</w:t>
      </w:r>
    </w:p>
    <w:p w14:paraId="6AD9917D" w14:textId="6997BB52" w:rsidR="00E8211F" w:rsidRPr="00E8211F" w:rsidRDefault="003D6B54" w:rsidP="00EA049C">
      <w:pPr>
        <w:spacing w:before="100" w:beforeAutospacing="1" w:after="100" w:afterAutospacing="1" w:line="360" w:lineRule="auto"/>
        <w:rPr>
          <w:rFonts w:ascii="Arial" w:eastAsia="Times New Roman" w:hAnsi="Arial" w:cs="Arial"/>
          <w:b/>
          <w:bCs/>
          <w:kern w:val="0"/>
          <w:lang w:eastAsia="en-GB"/>
          <w14:ligatures w14:val="none"/>
        </w:rPr>
      </w:pPr>
      <w:r w:rsidRPr="00907239">
        <w:rPr>
          <w:rFonts w:ascii="Arial" w:eastAsia="Times New Roman" w:hAnsi="Arial" w:cs="Arial"/>
          <w:b/>
          <w:bCs/>
          <w:kern w:val="0"/>
          <w:lang w:eastAsia="en-GB"/>
          <w14:ligatures w14:val="none"/>
        </w:rPr>
        <w:t>Inclusion and exclusion criteria</w:t>
      </w:r>
    </w:p>
    <w:p w14:paraId="376B1540" w14:textId="77777777" w:rsidR="003D6B54" w:rsidRPr="00907239" w:rsidRDefault="003D6B54"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Inclusion criteria were: (1) peer-reviewed studies, (2) participants aged 12–18 years, (3) focus on anorexia nervosa, (4) conducted in the UK or relevant to UK practice, and (5) reporting outcomes related to physical health, psychological wellbeing, social functioning, or treatment efficacy. Excluded were conference proceedings, editorials, policy documents, commentary papers, and studies on adults or males. This ensured that the review synthesised high-quality evidence directly relevant to the research question.</w:t>
      </w:r>
    </w:p>
    <w:p w14:paraId="002DB517" w14:textId="77777777" w:rsidR="003D6B54" w:rsidRPr="00907239" w:rsidRDefault="003D6B54" w:rsidP="00EA049C">
      <w:pPr>
        <w:spacing w:before="100" w:beforeAutospacing="1" w:after="100" w:afterAutospacing="1" w:line="360" w:lineRule="auto"/>
        <w:rPr>
          <w:rFonts w:ascii="Arial" w:eastAsia="Times New Roman" w:hAnsi="Arial" w:cs="Arial"/>
          <w:b/>
          <w:bCs/>
          <w:kern w:val="0"/>
          <w:lang w:eastAsia="en-GB"/>
          <w14:ligatures w14:val="none"/>
        </w:rPr>
      </w:pPr>
    </w:p>
    <w:p w14:paraId="5D5057BF" w14:textId="11B4BC53" w:rsidR="00E8211F" w:rsidRPr="00E8211F" w:rsidRDefault="003D6B54"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b/>
          <w:bCs/>
          <w:kern w:val="0"/>
          <w:lang w:eastAsia="en-GB"/>
          <w14:ligatures w14:val="none"/>
        </w:rPr>
        <w:t>Study selection</w:t>
      </w:r>
    </w:p>
    <w:p w14:paraId="287C4C09" w14:textId="77777777" w:rsidR="003D6B54" w:rsidRPr="00907239" w:rsidRDefault="003D6B54"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 xml:space="preserve">The PRISMA framework was adopted to ensure transparent study selection (Moher et al., 2009). After removing duplicates, titles and abstracts were screened against inclusion </w:t>
      </w:r>
      <w:r w:rsidRPr="00907239">
        <w:rPr>
          <w:rFonts w:ascii="Arial" w:eastAsia="Times New Roman" w:hAnsi="Arial" w:cs="Arial"/>
          <w:kern w:val="0"/>
          <w:lang w:eastAsia="en-GB"/>
          <w14:ligatures w14:val="none"/>
        </w:rPr>
        <w:lastRenderedPageBreak/>
        <w:t>criteria. Full texts were then reviewed for studies meeting the initial criteria. Any discrepancies were resolved through discussion with an academic supervisor. This two-stage process ensured that only relevant, rigorous studies were included.</w:t>
      </w:r>
    </w:p>
    <w:p w14:paraId="4E4F6A40" w14:textId="77777777" w:rsidR="003D6B54" w:rsidRPr="00907239" w:rsidRDefault="003D6B54"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Data were systematically extracted using a structured form that included authors, year, study location, design, sample size and characteristics, interventions, outcomes, follow-up, and key findings (Peters et al., 2015). This method enabled comparability across studies and facilitated thematic synthesis.</w:t>
      </w:r>
    </w:p>
    <w:p w14:paraId="5288881A" w14:textId="111FE519" w:rsidR="003020A1" w:rsidRPr="00907239" w:rsidRDefault="003020A1"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b/>
          <w:bCs/>
          <w:kern w:val="0"/>
          <w:lang w:eastAsia="en-GB"/>
          <w14:ligatures w14:val="none"/>
        </w:rPr>
        <w:t>Data analysis:</w:t>
      </w:r>
      <w:r w:rsidRPr="00907239">
        <w:rPr>
          <w:rFonts w:ascii="Arial" w:eastAsia="Times New Roman" w:hAnsi="Arial" w:cs="Arial"/>
          <w:kern w:val="0"/>
          <w:lang w:eastAsia="en-GB"/>
          <w14:ligatures w14:val="none"/>
        </w:rPr>
        <w:t xml:space="preserve"> Thematic analysis, as described by Braun and Clarke (2006), was used to identify recurring patterns. Quantitative and qualitative data were combined, summarised narratively, and presented as themes including incidence, treatment outcomes, long-term effects, psychosocial factors, and service access.</w:t>
      </w:r>
    </w:p>
    <w:p w14:paraId="19BA5651" w14:textId="3920C243" w:rsidR="00E8211F" w:rsidRPr="00E8211F" w:rsidRDefault="003020A1"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b/>
          <w:bCs/>
          <w:kern w:val="0"/>
          <w:lang w:eastAsia="en-GB"/>
          <w14:ligatures w14:val="none"/>
        </w:rPr>
        <w:t xml:space="preserve">Ethical considerations </w:t>
      </w:r>
      <w:r w:rsidRPr="00907239">
        <w:rPr>
          <w:rFonts w:ascii="Arial" w:eastAsia="Times New Roman" w:hAnsi="Arial" w:cs="Arial"/>
          <w:kern w:val="0"/>
          <w:lang w:eastAsia="en-GB"/>
          <w14:ligatures w14:val="none"/>
        </w:rPr>
        <w:t>Although secondary research on published data does not require ethical approval, moral principles of transparency, accuracy, and respect were adhered to (Wager, 2014). Findings relating to vulnerable populations were presented sensitively to prevent stigma. The included peer-reviewed studies had obtained original ethical approvals. Potential biases, such as publication and sample selection bias, were acknowledged.</w:t>
      </w:r>
    </w:p>
    <w:p w14:paraId="10F2DD09" w14:textId="1FCAA350" w:rsidR="00E8211F" w:rsidRPr="00E8211F" w:rsidRDefault="003020A1"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b/>
          <w:bCs/>
          <w:kern w:val="0"/>
          <w:lang w:eastAsia="en-GB"/>
          <w14:ligatures w14:val="none"/>
        </w:rPr>
        <w:t xml:space="preserve">Limitations </w:t>
      </w:r>
      <w:r w:rsidRPr="00907239">
        <w:rPr>
          <w:rFonts w:ascii="Arial" w:eastAsia="Times New Roman" w:hAnsi="Arial" w:cs="Arial"/>
          <w:kern w:val="0"/>
          <w:lang w:eastAsia="en-GB"/>
          <w14:ligatures w14:val="none"/>
        </w:rPr>
        <w:t>include language constraints, a focus on adolescent females, and the exclusion of non-peer-reviewed data. Scoping reviews offer breadth rather than causal insights. Small sample sizes and clinical populations in some studies may restrict generalisability.</w:t>
      </w:r>
    </w:p>
    <w:p w14:paraId="35825058" w14:textId="77777777" w:rsidR="00792906" w:rsidRPr="00907239" w:rsidRDefault="003020A1" w:rsidP="00EA049C">
      <w:pPr>
        <w:spacing w:after="0" w:line="360" w:lineRule="auto"/>
        <w:rPr>
          <w:rFonts w:ascii="Arial" w:eastAsia="Times New Roman" w:hAnsi="Arial" w:cs="Arial"/>
          <w:b/>
          <w:bCs/>
          <w:kern w:val="0"/>
          <w:lang w:eastAsia="en-GB"/>
          <w14:ligatures w14:val="none"/>
        </w:rPr>
      </w:pPr>
      <w:r w:rsidRPr="00907239">
        <w:rPr>
          <w:rFonts w:ascii="Arial" w:eastAsia="Times New Roman" w:hAnsi="Arial" w:cs="Arial"/>
          <w:b/>
          <w:bCs/>
          <w:kern w:val="0"/>
          <w:lang w:eastAsia="en-GB"/>
          <w14:ligatures w14:val="none"/>
        </w:rPr>
        <w:t>D) Results</w:t>
      </w:r>
    </w:p>
    <w:p w14:paraId="6F3EE659" w14:textId="35A9164A" w:rsidR="00E8211F" w:rsidRPr="00E8211F" w:rsidRDefault="00792906" w:rsidP="00EA049C">
      <w:pPr>
        <w:spacing w:after="0" w:line="360" w:lineRule="auto"/>
        <w:rPr>
          <w:rFonts w:ascii="Arial" w:eastAsia="Times New Roman" w:hAnsi="Arial" w:cs="Arial"/>
          <w:b/>
          <w:bCs/>
          <w:kern w:val="0"/>
          <w:lang w:eastAsia="en-GB"/>
          <w14:ligatures w14:val="none"/>
        </w:rPr>
      </w:pPr>
      <w:r w:rsidRPr="00907239">
        <w:rPr>
          <w:rFonts w:ascii="Arial" w:eastAsia="Times New Roman" w:hAnsi="Arial" w:cs="Arial"/>
          <w:b/>
          <w:bCs/>
          <w:kern w:val="0"/>
          <w:lang w:eastAsia="en-GB"/>
          <w14:ligatures w14:val="none"/>
        </w:rPr>
        <w:t>Summary</w:t>
      </w:r>
      <w:r w:rsidR="003020A1" w:rsidRPr="00907239">
        <w:rPr>
          <w:rFonts w:ascii="Arial" w:eastAsia="Times New Roman" w:hAnsi="Arial" w:cs="Arial"/>
          <w:b/>
          <w:bCs/>
          <w:kern w:val="0"/>
          <w:lang w:eastAsia="en-GB"/>
          <w14:ligatures w14:val="none"/>
        </w:rPr>
        <w:t xml:space="preserve"> table of included studies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7"/>
        <w:gridCol w:w="2216"/>
        <w:gridCol w:w="1614"/>
        <w:gridCol w:w="3189"/>
      </w:tblGrid>
      <w:tr w:rsidR="00792906" w:rsidRPr="00907239" w14:paraId="38EB9104" w14:textId="77777777">
        <w:trPr>
          <w:tblHeader/>
          <w:tblCellSpacing w:w="15" w:type="dxa"/>
        </w:trPr>
        <w:tc>
          <w:tcPr>
            <w:tcW w:w="0" w:type="auto"/>
            <w:vAlign w:val="center"/>
            <w:hideMark/>
          </w:tcPr>
          <w:p w14:paraId="0AEC9824" w14:textId="77777777" w:rsidR="00792906" w:rsidRPr="00907239" w:rsidRDefault="00792906" w:rsidP="00EA049C">
            <w:pPr>
              <w:spacing w:after="0" w:line="360" w:lineRule="auto"/>
              <w:rPr>
                <w:rFonts w:ascii="Arial" w:eastAsia="Times New Roman" w:hAnsi="Arial" w:cs="Arial"/>
                <w:b/>
                <w:bCs/>
                <w:kern w:val="0"/>
                <w:lang w:eastAsia="en-GB"/>
                <w14:ligatures w14:val="none"/>
              </w:rPr>
            </w:pPr>
            <w:r w:rsidRPr="00907239">
              <w:rPr>
                <w:rFonts w:ascii="Arial" w:eastAsia="Times New Roman" w:hAnsi="Arial" w:cs="Arial"/>
                <w:b/>
                <w:bCs/>
                <w:kern w:val="0"/>
                <w:lang w:eastAsia="en-GB"/>
                <w14:ligatures w14:val="none"/>
              </w:rPr>
              <w:t>study</w:t>
            </w:r>
          </w:p>
          <w:p w14:paraId="70346F45" w14:textId="77777777" w:rsidR="00792906" w:rsidRPr="00907239" w:rsidRDefault="00792906" w:rsidP="00EA049C">
            <w:pPr>
              <w:spacing w:after="0" w:line="360" w:lineRule="auto"/>
              <w:rPr>
                <w:rFonts w:ascii="Arial" w:eastAsia="Times New Roman" w:hAnsi="Arial" w:cs="Arial"/>
                <w:b/>
                <w:bCs/>
                <w:kern w:val="0"/>
                <w:lang w:eastAsia="en-GB"/>
                <w14:ligatures w14:val="none"/>
              </w:rPr>
            </w:pPr>
            <w:r w:rsidRPr="00907239">
              <w:rPr>
                <w:rFonts w:ascii="Arial" w:eastAsia="Times New Roman" w:hAnsi="Arial" w:cs="Arial"/>
                <w:b/>
                <w:bCs/>
                <w:kern w:val="0"/>
                <w:lang w:eastAsia="en-GB"/>
                <w14:ligatures w14:val="none"/>
              </w:rPr>
              <w:t>design/sample</w:t>
            </w:r>
          </w:p>
          <w:p w14:paraId="5B17DEB1" w14:textId="598F56D5" w:rsidR="00792906" w:rsidRPr="00E8211F" w:rsidRDefault="00792906" w:rsidP="00EA049C">
            <w:pPr>
              <w:spacing w:after="0" w:line="360" w:lineRule="auto"/>
              <w:rPr>
                <w:rFonts w:ascii="Arial" w:eastAsia="Times New Roman" w:hAnsi="Arial" w:cs="Arial"/>
                <w:b/>
                <w:bCs/>
                <w:kern w:val="0"/>
                <w:lang w:eastAsia="en-GB"/>
                <w14:ligatures w14:val="none"/>
              </w:rPr>
            </w:pPr>
          </w:p>
        </w:tc>
        <w:tc>
          <w:tcPr>
            <w:tcW w:w="0" w:type="auto"/>
            <w:vAlign w:val="center"/>
            <w:hideMark/>
          </w:tcPr>
          <w:p w14:paraId="3DC70E88" w14:textId="47E1EE42" w:rsidR="00E8211F" w:rsidRPr="00E8211F" w:rsidRDefault="00792906" w:rsidP="00EA049C">
            <w:pPr>
              <w:spacing w:after="0" w:line="360" w:lineRule="auto"/>
              <w:rPr>
                <w:rFonts w:ascii="Arial" w:eastAsia="Times New Roman" w:hAnsi="Arial" w:cs="Arial"/>
                <w:b/>
                <w:bCs/>
                <w:kern w:val="0"/>
                <w:lang w:eastAsia="en-GB"/>
                <w14:ligatures w14:val="none"/>
              </w:rPr>
            </w:pPr>
            <w:r w:rsidRPr="00907239">
              <w:rPr>
                <w:rFonts w:ascii="Arial" w:eastAsia="Times New Roman" w:hAnsi="Arial" w:cs="Arial"/>
                <w:b/>
                <w:bCs/>
                <w:kern w:val="0"/>
                <w:lang w:eastAsia="en-GB"/>
                <w14:ligatures w14:val="none"/>
              </w:rPr>
              <w:t>design/sample</w:t>
            </w:r>
          </w:p>
        </w:tc>
        <w:tc>
          <w:tcPr>
            <w:tcW w:w="0" w:type="auto"/>
            <w:vAlign w:val="center"/>
            <w:hideMark/>
          </w:tcPr>
          <w:p w14:paraId="18855645" w14:textId="4A894E99" w:rsidR="00E8211F" w:rsidRPr="00E8211F" w:rsidRDefault="00792906" w:rsidP="00EA049C">
            <w:pPr>
              <w:spacing w:after="0" w:line="360" w:lineRule="auto"/>
              <w:rPr>
                <w:rFonts w:ascii="Arial" w:eastAsia="Times New Roman" w:hAnsi="Arial" w:cs="Arial"/>
                <w:b/>
                <w:bCs/>
                <w:kern w:val="0"/>
                <w:lang w:eastAsia="en-GB"/>
                <w14:ligatures w14:val="none"/>
              </w:rPr>
            </w:pPr>
            <w:r w:rsidRPr="00907239">
              <w:rPr>
                <w:rFonts w:ascii="Arial" w:eastAsia="Times New Roman" w:hAnsi="Arial" w:cs="Arial"/>
                <w:b/>
                <w:bCs/>
                <w:kern w:val="0"/>
                <w:lang w:eastAsia="en-GB"/>
                <w14:ligatures w14:val="none"/>
              </w:rPr>
              <w:t>focus</w:t>
            </w:r>
          </w:p>
        </w:tc>
        <w:tc>
          <w:tcPr>
            <w:tcW w:w="0" w:type="auto"/>
            <w:vAlign w:val="center"/>
            <w:hideMark/>
          </w:tcPr>
          <w:p w14:paraId="4E4B46E5" w14:textId="1F464466" w:rsidR="00E8211F" w:rsidRPr="00E8211F" w:rsidRDefault="00792906" w:rsidP="00EA049C">
            <w:pPr>
              <w:spacing w:after="0" w:line="360" w:lineRule="auto"/>
              <w:rPr>
                <w:rFonts w:ascii="Arial" w:eastAsia="Times New Roman" w:hAnsi="Arial" w:cs="Arial"/>
                <w:b/>
                <w:bCs/>
                <w:kern w:val="0"/>
                <w:lang w:eastAsia="en-GB"/>
                <w14:ligatures w14:val="none"/>
              </w:rPr>
            </w:pPr>
            <w:r w:rsidRPr="00907239">
              <w:rPr>
                <w:rFonts w:ascii="Arial" w:eastAsia="Times New Roman" w:hAnsi="Arial" w:cs="Arial"/>
                <w:b/>
                <w:bCs/>
                <w:kern w:val="0"/>
                <w:lang w:eastAsia="en-GB"/>
                <w14:ligatures w14:val="none"/>
              </w:rPr>
              <w:t>Key finding</w:t>
            </w:r>
          </w:p>
        </w:tc>
      </w:tr>
      <w:tr w:rsidR="00792906" w:rsidRPr="00907239" w14:paraId="5C8C8A6C" w14:textId="77777777">
        <w:trPr>
          <w:tblCellSpacing w:w="15" w:type="dxa"/>
        </w:trPr>
        <w:tc>
          <w:tcPr>
            <w:tcW w:w="0" w:type="auto"/>
            <w:vAlign w:val="center"/>
            <w:hideMark/>
          </w:tcPr>
          <w:p w14:paraId="4027076B"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Baker et al., 2021</w:t>
            </w:r>
          </w:p>
        </w:tc>
        <w:tc>
          <w:tcPr>
            <w:tcW w:w="0" w:type="auto"/>
            <w:vAlign w:val="center"/>
            <w:hideMark/>
          </w:tcPr>
          <w:p w14:paraId="345459DB"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Quantitative, national surveillance, 12–17 yrs</w:t>
            </w:r>
          </w:p>
        </w:tc>
        <w:tc>
          <w:tcPr>
            <w:tcW w:w="0" w:type="auto"/>
            <w:vAlign w:val="center"/>
            <w:hideMark/>
          </w:tcPr>
          <w:p w14:paraId="2307F310"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Incidence and prevalence</w:t>
            </w:r>
          </w:p>
        </w:tc>
        <w:tc>
          <w:tcPr>
            <w:tcW w:w="0" w:type="auto"/>
            <w:vAlign w:val="center"/>
            <w:hideMark/>
          </w:tcPr>
          <w:p w14:paraId="030471C0"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Incidence 25.66/100,000; peak at age 15; highlights increasing adolescent burden.</w:t>
            </w:r>
          </w:p>
        </w:tc>
      </w:tr>
      <w:tr w:rsidR="00792906" w:rsidRPr="00907239" w14:paraId="7E55A1B5" w14:textId="77777777">
        <w:trPr>
          <w:tblCellSpacing w:w="15" w:type="dxa"/>
        </w:trPr>
        <w:tc>
          <w:tcPr>
            <w:tcW w:w="0" w:type="auto"/>
            <w:vAlign w:val="center"/>
            <w:hideMark/>
          </w:tcPr>
          <w:p w14:paraId="16A72981" w14:textId="05781A69" w:rsidR="00E8211F" w:rsidRPr="00E8211F" w:rsidRDefault="00792906" w:rsidP="00EA049C">
            <w:pPr>
              <w:spacing w:after="0"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National Surveillance Study, 2008.</w:t>
            </w:r>
          </w:p>
        </w:tc>
        <w:tc>
          <w:tcPr>
            <w:tcW w:w="0" w:type="auto"/>
            <w:vAlign w:val="center"/>
            <w:hideMark/>
          </w:tcPr>
          <w:p w14:paraId="25F0034C"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Quantitative, children &lt;13</w:t>
            </w:r>
          </w:p>
        </w:tc>
        <w:tc>
          <w:tcPr>
            <w:tcW w:w="0" w:type="auto"/>
            <w:vAlign w:val="center"/>
            <w:hideMark/>
          </w:tcPr>
          <w:p w14:paraId="03BB2E64"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Early-onset EDs</w:t>
            </w:r>
          </w:p>
        </w:tc>
        <w:tc>
          <w:tcPr>
            <w:tcW w:w="0" w:type="auto"/>
            <w:vAlign w:val="center"/>
            <w:hideMark/>
          </w:tcPr>
          <w:p w14:paraId="3EEF5326"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 xml:space="preserve">208 cases; 37% met AN </w:t>
            </w:r>
            <w:proofErr w:type="gramStart"/>
            <w:r w:rsidRPr="00E8211F">
              <w:rPr>
                <w:rFonts w:ascii="Arial" w:eastAsia="Times New Roman" w:hAnsi="Arial" w:cs="Arial"/>
                <w:kern w:val="0"/>
                <w:lang w:eastAsia="en-GB"/>
                <w14:ligatures w14:val="none"/>
              </w:rPr>
              <w:t>criteria</w:t>
            </w:r>
            <w:proofErr w:type="gramEnd"/>
            <w:r w:rsidRPr="00E8211F">
              <w:rPr>
                <w:rFonts w:ascii="Arial" w:eastAsia="Times New Roman" w:hAnsi="Arial" w:cs="Arial"/>
                <w:kern w:val="0"/>
                <w:lang w:eastAsia="en-GB"/>
                <w14:ligatures w14:val="none"/>
              </w:rPr>
              <w:t>; emphasises early detection.</w:t>
            </w:r>
          </w:p>
        </w:tc>
      </w:tr>
      <w:tr w:rsidR="00792906" w:rsidRPr="00907239" w14:paraId="28C832A5" w14:textId="77777777">
        <w:trPr>
          <w:tblCellSpacing w:w="15" w:type="dxa"/>
        </w:trPr>
        <w:tc>
          <w:tcPr>
            <w:tcW w:w="0" w:type="auto"/>
            <w:vAlign w:val="center"/>
            <w:hideMark/>
          </w:tcPr>
          <w:p w14:paraId="362992D8"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Treasure, 2016</w:t>
            </w:r>
          </w:p>
        </w:tc>
        <w:tc>
          <w:tcPr>
            <w:tcW w:w="0" w:type="auto"/>
            <w:vAlign w:val="center"/>
            <w:hideMark/>
          </w:tcPr>
          <w:p w14:paraId="73F32622"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Systematic review</w:t>
            </w:r>
          </w:p>
        </w:tc>
        <w:tc>
          <w:tcPr>
            <w:tcW w:w="0" w:type="auto"/>
            <w:vAlign w:val="center"/>
            <w:hideMark/>
          </w:tcPr>
          <w:p w14:paraId="520AD2FF"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Treatment effectiveness</w:t>
            </w:r>
          </w:p>
        </w:tc>
        <w:tc>
          <w:tcPr>
            <w:tcW w:w="0" w:type="auto"/>
            <w:vAlign w:val="center"/>
            <w:hideMark/>
          </w:tcPr>
          <w:p w14:paraId="044D692A" w14:textId="5CB7AA32"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 xml:space="preserve">FBT and outpatient care </w:t>
            </w:r>
            <w:r w:rsidR="00792906" w:rsidRPr="00907239">
              <w:rPr>
                <w:rFonts w:ascii="Arial" w:eastAsia="Times New Roman" w:hAnsi="Arial" w:cs="Arial"/>
                <w:kern w:val="0"/>
                <w:lang w:eastAsia="en-GB"/>
                <w14:ligatures w14:val="none"/>
              </w:rPr>
              <w:t xml:space="preserve">are effective; inpatient treatment is </w:t>
            </w:r>
            <w:r w:rsidRPr="00E8211F">
              <w:rPr>
                <w:rFonts w:ascii="Arial" w:eastAsia="Times New Roman" w:hAnsi="Arial" w:cs="Arial"/>
                <w:kern w:val="0"/>
                <w:lang w:eastAsia="en-GB"/>
                <w14:ligatures w14:val="none"/>
              </w:rPr>
              <w:t xml:space="preserve">less sustained </w:t>
            </w:r>
            <w:r w:rsidR="00792906" w:rsidRPr="00907239">
              <w:rPr>
                <w:rFonts w:ascii="Arial" w:eastAsia="Times New Roman" w:hAnsi="Arial" w:cs="Arial"/>
                <w:kern w:val="0"/>
                <w:lang w:eastAsia="en-GB"/>
                <w14:ligatures w14:val="none"/>
              </w:rPr>
              <w:t>in the long term</w:t>
            </w:r>
            <w:r w:rsidRPr="00E8211F">
              <w:rPr>
                <w:rFonts w:ascii="Arial" w:eastAsia="Times New Roman" w:hAnsi="Arial" w:cs="Arial"/>
                <w:kern w:val="0"/>
                <w:lang w:eastAsia="en-GB"/>
                <w14:ligatures w14:val="none"/>
              </w:rPr>
              <w:t>.</w:t>
            </w:r>
          </w:p>
        </w:tc>
      </w:tr>
      <w:tr w:rsidR="00792906" w:rsidRPr="00907239" w14:paraId="66291C6E" w14:textId="77777777">
        <w:trPr>
          <w:tblCellSpacing w:w="15" w:type="dxa"/>
        </w:trPr>
        <w:tc>
          <w:tcPr>
            <w:tcW w:w="0" w:type="auto"/>
            <w:vAlign w:val="center"/>
            <w:hideMark/>
          </w:tcPr>
          <w:p w14:paraId="234BBB3C"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lastRenderedPageBreak/>
              <w:t>Steinhausen, 2009</w:t>
            </w:r>
          </w:p>
        </w:tc>
        <w:tc>
          <w:tcPr>
            <w:tcW w:w="0" w:type="auto"/>
            <w:vAlign w:val="center"/>
            <w:hideMark/>
          </w:tcPr>
          <w:p w14:paraId="2B5AB7BA"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Longitudinal, 18-year follow-up</w:t>
            </w:r>
          </w:p>
        </w:tc>
        <w:tc>
          <w:tcPr>
            <w:tcW w:w="0" w:type="auto"/>
            <w:vAlign w:val="center"/>
            <w:hideMark/>
          </w:tcPr>
          <w:p w14:paraId="5247269F"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Long-term outcomes</w:t>
            </w:r>
          </w:p>
        </w:tc>
        <w:tc>
          <w:tcPr>
            <w:tcW w:w="0" w:type="auto"/>
            <w:vAlign w:val="center"/>
            <w:hideMark/>
          </w:tcPr>
          <w:p w14:paraId="0EA1899E"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12% persistent ED, 39% psychiatric comorbidity, 41% social impairment.</w:t>
            </w:r>
          </w:p>
        </w:tc>
      </w:tr>
      <w:tr w:rsidR="00792906" w:rsidRPr="00907239" w14:paraId="252F972C" w14:textId="77777777">
        <w:trPr>
          <w:tblCellSpacing w:w="15" w:type="dxa"/>
        </w:trPr>
        <w:tc>
          <w:tcPr>
            <w:tcW w:w="0" w:type="auto"/>
            <w:vAlign w:val="center"/>
            <w:hideMark/>
          </w:tcPr>
          <w:p w14:paraId="5234A457"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Qualitative Study, 2023</w:t>
            </w:r>
          </w:p>
        </w:tc>
        <w:tc>
          <w:tcPr>
            <w:tcW w:w="0" w:type="auto"/>
            <w:vAlign w:val="center"/>
            <w:hideMark/>
          </w:tcPr>
          <w:p w14:paraId="48918B86" w14:textId="19E6CC8E"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Interviews</w:t>
            </w:r>
            <w:r w:rsidR="00792906" w:rsidRPr="00907239">
              <w:rPr>
                <w:rFonts w:ascii="Arial" w:eastAsia="Times New Roman" w:hAnsi="Arial" w:cs="Arial"/>
                <w:kern w:val="0"/>
                <w:lang w:eastAsia="en-GB"/>
                <w14:ligatures w14:val="none"/>
              </w:rPr>
              <w:t xml:space="preserve"> with</w:t>
            </w:r>
            <w:r w:rsidRPr="00E8211F">
              <w:rPr>
                <w:rFonts w:ascii="Arial" w:eastAsia="Times New Roman" w:hAnsi="Arial" w:cs="Arial"/>
                <w:kern w:val="0"/>
                <w:lang w:eastAsia="en-GB"/>
                <w14:ligatures w14:val="none"/>
              </w:rPr>
              <w:t xml:space="preserve"> female inpatients</w:t>
            </w:r>
          </w:p>
        </w:tc>
        <w:tc>
          <w:tcPr>
            <w:tcW w:w="0" w:type="auto"/>
            <w:vAlign w:val="center"/>
            <w:hideMark/>
          </w:tcPr>
          <w:p w14:paraId="12A27F6E"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Peer relationships</w:t>
            </w:r>
          </w:p>
        </w:tc>
        <w:tc>
          <w:tcPr>
            <w:tcW w:w="0" w:type="auto"/>
            <w:vAlign w:val="center"/>
            <w:hideMark/>
          </w:tcPr>
          <w:p w14:paraId="7EFF5A13" w14:textId="73C2ECB8"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 xml:space="preserve">Peer influence </w:t>
            </w:r>
            <w:r w:rsidR="00792906" w:rsidRPr="00907239">
              <w:rPr>
                <w:rFonts w:ascii="Arial" w:eastAsia="Times New Roman" w:hAnsi="Arial" w:cs="Arial"/>
                <w:kern w:val="0"/>
                <w:lang w:eastAsia="en-GB"/>
                <w14:ligatures w14:val="none"/>
              </w:rPr>
              <w:t xml:space="preserve">is both supportive and triggering; the psychosocial context is </w:t>
            </w:r>
            <w:r w:rsidRPr="00E8211F">
              <w:rPr>
                <w:rFonts w:ascii="Arial" w:eastAsia="Times New Roman" w:hAnsi="Arial" w:cs="Arial"/>
                <w:kern w:val="0"/>
                <w:lang w:eastAsia="en-GB"/>
                <w14:ligatures w14:val="none"/>
              </w:rPr>
              <w:t>key to recovery.</w:t>
            </w:r>
          </w:p>
        </w:tc>
      </w:tr>
      <w:tr w:rsidR="00792906" w:rsidRPr="00907239" w14:paraId="2431A4F1" w14:textId="77777777">
        <w:trPr>
          <w:tblCellSpacing w:w="15" w:type="dxa"/>
        </w:trPr>
        <w:tc>
          <w:tcPr>
            <w:tcW w:w="0" w:type="auto"/>
            <w:vAlign w:val="center"/>
            <w:hideMark/>
          </w:tcPr>
          <w:p w14:paraId="2DC727A9"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Holland &amp; Tiggemann, 2017</w:t>
            </w:r>
          </w:p>
        </w:tc>
        <w:tc>
          <w:tcPr>
            <w:tcW w:w="0" w:type="auto"/>
            <w:vAlign w:val="center"/>
            <w:hideMark/>
          </w:tcPr>
          <w:p w14:paraId="4C494C78"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Systematic review</w:t>
            </w:r>
          </w:p>
        </w:tc>
        <w:tc>
          <w:tcPr>
            <w:tcW w:w="0" w:type="auto"/>
            <w:vAlign w:val="center"/>
            <w:hideMark/>
          </w:tcPr>
          <w:p w14:paraId="33077BC6"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Social media influence</w:t>
            </w:r>
          </w:p>
        </w:tc>
        <w:tc>
          <w:tcPr>
            <w:tcW w:w="0" w:type="auto"/>
            <w:vAlign w:val="center"/>
            <w:hideMark/>
          </w:tcPr>
          <w:p w14:paraId="41242F26" w14:textId="77777777" w:rsidR="00E8211F" w:rsidRPr="00E8211F" w:rsidRDefault="00E8211F" w:rsidP="00EA049C">
            <w:pPr>
              <w:spacing w:after="0"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Appearance-focused media increases vulnerability to anorexia.</w:t>
            </w:r>
          </w:p>
        </w:tc>
      </w:tr>
    </w:tbl>
    <w:p w14:paraId="77AA770D" w14:textId="61A63544" w:rsidR="00792906" w:rsidRPr="00E8211F" w:rsidRDefault="00792906" w:rsidP="00EA049C">
      <w:pPr>
        <w:spacing w:before="100" w:beforeAutospacing="1" w:after="100" w:afterAutospacing="1" w:line="360" w:lineRule="auto"/>
        <w:outlineLvl w:val="2"/>
        <w:rPr>
          <w:rFonts w:ascii="Arial" w:eastAsia="Times New Roman" w:hAnsi="Arial" w:cs="Arial"/>
          <w:b/>
          <w:bCs/>
          <w:kern w:val="0"/>
          <w:lang w:eastAsia="en-GB"/>
          <w14:ligatures w14:val="none"/>
        </w:rPr>
      </w:pPr>
      <w:r w:rsidRPr="00907239">
        <w:rPr>
          <w:rFonts w:ascii="Arial" w:eastAsia="Times New Roman" w:hAnsi="Arial" w:cs="Arial"/>
          <w:b/>
          <w:bCs/>
          <w:kern w:val="0"/>
          <w:lang w:eastAsia="en-GB"/>
          <w14:ligatures w14:val="none"/>
        </w:rPr>
        <w:t>Thematic analysis</w:t>
      </w:r>
    </w:p>
    <w:p w14:paraId="281FAC3E" w14:textId="4D00FE1C" w:rsidR="00E8211F" w:rsidRPr="00E8211F" w:rsidRDefault="00792906" w:rsidP="00EA049C">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b/>
          <w:bCs/>
          <w:kern w:val="0"/>
          <w:lang w:eastAsia="en-GB"/>
          <w14:ligatures w14:val="none"/>
        </w:rPr>
        <w:t xml:space="preserve">Epidemiology: </w:t>
      </w:r>
      <w:r w:rsidRPr="00907239">
        <w:rPr>
          <w:rFonts w:ascii="Arial" w:eastAsia="Times New Roman" w:hAnsi="Arial" w:cs="Arial"/>
          <w:kern w:val="0"/>
          <w:lang w:eastAsia="en-GB"/>
          <w14:ligatures w14:val="none"/>
        </w:rPr>
        <w:t>Teenage girls, particularly those aged 13–17, are most affected, with an increase in early-onset cases. Early detection within schools and primary care settings is crucial (Baker et al., 2021).</w:t>
      </w:r>
    </w:p>
    <w:p w14:paraId="621F8DDA" w14:textId="2E78EA8D" w:rsidR="00E8211F" w:rsidRPr="00E8211F" w:rsidRDefault="00792906" w:rsidP="00EA049C">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b/>
          <w:bCs/>
          <w:kern w:val="0"/>
          <w:lang w:eastAsia="en-GB"/>
          <w14:ligatures w14:val="none"/>
        </w:rPr>
        <w:t>Short-term treatment outcomes</w:t>
      </w:r>
      <w:r w:rsidRPr="00907239">
        <w:rPr>
          <w:rFonts w:ascii="Arial" w:eastAsia="Times New Roman" w:hAnsi="Arial" w:cs="Arial"/>
          <w:kern w:val="0"/>
          <w:lang w:eastAsia="en-GB"/>
          <w14:ligatures w14:val="none"/>
        </w:rPr>
        <w:t>: FBT and specialist outpatient services enhance weight recovery and reduce symptoms. Inpatient care is vital for severe cases but may not meet long-term psychological needs (Treasure, 2016; Steinhausen, 2009).</w:t>
      </w:r>
    </w:p>
    <w:p w14:paraId="6F91E166" w14:textId="58D6E66F" w:rsidR="00E8211F" w:rsidRPr="00E8211F" w:rsidRDefault="00792906" w:rsidP="00EA049C">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b/>
          <w:bCs/>
          <w:kern w:val="0"/>
          <w:lang w:eastAsia="en-GB"/>
          <w14:ligatures w14:val="none"/>
        </w:rPr>
        <w:t xml:space="preserve">Long-term consequences: </w:t>
      </w:r>
      <w:r w:rsidRPr="00907239">
        <w:rPr>
          <w:rFonts w:ascii="Arial" w:eastAsia="Times New Roman" w:hAnsi="Arial" w:cs="Arial"/>
          <w:kern w:val="0"/>
          <w:lang w:eastAsia="en-GB"/>
          <w14:ligatures w14:val="none"/>
        </w:rPr>
        <w:t>Ongoing psychiatric comorbidities, social and educational challenges emphasise the enduring impact. Continuous monitoring and support are crucial (Steinhausen, 2009).</w:t>
      </w:r>
    </w:p>
    <w:p w14:paraId="4A80F3E6" w14:textId="57524396" w:rsidR="00E8211F" w:rsidRPr="00E8211F" w:rsidRDefault="00792906" w:rsidP="00EA049C">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b/>
          <w:bCs/>
          <w:kern w:val="0"/>
          <w:lang w:eastAsia="en-GB"/>
          <w14:ligatures w14:val="none"/>
        </w:rPr>
        <w:t xml:space="preserve">Psychosocial factors: </w:t>
      </w:r>
      <w:r w:rsidRPr="00907239">
        <w:rPr>
          <w:rFonts w:ascii="Arial" w:eastAsia="Times New Roman" w:hAnsi="Arial" w:cs="Arial"/>
          <w:kern w:val="0"/>
          <w:lang w:eastAsia="en-GB"/>
          <w14:ligatures w14:val="none"/>
        </w:rPr>
        <w:t>Peer support can help recovery, while negative comparisons worsen symptoms. Social media and societal pressures increase body dissatisfaction (Holland &amp; Tiggemann, 2017; Qualitative Study, 2023).</w:t>
      </w:r>
    </w:p>
    <w:p w14:paraId="07B737EA" w14:textId="77777777" w:rsidR="00792906" w:rsidRPr="00907239" w:rsidRDefault="00792906" w:rsidP="00EA049C">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b/>
          <w:bCs/>
          <w:kern w:val="0"/>
          <w:lang w:eastAsia="en-GB"/>
          <w14:ligatures w14:val="none"/>
        </w:rPr>
        <w:t xml:space="preserve">Service access: </w:t>
      </w:r>
      <w:r w:rsidRPr="00907239">
        <w:rPr>
          <w:rFonts w:ascii="Arial" w:eastAsia="Times New Roman" w:hAnsi="Arial" w:cs="Arial"/>
          <w:kern w:val="0"/>
          <w:lang w:eastAsia="en-GB"/>
          <w14:ligatures w14:val="none"/>
        </w:rPr>
        <w:t>Delayed referrals and regional disparities impact outcomes. Integrated, multi-agency care enhances recovery prospects (NHS England, 2019).</w:t>
      </w:r>
    </w:p>
    <w:p w14:paraId="25197B96" w14:textId="59F56338" w:rsidR="00E8211F" w:rsidRPr="00E8211F" w:rsidRDefault="00791DE9"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b/>
          <w:bCs/>
          <w:kern w:val="0"/>
          <w:lang w:eastAsia="en-GB"/>
          <w14:ligatures w14:val="none"/>
        </w:rPr>
        <w:t xml:space="preserve">Discussion: </w:t>
      </w:r>
      <w:r w:rsidRPr="00907239">
        <w:rPr>
          <w:rFonts w:ascii="Arial" w:eastAsia="Times New Roman" w:hAnsi="Arial" w:cs="Arial"/>
          <w:kern w:val="0"/>
          <w:lang w:eastAsia="en-GB"/>
          <w14:ligatures w14:val="none"/>
        </w:rPr>
        <w:t>The review highlights the complex impact of anorexia on UK teenage girls. The high prevalence and early onset of cases emphasise the need for proactive screening and intervention (Baker et al., 2021; NHS Digital, 2023). Treatment is most effective when delivered by a multidisciplinary team, combining FBT, outpatient care, and psychosocial support. Inpatient care addresses immediate medical risks but may not guarantee lasting recovery (Treasure, 2016; Steinhausen, 2009).</w:t>
      </w:r>
    </w:p>
    <w:p w14:paraId="5DA6F5C2" w14:textId="2DD7398B" w:rsidR="00E8211F" w:rsidRPr="00E8211F" w:rsidRDefault="00791DE9"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lastRenderedPageBreak/>
        <w:t>Long-term consequences include ongoing psychiatric comorbidities, reduced social functioning, and academic difficulties. Recovery is affected by peer and social environments; supportive peer networks improve outcomes, while social comparison and social media pressures may impede recovery (Holland &amp; Tiggemann, 2017; Qualitative Study, 2023).</w:t>
      </w:r>
    </w:p>
    <w:p w14:paraId="1D4D6339" w14:textId="77777777" w:rsidR="00791DE9" w:rsidRPr="00907239" w:rsidRDefault="00791DE9"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Service disparities hinder timely access, emphasising the importance of multi-agency coordination and equitable provision (NHS England, 2019). Research and practice should focus on early identification, psychosocial interventions, and ongoing follow-up. Although studies often involve clinical populations, they offer strong evidence of anorexia’s physical, psychological, and social burdens in adolescent girls.</w:t>
      </w:r>
    </w:p>
    <w:p w14:paraId="4882D2D6" w14:textId="0721B720" w:rsidR="00E8211F" w:rsidRPr="00E8211F" w:rsidRDefault="00791DE9"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b/>
          <w:bCs/>
          <w:kern w:val="0"/>
          <w:lang w:eastAsia="en-GB"/>
          <w14:ligatures w14:val="none"/>
        </w:rPr>
        <w:t>f) Conclusion and Recommendations</w:t>
      </w:r>
    </w:p>
    <w:p w14:paraId="5DDF2E76" w14:textId="52CC3E59" w:rsidR="00E8211F" w:rsidRPr="00E8211F" w:rsidRDefault="00791DE9"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Anorexia nervosa has profound, multi-dimensional effects on teenage girls in the UK. This scoping review examined the impact of anorexia nervosa on teenage girls in the United Kingdom, synthesising evidence from recent qualitative and quantitative studies. Adolescents face serious health risks, persistent psychiatric comorbidities, and long-term social and educational challenges (Steinhausen, 2009). Cases with early onset are increasing, highlighting the importance of vigilant detection, especially in schools and primary care.</w:t>
      </w:r>
    </w:p>
    <w:p w14:paraId="56065316" w14:textId="65102532" w:rsidR="00E8211F" w:rsidRPr="00E8211F" w:rsidRDefault="00791DE9"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b/>
          <w:bCs/>
          <w:kern w:val="0"/>
          <w:lang w:eastAsia="en-GB"/>
          <w14:ligatures w14:val="none"/>
        </w:rPr>
        <w:t>Practice recommendations</w:t>
      </w:r>
      <w:r w:rsidR="00E8211F" w:rsidRPr="00E8211F">
        <w:rPr>
          <w:rFonts w:ascii="Arial" w:eastAsia="Times New Roman" w:hAnsi="Arial" w:cs="Arial"/>
          <w:kern w:val="0"/>
          <w:lang w:eastAsia="en-GB"/>
          <w14:ligatures w14:val="none"/>
        </w:rPr>
        <w:t>:</w:t>
      </w:r>
    </w:p>
    <w:p w14:paraId="4BAE5440" w14:textId="5BF129C6" w:rsidR="00E8211F" w:rsidRPr="00E8211F" w:rsidRDefault="00791DE9" w:rsidP="00EA049C">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Implement regular school-based mental health screenings and primary care assessments.</w:t>
      </w:r>
    </w:p>
    <w:p w14:paraId="79E2EC3F" w14:textId="1FE12C3C" w:rsidR="00E8211F" w:rsidRPr="00E8211F" w:rsidRDefault="00791DE9" w:rsidP="00EA049C">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Implement a holistic, multidisciplinary approach, integrating medical stabilisation, FBT, outpatient services, and psychosocial support.</w:t>
      </w:r>
    </w:p>
    <w:p w14:paraId="118E144A" w14:textId="47014003" w:rsidR="00E8211F" w:rsidRPr="00E8211F" w:rsidRDefault="00791DE9" w:rsidP="00EA049C">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Address peer and social media influences by providing psychoeducation and resilience-enhancing strategies.</w:t>
      </w:r>
    </w:p>
    <w:p w14:paraId="12AD27D6" w14:textId="52BC6CD3" w:rsidR="00E8211F" w:rsidRPr="00E8211F" w:rsidRDefault="00791DE9" w:rsidP="00EA049C">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Guarantee fair access to specialist services across regions and minimise waiting times.</w:t>
      </w:r>
    </w:p>
    <w:p w14:paraId="17DE0520" w14:textId="0A28AECD" w:rsidR="00E8211F" w:rsidRPr="00E8211F" w:rsidRDefault="00791DE9"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b/>
          <w:bCs/>
          <w:kern w:val="0"/>
          <w:lang w:eastAsia="en-GB"/>
          <w14:ligatures w14:val="none"/>
        </w:rPr>
        <w:t xml:space="preserve">Policy implications: </w:t>
      </w:r>
      <w:r w:rsidRPr="00907239">
        <w:rPr>
          <w:rFonts w:ascii="Arial" w:eastAsia="Times New Roman" w:hAnsi="Arial" w:cs="Arial"/>
          <w:kern w:val="0"/>
          <w:lang w:eastAsia="en-GB"/>
          <w14:ligatures w14:val="none"/>
        </w:rPr>
        <w:t>Expand community-based eating disorder services, integrate mental health support into schools, and fund digital interventions to improve accessibility. Standardise referral pathways and promote multi-agency collaboration to optimise early intervention.</w:t>
      </w:r>
    </w:p>
    <w:p w14:paraId="3B7761EF" w14:textId="196DF957" w:rsidR="00E8211F" w:rsidRPr="00E8211F" w:rsidRDefault="00925521"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b/>
          <w:bCs/>
          <w:kern w:val="0"/>
          <w:lang w:eastAsia="en-GB"/>
          <w14:ligatures w14:val="none"/>
        </w:rPr>
        <w:lastRenderedPageBreak/>
        <w:t xml:space="preserve">Future research </w:t>
      </w:r>
      <w:r w:rsidRPr="00907239">
        <w:rPr>
          <w:rFonts w:ascii="Arial" w:eastAsia="Times New Roman" w:hAnsi="Arial" w:cs="Arial"/>
          <w:kern w:val="0"/>
          <w:lang w:eastAsia="en-GB"/>
          <w14:ligatures w14:val="none"/>
        </w:rPr>
        <w:t>should incorporate longitudinal studies examining psychosocial and occupational outcomes, investigate digital interventions and community-based programmes, and analyse social media and cultural influences on the development and recovery from anorexia. It should also assess service delivery models to address regional disparities and enhance outcomes</w:t>
      </w:r>
      <w:r w:rsidRPr="00907239">
        <w:rPr>
          <w:rFonts w:ascii="Arial" w:eastAsia="Times New Roman" w:hAnsi="Arial" w:cs="Arial"/>
          <w:b/>
          <w:bCs/>
          <w:kern w:val="0"/>
          <w:lang w:eastAsia="en-GB"/>
          <w14:ligatures w14:val="none"/>
        </w:rPr>
        <w:t>.</w:t>
      </w:r>
    </w:p>
    <w:p w14:paraId="24443992" w14:textId="77777777" w:rsidR="00925521" w:rsidRPr="00907239" w:rsidRDefault="00925521"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b/>
          <w:bCs/>
          <w:kern w:val="0"/>
          <w:lang w:eastAsia="en-GB"/>
          <w14:ligatures w14:val="none"/>
        </w:rPr>
        <w:t>In summary</w:t>
      </w:r>
      <w:r w:rsidRPr="00907239">
        <w:rPr>
          <w:rFonts w:ascii="Arial" w:eastAsia="Times New Roman" w:hAnsi="Arial" w:cs="Arial"/>
          <w:kern w:val="0"/>
          <w:lang w:eastAsia="en-GB"/>
          <w14:ligatures w14:val="none"/>
        </w:rPr>
        <w:t>, timely detection, comprehensive treatment, psychosocial support, and equitable services are vital for enhancing recovery and quality of life among teenage girls affected by anorexia in the UK. Strategic research, policy, and practice interventions can help lessen the burden of this complex disorder.</w:t>
      </w:r>
    </w:p>
    <w:p w14:paraId="0476AC72" w14:textId="5DA986A1" w:rsidR="00E8211F" w:rsidRPr="00E8211F" w:rsidRDefault="00925521" w:rsidP="00EA049C">
      <w:pPr>
        <w:spacing w:before="100" w:beforeAutospacing="1" w:after="100" w:afterAutospacing="1" w:line="360" w:lineRule="auto"/>
        <w:rPr>
          <w:rFonts w:ascii="Arial" w:eastAsia="Times New Roman" w:hAnsi="Arial" w:cs="Arial"/>
          <w:b/>
          <w:bCs/>
          <w:kern w:val="0"/>
          <w:lang w:eastAsia="en-GB"/>
          <w14:ligatures w14:val="none"/>
        </w:rPr>
      </w:pPr>
      <w:r w:rsidRPr="00907239">
        <w:rPr>
          <w:rFonts w:ascii="Arial" w:eastAsia="Times New Roman" w:hAnsi="Arial" w:cs="Arial"/>
          <w:b/>
          <w:bCs/>
          <w:kern w:val="0"/>
          <w:lang w:eastAsia="en-GB"/>
          <w14:ligatures w14:val="none"/>
        </w:rPr>
        <w:t>Reference</w:t>
      </w:r>
    </w:p>
    <w:p w14:paraId="57C2439D" w14:textId="4DE5B49C" w:rsidR="00E8211F" w:rsidRPr="00907239" w:rsidRDefault="00E8211F" w:rsidP="00EA049C">
      <w:pPr>
        <w:spacing w:before="100" w:beforeAutospacing="1" w:after="100" w:afterAutospacing="1"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 xml:space="preserve">Baker, J.H. et al. (2021) ‘Eating disorders in adolescents: Epidemiology and risk factors’, </w:t>
      </w:r>
      <w:r w:rsidRPr="00E8211F">
        <w:rPr>
          <w:rFonts w:ascii="Arial" w:eastAsia="Times New Roman" w:hAnsi="Arial" w:cs="Arial"/>
          <w:i/>
          <w:iCs/>
          <w:kern w:val="0"/>
          <w:lang w:eastAsia="en-GB"/>
          <w14:ligatures w14:val="none"/>
        </w:rPr>
        <w:t>Journal of Adolescent Health</w:t>
      </w:r>
      <w:r w:rsidRPr="00E8211F">
        <w:rPr>
          <w:rFonts w:ascii="Arial" w:eastAsia="Times New Roman" w:hAnsi="Arial" w:cs="Arial"/>
          <w:kern w:val="0"/>
          <w:lang w:eastAsia="en-GB"/>
          <w14:ligatures w14:val="none"/>
        </w:rPr>
        <w:t xml:space="preserve">, 68(4), pp.675–683. </w:t>
      </w:r>
      <w:hyperlink r:id="rId8" w:history="1">
        <w:r w:rsidR="00925521" w:rsidRPr="00E8211F">
          <w:rPr>
            <w:rStyle w:val="Hyperlink"/>
            <w:rFonts w:ascii="Arial" w:eastAsia="Times New Roman" w:hAnsi="Arial" w:cs="Arial"/>
            <w:kern w:val="0"/>
            <w:lang w:eastAsia="en-GB"/>
            <w14:ligatures w14:val="none"/>
          </w:rPr>
          <w:t>https://doi.org/10.1016/j.jadohealth.2020.10.012</w:t>
        </w:r>
      </w:hyperlink>
    </w:p>
    <w:p w14:paraId="52A8D2B3" w14:textId="77777777" w:rsidR="00E8211F" w:rsidRPr="00E8211F" w:rsidRDefault="00E8211F" w:rsidP="00EA049C">
      <w:pPr>
        <w:spacing w:before="100" w:beforeAutospacing="1" w:after="100" w:afterAutospacing="1"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 xml:space="preserve">Beat (2022) </w:t>
      </w:r>
      <w:r w:rsidRPr="00E8211F">
        <w:rPr>
          <w:rFonts w:ascii="Arial" w:eastAsia="Times New Roman" w:hAnsi="Arial" w:cs="Arial"/>
          <w:i/>
          <w:iCs/>
          <w:kern w:val="0"/>
          <w:lang w:eastAsia="en-GB"/>
          <w14:ligatures w14:val="none"/>
        </w:rPr>
        <w:t>Annual Report 2022</w:t>
      </w:r>
      <w:r w:rsidRPr="00E8211F">
        <w:rPr>
          <w:rFonts w:ascii="Arial" w:eastAsia="Times New Roman" w:hAnsi="Arial" w:cs="Arial"/>
          <w:kern w:val="0"/>
          <w:lang w:eastAsia="en-GB"/>
          <w14:ligatures w14:val="none"/>
        </w:rPr>
        <w:t>. London: Beat Eating Disorders Charity.</w:t>
      </w:r>
    </w:p>
    <w:p w14:paraId="31A7EFC0" w14:textId="3E2C0D10" w:rsidR="00E8211F" w:rsidRPr="00907239" w:rsidRDefault="00E8211F" w:rsidP="00EA049C">
      <w:pPr>
        <w:spacing w:before="100" w:beforeAutospacing="1" w:after="100" w:afterAutospacing="1"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 xml:space="preserve">Holland, G. &amp; Tiggemann, M. (2017) ‘Social networking site use and body image concerns: A meta-analysis’, </w:t>
      </w:r>
      <w:r w:rsidRPr="00E8211F">
        <w:rPr>
          <w:rFonts w:ascii="Arial" w:eastAsia="Times New Roman" w:hAnsi="Arial" w:cs="Arial"/>
          <w:i/>
          <w:iCs/>
          <w:kern w:val="0"/>
          <w:lang w:eastAsia="en-GB"/>
          <w14:ligatures w14:val="none"/>
        </w:rPr>
        <w:t>Body Image</w:t>
      </w:r>
      <w:r w:rsidRPr="00E8211F">
        <w:rPr>
          <w:rFonts w:ascii="Arial" w:eastAsia="Times New Roman" w:hAnsi="Arial" w:cs="Arial"/>
          <w:kern w:val="0"/>
          <w:lang w:eastAsia="en-GB"/>
          <w14:ligatures w14:val="none"/>
        </w:rPr>
        <w:t xml:space="preserve">, 22, pp.280–289. </w:t>
      </w:r>
      <w:hyperlink r:id="rId9" w:history="1">
        <w:r w:rsidR="00925521" w:rsidRPr="00E8211F">
          <w:rPr>
            <w:rStyle w:val="Hyperlink"/>
            <w:rFonts w:ascii="Arial" w:eastAsia="Times New Roman" w:hAnsi="Arial" w:cs="Arial"/>
            <w:kern w:val="0"/>
            <w:lang w:eastAsia="en-GB"/>
            <w14:ligatures w14:val="none"/>
          </w:rPr>
          <w:t>https://doi.org/10.1016/j.bodyim.2017.06.004</w:t>
        </w:r>
      </w:hyperlink>
    </w:p>
    <w:p w14:paraId="12A5609C" w14:textId="4883CAB9" w:rsidR="00E8211F" w:rsidRPr="00907239" w:rsidRDefault="00E8211F" w:rsidP="00EA049C">
      <w:pPr>
        <w:spacing w:before="100" w:beforeAutospacing="1" w:after="100" w:afterAutospacing="1"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 xml:space="preserve">National Surveillance Study (2008) ‘Childhood eating disorders in the UK: British national surveillance study’, </w:t>
      </w:r>
      <w:r w:rsidRPr="00E8211F">
        <w:rPr>
          <w:rFonts w:ascii="Arial" w:eastAsia="Times New Roman" w:hAnsi="Arial" w:cs="Arial"/>
          <w:i/>
          <w:iCs/>
          <w:kern w:val="0"/>
          <w:lang w:eastAsia="en-GB"/>
          <w14:ligatures w14:val="none"/>
        </w:rPr>
        <w:t>British Journal of Psychiatry</w:t>
      </w:r>
      <w:r w:rsidRPr="00E8211F">
        <w:rPr>
          <w:rFonts w:ascii="Arial" w:eastAsia="Times New Roman" w:hAnsi="Arial" w:cs="Arial"/>
          <w:kern w:val="0"/>
          <w:lang w:eastAsia="en-GB"/>
          <w14:ligatures w14:val="none"/>
        </w:rPr>
        <w:t xml:space="preserve">, 193, pp.342–347. </w:t>
      </w:r>
      <w:hyperlink r:id="rId10" w:history="1">
        <w:r w:rsidR="00925521" w:rsidRPr="00E8211F">
          <w:rPr>
            <w:rStyle w:val="Hyperlink"/>
            <w:rFonts w:ascii="Arial" w:eastAsia="Times New Roman" w:hAnsi="Arial" w:cs="Arial"/>
            <w:kern w:val="0"/>
            <w:lang w:eastAsia="en-GB"/>
            <w14:ligatures w14:val="none"/>
          </w:rPr>
          <w:t>https://doi.org/10.1192/bjp.bp.107.045420</w:t>
        </w:r>
      </w:hyperlink>
    </w:p>
    <w:p w14:paraId="5FC49F9B" w14:textId="77777777" w:rsidR="00907239" w:rsidRPr="00907239" w:rsidRDefault="00E8211F" w:rsidP="00EA049C">
      <w:pPr>
        <w:spacing w:before="100" w:beforeAutospacing="1" w:after="100" w:afterAutospacing="1"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 xml:space="preserve">NHS Digital (2023) </w:t>
      </w:r>
      <w:r w:rsidRPr="00E8211F">
        <w:rPr>
          <w:rFonts w:ascii="Arial" w:eastAsia="Times New Roman" w:hAnsi="Arial" w:cs="Arial"/>
          <w:i/>
          <w:iCs/>
          <w:kern w:val="0"/>
          <w:lang w:eastAsia="en-GB"/>
          <w14:ligatures w14:val="none"/>
        </w:rPr>
        <w:t>Mental Health of Children and Young People in England, 2023</w:t>
      </w:r>
      <w:r w:rsidRPr="00E8211F">
        <w:rPr>
          <w:rFonts w:ascii="Arial" w:eastAsia="Times New Roman" w:hAnsi="Arial" w:cs="Arial"/>
          <w:kern w:val="0"/>
          <w:lang w:eastAsia="en-GB"/>
          <w14:ligatures w14:val="none"/>
        </w:rPr>
        <w:t xml:space="preserve">. London: NHS Digital. </w:t>
      </w:r>
      <w:hyperlink r:id="rId11" w:history="1">
        <w:r w:rsidR="00925521" w:rsidRPr="00E8211F">
          <w:rPr>
            <w:rStyle w:val="Hyperlink"/>
            <w:rFonts w:ascii="Arial" w:eastAsia="Times New Roman" w:hAnsi="Arial" w:cs="Arial"/>
            <w:kern w:val="0"/>
            <w:lang w:eastAsia="en-GB"/>
            <w14:ligatures w14:val="none"/>
          </w:rPr>
          <w:t>https://digital.nhs.uk/data-and-information/publications/statistical/mental-health-of-children-and-young-people-in-england/2023</w:t>
        </w:r>
      </w:hyperlink>
    </w:p>
    <w:p w14:paraId="2EFABAAD" w14:textId="40B7A1BD" w:rsidR="00E8211F" w:rsidRPr="00E8211F" w:rsidRDefault="00E8211F" w:rsidP="00EA049C">
      <w:pPr>
        <w:spacing w:before="100" w:beforeAutospacing="1" w:after="100" w:afterAutospacing="1"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 xml:space="preserve">NHS England (2019) </w:t>
      </w:r>
      <w:r w:rsidRPr="00E8211F">
        <w:rPr>
          <w:rFonts w:ascii="Arial" w:eastAsia="Times New Roman" w:hAnsi="Arial" w:cs="Arial"/>
          <w:i/>
          <w:iCs/>
          <w:kern w:val="0"/>
          <w:lang w:eastAsia="en-GB"/>
          <w14:ligatures w14:val="none"/>
        </w:rPr>
        <w:t>The NHS Long Term Plan</w:t>
      </w:r>
      <w:r w:rsidRPr="00E8211F">
        <w:rPr>
          <w:rFonts w:ascii="Arial" w:eastAsia="Times New Roman" w:hAnsi="Arial" w:cs="Arial"/>
          <w:kern w:val="0"/>
          <w:lang w:eastAsia="en-GB"/>
          <w14:ligatures w14:val="none"/>
        </w:rPr>
        <w:t xml:space="preserve">. London: NHS England. </w:t>
      </w:r>
      <w:hyperlink r:id="rId12" w:tgtFrame="_new" w:history="1">
        <w:r w:rsidRPr="00E8211F">
          <w:rPr>
            <w:rFonts w:ascii="Arial" w:eastAsia="Times New Roman" w:hAnsi="Arial" w:cs="Arial"/>
            <w:color w:val="0000FF"/>
            <w:kern w:val="0"/>
            <w:u w:val="single"/>
            <w:lang w:eastAsia="en-GB"/>
            <w14:ligatures w14:val="none"/>
          </w:rPr>
          <w:t>https://www.longtermplan.nhs.uk/</w:t>
        </w:r>
      </w:hyperlink>
    </w:p>
    <w:p w14:paraId="7A99752B" w14:textId="45990EB9" w:rsidR="00907239" w:rsidRPr="00907239" w:rsidRDefault="00907239"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 xml:space="preserve">Qualitative Study (2023) ‘Peer relationships during inpatient treatment for anorexia nervosa in the UK’, Journal of Eating Disorders, 11(1), pp.45–60. </w:t>
      </w:r>
      <w:hyperlink r:id="rId13" w:history="1">
        <w:r w:rsidRPr="00907239">
          <w:rPr>
            <w:rStyle w:val="Hyperlink"/>
            <w:rFonts w:ascii="Arial" w:eastAsia="Times New Roman" w:hAnsi="Arial" w:cs="Arial"/>
            <w:kern w:val="0"/>
            <w:lang w:eastAsia="en-GB"/>
            <w14:ligatures w14:val="none"/>
          </w:rPr>
          <w:t>https://doi.org/10.1186/s40337-023-00845-x</w:t>
        </w:r>
      </w:hyperlink>
    </w:p>
    <w:p w14:paraId="0551B010" w14:textId="7ABA975C" w:rsidR="00907239" w:rsidRPr="00907239" w:rsidRDefault="00907239"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lastRenderedPageBreak/>
        <w:t xml:space="preserve">Steinhausen, H.C. (2009) ‘Adolescent-onset anorexia nervosa: 18-year outcome’, British Journal of Psychiatry, 194(1), pp.84–90. </w:t>
      </w:r>
      <w:hyperlink r:id="rId14" w:history="1">
        <w:r w:rsidRPr="00907239">
          <w:rPr>
            <w:rStyle w:val="Hyperlink"/>
            <w:rFonts w:ascii="Arial" w:eastAsia="Times New Roman" w:hAnsi="Arial" w:cs="Arial"/>
            <w:kern w:val="0"/>
            <w:lang w:eastAsia="en-GB"/>
            <w14:ligatures w14:val="none"/>
          </w:rPr>
          <w:t>https://doi.org/10.1192/bjp.bp.107.045420</w:t>
        </w:r>
      </w:hyperlink>
    </w:p>
    <w:p w14:paraId="1C11C5E9" w14:textId="70E22C32" w:rsidR="00907239" w:rsidRPr="00907239" w:rsidRDefault="00907239"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Treasure, J. (2016) Anorexia Nervosa: A Survival Guide for Families, Friends, and Sufferers. London: Psychology Press.</w:t>
      </w:r>
    </w:p>
    <w:p w14:paraId="757FB1D7" w14:textId="6A9C4D8D" w:rsidR="00907239" w:rsidRPr="00907239" w:rsidRDefault="00907239"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NICE (2020) eating disorders: recognition and treatment (NG69). London: National Institute for Health and Care Excellence.</w:t>
      </w:r>
    </w:p>
    <w:p w14:paraId="461E40F2" w14:textId="77777777" w:rsidR="00907239" w:rsidRPr="00907239" w:rsidRDefault="00907239"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Children Act 1989. London: HMSO.</w:t>
      </w:r>
    </w:p>
    <w:p w14:paraId="0DF30A21" w14:textId="77777777" w:rsidR="00907239" w:rsidRPr="00907239" w:rsidRDefault="00907239" w:rsidP="00EA049C">
      <w:pPr>
        <w:spacing w:before="100" w:beforeAutospacing="1" w:after="100" w:afterAutospacing="1" w:line="360" w:lineRule="auto"/>
        <w:rPr>
          <w:rFonts w:ascii="Arial" w:eastAsia="Times New Roman" w:hAnsi="Arial" w:cs="Arial"/>
          <w:kern w:val="0"/>
          <w:lang w:eastAsia="en-GB"/>
          <w14:ligatures w14:val="none"/>
        </w:rPr>
      </w:pPr>
      <w:r w:rsidRPr="00907239">
        <w:rPr>
          <w:rFonts w:ascii="Arial" w:eastAsia="Times New Roman" w:hAnsi="Arial" w:cs="Arial"/>
          <w:kern w:val="0"/>
          <w:lang w:eastAsia="en-GB"/>
          <w14:ligatures w14:val="none"/>
        </w:rPr>
        <w:t>Mental Health Act 1983. London: HMSO.</w:t>
      </w:r>
    </w:p>
    <w:p w14:paraId="71E24BD7" w14:textId="4EBEEF66" w:rsidR="00E8211F" w:rsidRPr="00E8211F" w:rsidRDefault="00E8211F" w:rsidP="00EA049C">
      <w:pPr>
        <w:spacing w:before="100" w:beforeAutospacing="1" w:after="100" w:afterAutospacing="1" w:line="360" w:lineRule="auto"/>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 xml:space="preserve">Beat (2023) </w:t>
      </w:r>
      <w:r w:rsidRPr="00E8211F">
        <w:rPr>
          <w:rFonts w:ascii="Arial" w:eastAsia="Times New Roman" w:hAnsi="Arial" w:cs="Arial"/>
          <w:i/>
          <w:iCs/>
          <w:kern w:val="0"/>
          <w:lang w:eastAsia="en-GB"/>
          <w14:ligatures w14:val="none"/>
        </w:rPr>
        <w:t>Anorexia Nervosa Facts</w:t>
      </w:r>
      <w:r w:rsidRPr="00E8211F">
        <w:rPr>
          <w:rFonts w:ascii="Arial" w:eastAsia="Times New Roman" w:hAnsi="Arial" w:cs="Arial"/>
          <w:kern w:val="0"/>
          <w:lang w:eastAsia="en-GB"/>
          <w14:ligatures w14:val="none"/>
        </w:rPr>
        <w:t xml:space="preserve">. Available at: </w:t>
      </w:r>
      <w:hyperlink r:id="rId15" w:tgtFrame="_new" w:history="1">
        <w:r w:rsidRPr="00E8211F">
          <w:rPr>
            <w:rFonts w:ascii="Arial" w:eastAsia="Times New Roman" w:hAnsi="Arial" w:cs="Arial"/>
            <w:color w:val="0000FF"/>
            <w:kern w:val="0"/>
            <w:u w:val="single"/>
            <w:lang w:eastAsia="en-GB"/>
            <w14:ligatures w14:val="none"/>
          </w:rPr>
          <w:t>https://www.beateatingdisorders.org.uk/</w:t>
        </w:r>
      </w:hyperlink>
      <w:r w:rsidRPr="00E8211F">
        <w:rPr>
          <w:rFonts w:ascii="Arial" w:eastAsia="Times New Roman" w:hAnsi="Arial" w:cs="Arial"/>
          <w:kern w:val="0"/>
          <w:lang w:eastAsia="en-GB"/>
          <w14:ligatures w14:val="none"/>
        </w:rPr>
        <w:br/>
        <w:t xml:space="preserve">Brown, A., Cliffe, C. &amp; Wood, S. (2020) ‘Family experiences of supporting adolescents with anorexia nervosa’, </w:t>
      </w:r>
      <w:r w:rsidRPr="00E8211F">
        <w:rPr>
          <w:rFonts w:ascii="Arial" w:eastAsia="Times New Roman" w:hAnsi="Arial" w:cs="Arial"/>
          <w:i/>
          <w:iCs/>
          <w:kern w:val="0"/>
          <w:lang w:eastAsia="en-GB"/>
          <w14:ligatures w14:val="none"/>
        </w:rPr>
        <w:t>Journal of Eating Disorders</w:t>
      </w:r>
      <w:r w:rsidRPr="00E8211F">
        <w:rPr>
          <w:rFonts w:ascii="Arial" w:eastAsia="Times New Roman" w:hAnsi="Arial" w:cs="Arial"/>
          <w:kern w:val="0"/>
          <w:lang w:eastAsia="en-GB"/>
          <w14:ligatures w14:val="none"/>
        </w:rPr>
        <w:t xml:space="preserve">. Available at: </w:t>
      </w:r>
      <w:hyperlink r:id="rId16" w:tgtFrame="_new" w:history="1">
        <w:r w:rsidRPr="00E8211F">
          <w:rPr>
            <w:rFonts w:ascii="Arial" w:eastAsia="Times New Roman" w:hAnsi="Arial" w:cs="Arial"/>
            <w:color w:val="0000FF"/>
            <w:kern w:val="0"/>
            <w:u w:val="single"/>
            <w:lang w:eastAsia="en-GB"/>
            <w14:ligatures w14:val="none"/>
          </w:rPr>
          <w:t>https://jeatdisord.biomedcentral.com/</w:t>
        </w:r>
      </w:hyperlink>
      <w:r w:rsidRPr="00E8211F">
        <w:rPr>
          <w:rFonts w:ascii="Arial" w:eastAsia="Times New Roman" w:hAnsi="Arial" w:cs="Arial"/>
          <w:kern w:val="0"/>
          <w:lang w:eastAsia="en-GB"/>
          <w14:ligatures w14:val="none"/>
        </w:rPr>
        <w:br/>
        <w:t xml:space="preserve">NHS England (2023) </w:t>
      </w:r>
      <w:r w:rsidRPr="00E8211F">
        <w:rPr>
          <w:rFonts w:ascii="Arial" w:eastAsia="Times New Roman" w:hAnsi="Arial" w:cs="Arial"/>
          <w:i/>
          <w:iCs/>
          <w:kern w:val="0"/>
          <w:lang w:eastAsia="en-GB"/>
          <w14:ligatures w14:val="none"/>
        </w:rPr>
        <w:t>Children and Young People’s Eating Disorder Services: Access and Waiting Time Standards</w:t>
      </w:r>
      <w:r w:rsidRPr="00E8211F">
        <w:rPr>
          <w:rFonts w:ascii="Arial" w:eastAsia="Times New Roman" w:hAnsi="Arial" w:cs="Arial"/>
          <w:kern w:val="0"/>
          <w:lang w:eastAsia="en-GB"/>
          <w14:ligatures w14:val="none"/>
        </w:rPr>
        <w:t xml:space="preserve">. Available at: </w:t>
      </w:r>
      <w:hyperlink r:id="rId17" w:tgtFrame="_new" w:history="1">
        <w:r w:rsidRPr="00E8211F">
          <w:rPr>
            <w:rFonts w:ascii="Arial" w:eastAsia="Times New Roman" w:hAnsi="Arial" w:cs="Arial"/>
            <w:color w:val="0000FF"/>
            <w:kern w:val="0"/>
            <w:u w:val="single"/>
            <w:lang w:eastAsia="en-GB"/>
            <w14:ligatures w14:val="none"/>
          </w:rPr>
          <w:t>https://www.england.nhs.uk/</w:t>
        </w:r>
      </w:hyperlink>
      <w:r w:rsidRPr="00E8211F">
        <w:rPr>
          <w:rFonts w:ascii="Arial" w:eastAsia="Times New Roman" w:hAnsi="Arial" w:cs="Arial"/>
          <w:kern w:val="0"/>
          <w:lang w:eastAsia="en-GB"/>
          <w14:ligatures w14:val="none"/>
        </w:rPr>
        <w:br/>
        <w:t xml:space="preserve">Ofcom (2023) </w:t>
      </w:r>
      <w:r w:rsidRPr="00E8211F">
        <w:rPr>
          <w:rFonts w:ascii="Arial" w:eastAsia="Times New Roman" w:hAnsi="Arial" w:cs="Arial"/>
          <w:i/>
          <w:iCs/>
          <w:kern w:val="0"/>
          <w:lang w:eastAsia="en-GB"/>
          <w14:ligatures w14:val="none"/>
        </w:rPr>
        <w:t>Children and Parents: Media Use and Attitudes Report</w:t>
      </w:r>
      <w:r w:rsidRPr="00E8211F">
        <w:rPr>
          <w:rFonts w:ascii="Arial" w:eastAsia="Times New Roman" w:hAnsi="Arial" w:cs="Arial"/>
          <w:kern w:val="0"/>
          <w:lang w:eastAsia="en-GB"/>
          <w14:ligatures w14:val="none"/>
        </w:rPr>
        <w:t xml:space="preserve">. Available at: </w:t>
      </w:r>
      <w:hyperlink r:id="rId18" w:tgtFrame="_new" w:history="1">
        <w:r w:rsidRPr="00E8211F">
          <w:rPr>
            <w:rFonts w:ascii="Arial" w:eastAsia="Times New Roman" w:hAnsi="Arial" w:cs="Arial"/>
            <w:color w:val="0000FF"/>
            <w:kern w:val="0"/>
            <w:u w:val="single"/>
            <w:lang w:eastAsia="en-GB"/>
            <w14:ligatures w14:val="none"/>
          </w:rPr>
          <w:t>https://www.ofcom.org.uk/</w:t>
        </w:r>
      </w:hyperlink>
      <w:r w:rsidRPr="00E8211F">
        <w:rPr>
          <w:rFonts w:ascii="Arial" w:eastAsia="Times New Roman" w:hAnsi="Arial" w:cs="Arial"/>
          <w:kern w:val="0"/>
          <w:lang w:eastAsia="en-GB"/>
          <w14:ligatures w14:val="none"/>
        </w:rPr>
        <w:br/>
        <w:t xml:space="preserve">Royal College of Psychiatrists (2022) </w:t>
      </w:r>
      <w:proofErr w:type="gramStart"/>
      <w:r w:rsidRPr="00E8211F">
        <w:rPr>
          <w:rFonts w:ascii="Arial" w:eastAsia="Times New Roman" w:hAnsi="Arial" w:cs="Arial"/>
          <w:i/>
          <w:iCs/>
          <w:kern w:val="0"/>
          <w:lang w:eastAsia="en-GB"/>
          <w14:ligatures w14:val="none"/>
        </w:rPr>
        <w:t>Eating Disorders</w:t>
      </w:r>
      <w:proofErr w:type="gramEnd"/>
      <w:r w:rsidRPr="00E8211F">
        <w:rPr>
          <w:rFonts w:ascii="Arial" w:eastAsia="Times New Roman" w:hAnsi="Arial" w:cs="Arial"/>
          <w:i/>
          <w:iCs/>
          <w:kern w:val="0"/>
          <w:lang w:eastAsia="en-GB"/>
          <w14:ligatures w14:val="none"/>
        </w:rPr>
        <w:t xml:space="preserve"> in Young People</w:t>
      </w:r>
      <w:r w:rsidRPr="00E8211F">
        <w:rPr>
          <w:rFonts w:ascii="Arial" w:eastAsia="Times New Roman" w:hAnsi="Arial" w:cs="Arial"/>
          <w:kern w:val="0"/>
          <w:lang w:eastAsia="en-GB"/>
          <w14:ligatures w14:val="none"/>
        </w:rPr>
        <w:t xml:space="preserve">. Available at: </w:t>
      </w:r>
      <w:hyperlink r:id="rId19" w:tgtFrame="_new" w:history="1">
        <w:r w:rsidRPr="00E8211F">
          <w:rPr>
            <w:rFonts w:ascii="Arial" w:eastAsia="Times New Roman" w:hAnsi="Arial" w:cs="Arial"/>
            <w:color w:val="0000FF"/>
            <w:kern w:val="0"/>
            <w:u w:val="single"/>
            <w:lang w:eastAsia="en-GB"/>
            <w14:ligatures w14:val="none"/>
          </w:rPr>
          <w:t>https://www.rcpsych.ac.uk/</w:t>
        </w:r>
      </w:hyperlink>
      <w:r w:rsidRPr="00E8211F">
        <w:rPr>
          <w:rFonts w:ascii="Arial" w:eastAsia="Times New Roman" w:hAnsi="Arial" w:cs="Arial"/>
          <w:kern w:val="0"/>
          <w:lang w:eastAsia="en-GB"/>
          <w14:ligatures w14:val="none"/>
        </w:rPr>
        <w:br/>
        <w:t xml:space="preserve">Smith, L., Jones, H. &amp; Patel, R. (2021) ‘The psychosocial impact of anorexia nervosa on adolescent girls’, </w:t>
      </w:r>
      <w:r w:rsidRPr="00E8211F">
        <w:rPr>
          <w:rFonts w:ascii="Arial" w:eastAsia="Times New Roman" w:hAnsi="Arial" w:cs="Arial"/>
          <w:i/>
          <w:iCs/>
          <w:kern w:val="0"/>
          <w:lang w:eastAsia="en-GB"/>
          <w14:ligatures w14:val="none"/>
        </w:rPr>
        <w:t>Child and Adolescent Mental Health Journal</w:t>
      </w:r>
      <w:r w:rsidRPr="00E8211F">
        <w:rPr>
          <w:rFonts w:ascii="Arial" w:eastAsia="Times New Roman" w:hAnsi="Arial" w:cs="Arial"/>
          <w:kern w:val="0"/>
          <w:lang w:eastAsia="en-GB"/>
          <w14:ligatures w14:val="none"/>
        </w:rPr>
        <w:t xml:space="preserve">. Available at: </w:t>
      </w:r>
      <w:hyperlink r:id="rId20" w:tgtFrame="_new" w:history="1">
        <w:r w:rsidRPr="00E8211F">
          <w:rPr>
            <w:rFonts w:ascii="Arial" w:eastAsia="Times New Roman" w:hAnsi="Arial" w:cs="Arial"/>
            <w:color w:val="0000FF"/>
            <w:kern w:val="0"/>
            <w:u w:val="single"/>
            <w:lang w:eastAsia="en-GB"/>
            <w14:ligatures w14:val="none"/>
          </w:rPr>
          <w:t>https://onlinelibrary.wiley.com/</w:t>
        </w:r>
      </w:hyperlink>
    </w:p>
    <w:p w14:paraId="675E88C5" w14:textId="77777777" w:rsidR="009D092F" w:rsidRPr="00907239" w:rsidRDefault="009D092F" w:rsidP="00EA049C">
      <w:pPr>
        <w:spacing w:line="360" w:lineRule="auto"/>
        <w:rPr>
          <w:rFonts w:ascii="Arial" w:hAnsi="Arial" w:cs="Arial"/>
        </w:rPr>
      </w:pPr>
    </w:p>
    <w:sectPr w:rsidR="009D092F" w:rsidRPr="00907239">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039ED" w14:textId="77777777" w:rsidR="00DB555E" w:rsidRDefault="00DB555E" w:rsidP="008A2B80">
      <w:pPr>
        <w:spacing w:after="0" w:line="240" w:lineRule="auto"/>
      </w:pPr>
      <w:r>
        <w:separator/>
      </w:r>
    </w:p>
  </w:endnote>
  <w:endnote w:type="continuationSeparator" w:id="0">
    <w:p w14:paraId="648AE811" w14:textId="77777777" w:rsidR="00DB555E" w:rsidRDefault="00DB555E" w:rsidP="008A2B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0257594"/>
      <w:docPartObj>
        <w:docPartGallery w:val="Page Numbers (Bottom of Page)"/>
        <w:docPartUnique/>
      </w:docPartObj>
    </w:sdtPr>
    <w:sdtEndPr>
      <w:rPr>
        <w:noProof/>
      </w:rPr>
    </w:sdtEndPr>
    <w:sdtContent>
      <w:p w14:paraId="61C0A8F5" w14:textId="4F65360D" w:rsidR="008A2B80" w:rsidRDefault="008A2B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B8D934" w14:textId="77777777" w:rsidR="008A2B80" w:rsidRDefault="008A2B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9E02EF" w14:textId="77777777" w:rsidR="00DB555E" w:rsidRDefault="00DB555E" w:rsidP="008A2B80">
      <w:pPr>
        <w:spacing w:after="0" w:line="240" w:lineRule="auto"/>
      </w:pPr>
      <w:r>
        <w:separator/>
      </w:r>
    </w:p>
  </w:footnote>
  <w:footnote w:type="continuationSeparator" w:id="0">
    <w:p w14:paraId="4B8ECDFD" w14:textId="77777777" w:rsidR="00DB555E" w:rsidRDefault="00DB555E" w:rsidP="008A2B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00D8D"/>
    <w:multiLevelType w:val="multilevel"/>
    <w:tmpl w:val="1C58D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DB0D1A"/>
    <w:multiLevelType w:val="hybridMultilevel"/>
    <w:tmpl w:val="5B8C7936"/>
    <w:lvl w:ilvl="0" w:tplc="BF186D80">
      <w:start w:val="1"/>
      <w:numFmt w:val="lowerLetter"/>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D1600E9"/>
    <w:multiLevelType w:val="hybridMultilevel"/>
    <w:tmpl w:val="3A10D754"/>
    <w:lvl w:ilvl="0" w:tplc="A5D093A8">
      <w:start w:val="3"/>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64C47B6"/>
    <w:multiLevelType w:val="multilevel"/>
    <w:tmpl w:val="8D2C6F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3E10A4"/>
    <w:multiLevelType w:val="hybridMultilevel"/>
    <w:tmpl w:val="EB304946"/>
    <w:lvl w:ilvl="0" w:tplc="AAC48C3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735B8F"/>
    <w:multiLevelType w:val="hybridMultilevel"/>
    <w:tmpl w:val="1338A0F2"/>
    <w:lvl w:ilvl="0" w:tplc="CE38C348">
      <w:start w:val="1"/>
      <w:numFmt w:val="lowerLetter"/>
      <w:lvlText w:val="%1)"/>
      <w:lvlJc w:val="left"/>
      <w:pPr>
        <w:ind w:left="720" w:hanging="360"/>
      </w:pPr>
      <w:rPr>
        <w:rFonts w:hint="default"/>
        <w:b/>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926CA5"/>
    <w:multiLevelType w:val="hybridMultilevel"/>
    <w:tmpl w:val="34949410"/>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8A185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711C10FC"/>
    <w:multiLevelType w:val="hybridMultilevel"/>
    <w:tmpl w:val="F93C321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1443034">
    <w:abstractNumId w:val="3"/>
  </w:num>
  <w:num w:numId="2" w16cid:durableId="140465790">
    <w:abstractNumId w:val="0"/>
  </w:num>
  <w:num w:numId="3" w16cid:durableId="957220920">
    <w:abstractNumId w:val="8"/>
  </w:num>
  <w:num w:numId="4" w16cid:durableId="1249461021">
    <w:abstractNumId w:val="5"/>
  </w:num>
  <w:num w:numId="5" w16cid:durableId="1850023309">
    <w:abstractNumId w:val="7"/>
  </w:num>
  <w:num w:numId="6" w16cid:durableId="807162797">
    <w:abstractNumId w:val="1"/>
  </w:num>
  <w:num w:numId="7" w16cid:durableId="1582058651">
    <w:abstractNumId w:val="6"/>
  </w:num>
  <w:num w:numId="8" w16cid:durableId="913247047">
    <w:abstractNumId w:val="2"/>
  </w:num>
  <w:num w:numId="9" w16cid:durableId="20167603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11F"/>
    <w:rsid w:val="002A39DB"/>
    <w:rsid w:val="002E5EF9"/>
    <w:rsid w:val="003020A1"/>
    <w:rsid w:val="003A7972"/>
    <w:rsid w:val="003D6B54"/>
    <w:rsid w:val="004614F5"/>
    <w:rsid w:val="00467225"/>
    <w:rsid w:val="0047513F"/>
    <w:rsid w:val="00791DE9"/>
    <w:rsid w:val="00792906"/>
    <w:rsid w:val="008657F5"/>
    <w:rsid w:val="008A2B80"/>
    <w:rsid w:val="00907239"/>
    <w:rsid w:val="00914422"/>
    <w:rsid w:val="00925521"/>
    <w:rsid w:val="00961FD6"/>
    <w:rsid w:val="009646BD"/>
    <w:rsid w:val="009D092F"/>
    <w:rsid w:val="00B6703D"/>
    <w:rsid w:val="00C960D6"/>
    <w:rsid w:val="00DB555E"/>
    <w:rsid w:val="00DE2D42"/>
    <w:rsid w:val="00E8211F"/>
    <w:rsid w:val="00EA049C"/>
    <w:rsid w:val="00F44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3A7358"/>
  <w15:chartTrackingRefBased/>
  <w15:docId w15:val="{B3AFD8EF-61CF-4A9B-ACF1-130A69632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21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21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21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21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21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21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21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21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21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1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21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21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21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21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21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21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21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211F"/>
    <w:rPr>
      <w:rFonts w:eastAsiaTheme="majorEastAsia" w:cstheme="majorBidi"/>
      <w:color w:val="272727" w:themeColor="text1" w:themeTint="D8"/>
    </w:rPr>
  </w:style>
  <w:style w:type="paragraph" w:styleId="Title">
    <w:name w:val="Title"/>
    <w:basedOn w:val="Normal"/>
    <w:next w:val="Normal"/>
    <w:link w:val="TitleChar"/>
    <w:uiPriority w:val="10"/>
    <w:qFormat/>
    <w:rsid w:val="00E821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21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21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21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211F"/>
    <w:pPr>
      <w:spacing w:before="160"/>
      <w:jc w:val="center"/>
    </w:pPr>
    <w:rPr>
      <w:i/>
      <w:iCs/>
      <w:color w:val="404040" w:themeColor="text1" w:themeTint="BF"/>
    </w:rPr>
  </w:style>
  <w:style w:type="character" w:customStyle="1" w:styleId="QuoteChar">
    <w:name w:val="Quote Char"/>
    <w:basedOn w:val="DefaultParagraphFont"/>
    <w:link w:val="Quote"/>
    <w:uiPriority w:val="29"/>
    <w:rsid w:val="00E8211F"/>
    <w:rPr>
      <w:i/>
      <w:iCs/>
      <w:color w:val="404040" w:themeColor="text1" w:themeTint="BF"/>
    </w:rPr>
  </w:style>
  <w:style w:type="paragraph" w:styleId="ListParagraph">
    <w:name w:val="List Paragraph"/>
    <w:basedOn w:val="Normal"/>
    <w:uiPriority w:val="34"/>
    <w:qFormat/>
    <w:rsid w:val="00E8211F"/>
    <w:pPr>
      <w:ind w:left="720"/>
      <w:contextualSpacing/>
    </w:pPr>
  </w:style>
  <w:style w:type="character" w:styleId="IntenseEmphasis">
    <w:name w:val="Intense Emphasis"/>
    <w:basedOn w:val="DefaultParagraphFont"/>
    <w:uiPriority w:val="21"/>
    <w:qFormat/>
    <w:rsid w:val="00E8211F"/>
    <w:rPr>
      <w:i/>
      <w:iCs/>
      <w:color w:val="0F4761" w:themeColor="accent1" w:themeShade="BF"/>
    </w:rPr>
  </w:style>
  <w:style w:type="paragraph" w:styleId="IntenseQuote">
    <w:name w:val="Intense Quote"/>
    <w:basedOn w:val="Normal"/>
    <w:next w:val="Normal"/>
    <w:link w:val="IntenseQuoteChar"/>
    <w:uiPriority w:val="30"/>
    <w:qFormat/>
    <w:rsid w:val="00E821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211F"/>
    <w:rPr>
      <w:i/>
      <w:iCs/>
      <w:color w:val="0F4761" w:themeColor="accent1" w:themeShade="BF"/>
    </w:rPr>
  </w:style>
  <w:style w:type="character" w:styleId="IntenseReference">
    <w:name w:val="Intense Reference"/>
    <w:basedOn w:val="DefaultParagraphFont"/>
    <w:uiPriority w:val="32"/>
    <w:qFormat/>
    <w:rsid w:val="00E8211F"/>
    <w:rPr>
      <w:b/>
      <w:bCs/>
      <w:smallCaps/>
      <w:color w:val="0F4761" w:themeColor="accent1" w:themeShade="BF"/>
      <w:spacing w:val="5"/>
    </w:rPr>
  </w:style>
  <w:style w:type="paragraph" w:styleId="Header">
    <w:name w:val="header"/>
    <w:basedOn w:val="Normal"/>
    <w:link w:val="HeaderChar"/>
    <w:uiPriority w:val="99"/>
    <w:unhideWhenUsed/>
    <w:rsid w:val="008A2B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B80"/>
  </w:style>
  <w:style w:type="paragraph" w:styleId="Footer">
    <w:name w:val="footer"/>
    <w:basedOn w:val="Normal"/>
    <w:link w:val="FooterChar"/>
    <w:uiPriority w:val="99"/>
    <w:unhideWhenUsed/>
    <w:rsid w:val="008A2B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B80"/>
  </w:style>
  <w:style w:type="character" w:styleId="Hyperlink">
    <w:name w:val="Hyperlink"/>
    <w:basedOn w:val="DefaultParagraphFont"/>
    <w:uiPriority w:val="99"/>
    <w:unhideWhenUsed/>
    <w:rsid w:val="00925521"/>
    <w:rPr>
      <w:color w:val="467886" w:themeColor="hyperlink"/>
      <w:u w:val="single"/>
    </w:rPr>
  </w:style>
  <w:style w:type="character" w:styleId="UnresolvedMention">
    <w:name w:val="Unresolved Mention"/>
    <w:basedOn w:val="DefaultParagraphFont"/>
    <w:uiPriority w:val="99"/>
    <w:semiHidden/>
    <w:unhideWhenUsed/>
    <w:rsid w:val="009255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adohealth.2020.10.012" TargetMode="External"/><Relationship Id="rId13" Type="http://schemas.openxmlformats.org/officeDocument/2006/relationships/hyperlink" Target="https://doi.org/10.1186/s40337-023-00845-x" TargetMode="External"/><Relationship Id="rId18" Type="http://schemas.openxmlformats.org/officeDocument/2006/relationships/hyperlink" Target="https://www.ofcom.org.uk/"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longtermplan.nhs.uk/" TargetMode="External"/><Relationship Id="rId17" Type="http://schemas.openxmlformats.org/officeDocument/2006/relationships/hyperlink" Target="https://www.england.nhs.uk/" TargetMode="External"/><Relationship Id="rId2" Type="http://schemas.openxmlformats.org/officeDocument/2006/relationships/numbering" Target="numbering.xml"/><Relationship Id="rId16" Type="http://schemas.openxmlformats.org/officeDocument/2006/relationships/hyperlink" Target="https://jeatdisord.biomedcentral.com/" TargetMode="External"/><Relationship Id="rId20" Type="http://schemas.openxmlformats.org/officeDocument/2006/relationships/hyperlink" Target="https://onlinelibrary.wile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nhs.uk/data-and-information/publications/statistical/mental-health-of-children-and-young-people-in-england/2023" TargetMode="External"/><Relationship Id="rId5" Type="http://schemas.openxmlformats.org/officeDocument/2006/relationships/webSettings" Target="webSettings.xml"/><Relationship Id="rId15" Type="http://schemas.openxmlformats.org/officeDocument/2006/relationships/hyperlink" Target="https://www.beateatingdisorders.org.uk/" TargetMode="External"/><Relationship Id="rId23" Type="http://schemas.openxmlformats.org/officeDocument/2006/relationships/theme" Target="theme/theme1.xml"/><Relationship Id="rId10" Type="http://schemas.openxmlformats.org/officeDocument/2006/relationships/hyperlink" Target="https://doi.org/10.1192/bjp.bp.107.045420" TargetMode="External"/><Relationship Id="rId19" Type="http://schemas.openxmlformats.org/officeDocument/2006/relationships/hyperlink" Target="https://www.rcpsych.ac.uk/" TargetMode="External"/><Relationship Id="rId4" Type="http://schemas.openxmlformats.org/officeDocument/2006/relationships/settings" Target="settings.xml"/><Relationship Id="rId9" Type="http://schemas.openxmlformats.org/officeDocument/2006/relationships/hyperlink" Target="https://doi.org/10.1016/j.bodyim.2017.06.004" TargetMode="External"/><Relationship Id="rId14" Type="http://schemas.openxmlformats.org/officeDocument/2006/relationships/hyperlink" Target="https://doi.org/10.1192/bjp.bp.107.04542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AA2305-42B7-4600-BA68-D0559CD0C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2086</Words>
  <Characters>12165</Characters>
  <Application>Microsoft Office Word</Application>
  <DocSecurity>0</DocSecurity>
  <Lines>152</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Grobry (2244710)</dc:creator>
  <cp:keywords/>
  <dc:description/>
  <cp:lastModifiedBy>Nadia Grobry (2244710)</cp:lastModifiedBy>
  <cp:revision>8</cp:revision>
  <dcterms:created xsi:type="dcterms:W3CDTF">2025-11-29T02:58:00Z</dcterms:created>
  <dcterms:modified xsi:type="dcterms:W3CDTF">2025-11-29T03:05:00Z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5beeb5da-cdf1-40ee-8d50-3da27cdcf4f0</vt:lpwstr>
  </property>
</Properties>
</file>