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2"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3"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4" w14:textId="457110DD" w:rsidR="00E41C81" w:rsidRDefault="003A5D53" w:rsidP="001B17F5">
      <w:pPr>
        <w:spacing w:line="360" w:lineRule="auto"/>
        <w:jc w:val="center"/>
        <w:rPr>
          <w:rFonts w:ascii="Times New Roman" w:eastAsia="Times New Roman" w:hAnsi="Times New Roman" w:cs="Times New Roman"/>
          <w:b/>
          <w:sz w:val="32"/>
          <w:szCs w:val="32"/>
        </w:rPr>
      </w:pPr>
      <w:r w:rsidRPr="002D240E">
        <w:rPr>
          <w:noProof/>
          <w:color w:val="000000" w:themeColor="text1"/>
        </w:rPr>
        <w:drawing>
          <wp:inline distT="0" distB="0" distL="0" distR="0" wp14:anchorId="1DA0B58B" wp14:editId="0E2207ED">
            <wp:extent cx="2698750" cy="1524000"/>
            <wp:effectExtent l="0" t="0" r="6350" b="0"/>
            <wp:docPr id="24" name="image8.png"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24" name="image8.png" descr="Text&#10;&#10;Description automatically generated"/>
                    <pic:cNvPicPr preferRelativeResize="0"/>
                  </pic:nvPicPr>
                  <pic:blipFill>
                    <a:blip r:embed="rId7"/>
                    <a:srcRect/>
                    <a:stretch>
                      <a:fillRect/>
                    </a:stretch>
                  </pic:blipFill>
                  <pic:spPr>
                    <a:xfrm>
                      <a:off x="0" y="0"/>
                      <a:ext cx="2698750" cy="1524000"/>
                    </a:xfrm>
                    <a:prstGeom prst="rect">
                      <a:avLst/>
                    </a:prstGeom>
                    <a:ln/>
                  </pic:spPr>
                </pic:pic>
              </a:graphicData>
            </a:graphic>
          </wp:inline>
        </w:drawing>
      </w:r>
    </w:p>
    <w:p w14:paraId="00000005" w14:textId="77777777" w:rsidR="00E41C81" w:rsidRDefault="00E41C81" w:rsidP="001B17F5">
      <w:pPr>
        <w:spacing w:line="360" w:lineRule="auto"/>
        <w:jc w:val="center"/>
        <w:rPr>
          <w:rFonts w:ascii="Times New Roman" w:eastAsia="Times New Roman" w:hAnsi="Times New Roman" w:cs="Times New Roman"/>
          <w:b/>
          <w:sz w:val="32"/>
          <w:szCs w:val="32"/>
        </w:rPr>
      </w:pPr>
    </w:p>
    <w:p w14:paraId="00000009" w14:textId="77777777" w:rsidR="00E41C81" w:rsidRDefault="005A209E" w:rsidP="00F642F5">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MARKETING MANAGEMENT ASSESSMENT 1</w:t>
      </w:r>
    </w:p>
    <w:p w14:paraId="56A9D16C" w14:textId="558D7CE9" w:rsidR="00F642F5" w:rsidRDefault="00E618FE" w:rsidP="00F642F5">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Student Name: Harmeet Singh A</w:t>
      </w:r>
      <w:r w:rsidR="00251FCF">
        <w:rPr>
          <w:rFonts w:ascii="Times New Roman" w:eastAsia="Times New Roman" w:hAnsi="Times New Roman" w:cs="Times New Roman"/>
          <w:b/>
          <w:sz w:val="32"/>
          <w:szCs w:val="32"/>
        </w:rPr>
        <w:t>a</w:t>
      </w:r>
      <w:r>
        <w:rPr>
          <w:rFonts w:ascii="Times New Roman" w:eastAsia="Times New Roman" w:hAnsi="Times New Roman" w:cs="Times New Roman"/>
          <w:b/>
          <w:sz w:val="32"/>
          <w:szCs w:val="32"/>
        </w:rPr>
        <w:t>tli</w:t>
      </w:r>
    </w:p>
    <w:p w14:paraId="55B9168C" w14:textId="662BAA0C" w:rsidR="00E618FE" w:rsidRDefault="00873457" w:rsidP="00F642F5">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Student ID: </w:t>
      </w:r>
      <w:r w:rsidR="00EE325B">
        <w:rPr>
          <w:rFonts w:ascii="Times New Roman" w:eastAsia="Times New Roman" w:hAnsi="Times New Roman" w:cs="Times New Roman"/>
          <w:b/>
          <w:sz w:val="32"/>
          <w:szCs w:val="32"/>
        </w:rPr>
        <w:t>2226228</w:t>
      </w:r>
    </w:p>
    <w:p w14:paraId="491AD2C7" w14:textId="5FDF9858" w:rsidR="00873457" w:rsidRDefault="00873457" w:rsidP="00F642F5">
      <w:pPr>
        <w:spacing w:line="360" w:lineRule="auto"/>
        <w:ind w:firstLine="720"/>
        <w:rPr>
          <w:rFonts w:ascii="Times New Roman" w:eastAsia="Times New Roman" w:hAnsi="Times New Roman" w:cs="Times New Roman"/>
          <w:b/>
          <w:sz w:val="32"/>
          <w:szCs w:val="32"/>
        </w:rPr>
      </w:pPr>
      <w:r>
        <w:rPr>
          <w:rFonts w:ascii="Times New Roman" w:eastAsia="Times New Roman" w:hAnsi="Times New Roman" w:cs="Times New Roman"/>
          <w:b/>
          <w:sz w:val="32"/>
          <w:szCs w:val="32"/>
        </w:rPr>
        <w:t>Tutor Name:</w:t>
      </w:r>
      <w:r w:rsidR="002B6125">
        <w:rPr>
          <w:rFonts w:ascii="Times New Roman" w:eastAsia="Times New Roman" w:hAnsi="Times New Roman" w:cs="Times New Roman"/>
          <w:b/>
          <w:sz w:val="32"/>
          <w:szCs w:val="32"/>
        </w:rPr>
        <w:t xml:space="preserve"> Tushara Balendran</w:t>
      </w:r>
    </w:p>
    <w:p w14:paraId="0000000A" w14:textId="77777777" w:rsidR="00E41C81" w:rsidRDefault="005A209E" w:rsidP="001B17F5">
      <w:pPr>
        <w:spacing w:line="360" w:lineRule="auto"/>
        <w:jc w:val="both"/>
        <w:rPr>
          <w:rFonts w:ascii="Times New Roman" w:eastAsia="Times New Roman" w:hAnsi="Times New Roman" w:cs="Times New Roman"/>
          <w:sz w:val="24"/>
          <w:szCs w:val="24"/>
        </w:rPr>
      </w:pPr>
      <w:r>
        <w:br w:type="page"/>
      </w:r>
    </w:p>
    <w:bookmarkStart w:id="0" w:name="_m25qjij1vile" w:colFirst="0" w:colLast="0" w:displacedByCustomXml="next"/>
    <w:bookmarkEnd w:id="0" w:displacedByCustomXml="next"/>
    <w:sdt>
      <w:sdtPr>
        <w:rPr>
          <w:rFonts w:ascii="Arial" w:eastAsia="Arial" w:hAnsi="Arial" w:cs="Arial"/>
          <w:b w:val="0"/>
          <w:bCs w:val="0"/>
          <w:color w:val="auto"/>
          <w:sz w:val="22"/>
          <w:szCs w:val="22"/>
          <w:lang w:val="en" w:eastAsia="en-US"/>
        </w:rPr>
        <w:id w:val="1710751312"/>
        <w:docPartObj>
          <w:docPartGallery w:val="Table of Contents"/>
          <w:docPartUnique/>
        </w:docPartObj>
      </w:sdtPr>
      <w:sdtEndPr>
        <w:rPr>
          <w:noProof/>
        </w:rPr>
      </w:sdtEndPr>
      <w:sdtContent>
        <w:p w14:paraId="00C05A96" w14:textId="2059E039" w:rsidR="001B17F5" w:rsidRDefault="001B17F5" w:rsidP="001B17F5">
          <w:pPr>
            <w:pStyle w:val="TOCHeading"/>
            <w:spacing w:line="360" w:lineRule="auto"/>
            <w:jc w:val="center"/>
          </w:pPr>
          <w:r w:rsidRPr="001B17F5">
            <w:rPr>
              <w:rFonts w:ascii="Times New Roman" w:hAnsi="Times New Roman" w:cs="Times New Roman"/>
              <w:color w:val="000000" w:themeColor="text1"/>
            </w:rPr>
            <w:t>Table of Contents</w:t>
          </w:r>
        </w:p>
        <w:p w14:paraId="4EF970C5" w14:textId="6CB09BB4" w:rsidR="001B17F5" w:rsidRDefault="001B17F5" w:rsidP="001B17F5">
          <w:pPr>
            <w:pStyle w:val="TOC1"/>
            <w:tabs>
              <w:tab w:val="right" w:leader="dot" w:pos="9350"/>
            </w:tabs>
            <w:spacing w:line="360" w:lineRule="auto"/>
            <w:rPr>
              <w:rFonts w:ascii="Times New Roman" w:hAnsi="Times New Roman" w:cs="Times New Roman"/>
              <w:noProof/>
              <w:sz w:val="24"/>
            </w:rPr>
          </w:pPr>
          <w:r>
            <w:fldChar w:fldCharType="begin"/>
          </w:r>
          <w:r>
            <w:instrText xml:space="preserve"> TOC \o "1-3" \h \z \u </w:instrText>
          </w:r>
          <w:r>
            <w:fldChar w:fldCharType="separate"/>
          </w:r>
          <w:hyperlink w:anchor="_Toc132629155" w:history="1">
            <w:r w:rsidRPr="001B17F5">
              <w:rPr>
                <w:rStyle w:val="Hyperlink"/>
                <w:rFonts w:ascii="Times New Roman" w:hAnsi="Times New Roman" w:cs="Times New Roman"/>
                <w:noProof/>
                <w:sz w:val="24"/>
              </w:rPr>
              <w:t>Introduction</w:t>
            </w:r>
            <w:r w:rsidRPr="001B17F5">
              <w:rPr>
                <w:rFonts w:ascii="Times New Roman" w:hAnsi="Times New Roman" w:cs="Times New Roman"/>
                <w:noProof/>
                <w:webHidden/>
                <w:sz w:val="24"/>
              </w:rPr>
              <w:tab/>
            </w:r>
            <w:r w:rsidRPr="001B17F5">
              <w:rPr>
                <w:rFonts w:ascii="Times New Roman" w:hAnsi="Times New Roman" w:cs="Times New Roman"/>
                <w:noProof/>
                <w:webHidden/>
                <w:sz w:val="24"/>
              </w:rPr>
              <w:fldChar w:fldCharType="begin"/>
            </w:r>
            <w:r w:rsidRPr="001B17F5">
              <w:rPr>
                <w:rFonts w:ascii="Times New Roman" w:hAnsi="Times New Roman" w:cs="Times New Roman"/>
                <w:noProof/>
                <w:webHidden/>
                <w:sz w:val="24"/>
              </w:rPr>
              <w:instrText xml:space="preserve"> PAGEREF _Toc132629155 \h </w:instrText>
            </w:r>
            <w:r w:rsidRPr="001B17F5">
              <w:rPr>
                <w:rFonts w:ascii="Times New Roman" w:hAnsi="Times New Roman" w:cs="Times New Roman"/>
                <w:noProof/>
                <w:webHidden/>
                <w:sz w:val="24"/>
              </w:rPr>
            </w:r>
            <w:r w:rsidRPr="001B17F5">
              <w:rPr>
                <w:rFonts w:ascii="Times New Roman" w:hAnsi="Times New Roman" w:cs="Times New Roman"/>
                <w:noProof/>
                <w:webHidden/>
                <w:sz w:val="24"/>
              </w:rPr>
              <w:fldChar w:fldCharType="separate"/>
            </w:r>
            <w:r w:rsidR="005120B5">
              <w:rPr>
                <w:rFonts w:ascii="Times New Roman" w:hAnsi="Times New Roman" w:cs="Times New Roman"/>
                <w:noProof/>
                <w:webHidden/>
                <w:sz w:val="24"/>
              </w:rPr>
              <w:t>3</w:t>
            </w:r>
            <w:r w:rsidRPr="001B17F5">
              <w:rPr>
                <w:rFonts w:ascii="Times New Roman" w:hAnsi="Times New Roman" w:cs="Times New Roman"/>
                <w:noProof/>
                <w:webHidden/>
                <w:sz w:val="24"/>
              </w:rPr>
              <w:fldChar w:fldCharType="end"/>
            </w:r>
          </w:hyperlink>
        </w:p>
        <w:p w14:paraId="52681639" w14:textId="7BBFBEF8" w:rsidR="001B17F5" w:rsidRP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56" w:history="1">
            <w:r w:rsidR="001B17F5" w:rsidRPr="001B17F5">
              <w:rPr>
                <w:rStyle w:val="Hyperlink"/>
                <w:rFonts w:ascii="Times New Roman" w:hAnsi="Times New Roman" w:cs="Times New Roman"/>
                <w:noProof/>
                <w:sz w:val="24"/>
              </w:rPr>
              <w:t>Critically appraise key marketing activities and the contribution of the marketing department to HSBC</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_Toc132629156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5120B5">
              <w:rPr>
                <w:rFonts w:ascii="Times New Roman" w:hAnsi="Times New Roman" w:cs="Times New Roman"/>
                <w:noProof/>
                <w:webHidden/>
                <w:sz w:val="24"/>
              </w:rPr>
              <w:t>3</w:t>
            </w:r>
            <w:r w:rsidR="001B17F5" w:rsidRPr="001B17F5">
              <w:rPr>
                <w:rFonts w:ascii="Times New Roman" w:hAnsi="Times New Roman" w:cs="Times New Roman"/>
                <w:noProof/>
                <w:webHidden/>
                <w:sz w:val="24"/>
              </w:rPr>
              <w:fldChar w:fldCharType="end"/>
            </w:r>
          </w:hyperlink>
        </w:p>
        <w:p w14:paraId="7E296EAE" w14:textId="69EC7EF1" w:rsidR="001B17F5" w:rsidRP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57" w:history="1">
            <w:r w:rsidR="001B17F5" w:rsidRPr="001B17F5">
              <w:rPr>
                <w:rStyle w:val="Hyperlink"/>
                <w:rFonts w:ascii="Times New Roman" w:hAnsi="Times New Roman" w:cs="Times New Roman"/>
                <w:noProof/>
                <w:sz w:val="24"/>
              </w:rPr>
              <w:t>Analyse and critically appraise marketing management with a view to adding value</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_Toc132629157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5120B5">
              <w:rPr>
                <w:rFonts w:ascii="Times New Roman" w:hAnsi="Times New Roman" w:cs="Times New Roman"/>
                <w:noProof/>
                <w:webHidden/>
                <w:sz w:val="24"/>
              </w:rPr>
              <w:t>5</w:t>
            </w:r>
            <w:r w:rsidR="001B17F5" w:rsidRPr="001B17F5">
              <w:rPr>
                <w:rFonts w:ascii="Times New Roman" w:hAnsi="Times New Roman" w:cs="Times New Roman"/>
                <w:noProof/>
                <w:webHidden/>
                <w:sz w:val="24"/>
              </w:rPr>
              <w:fldChar w:fldCharType="end"/>
            </w:r>
          </w:hyperlink>
        </w:p>
        <w:p w14:paraId="16881195" w14:textId="0A6EE706" w:rsid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58" w:history="1">
            <w:r w:rsidR="001B17F5" w:rsidRPr="001B17F5">
              <w:rPr>
                <w:rStyle w:val="Hyperlink"/>
                <w:rFonts w:ascii="Times New Roman" w:hAnsi="Times New Roman" w:cs="Times New Roman"/>
                <w:noProof/>
                <w:sz w:val="24"/>
              </w:rPr>
              <w:t>Critically appraising how HSBC can create innovative marketing strategies for raising awareness of the brand</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_Toc132629158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5120B5">
              <w:rPr>
                <w:rFonts w:ascii="Times New Roman" w:hAnsi="Times New Roman" w:cs="Times New Roman"/>
                <w:noProof/>
                <w:webHidden/>
                <w:sz w:val="24"/>
              </w:rPr>
              <w:t>6</w:t>
            </w:r>
            <w:r w:rsidR="001B17F5" w:rsidRPr="001B17F5">
              <w:rPr>
                <w:rFonts w:ascii="Times New Roman" w:hAnsi="Times New Roman" w:cs="Times New Roman"/>
                <w:noProof/>
                <w:webHidden/>
                <w:sz w:val="24"/>
              </w:rPr>
              <w:fldChar w:fldCharType="end"/>
            </w:r>
          </w:hyperlink>
        </w:p>
        <w:p w14:paraId="32B26ECB" w14:textId="145517EF" w:rsidR="00CC1181" w:rsidRDefault="009F42C4" w:rsidP="00CC1181">
          <w:r w:rsidRPr="00B57D0F">
            <w:t>Keller's Equity Mod</w:t>
          </w:r>
          <w:r w:rsidRPr="009F42C4">
            <w:t>el and its relation to HSBC</w:t>
          </w:r>
          <w:r w:rsidR="00C62384">
            <w:t>……………………………………………………….</w:t>
          </w:r>
          <w:r w:rsidR="00874981">
            <w:t>9</w:t>
          </w:r>
        </w:p>
        <w:p w14:paraId="7D174B14" w14:textId="5F3149C7" w:rsid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59" w:history="1">
            <w:r w:rsidR="001B17F5" w:rsidRPr="001B17F5">
              <w:rPr>
                <w:rStyle w:val="Hyperlink"/>
                <w:rFonts w:ascii="Times New Roman" w:hAnsi="Times New Roman" w:cs="Times New Roman"/>
                <w:noProof/>
                <w:sz w:val="24"/>
              </w:rPr>
              <w:t>Evaluating the customer journey across a variety of communication channels to ensure current and future stakeholders’ expectations</w:t>
            </w:r>
            <w:r w:rsidR="001B17F5" w:rsidRPr="001B17F5">
              <w:rPr>
                <w:rFonts w:ascii="Times New Roman" w:hAnsi="Times New Roman" w:cs="Times New Roman"/>
                <w:noProof/>
                <w:webHidden/>
                <w:sz w:val="24"/>
              </w:rPr>
              <w:tab/>
            </w:r>
            <w:r w:rsidR="001B17F5" w:rsidRPr="001B17F5">
              <w:rPr>
                <w:rFonts w:ascii="Times New Roman" w:hAnsi="Times New Roman" w:cs="Times New Roman"/>
                <w:noProof/>
                <w:webHidden/>
                <w:sz w:val="24"/>
              </w:rPr>
              <w:fldChar w:fldCharType="begin"/>
            </w:r>
            <w:r w:rsidR="001B17F5" w:rsidRPr="001B17F5">
              <w:rPr>
                <w:rFonts w:ascii="Times New Roman" w:hAnsi="Times New Roman" w:cs="Times New Roman"/>
                <w:noProof/>
                <w:webHidden/>
                <w:sz w:val="24"/>
              </w:rPr>
              <w:instrText xml:space="preserve"> PAGEREF _Toc132629159 \h </w:instrText>
            </w:r>
            <w:r w:rsidR="001B17F5" w:rsidRPr="001B17F5">
              <w:rPr>
                <w:rFonts w:ascii="Times New Roman" w:hAnsi="Times New Roman" w:cs="Times New Roman"/>
                <w:noProof/>
                <w:webHidden/>
                <w:sz w:val="24"/>
              </w:rPr>
            </w:r>
            <w:r w:rsidR="001B17F5" w:rsidRPr="001B17F5">
              <w:rPr>
                <w:rFonts w:ascii="Times New Roman" w:hAnsi="Times New Roman" w:cs="Times New Roman"/>
                <w:noProof/>
                <w:webHidden/>
                <w:sz w:val="24"/>
              </w:rPr>
              <w:fldChar w:fldCharType="separate"/>
            </w:r>
            <w:r w:rsidR="005120B5">
              <w:rPr>
                <w:rFonts w:ascii="Times New Roman" w:hAnsi="Times New Roman" w:cs="Times New Roman"/>
                <w:noProof/>
                <w:webHidden/>
                <w:sz w:val="24"/>
              </w:rPr>
              <w:t>9</w:t>
            </w:r>
            <w:r w:rsidR="001B17F5" w:rsidRPr="001B17F5">
              <w:rPr>
                <w:rFonts w:ascii="Times New Roman" w:hAnsi="Times New Roman" w:cs="Times New Roman"/>
                <w:noProof/>
                <w:webHidden/>
                <w:sz w:val="24"/>
              </w:rPr>
              <w:fldChar w:fldCharType="end"/>
            </w:r>
          </w:hyperlink>
        </w:p>
        <w:p w14:paraId="33D9FA73" w14:textId="48952905" w:rsidR="001B7D57" w:rsidRDefault="0026465B" w:rsidP="001B7D57">
          <w:r w:rsidRPr="0026465B">
            <w:t>Recommendations for new Customer Touch-points</w:t>
          </w:r>
          <w:r>
            <w:t>………………………………………………..</w:t>
          </w:r>
          <w:r w:rsidR="00874981">
            <w:t>12</w:t>
          </w:r>
        </w:p>
        <w:p w14:paraId="01A84930" w14:textId="4DA77A16" w:rsidR="001B17F5" w:rsidRP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60" w:history="1">
            <w:r w:rsidR="001B17F5" w:rsidRPr="001B17F5">
              <w:rPr>
                <w:rStyle w:val="Hyperlink"/>
                <w:rFonts w:ascii="Times New Roman" w:hAnsi="Times New Roman" w:cs="Times New Roman"/>
                <w:noProof/>
                <w:sz w:val="24"/>
              </w:rPr>
              <w:t>Conclusion</w:t>
            </w:r>
            <w:r w:rsidR="0049226F">
              <w:rPr>
                <w:rStyle w:val="Hyperlink"/>
                <w:rFonts w:ascii="Times New Roman" w:hAnsi="Times New Roman" w:cs="Times New Roman"/>
                <w:noProof/>
                <w:sz w:val="24"/>
              </w:rPr>
              <w:t>……………………………………………………………………………….</w:t>
            </w:r>
          </w:hyperlink>
          <w:r w:rsidR="00641A81">
            <w:rPr>
              <w:rFonts w:ascii="Times New Roman" w:hAnsi="Times New Roman" w:cs="Times New Roman"/>
              <w:noProof/>
              <w:sz w:val="24"/>
            </w:rPr>
            <w:t>13</w:t>
          </w:r>
        </w:p>
        <w:p w14:paraId="300C60EC" w14:textId="2E61CAFB" w:rsidR="001B17F5" w:rsidRPr="001B17F5" w:rsidRDefault="00B57D0F" w:rsidP="001B17F5">
          <w:pPr>
            <w:pStyle w:val="TOC1"/>
            <w:tabs>
              <w:tab w:val="right" w:leader="dot" w:pos="9350"/>
            </w:tabs>
            <w:spacing w:line="360" w:lineRule="auto"/>
            <w:rPr>
              <w:rFonts w:ascii="Times New Roman" w:hAnsi="Times New Roman" w:cs="Times New Roman"/>
              <w:noProof/>
              <w:sz w:val="24"/>
            </w:rPr>
          </w:pPr>
          <w:hyperlink w:anchor="_Toc132629161" w:history="1">
            <w:r w:rsidR="001B17F5" w:rsidRPr="001B17F5">
              <w:rPr>
                <w:rStyle w:val="Hyperlink"/>
                <w:rFonts w:ascii="Times New Roman" w:hAnsi="Times New Roman" w:cs="Times New Roman"/>
                <w:noProof/>
                <w:sz w:val="24"/>
              </w:rPr>
              <w:t>Reference List</w:t>
            </w:r>
            <w:r w:rsidR="001B17F5" w:rsidRPr="001B17F5">
              <w:rPr>
                <w:rFonts w:ascii="Times New Roman" w:hAnsi="Times New Roman" w:cs="Times New Roman"/>
                <w:noProof/>
                <w:webHidden/>
                <w:sz w:val="24"/>
              </w:rPr>
              <w:tab/>
            </w:r>
            <w:r w:rsidR="005B6C16">
              <w:rPr>
                <w:rFonts w:ascii="Times New Roman" w:hAnsi="Times New Roman" w:cs="Times New Roman"/>
                <w:noProof/>
                <w:webHidden/>
                <w:sz w:val="24"/>
              </w:rPr>
              <w:t>14</w:t>
            </w:r>
          </w:hyperlink>
        </w:p>
        <w:p w14:paraId="6E5FE6C9" w14:textId="65EF1733" w:rsidR="001B17F5" w:rsidRDefault="001B17F5" w:rsidP="001B17F5">
          <w:pPr>
            <w:spacing w:line="360" w:lineRule="auto"/>
          </w:pPr>
          <w:r>
            <w:rPr>
              <w:b/>
              <w:bCs/>
              <w:noProof/>
            </w:rPr>
            <w:fldChar w:fldCharType="end"/>
          </w:r>
        </w:p>
      </w:sdtContent>
    </w:sdt>
    <w:p w14:paraId="7B06B8F3" w14:textId="77777777" w:rsidR="001B17F5" w:rsidRDefault="001B17F5" w:rsidP="001B17F5">
      <w:pPr>
        <w:spacing w:line="360" w:lineRule="auto"/>
        <w:rPr>
          <w:rFonts w:ascii="Times New Roman" w:eastAsia="Times New Roman" w:hAnsi="Times New Roman" w:cs="Times New Roman"/>
          <w:b/>
          <w:sz w:val="28"/>
          <w:szCs w:val="28"/>
        </w:rPr>
      </w:pPr>
      <w:bookmarkStart w:id="1" w:name="_Toc132629155"/>
      <w:r>
        <w:br w:type="page"/>
      </w:r>
    </w:p>
    <w:p w14:paraId="0000000B" w14:textId="5F23C9EF" w:rsidR="00E41C81" w:rsidRDefault="005A209E" w:rsidP="001B17F5">
      <w:pPr>
        <w:pStyle w:val="Heading1"/>
      </w:pPr>
      <w:r>
        <w:lastRenderedPageBreak/>
        <w:t>Introduction</w:t>
      </w:r>
      <w:bookmarkEnd w:id="1"/>
    </w:p>
    <w:p w14:paraId="0000000C" w14:textId="2B84BF6E"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current highly competitive business climate, it is critical for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to develop creative advertising campaigns that will increase awareness of their brands while efficiently overseeing their consumer journey. This is especially true for banks, which operate in a highly competitive environment with high expectations for the level of service that they get in return. HSBC, an international banking company with operations in more than sixty nations, is a single such bank confronting such difficulties. HSBC must adopt creative advertising approaches that take into consideration the evolving economic climate, the rise of technological advancement, and increasing recognition of the brand and competition in order to remain comparable and meet the demands of customers. The purpose of this paper is to critically evaluate how HSBC can develop creative advertising techniques for increasing brand awareness and managing the journey of customers across an array of media methods. The study will look at how HSBC can use online platforms, social networks, and data statistical analysis to meet its marketing goals and gain a competitive advantage in the market.</w:t>
      </w:r>
    </w:p>
    <w:p w14:paraId="0000000D" w14:textId="77777777" w:rsidR="00E41C81" w:rsidRDefault="005A209E" w:rsidP="001B17F5">
      <w:pPr>
        <w:pStyle w:val="Heading1"/>
      </w:pPr>
      <w:bookmarkStart w:id="2" w:name="_qn0jxdz1tus2" w:colFirst="0" w:colLast="0"/>
      <w:bookmarkStart w:id="3" w:name="_Toc132629156"/>
      <w:bookmarkEnd w:id="2"/>
      <w:r>
        <w:t>Critically appraise key marketing activities and the contribution of the marketing department to HSBC</w:t>
      </w:r>
      <w:bookmarkEnd w:id="3"/>
    </w:p>
    <w:p w14:paraId="4ECBC821"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is one of the world's largest banks, with over 38 million customers and operations in over 60 countries. The bank has a global presence and is well-known for its trade and finance expertise. Marketing is critical to HSBC's success because it allows the bank to raise brand awareness, attract and retain customers, and communicate to stakeholders its unique value proposition. This essay will evaluate key marketing activities and the marketing department's contribution to HSBC. Brand management is an important marketing activity at HSBC. The brand of HSBC is one of the bank's most valuable assets, and the marketing department is crucial in managing and protecting it. The bank's brand is based on its global presence, trade and finance expertise, and commitment to sustainability. HSBC's marketing campaigns highlight these advantages and seek to distinguish the bank from its competitors. </w:t>
      </w:r>
    </w:p>
    <w:p w14:paraId="0000000E" w14:textId="4C3EAAA6"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marketing department promotes the HSBC brand through a variety of channels, including TV and print advertising, social media, and events (</w:t>
      </w:r>
      <w:r>
        <w:rPr>
          <w:rFonts w:ascii="Times New Roman" w:eastAsia="Times New Roman" w:hAnsi="Times New Roman" w:cs="Times New Roman"/>
          <w:color w:val="222222"/>
          <w:sz w:val="24"/>
          <w:szCs w:val="24"/>
          <w:highlight w:val="white"/>
        </w:rPr>
        <w:t xml:space="preserve">Chen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HSBC's sponsorship of events such as the Hong Kong Rugby Sevens and the Wimbledon tennis tournament also contributes to the bank's profile and brand image. Customer acquisition and retention is another important marketing activity at HSBC. In a highly competitive market, acquiring and retaining </w:t>
      </w:r>
      <w:r>
        <w:rPr>
          <w:rFonts w:ascii="Times New Roman" w:eastAsia="Times New Roman" w:hAnsi="Times New Roman" w:cs="Times New Roman"/>
          <w:sz w:val="24"/>
          <w:szCs w:val="24"/>
        </w:rPr>
        <w:lastRenderedPageBreak/>
        <w:t xml:space="preserve">customers is critical to the bank's long-term success. The marketing department is critical to attracting new customers and retaining existing ones at HSBC. The bank's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its distinct strengths, such as its global reach and trade and finance expertise. The marketing department also employs data analytics to tailor its messaging and offers to specific customers. </w:t>
      </w:r>
    </w:p>
    <w:p w14:paraId="0000000F" w14:textId="6DFA2CD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strategy allows HSBC to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its customers while also increasing their engagement with the bank. In addition to customer acquisition and retention, HSBC's marketing department is in charge of managing the customer experience. The marketing department is critical to attracting new customers and retaining existing ones at HSBC. The bank's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its distinct strengths, such as its global reach and trade and finance expertise. The marketing department also employs data analytics to tailor its messaging and offers to specific customers. This strategy allows HSBC to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its customers while also increasing their engagement with the bank. In addition to customer acquisition and retention, HSBC's marketing department is in charge of managing the customer experience (</w:t>
      </w:r>
      <w:r>
        <w:rPr>
          <w:rFonts w:ascii="Times New Roman" w:eastAsia="Times New Roman" w:hAnsi="Times New Roman" w:cs="Times New Roman"/>
          <w:color w:val="222222"/>
          <w:sz w:val="24"/>
          <w:szCs w:val="24"/>
          <w:highlight w:val="white"/>
        </w:rPr>
        <w:t xml:space="preserve">Arthur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The bank's marketing campaigns aim to create a seamless customer journey across all touchpoints, and the marketing department collaborates closely with other departments, such as customer service and digital banking, to ensure a consistent and high-quality customer experience. Customer journey mapping tools are used by HSBC to identify areas for improvement and to improve the customer experience. Digital marketing is another important marketing activity at HSBC. The bank has a strong digital presence and provides its customers with a variety of online and mobile banking services. The marketing department is critical in promoting these services and increasing customer engagement. HSBC's digital marketing campaigns </w:t>
      </w:r>
      <w:r w:rsidR="0038301A">
        <w:rPr>
          <w:rFonts w:ascii="Times New Roman" w:eastAsia="Times New Roman" w:hAnsi="Times New Roman" w:cs="Times New Roman"/>
          <w:sz w:val="24"/>
          <w:szCs w:val="24"/>
        </w:rPr>
        <w:t>emphasize</w:t>
      </w:r>
      <w:r>
        <w:rPr>
          <w:rFonts w:ascii="Times New Roman" w:eastAsia="Times New Roman" w:hAnsi="Times New Roman" w:cs="Times New Roman"/>
          <w:sz w:val="24"/>
          <w:szCs w:val="24"/>
        </w:rPr>
        <w:t xml:space="preserve"> the convenience and security of its digital banking services, with the goal of attracting customers who prefer to bank online. </w:t>
      </w:r>
    </w:p>
    <w:p w14:paraId="00000010" w14:textId="2801B4F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analytics is also used by the marketing department to </w:t>
      </w:r>
      <w:r w:rsidR="0038301A">
        <w:rPr>
          <w:rFonts w:ascii="Times New Roman" w:eastAsia="Times New Roman" w:hAnsi="Times New Roman" w:cs="Times New Roman"/>
          <w:sz w:val="24"/>
          <w:szCs w:val="24"/>
        </w:rPr>
        <w:t>personalize</w:t>
      </w:r>
      <w:r>
        <w:rPr>
          <w:rFonts w:ascii="Times New Roman" w:eastAsia="Times New Roman" w:hAnsi="Times New Roman" w:cs="Times New Roman"/>
          <w:sz w:val="24"/>
          <w:szCs w:val="24"/>
        </w:rPr>
        <w:t xml:space="preserve"> digital marketing campaigns and provide a more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 to customers. Finally, the marketing department at HSBC is in charge of the bank's reputation. HSBC operates in a highly regulated industry, and reputation management is critical to maintaining stakeholders' informed trust and confidence. In order to guarantee that the bank's messaging and marketing campaigns comply with regulatory requirements, the marketing department collaborates closely with other departments such as compliance and legal. The marketing department also monitors media </w:t>
      </w:r>
      <w:r>
        <w:rPr>
          <w:rFonts w:ascii="Times New Roman" w:eastAsia="Times New Roman" w:hAnsi="Times New Roman" w:cs="Times New Roman"/>
          <w:sz w:val="24"/>
          <w:szCs w:val="24"/>
        </w:rPr>
        <w:lastRenderedPageBreak/>
        <w:t>coverage and social media to identify potential reputational risks and mitigate them. Finally, the marketing department is critical to HSBC's success because it manages the bank's brand, acquires and retains customers, manages the customer experience, promotes its digital banking services, and manages its reputation. HSBC's strong brand, international footprint, and reputation for expertise in trade and finance demonstrate the marketing department's involvement in the bank's success (</w:t>
      </w:r>
      <w:r>
        <w:rPr>
          <w:rFonts w:ascii="Times New Roman" w:eastAsia="Times New Roman" w:hAnsi="Times New Roman" w:cs="Times New Roman"/>
          <w:color w:val="222222"/>
          <w:sz w:val="24"/>
          <w:szCs w:val="24"/>
          <w:highlight w:val="white"/>
        </w:rPr>
        <w:t xml:space="preserve">Kohler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However, the marketing department is confronted with challenges such as increased competition, shifting client tastes, and altering regulatory requirements. In order to stay a global banking leader, HSBC's marketing department has to keep trying to come up with creative solutions to these challenges.</w:t>
      </w:r>
    </w:p>
    <w:p w14:paraId="00000011" w14:textId="3C44172E" w:rsidR="00E41C81" w:rsidRDefault="0038301A" w:rsidP="001B17F5">
      <w:pPr>
        <w:pStyle w:val="Heading1"/>
      </w:pPr>
      <w:bookmarkStart w:id="4" w:name="_ualg5fz2lqmt" w:colFirst="0" w:colLast="0"/>
      <w:bookmarkStart w:id="5" w:name="_Toc132629157"/>
      <w:bookmarkEnd w:id="4"/>
      <w:r>
        <w:t>Analyze</w:t>
      </w:r>
      <w:r w:rsidR="005A209E">
        <w:t xml:space="preserve"> and critically appraise marketing management with a view to adding value</w:t>
      </w:r>
      <w:bookmarkEnd w:id="5"/>
    </w:p>
    <w:p w14:paraId="318A765F"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Marketing management is an essential function for businesses that want to create and deliver value to their customers. Effective marketing management can assist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in better understanding their customer's needs and preferences, developing products and services to meet those needs, and effectively communicating their value proposition to customers. This essay will </w:t>
      </w:r>
      <w:r w:rsidR="0038301A">
        <w:rPr>
          <w:rFonts w:ascii="Times New Roman" w:eastAsia="Times New Roman" w:hAnsi="Times New Roman" w:cs="Times New Roman"/>
          <w:sz w:val="24"/>
          <w:szCs w:val="24"/>
        </w:rPr>
        <w:t>analyze</w:t>
      </w:r>
      <w:r>
        <w:rPr>
          <w:rFonts w:ascii="Times New Roman" w:eastAsia="Times New Roman" w:hAnsi="Times New Roman" w:cs="Times New Roman"/>
          <w:sz w:val="24"/>
          <w:szCs w:val="24"/>
        </w:rPr>
        <w:t xml:space="preserve"> and evaluate marketing management in order to add value to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Customer understanding is an important aspect of marketing management. In order to create value for customers, businesses must first understand their needs, preferences, and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xml:space="preserve">. This necessitates the use of a variety of tools and techniques, including market research, customer surveys, and data analytics. </w:t>
      </w:r>
    </w:p>
    <w:p w14:paraId="00000012" w14:textId="5637B0E7" w:rsidR="00E41C81" w:rsidRDefault="0038301A"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Organizations</w:t>
      </w:r>
      <w:r w:rsidR="005A209E">
        <w:rPr>
          <w:rFonts w:ascii="Times New Roman" w:eastAsia="Times New Roman" w:hAnsi="Times New Roman" w:cs="Times New Roman"/>
          <w:sz w:val="24"/>
          <w:szCs w:val="24"/>
        </w:rPr>
        <w:t xml:space="preserve"> may </w:t>
      </w:r>
      <w:r>
        <w:rPr>
          <w:rFonts w:ascii="Times New Roman" w:eastAsia="Times New Roman" w:hAnsi="Times New Roman" w:cs="Times New Roman"/>
          <w:sz w:val="24"/>
          <w:szCs w:val="24"/>
        </w:rPr>
        <w:t>recognize</w:t>
      </w:r>
      <w:r w:rsidR="005A209E">
        <w:rPr>
          <w:rFonts w:ascii="Times New Roman" w:eastAsia="Times New Roman" w:hAnsi="Times New Roman" w:cs="Times New Roman"/>
          <w:sz w:val="24"/>
          <w:szCs w:val="24"/>
        </w:rPr>
        <w:t xml:space="preserve"> movements and trends in their marketing strategies and product development efforts by collecting and </w:t>
      </w:r>
      <w:r>
        <w:rPr>
          <w:rFonts w:ascii="Times New Roman" w:eastAsia="Times New Roman" w:hAnsi="Times New Roman" w:cs="Times New Roman"/>
          <w:sz w:val="24"/>
          <w:szCs w:val="24"/>
        </w:rPr>
        <w:t>analyzing</w:t>
      </w:r>
      <w:r w:rsidR="005A209E">
        <w:rPr>
          <w:rFonts w:ascii="Times New Roman" w:eastAsia="Times New Roman" w:hAnsi="Times New Roman" w:cs="Times New Roman"/>
          <w:sz w:val="24"/>
          <w:szCs w:val="24"/>
        </w:rPr>
        <w:t xml:space="preserve"> data on customer behaviour. Product development is another important aspect of marketing management (</w:t>
      </w:r>
      <w:r w:rsidR="005A209E">
        <w:rPr>
          <w:rFonts w:ascii="Times New Roman" w:eastAsia="Times New Roman" w:hAnsi="Times New Roman" w:cs="Times New Roman"/>
          <w:color w:val="222222"/>
          <w:sz w:val="24"/>
          <w:szCs w:val="24"/>
          <w:highlight w:val="white"/>
        </w:rPr>
        <w:t>Nordhaus, 2021</w:t>
      </w:r>
      <w:r w:rsidR="005A209E">
        <w:rPr>
          <w:rFonts w:ascii="Times New Roman" w:eastAsia="Times New Roman" w:hAnsi="Times New Roman" w:cs="Times New Roman"/>
          <w:sz w:val="24"/>
          <w:szCs w:val="24"/>
        </w:rPr>
        <w:t xml:space="preserve">). In order to meet changing customer needs and preferences, </w:t>
      </w:r>
      <w:r>
        <w:rPr>
          <w:rFonts w:ascii="Times New Roman" w:eastAsia="Times New Roman" w:hAnsi="Times New Roman" w:cs="Times New Roman"/>
          <w:sz w:val="24"/>
          <w:szCs w:val="24"/>
        </w:rPr>
        <w:t>organizations</w:t>
      </w:r>
      <w:r w:rsidR="005A209E">
        <w:rPr>
          <w:rFonts w:ascii="Times New Roman" w:eastAsia="Times New Roman" w:hAnsi="Times New Roman" w:cs="Times New Roman"/>
          <w:sz w:val="24"/>
          <w:szCs w:val="24"/>
        </w:rPr>
        <w:t xml:space="preserve"> must constantly innovate and develop new products and services. Marketing managers play an important role in this process by collaborating with product development teams to ensure that products are designed to meet the needs and preferences of their customers. This necessitates a thorough understanding of customer behaviour as well as the ability to </w:t>
      </w:r>
      <w:r>
        <w:rPr>
          <w:rFonts w:ascii="Times New Roman" w:eastAsia="Times New Roman" w:hAnsi="Times New Roman" w:cs="Times New Roman"/>
          <w:sz w:val="24"/>
          <w:szCs w:val="24"/>
        </w:rPr>
        <w:t>recognize</w:t>
      </w:r>
      <w:r w:rsidR="005A209E">
        <w:rPr>
          <w:rFonts w:ascii="Times New Roman" w:eastAsia="Times New Roman" w:hAnsi="Times New Roman" w:cs="Times New Roman"/>
          <w:sz w:val="24"/>
          <w:szCs w:val="24"/>
        </w:rPr>
        <w:t xml:space="preserve"> emerging trends and technologies that may influence customer preferences. Pricing strategies are also heavily influenced by marketing management. Pricing is an important aspect of creating value for customers because customers are often willing to pay more for higher-value products and services. Marketing executives must </w:t>
      </w:r>
      <w:r w:rsidR="005A209E">
        <w:rPr>
          <w:rFonts w:ascii="Times New Roman" w:eastAsia="Times New Roman" w:hAnsi="Times New Roman" w:cs="Times New Roman"/>
          <w:sz w:val="24"/>
          <w:szCs w:val="24"/>
        </w:rPr>
        <w:lastRenderedPageBreak/>
        <w:t>develop pricing strategies that reflect the value of their products and services while remaining competitive in the market. This necessitates a thorough understanding of customer preferences and willingness to pay, as well as a thorough understanding of rivals' pricing approaches.</w:t>
      </w:r>
    </w:p>
    <w:p w14:paraId="57D61F09"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Communication is another important aspect of marketing management. In order to generate demand, marketing executives have to effectively convey the value proposition of their products and services to customers. This necessitates the use of a variety of methods and instruments, including advertising, public relations, and digital marketing. Marketing executives must also create messaging that is appealing to customers and effectively communicates the advantages of their products and services (</w:t>
      </w:r>
      <w:r>
        <w:rPr>
          <w:rFonts w:ascii="Times New Roman" w:eastAsia="Times New Roman" w:hAnsi="Times New Roman" w:cs="Times New Roman"/>
          <w:color w:val="222222"/>
          <w:sz w:val="24"/>
          <w:szCs w:val="24"/>
          <w:highlight w:val="white"/>
        </w:rPr>
        <w:t xml:space="preserve">Musabegovic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Marketing management is also important for customer engagement and retention. </w:t>
      </w:r>
      <w:r w:rsidR="0038301A">
        <w:rPr>
          <w:rFonts w:ascii="Times New Roman" w:eastAsia="Times New Roman" w:hAnsi="Times New Roman" w:cs="Times New Roman"/>
          <w:sz w:val="24"/>
          <w:szCs w:val="24"/>
        </w:rPr>
        <w:t>Organizations</w:t>
      </w:r>
      <w:r>
        <w:rPr>
          <w:rFonts w:ascii="Times New Roman" w:eastAsia="Times New Roman" w:hAnsi="Times New Roman" w:cs="Times New Roman"/>
          <w:sz w:val="24"/>
          <w:szCs w:val="24"/>
        </w:rPr>
        <w:t xml:space="preserve"> have to communicate with their customers on a regular basis to build connections and maintain their trust in order to create lasting advantages for them. As a result, marketing managers must devise customer engagement strategies that encourage ongoing communication and interaction with customers. This necessitates the use of a variety of tools and techniques, including social media, email marketing, and loyalty programmes. </w:t>
      </w:r>
    </w:p>
    <w:p w14:paraId="00000013" w14:textId="0EF7E9E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addition to these essential aspects, advertising administration is critical in risk management and mitigation. Marketing executives must ensure that their marketing strategies adhere to regulatory and moral norms. They must also determine and reduce potential risks associated with marketing activities, such as damage to reputation or legal risk. Finally, marketing management is critical in creating and delivering value to customers. Marketing managers must gain a thorough understanding of their customer's demands and tastes, create novel offerings and services, devise effective pricing tactics, successfully convey the value proposition, engage customers on an ongoing basis, and manage and mitigate risk. Marketing managers can add value to groups and build long-term relationships with customers by doing so. </w:t>
      </w:r>
    </w:p>
    <w:p w14:paraId="00000014"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Marketing managers, on the other hand, face challenges such as rising competition, shifting consumer tastes, and changing laws and regulations. Marketing managers must continue to come up with solutions and respond to these challenges in order to continue to add value.</w:t>
      </w:r>
    </w:p>
    <w:p w14:paraId="00000015" w14:textId="77777777" w:rsidR="00E41C81" w:rsidRDefault="005A209E" w:rsidP="001B17F5">
      <w:pPr>
        <w:pStyle w:val="Heading1"/>
      </w:pPr>
      <w:bookmarkStart w:id="6" w:name="_dw4arnn2spu4" w:colFirst="0" w:colLast="0"/>
      <w:bookmarkStart w:id="7" w:name="_Toc132629158"/>
      <w:bookmarkEnd w:id="6"/>
      <w:r>
        <w:t>Critically appraising how HSBC can create innovative marketing strategies for raising awareness of the brand</w:t>
      </w:r>
      <w:bookmarkEnd w:id="7"/>
      <w:r>
        <w:t xml:space="preserve"> </w:t>
      </w:r>
    </w:p>
    <w:p w14:paraId="00000016"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Companies must develop creative advertising approaches to raise brand awareness in today's highly competitive and rapidly changing business environment. HSBC is a leading global bank </w:t>
      </w:r>
      <w:r>
        <w:rPr>
          <w:rFonts w:ascii="Times New Roman" w:eastAsia="Times New Roman" w:hAnsi="Times New Roman" w:cs="Times New Roman"/>
          <w:sz w:val="24"/>
          <w:szCs w:val="24"/>
        </w:rPr>
        <w:lastRenderedPageBreak/>
        <w:t xml:space="preserve">with operations in over 64 countries and a global customer base of over 40 million people. As a major player in the banking industry, HSBC faces fierce competition and must constantly innovate in order to stay ahead of the competition. This essay will evaluate how HSBC can develop innovative marketing strategies to increase brand awareness. </w:t>
      </w:r>
    </w:p>
    <w:p w14:paraId="00000017"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Brand Positioning: </w:t>
      </w:r>
    </w:p>
    <w:p w14:paraId="00000018" w14:textId="373D2850"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important ways for HSBC to develop innovative marketing strategies is through effective brand positioning. The process of creating a unique and distinctive identity for a brand in the minds of customers is referred to as brand positioning. HSBC has an established brand reputation and is well-known for its global presence, financial stability, and international customer service expertise (</w:t>
      </w:r>
      <w:r>
        <w:rPr>
          <w:rFonts w:ascii="Times New Roman" w:eastAsia="Times New Roman" w:hAnsi="Times New Roman" w:cs="Times New Roman"/>
          <w:color w:val="222222"/>
          <w:sz w:val="24"/>
          <w:szCs w:val="24"/>
          <w:highlight w:val="white"/>
        </w:rPr>
        <w:t xml:space="preserve">Majchrzak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order to stay competitive, HSBC must constantly innovate and find new ways to differentiate itself from its competitors. One way for HSBC to stand out is to position itself as a leader in sustainable finance. HSBC is currently making significant strides in this area, such as its pledge to become a net-zero financial institution by 2050 and its membership in the Partnership for Carbon Accounting Financials. HSBC can appeal to customers who are increasingly concerned about the environment and social responsibility by focusing on sustainability. This can be accomplished through promotional efforts </w:t>
      </w:r>
      <w:r w:rsidR="0038301A">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HSBC's environmental initiatives and commitment to responsible finance.</w:t>
      </w:r>
    </w:p>
    <w:p w14:paraId="00000019"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i/>
          <w:sz w:val="24"/>
          <w:szCs w:val="24"/>
        </w:rPr>
        <w:t>Digital Marketing:</w:t>
      </w:r>
      <w:r>
        <w:rPr>
          <w:rFonts w:ascii="Times New Roman" w:eastAsia="Times New Roman" w:hAnsi="Times New Roman" w:cs="Times New Roman"/>
          <w:sz w:val="24"/>
          <w:szCs w:val="24"/>
        </w:rPr>
        <w:t xml:space="preserve"> </w:t>
      </w:r>
    </w:p>
    <w:p w14:paraId="71E8256F" w14:textId="77777777" w:rsidR="0038301A"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Digital marketing is an additional field where HSBC can develop creative approaches to advertising. Digital marketing is the promotion of products and services through the use of digital technologies such as social media, email, and mobile apps. In recent years, digital marketing has grown in importance as more customers use digital channels to interact with businesses and make purchasing decisions. HSBC has already invested heavily in digital marketing, including the creation of its HSBC smartphone application and online financial services platform (</w:t>
      </w:r>
      <w:r>
        <w:rPr>
          <w:rFonts w:ascii="Times New Roman" w:eastAsia="Times New Roman" w:hAnsi="Times New Roman" w:cs="Times New Roman"/>
          <w:color w:val="222222"/>
          <w:sz w:val="24"/>
          <w:szCs w:val="24"/>
          <w:highlight w:val="white"/>
        </w:rPr>
        <w:t>Tirole, 2020</w:t>
      </w:r>
      <w:r>
        <w:rPr>
          <w:rFonts w:ascii="Times New Roman" w:eastAsia="Times New Roman" w:hAnsi="Times New Roman" w:cs="Times New Roman"/>
          <w:sz w:val="24"/>
          <w:szCs w:val="24"/>
        </w:rPr>
        <w:t xml:space="preserve">). However, there is still room for advancement in this field. Creating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digital experiences for customers is one way HSBC can differentiate itself. This can be accomplished by </w:t>
      </w:r>
      <w:r w:rsidR="0038301A">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data analytics and artificial intelligence to better understand consumer preferences and deliver targeted marketing messages. </w:t>
      </w:r>
    </w:p>
    <w:p w14:paraId="0000001A" w14:textId="498F67E4"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way for HSBC to develop innovative digital marketing strategies is to use social media.  HSBC can engage with customers and promote its brand through social media platforms such as Twitter, Facebook, and LinkedIn. HSBC can use social media to share content about its </w:t>
      </w:r>
      <w:r>
        <w:rPr>
          <w:rFonts w:ascii="Times New Roman" w:eastAsia="Times New Roman" w:hAnsi="Times New Roman" w:cs="Times New Roman"/>
          <w:sz w:val="24"/>
          <w:szCs w:val="24"/>
        </w:rPr>
        <w:lastRenderedPageBreak/>
        <w:t xml:space="preserve">sustainability initiatives while also providing customer service and support. HSBC can strengthen relationships with consumers and raise awareness of the company by effectively </w:t>
      </w:r>
      <w:r w:rsidR="0038301A">
        <w:rPr>
          <w:rFonts w:ascii="Times New Roman" w:eastAsia="Times New Roman" w:hAnsi="Times New Roman" w:cs="Times New Roman"/>
          <w:sz w:val="24"/>
          <w:szCs w:val="24"/>
        </w:rPr>
        <w:t>utilizing</w:t>
      </w:r>
      <w:r>
        <w:rPr>
          <w:rFonts w:ascii="Times New Roman" w:eastAsia="Times New Roman" w:hAnsi="Times New Roman" w:cs="Times New Roman"/>
          <w:sz w:val="24"/>
          <w:szCs w:val="24"/>
        </w:rPr>
        <w:t xml:space="preserve"> social media.</w:t>
      </w:r>
    </w:p>
    <w:p w14:paraId="0000001B"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 xml:space="preserve">Content marketing: </w:t>
      </w:r>
    </w:p>
    <w:p w14:paraId="0000001C"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Content marketing is the creation and distribution of valuable, relevant, and engaging content in order to attract and retain an audience of interest. Content marketing can help HSBC educate consumers about its products and services while also building trust and credibility. By developing content that is tailored to the needs and interests of its target audience, HSBC can develop imaginative content marketing tactics. Economic education is just one area where HSBC can concentrate its content marketing efforts (</w:t>
      </w:r>
      <w:r>
        <w:rPr>
          <w:rFonts w:ascii="Times New Roman" w:eastAsia="Times New Roman" w:hAnsi="Times New Roman" w:cs="Times New Roman"/>
          <w:color w:val="222222"/>
          <w:sz w:val="24"/>
          <w:szCs w:val="24"/>
          <w:highlight w:val="white"/>
        </w:rPr>
        <w:t xml:space="preserve">Mazzucato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Plenty of consumers are hesitant to use the services of banks because they lack knowledge and understanding of financial products and services. HSBC can create content such as articles, movies, and infographics to educate consumers about the importance of financial literacy and assist them in making educated choices regarding their finances. This can help HSBC distinguish itself from competitors by increasing customer confidence as well as trustworthiness.</w:t>
      </w:r>
    </w:p>
    <w:p w14:paraId="0000001D"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Using a Multi-Channel Strategy:</w:t>
      </w:r>
    </w:p>
    <w:p w14:paraId="0000001E"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Customers expect brands to communicate with them through multiple channels in today's highly connected world. To effectively reach its target audience, HSBC can use a multi-channel approach. It can reach out to customers through a combination of digital and traditional channels.</w:t>
      </w:r>
    </w:p>
    <w:p w14:paraId="0000001F" w14:textId="711F31A6"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HSBC can establish a strong online presence by </w:t>
      </w:r>
      <w:r w:rsidR="0038301A">
        <w:rPr>
          <w:rFonts w:ascii="Times New Roman" w:eastAsia="Times New Roman" w:hAnsi="Times New Roman" w:cs="Times New Roman"/>
          <w:sz w:val="24"/>
          <w:szCs w:val="24"/>
        </w:rPr>
        <w:t>optimizing</w:t>
      </w:r>
      <w:r>
        <w:rPr>
          <w:rFonts w:ascii="Times New Roman" w:eastAsia="Times New Roman" w:hAnsi="Times New Roman" w:cs="Times New Roman"/>
          <w:sz w:val="24"/>
          <w:szCs w:val="24"/>
        </w:rPr>
        <w:t xml:space="preserve"> its website for search engines, engaging customers on various social networking platforms, and developing digital campaigns. It can also reach a larger audience through traditional channels such as newspapers and magazines, television, and outside advertisements.</w:t>
      </w:r>
    </w:p>
    <w:p w14:paraId="00000020"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Accepting Individuality:</w:t>
      </w:r>
    </w:p>
    <w:p w14:paraId="00000021" w14:textId="4C87CB4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Personalization has evolved into an essential component of modern marketing. HSBC can create a more personal relationship with its customers by </w:t>
      </w:r>
      <w:r w:rsidR="0038301A">
        <w:rPr>
          <w:rFonts w:ascii="Times New Roman" w:eastAsia="Times New Roman" w:hAnsi="Times New Roman" w:cs="Times New Roman"/>
          <w:sz w:val="24"/>
          <w:szCs w:val="24"/>
        </w:rPr>
        <w:t>personalizing</w:t>
      </w:r>
      <w:r>
        <w:rPr>
          <w:rFonts w:ascii="Times New Roman" w:eastAsia="Times New Roman" w:hAnsi="Times New Roman" w:cs="Times New Roman"/>
          <w:sz w:val="24"/>
          <w:szCs w:val="24"/>
        </w:rPr>
        <w:t xml:space="preserve"> customer expertise, leading to higher customer commitment and support. HSBC can use customer data to provide customers with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experiences. It can use data analytics to gain insights into customer preferences and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and then tailor its marketing messages to match (</w:t>
      </w:r>
      <w:r>
        <w:rPr>
          <w:rFonts w:ascii="Times New Roman" w:eastAsia="Times New Roman" w:hAnsi="Times New Roman" w:cs="Times New Roman"/>
          <w:color w:val="222222"/>
          <w:sz w:val="24"/>
          <w:szCs w:val="24"/>
          <w:highlight w:val="white"/>
        </w:rPr>
        <w:t xml:space="preserve">Pomarici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This method can assist HSBC in developing highly targeted campaigns that resonate with its customers and result in increased engagement and conversions.</w:t>
      </w:r>
    </w:p>
    <w:p w14:paraId="00000022"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lastRenderedPageBreak/>
        <w:t>Making Use of Influencers:</w:t>
      </w:r>
    </w:p>
    <w:p w14:paraId="00000023"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Influencer marketing has emerged as a powerful tool for brands seeking to reach their target audience. HSBC can work with influencers who have a large following on social media platforms to increase brand awareness and reach new customers. HSBC can collaborate with financial services industry influencers to create content that educates customers about its products and services. It can also work with lifestyle influencers to create content that highlights the benefits of its offerings in an approachable manner.</w:t>
      </w:r>
    </w:p>
    <w:p w14:paraId="00000024"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 nutshell, developing innovative marketing strategies is critical for HSBC in order to successfully boost its brand profile and reach its intended customer base. HSBC can create highly targeted initiatives that resonate with its clientele and lead to increased conversions and involvement by focusing on creating value for customers, leveraging information about clients, adopting a multi-channel approach, embracing customization, and leveraging influential individuals. Brands that can develop innovative marketing strategies that connect with consumers are more likely to succeed and grow in today's extremely competitive market.</w:t>
      </w:r>
    </w:p>
    <w:p w14:paraId="0F148E80" w14:textId="77777777" w:rsidR="00060C0F" w:rsidRDefault="00060C0F" w:rsidP="001B17F5">
      <w:pPr>
        <w:spacing w:line="360" w:lineRule="auto"/>
        <w:jc w:val="both"/>
        <w:rPr>
          <w:rFonts w:ascii="Times New Roman" w:eastAsia="Times New Roman" w:hAnsi="Times New Roman" w:cs="Times New Roman"/>
          <w:sz w:val="24"/>
          <w:szCs w:val="24"/>
        </w:rPr>
      </w:pPr>
    </w:p>
    <w:p w14:paraId="5DC7E295" w14:textId="37B65A58" w:rsidR="009A0C56" w:rsidRDefault="00A7710C" w:rsidP="001B17F5">
      <w:pPr>
        <w:spacing w:line="360" w:lineRule="auto"/>
        <w:jc w:val="both"/>
        <w:rPr>
          <w:rFonts w:ascii="Times New Roman" w:eastAsia="Times New Roman" w:hAnsi="Times New Roman" w:cs="Times New Roman"/>
          <w:sz w:val="32"/>
          <w:szCs w:val="32"/>
        </w:rPr>
      </w:pPr>
      <w:r w:rsidRPr="00A7710C">
        <w:rPr>
          <w:rFonts w:ascii="Times New Roman" w:eastAsia="Times New Roman" w:hAnsi="Times New Roman" w:cs="Times New Roman"/>
          <w:sz w:val="32"/>
          <w:szCs w:val="32"/>
        </w:rPr>
        <w:t>Keller's Equity Model and its relation to HSBC</w:t>
      </w:r>
    </w:p>
    <w:p w14:paraId="5FD0F0F0" w14:textId="45392457" w:rsidR="00A429B7" w:rsidRDefault="009A0C56" w:rsidP="001B17F5">
      <w:pPr>
        <w:spacing w:line="360" w:lineRule="auto"/>
        <w:jc w:val="both"/>
        <w:rPr>
          <w:rFonts w:ascii="Times New Roman" w:eastAsia="Times New Roman" w:hAnsi="Times New Roman" w:cs="Times New Roman"/>
          <w:sz w:val="24"/>
          <w:szCs w:val="24"/>
        </w:rPr>
      </w:pPr>
      <w:r w:rsidRPr="009A0C56">
        <w:rPr>
          <w:rFonts w:ascii="Times New Roman" w:eastAsia="Times New Roman" w:hAnsi="Times New Roman" w:cs="Times New Roman"/>
          <w:sz w:val="24"/>
          <w:szCs w:val="24"/>
        </w:rPr>
        <w:t>Keller's Equity Model is a structure for calculating and managing brand equity. It outlines four factors that impact customer responses and produce brand equity, which eventually contributes to brand resonance and loyalty: brand prominence, brand effectiveness, brand mental imagery, and brand judgments/feelings. HSBC's credibility is moulded by its strong brand salience via worldwide presence, its strong performance in terms of financial remedies, and brand imagery linked with dependability and 4 trust. Client devotion and brand resonance are influenced by positive brand judgements and feelings</w:t>
      </w:r>
      <w:r w:rsidR="00E57095">
        <w:rPr>
          <w:rFonts w:ascii="Times New Roman" w:eastAsia="Times New Roman" w:hAnsi="Times New Roman" w:cs="Times New Roman"/>
          <w:sz w:val="24"/>
          <w:szCs w:val="24"/>
        </w:rPr>
        <w:t>.</w:t>
      </w:r>
    </w:p>
    <w:p w14:paraId="34855375" w14:textId="77777777" w:rsidR="00E57095" w:rsidRPr="009A0C56" w:rsidRDefault="00E57095" w:rsidP="001B17F5">
      <w:pPr>
        <w:spacing w:line="360" w:lineRule="auto"/>
        <w:jc w:val="both"/>
        <w:rPr>
          <w:rFonts w:ascii="Times New Roman" w:eastAsia="Times New Roman" w:hAnsi="Times New Roman" w:cs="Times New Roman"/>
          <w:sz w:val="24"/>
          <w:szCs w:val="24"/>
        </w:rPr>
      </w:pPr>
    </w:p>
    <w:p w14:paraId="00000025" w14:textId="77777777" w:rsidR="00E41C81" w:rsidRDefault="005A209E" w:rsidP="001B17F5">
      <w:pPr>
        <w:pStyle w:val="Heading1"/>
      </w:pPr>
      <w:bookmarkStart w:id="8" w:name="_anwh9ga9vyru" w:colFirst="0" w:colLast="0"/>
      <w:bookmarkStart w:id="9" w:name="_Toc132629159"/>
      <w:bookmarkEnd w:id="8"/>
      <w:r>
        <w:t>Evaluating the customer journey across a variety of communication channels to ensure current and future stakeholders’ expectations</w:t>
      </w:r>
      <w:bookmarkEnd w:id="9"/>
    </w:p>
    <w:p w14:paraId="00000026"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customer journey is the sum of a customer's interactions with a brand. It starts with the customer's first exposure to the brand and continues through the purchase decision and post-purchase experience. Customers interact with brands through a variety of communication channels in today's highly connected world. As a result, HSBC must evaluate the customer </w:t>
      </w:r>
      <w:r>
        <w:rPr>
          <w:rFonts w:ascii="Times New Roman" w:eastAsia="Times New Roman" w:hAnsi="Times New Roman" w:cs="Times New Roman"/>
          <w:sz w:val="24"/>
          <w:szCs w:val="24"/>
        </w:rPr>
        <w:lastRenderedPageBreak/>
        <w:t>journey across multiple communication channels to ensure that current and future stakeholders' expectations are met (</w:t>
      </w:r>
      <w:r>
        <w:rPr>
          <w:rFonts w:ascii="Times New Roman" w:eastAsia="Times New Roman" w:hAnsi="Times New Roman" w:cs="Times New Roman"/>
          <w:color w:val="222222"/>
          <w:sz w:val="24"/>
          <w:szCs w:val="24"/>
          <w:highlight w:val="white"/>
        </w:rPr>
        <w:t xml:space="preserve">Akpan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2021</w:t>
      </w:r>
      <w:r>
        <w:rPr>
          <w:rFonts w:ascii="Times New Roman" w:eastAsia="Times New Roman" w:hAnsi="Times New Roman" w:cs="Times New Roman"/>
          <w:sz w:val="24"/>
          <w:szCs w:val="24"/>
        </w:rPr>
        <w:t>). This essay critically examines how HSBC can evaluate the customer journey across a variety of communication channels in order to meet the expectations of current and future stakeholders.</w:t>
      </w:r>
    </w:p>
    <w:p w14:paraId="00000027" w14:textId="517BA9E4" w:rsidR="00E41C81" w:rsidRDefault="0038301A"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Recognizing</w:t>
      </w:r>
      <w:r w:rsidR="005A209E">
        <w:rPr>
          <w:rFonts w:ascii="Times New Roman" w:eastAsia="Times New Roman" w:hAnsi="Times New Roman" w:cs="Times New Roman"/>
          <w:b/>
          <w:i/>
          <w:sz w:val="24"/>
          <w:szCs w:val="24"/>
        </w:rPr>
        <w:t xml:space="preserve"> Customer Expectations</w:t>
      </w:r>
    </w:p>
    <w:p w14:paraId="00000028" w14:textId="519023BA"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Understanding customer expectations is the first step in evaluating the customer journey across multiple communication channels. In order to deliver a customer-centric experience, HSBC must first understand its target audience's needs and expectations. This entails conducting customer research to learn about their preferences, </w:t>
      </w:r>
      <w:r w:rsidR="0038301A">
        <w:rPr>
          <w:rFonts w:ascii="Times New Roman" w:eastAsia="Times New Roman" w:hAnsi="Times New Roman" w:cs="Times New Roman"/>
          <w:sz w:val="24"/>
          <w:szCs w:val="24"/>
        </w:rPr>
        <w:t>behaviors</w:t>
      </w:r>
      <w:r>
        <w:rPr>
          <w:rFonts w:ascii="Times New Roman" w:eastAsia="Times New Roman" w:hAnsi="Times New Roman" w:cs="Times New Roman"/>
          <w:sz w:val="24"/>
          <w:szCs w:val="24"/>
        </w:rPr>
        <w:t>, and needs. HSBC can gain insights into its customers through a variety of research methods, including surveys, focus groups, and social media monitoring. These insights can assist HSBC in better understanding the customer journey and identifying areas where the brand can improve the customer experience.</w:t>
      </w:r>
    </w:p>
    <w:p w14:paraId="00000029"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Journey Mapping</w:t>
      </w:r>
    </w:p>
    <w:p w14:paraId="0000002A" w14:textId="13D38FAB"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following step in evaluating the customer journey is to map it across multiple communication channels. A customer journey map depicts the customer's interactions with the brand, from initial awareness to the post-purchase experience. HSBC can create a customer journey map by mapping out every interaction the client has with the company's name. Each of the communication pathways, such as the HSBC website, social media, email, and in-branch interactions, can be considered touchpoints (</w:t>
      </w:r>
      <w:r>
        <w:rPr>
          <w:rFonts w:ascii="Times New Roman" w:eastAsia="Times New Roman" w:hAnsi="Times New Roman" w:cs="Times New Roman"/>
          <w:color w:val="222222"/>
          <w:sz w:val="24"/>
          <w:szCs w:val="24"/>
          <w:highlight w:val="white"/>
        </w:rPr>
        <w:t xml:space="preserve">Marano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In order to acquire a better understanding of the customer's journey, HSBC can identify the customer's emotions at each touchpoint. HSBC may discover areas for improvement in the customer experience by mapping the customer journey. It is capable of </w:t>
      </w:r>
      <w:r w:rsidR="0038301A">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interactions that require additional attention, as well as areas where consumers may be abandoning the journey. </w:t>
      </w:r>
    </w:p>
    <w:p w14:paraId="0000002B"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Customer Satisfaction Evaluation</w:t>
      </w:r>
    </w:p>
    <w:p w14:paraId="0000002C" w14:textId="19FC39AC"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Customer satisfaction is measured as the third step in evaluating the customer journey. HSBC can measure customer satisfaction using a variety of methods, including feedback from consumer surveys, social media monitoring, and customer satisfaction ratings. HSBC can use polls for customer feedback to gather information from customers about their interactions with the brand. It may additionally track social media channels to gather information about customer sentiment and identify areas where the brand may enhance customer knowledge (</w:t>
      </w:r>
      <w:r>
        <w:rPr>
          <w:rFonts w:ascii="Times New Roman" w:eastAsia="Times New Roman" w:hAnsi="Times New Roman" w:cs="Times New Roman"/>
          <w:color w:val="222222"/>
          <w:sz w:val="24"/>
          <w:szCs w:val="24"/>
          <w:highlight w:val="white"/>
        </w:rPr>
        <w:t xml:space="preserve">Tubaro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Overall satisfaction scores can also be used for monitoring and </w:t>
      </w:r>
      <w:r w:rsidR="0038301A">
        <w:rPr>
          <w:rFonts w:ascii="Times New Roman" w:eastAsia="Times New Roman" w:hAnsi="Times New Roman" w:cs="Times New Roman"/>
          <w:sz w:val="24"/>
          <w:szCs w:val="24"/>
        </w:rPr>
        <w:t>recognizing</w:t>
      </w:r>
      <w:r>
        <w:rPr>
          <w:rFonts w:ascii="Times New Roman" w:eastAsia="Times New Roman" w:hAnsi="Times New Roman" w:cs="Times New Roman"/>
          <w:sz w:val="24"/>
          <w:szCs w:val="24"/>
        </w:rPr>
        <w:t xml:space="preserve"> trends in </w:t>
      </w:r>
      <w:r>
        <w:rPr>
          <w:rFonts w:ascii="Times New Roman" w:eastAsia="Times New Roman" w:hAnsi="Times New Roman" w:cs="Times New Roman"/>
          <w:sz w:val="24"/>
          <w:szCs w:val="24"/>
        </w:rPr>
        <w:lastRenderedPageBreak/>
        <w:t>client satisfaction over time. HSBC can identify areas for improvement in the customer endure by measuring satisfaction among clients. It can also track advancement over time and identify consumer happiness trends.</w:t>
      </w:r>
    </w:p>
    <w:p w14:paraId="0000002D"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Channels of Communication Integration</w:t>
      </w:r>
    </w:p>
    <w:p w14:paraId="0000002E" w14:textId="48B995A1"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order to offer an effortless customer experience, HSBC must ensure that all communication channels are integrated. Customers ought to be able to switch between methods of communication without disrupting their journey. HSBC can integrate its modes of communication using a variety of tools, including customer relationship management (CRM) software and marketing automation software. CRM software can assist HSBC in tracking customer interactions across multiple channels, and marketing automation applications can assist HSBC in delivering </w:t>
      </w:r>
      <w:r w:rsidR="0038301A">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materials to customers based on their previous purchases. HSBC can create an effortless consumer experience that meets client requirements through the integration of channels of communication. It can also offer a more </w:t>
      </w:r>
      <w:r w:rsidR="0038301A">
        <w:rPr>
          <w:rFonts w:ascii="Times New Roman" w:eastAsia="Times New Roman" w:hAnsi="Times New Roman" w:cs="Times New Roman"/>
          <w:sz w:val="24"/>
          <w:szCs w:val="24"/>
        </w:rPr>
        <w:t>customized</w:t>
      </w:r>
      <w:r>
        <w:rPr>
          <w:rFonts w:ascii="Times New Roman" w:eastAsia="Times New Roman" w:hAnsi="Times New Roman" w:cs="Times New Roman"/>
          <w:sz w:val="24"/>
          <w:szCs w:val="24"/>
        </w:rPr>
        <w:t xml:space="preserve"> experience, which increases the retention of clients.</w:t>
      </w:r>
    </w:p>
    <w:p w14:paraId="0000002F" w14:textId="77777777" w:rsidR="00E41C81" w:rsidRDefault="005A209E" w:rsidP="001B17F5">
      <w:pPr>
        <w:spacing w:line="360" w:lineRule="auto"/>
        <w:jc w:val="both"/>
        <w:rPr>
          <w:rFonts w:ascii="Times New Roman" w:eastAsia="Times New Roman" w:hAnsi="Times New Roman" w:cs="Times New Roman"/>
          <w:b/>
          <w:i/>
          <w:sz w:val="24"/>
          <w:szCs w:val="24"/>
        </w:rPr>
      </w:pPr>
      <w:r>
        <w:rPr>
          <w:rFonts w:ascii="Times New Roman" w:eastAsia="Times New Roman" w:hAnsi="Times New Roman" w:cs="Times New Roman"/>
          <w:b/>
          <w:i/>
          <w:sz w:val="24"/>
          <w:szCs w:val="24"/>
        </w:rPr>
        <w:t>Maintaining Consistent Messaging</w:t>
      </w:r>
    </w:p>
    <w:p w14:paraId="00000030"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HSBC must ensure that its messaging remains uniform across all channels of communication. This means that irrespective of the means of communication channel used, consumers ought to receive the same information. In order to guarantee consistent communication, HSBC can use an assortment of tools, including a style manual for the company and a system for managing its content. A guide to brand style can help with overall communication, tone of voice, as well as visual appearance.</w:t>
      </w:r>
    </w:p>
    <w:p w14:paraId="00000031" w14:textId="77777777"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addition, HSBC can use social media sites to engage consumers and create a unified customer experience. Banks are able to interact with clients and provide refreshes on the goods and services they offer through social media platforms such as Facebook, Twitter, and Instagram. According to a poll conducted by the Pew Research Centre survey, sixty-nine per cent of all adults across the nation use social media, presenting an important chance for banks such as HSBC to communicate with customers (</w:t>
      </w:r>
      <w:r>
        <w:rPr>
          <w:rFonts w:ascii="Times New Roman" w:eastAsia="Times New Roman" w:hAnsi="Times New Roman" w:cs="Times New Roman"/>
          <w:color w:val="222222"/>
          <w:sz w:val="24"/>
          <w:szCs w:val="24"/>
          <w:highlight w:val="white"/>
        </w:rPr>
        <w:t xml:space="preserve">Naradda Gamage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2020</w:t>
      </w:r>
      <w:r>
        <w:rPr>
          <w:rFonts w:ascii="Times New Roman" w:eastAsia="Times New Roman" w:hAnsi="Times New Roman" w:cs="Times New Roman"/>
          <w:sz w:val="24"/>
          <w:szCs w:val="24"/>
        </w:rPr>
        <w:t xml:space="preserve">). HSBC may increase consumer awareness and provide useful data about the goods and services they offer by setting up Facebook and Twitter is responsibly and frequently updating them. Furthermore, because customers are able to communicate with the bank through these methods, social networks can be used as a tool for delivering excellent customer service. Bots known as chat can help HSBC </w:t>
      </w:r>
      <w:r>
        <w:rPr>
          <w:rFonts w:ascii="Times New Roman" w:eastAsia="Times New Roman" w:hAnsi="Times New Roman" w:cs="Times New Roman"/>
          <w:sz w:val="24"/>
          <w:szCs w:val="24"/>
        </w:rPr>
        <w:lastRenderedPageBreak/>
        <w:t xml:space="preserve">provide clients with quick and efficient answers to their questions. HSBC can improve the overall customer experience by using chatbots to ensure consumers receive reliable and consistent responses. HSBC can also use social media for collecting customer feedback to find areas for enhancement of its goods and services. This input can be used to develop more customer-focused advertising approaches and enhance the overall customer experience. Finally, HSBC can use statistical analysis to gain knowledge about customer behaviour and tastes. </w:t>
      </w:r>
    </w:p>
    <w:p w14:paraId="00000032" w14:textId="1EB1A8CF" w:rsidR="00E41C81"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With the increased use of digital channels, banks such as HSBC have access to massive amounts of customer data that can be used to develop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advertising approaches. HSBC can gain knowledge about consumer tastes, behaviour, and expenditure patterns by </w:t>
      </w:r>
      <w:r w:rsidR="0038301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customer data, which can then be used to create specific advertising initiatives. </w:t>
      </w:r>
      <w:r w:rsidR="0038301A">
        <w:rPr>
          <w:rFonts w:ascii="Times New Roman" w:eastAsia="Times New Roman" w:hAnsi="Times New Roman" w:cs="Times New Roman"/>
          <w:sz w:val="24"/>
          <w:szCs w:val="24"/>
        </w:rPr>
        <w:t>Personalized</w:t>
      </w:r>
      <w:r>
        <w:rPr>
          <w:rFonts w:ascii="Times New Roman" w:eastAsia="Times New Roman" w:hAnsi="Times New Roman" w:cs="Times New Roman"/>
          <w:sz w:val="24"/>
          <w:szCs w:val="24"/>
        </w:rPr>
        <w:t xml:space="preserve"> marketing campaigns can increase consumer involvement and happiness, resulting in increased brand loyalty. HSBC can also use statistical analysis of data to create a more effortless customer journey across numerous channels of communication. HSBC, for example, can identify the most frequently </w:t>
      </w:r>
      <w:r w:rsidR="0038301A">
        <w:rPr>
          <w:rFonts w:ascii="Times New Roman" w:eastAsia="Times New Roman" w:hAnsi="Times New Roman" w:cs="Times New Roman"/>
          <w:sz w:val="24"/>
          <w:szCs w:val="24"/>
        </w:rPr>
        <w:t>utilized</w:t>
      </w:r>
      <w:r>
        <w:rPr>
          <w:rFonts w:ascii="Times New Roman" w:eastAsia="Times New Roman" w:hAnsi="Times New Roman" w:cs="Times New Roman"/>
          <w:sz w:val="24"/>
          <w:szCs w:val="24"/>
        </w:rPr>
        <w:t xml:space="preserve"> channels of communication and make sure they are </w:t>
      </w:r>
      <w:r w:rsidR="0038301A">
        <w:rPr>
          <w:rFonts w:ascii="Times New Roman" w:eastAsia="Times New Roman" w:hAnsi="Times New Roman" w:cs="Times New Roman"/>
          <w:sz w:val="24"/>
          <w:szCs w:val="24"/>
        </w:rPr>
        <w:t>optimized</w:t>
      </w:r>
      <w:r>
        <w:rPr>
          <w:rFonts w:ascii="Times New Roman" w:eastAsia="Times New Roman" w:hAnsi="Times New Roman" w:cs="Times New Roman"/>
          <w:sz w:val="24"/>
          <w:szCs w:val="24"/>
        </w:rPr>
        <w:t xml:space="preserve"> for an effortless client experience by </w:t>
      </w:r>
      <w:r w:rsidR="0038301A">
        <w:rPr>
          <w:rFonts w:ascii="Times New Roman" w:eastAsia="Times New Roman" w:hAnsi="Times New Roman" w:cs="Times New Roman"/>
          <w:sz w:val="24"/>
          <w:szCs w:val="24"/>
        </w:rPr>
        <w:t>analyzing</w:t>
      </w:r>
      <w:r>
        <w:rPr>
          <w:rFonts w:ascii="Times New Roman" w:eastAsia="Times New Roman" w:hAnsi="Times New Roman" w:cs="Times New Roman"/>
          <w:sz w:val="24"/>
          <w:szCs w:val="24"/>
        </w:rPr>
        <w:t xml:space="preserve"> customer data. Furthermore, analysis of data can be used to </w:t>
      </w:r>
      <w:r w:rsidR="0038301A">
        <w:rPr>
          <w:rFonts w:ascii="Times New Roman" w:eastAsia="Times New Roman" w:hAnsi="Times New Roman" w:cs="Times New Roman"/>
          <w:sz w:val="24"/>
          <w:szCs w:val="24"/>
        </w:rPr>
        <w:t>recognize</w:t>
      </w:r>
      <w:r>
        <w:rPr>
          <w:rFonts w:ascii="Times New Roman" w:eastAsia="Times New Roman" w:hAnsi="Times New Roman" w:cs="Times New Roman"/>
          <w:sz w:val="24"/>
          <w:szCs w:val="24"/>
        </w:rPr>
        <w:t xml:space="preserve"> and tackle areas of customer dissatisfaction. This may enhance the customer experience as a whole and guarantee that what customers want is met. Finally, by leveraging online platforms, social networking sites, and information analytics, HSBC can develop creative advertising techniques to increase brand awareness while overseeing the consumer journey (</w:t>
      </w:r>
      <w:r>
        <w:rPr>
          <w:rFonts w:ascii="Times New Roman" w:eastAsia="Times New Roman" w:hAnsi="Times New Roman" w:cs="Times New Roman"/>
          <w:color w:val="222222"/>
          <w:sz w:val="24"/>
          <w:szCs w:val="24"/>
          <w:highlight w:val="white"/>
        </w:rPr>
        <w:t xml:space="preserve">Burger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2019</w:t>
      </w:r>
      <w:r>
        <w:rPr>
          <w:rFonts w:ascii="Times New Roman" w:eastAsia="Times New Roman" w:hAnsi="Times New Roman" w:cs="Times New Roman"/>
          <w:sz w:val="24"/>
          <w:szCs w:val="24"/>
        </w:rPr>
        <w:t xml:space="preserve">). HSBC may guarantee that consumer demands are met by </w:t>
      </w:r>
      <w:r w:rsidR="0038301A">
        <w:rPr>
          <w:rFonts w:ascii="Times New Roman" w:eastAsia="Times New Roman" w:hAnsi="Times New Roman" w:cs="Times New Roman"/>
          <w:sz w:val="24"/>
          <w:szCs w:val="24"/>
        </w:rPr>
        <w:t>emphasizing</w:t>
      </w:r>
      <w:r>
        <w:rPr>
          <w:rFonts w:ascii="Times New Roman" w:eastAsia="Times New Roman" w:hAnsi="Times New Roman" w:cs="Times New Roman"/>
          <w:sz w:val="24"/>
          <w:szCs w:val="24"/>
        </w:rPr>
        <w:t xml:space="preserve"> creating an effortless consumer journey, which will eventually contribute to higher brand devotion and client happiness. Furthermore, HSBC may employ these tactics to distinguish itself from rivals and gain an unfair advantage in the competitive landscape.</w:t>
      </w:r>
    </w:p>
    <w:p w14:paraId="1905A1B2" w14:textId="77777777" w:rsidR="00C56AA6" w:rsidRPr="00C56AA6" w:rsidRDefault="00EB4986" w:rsidP="001B17F5">
      <w:pPr>
        <w:spacing w:line="360" w:lineRule="auto"/>
        <w:jc w:val="both"/>
        <w:rPr>
          <w:rFonts w:ascii="Times New Roman" w:eastAsia="Times New Roman" w:hAnsi="Times New Roman" w:cs="Times New Roman"/>
          <w:sz w:val="32"/>
          <w:szCs w:val="32"/>
        </w:rPr>
      </w:pPr>
      <w:r w:rsidRPr="00C56AA6">
        <w:rPr>
          <w:rFonts w:ascii="Times New Roman" w:eastAsia="Times New Roman" w:hAnsi="Times New Roman" w:cs="Times New Roman"/>
          <w:sz w:val="32"/>
          <w:szCs w:val="32"/>
        </w:rPr>
        <w:t xml:space="preserve">Recommendations for new Customer Touch-points </w:t>
      </w:r>
    </w:p>
    <w:p w14:paraId="41785A7D" w14:textId="3FB8363D" w:rsidR="00EB4986" w:rsidRDefault="00EB4986" w:rsidP="001B17F5">
      <w:pPr>
        <w:spacing w:line="360" w:lineRule="auto"/>
        <w:jc w:val="both"/>
        <w:rPr>
          <w:rFonts w:ascii="Times New Roman" w:eastAsia="Times New Roman" w:hAnsi="Times New Roman" w:cs="Times New Roman"/>
          <w:sz w:val="24"/>
          <w:szCs w:val="24"/>
        </w:rPr>
      </w:pPr>
      <w:r w:rsidRPr="00EB4986">
        <w:rPr>
          <w:rFonts w:ascii="Times New Roman" w:eastAsia="Times New Roman" w:hAnsi="Times New Roman" w:cs="Times New Roman"/>
          <w:sz w:val="24"/>
          <w:szCs w:val="24"/>
        </w:rPr>
        <w:t>In order to enhance customer service as well as offer 24/7 help, HSBC might investigate novel touchpoints such as kiosks and virtual assistants. Furthermore, integrating social media monitoring and communicating with consumers on social networking websites may help to increase brand visibility and foster a sense of community. HSBC might also think about providing personalised financial counselling via online resources and instruments.</w:t>
      </w:r>
    </w:p>
    <w:p w14:paraId="0548283D" w14:textId="77777777" w:rsidR="00C56AA6" w:rsidRDefault="00C56AA6" w:rsidP="001B17F5">
      <w:pPr>
        <w:spacing w:line="360" w:lineRule="auto"/>
        <w:jc w:val="both"/>
        <w:rPr>
          <w:rFonts w:ascii="Times New Roman" w:eastAsia="Times New Roman" w:hAnsi="Times New Roman" w:cs="Times New Roman"/>
          <w:sz w:val="24"/>
          <w:szCs w:val="24"/>
        </w:rPr>
      </w:pPr>
    </w:p>
    <w:p w14:paraId="00000033" w14:textId="77777777" w:rsidR="00E41C81" w:rsidRDefault="005A209E" w:rsidP="001B17F5">
      <w:pPr>
        <w:pStyle w:val="Heading1"/>
      </w:pPr>
      <w:bookmarkStart w:id="10" w:name="_9r08x5yltjwn" w:colFirst="0" w:colLast="0"/>
      <w:bookmarkStart w:id="11" w:name="_Toc132629160"/>
      <w:bookmarkEnd w:id="10"/>
      <w:r>
        <w:lastRenderedPageBreak/>
        <w:t>Conclusion</w:t>
      </w:r>
      <w:bookmarkEnd w:id="11"/>
    </w:p>
    <w:p w14:paraId="00000034" w14:textId="55394F61" w:rsidR="001B17F5" w:rsidRDefault="005A209E" w:rsidP="001B17F5">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Finally, this paper has critically evaluated how HSBC can develop innovative marketing strategies for increasing brand awareness and managing the customer journey across a variety of interaction methods. The significance of digital channels, networking sites, and data statistical analysis in achieving these goals is </w:t>
      </w:r>
      <w:r w:rsidR="0038301A">
        <w:rPr>
          <w:rFonts w:ascii="Times New Roman" w:eastAsia="Times New Roman" w:hAnsi="Times New Roman" w:cs="Times New Roman"/>
          <w:sz w:val="24"/>
          <w:szCs w:val="24"/>
        </w:rPr>
        <w:t>emphasized</w:t>
      </w:r>
      <w:r>
        <w:rPr>
          <w:rFonts w:ascii="Times New Roman" w:eastAsia="Times New Roman" w:hAnsi="Times New Roman" w:cs="Times New Roman"/>
          <w:sz w:val="24"/>
          <w:szCs w:val="24"/>
        </w:rPr>
        <w:t xml:space="preserve"> in the paper. In order to </w:t>
      </w:r>
      <w:r w:rsidR="0038301A">
        <w:rPr>
          <w:rFonts w:ascii="Times New Roman" w:eastAsia="Times New Roman" w:hAnsi="Times New Roman" w:cs="Times New Roman"/>
          <w:sz w:val="24"/>
          <w:szCs w:val="24"/>
        </w:rPr>
        <w:t>maximize</w:t>
      </w:r>
      <w:r>
        <w:rPr>
          <w:rFonts w:ascii="Times New Roman" w:eastAsia="Times New Roman" w:hAnsi="Times New Roman" w:cs="Times New Roman"/>
          <w:sz w:val="24"/>
          <w:szCs w:val="24"/>
        </w:rPr>
        <w:t xml:space="preserve"> customer happiness and retention, HSBC must adopt an approach that is customer-focused and focus on the entire journey rather than just touchpoints. HSBC must use data to better understand client requirements and preferences, </w:t>
      </w:r>
      <w:r w:rsidR="0038301A">
        <w:rPr>
          <w:rFonts w:ascii="Times New Roman" w:eastAsia="Times New Roman" w:hAnsi="Times New Roman" w:cs="Times New Roman"/>
          <w:sz w:val="24"/>
          <w:szCs w:val="24"/>
        </w:rPr>
        <w:t>personalize</w:t>
      </w:r>
      <w:r>
        <w:rPr>
          <w:rFonts w:ascii="Times New Roman" w:eastAsia="Times New Roman" w:hAnsi="Times New Roman" w:cs="Times New Roman"/>
          <w:sz w:val="24"/>
          <w:szCs w:val="24"/>
        </w:rPr>
        <w:t xml:space="preserve"> communication, and provide a consistent experience across all interaction points. HSBC may distinguish itself from other banks and gain an edge over them in an increasingly competitive marketplace by successfully doing so. HSBC must constantly keep track of and assess its advertising operations to ensure that they meet evolving requirements of its clients and other interested parties. Overall, HSBC has an opportunity to develop creative advertising campaigns that can increase awareness of the brand while successfully managing the consumer trip. Through doing so, it may reinforce its competitive place and achieve long-term profitable development.</w:t>
      </w:r>
    </w:p>
    <w:p w14:paraId="33C83E95" w14:textId="77777777" w:rsidR="001B17F5" w:rsidRDefault="001B17F5" w:rsidP="001B17F5">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br w:type="page"/>
      </w:r>
    </w:p>
    <w:p w14:paraId="539D718D" w14:textId="6CD1D2A1" w:rsidR="00E41C81" w:rsidRDefault="001B17F5" w:rsidP="001B17F5">
      <w:pPr>
        <w:pStyle w:val="Heading1"/>
      </w:pPr>
      <w:bookmarkStart w:id="12" w:name="_Toc132629161"/>
      <w:r>
        <w:lastRenderedPageBreak/>
        <w:t>Reference List</w:t>
      </w:r>
      <w:bookmarkEnd w:id="12"/>
    </w:p>
    <w:p w14:paraId="5935006F"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Adler, N., Brudner, A. and Proost, S., 2021. A review of transport market modeling using game-theoretic principles. </w:t>
      </w:r>
      <w:r>
        <w:rPr>
          <w:i/>
          <w:iCs/>
          <w:color w:val="222222"/>
          <w:shd w:val="clear" w:color="auto" w:fill="FFFFFF"/>
        </w:rPr>
        <w:t>European Journal of Operational Research</w:t>
      </w:r>
      <w:r>
        <w:rPr>
          <w:color w:val="222222"/>
          <w:shd w:val="clear" w:color="auto" w:fill="FFFFFF"/>
        </w:rPr>
        <w:t xml:space="preserve">, </w:t>
      </w:r>
      <w:r>
        <w:rPr>
          <w:i/>
          <w:iCs/>
          <w:color w:val="222222"/>
          <w:shd w:val="clear" w:color="auto" w:fill="FFFFFF"/>
        </w:rPr>
        <w:t>291</w:t>
      </w:r>
      <w:r>
        <w:rPr>
          <w:color w:val="222222"/>
          <w:shd w:val="clear" w:color="auto" w:fill="FFFFFF"/>
        </w:rPr>
        <w:t>(3), pp.808-829.</w:t>
      </w:r>
    </w:p>
    <w:p w14:paraId="615E77D1"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Akpan, I.J., Soopramanien, D. and Kwak, D.H., 2021. Cutting-edge technologies for small business and innovation in the era of COVID-19 global health pandemic. </w:t>
      </w:r>
      <w:r>
        <w:rPr>
          <w:i/>
          <w:iCs/>
          <w:color w:val="222222"/>
          <w:shd w:val="clear" w:color="auto" w:fill="FFFFFF"/>
        </w:rPr>
        <w:t>Journal of Small Business &amp; Entrepreneurship</w:t>
      </w:r>
      <w:r>
        <w:rPr>
          <w:color w:val="222222"/>
          <w:shd w:val="clear" w:color="auto" w:fill="FFFFFF"/>
        </w:rPr>
        <w:t xml:space="preserve">, </w:t>
      </w:r>
      <w:r>
        <w:rPr>
          <w:i/>
          <w:iCs/>
          <w:color w:val="222222"/>
          <w:shd w:val="clear" w:color="auto" w:fill="FFFFFF"/>
        </w:rPr>
        <w:t>33</w:t>
      </w:r>
      <w:r>
        <w:rPr>
          <w:color w:val="222222"/>
          <w:shd w:val="clear" w:color="auto" w:fill="FFFFFF"/>
        </w:rPr>
        <w:t>(6), pp.607-617.</w:t>
      </w:r>
    </w:p>
    <w:p w14:paraId="0027706F"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Anwar, M.A. and Graham, M., 2021. Between a rock and a hard place: Freedom, flexibility, precarity and vulnerability in the gig economy in Africa. </w:t>
      </w:r>
      <w:r>
        <w:rPr>
          <w:i/>
          <w:iCs/>
          <w:color w:val="222222"/>
          <w:shd w:val="clear" w:color="auto" w:fill="FFFFFF"/>
        </w:rPr>
        <w:t>Competition &amp; Change</w:t>
      </w:r>
      <w:r>
        <w:rPr>
          <w:color w:val="222222"/>
          <w:shd w:val="clear" w:color="auto" w:fill="FFFFFF"/>
        </w:rPr>
        <w:t xml:space="preserve">, </w:t>
      </w:r>
      <w:r>
        <w:rPr>
          <w:i/>
          <w:iCs/>
          <w:color w:val="222222"/>
          <w:shd w:val="clear" w:color="auto" w:fill="FFFFFF"/>
        </w:rPr>
        <w:t>25</w:t>
      </w:r>
      <w:r>
        <w:rPr>
          <w:color w:val="222222"/>
          <w:shd w:val="clear" w:color="auto" w:fill="FFFFFF"/>
        </w:rPr>
        <w:t>(2), pp.237-258.</w:t>
      </w:r>
    </w:p>
    <w:p w14:paraId="04110E32"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Arthur, I.K. and Yamoah, F.A., 2019. Understanding the role of environmental quality attributes in food-related rural enterprise competitiveness. </w:t>
      </w:r>
      <w:r>
        <w:rPr>
          <w:i/>
          <w:iCs/>
          <w:color w:val="222222"/>
          <w:shd w:val="clear" w:color="auto" w:fill="FFFFFF"/>
        </w:rPr>
        <w:t>Journal of Environmental Management</w:t>
      </w:r>
      <w:r>
        <w:rPr>
          <w:color w:val="222222"/>
          <w:shd w:val="clear" w:color="auto" w:fill="FFFFFF"/>
        </w:rPr>
        <w:t xml:space="preserve">, </w:t>
      </w:r>
      <w:r>
        <w:rPr>
          <w:i/>
          <w:iCs/>
          <w:color w:val="222222"/>
          <w:shd w:val="clear" w:color="auto" w:fill="FFFFFF"/>
        </w:rPr>
        <w:t>247</w:t>
      </w:r>
      <w:r>
        <w:rPr>
          <w:color w:val="222222"/>
          <w:shd w:val="clear" w:color="auto" w:fill="FFFFFF"/>
        </w:rPr>
        <w:t>, pp.152-160.</w:t>
      </w:r>
    </w:p>
    <w:p w14:paraId="1D5A4CAA"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Barlow, M.A., Verhaal, J.C. and Angus, R.W., 2019. Optimal distinctiveness, strategic categorization, and product market entry on the Google Play app platform. </w:t>
      </w:r>
      <w:r>
        <w:rPr>
          <w:i/>
          <w:iCs/>
          <w:color w:val="222222"/>
          <w:shd w:val="clear" w:color="auto" w:fill="FFFFFF"/>
        </w:rPr>
        <w:t>Strategic Management Journal</w:t>
      </w:r>
      <w:r>
        <w:rPr>
          <w:color w:val="222222"/>
          <w:shd w:val="clear" w:color="auto" w:fill="FFFFFF"/>
        </w:rPr>
        <w:t xml:space="preserve">, </w:t>
      </w:r>
      <w:r>
        <w:rPr>
          <w:i/>
          <w:iCs/>
          <w:color w:val="222222"/>
          <w:shd w:val="clear" w:color="auto" w:fill="FFFFFF"/>
        </w:rPr>
        <w:t>40</w:t>
      </w:r>
      <w:r>
        <w:rPr>
          <w:color w:val="222222"/>
          <w:shd w:val="clear" w:color="auto" w:fill="FFFFFF"/>
        </w:rPr>
        <w:t>(8), pp.1219-1242.</w:t>
      </w:r>
    </w:p>
    <w:p w14:paraId="2C3BD5F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Beheshtian, A., Geddes, R.R., Rouhani, O.M., Kockelman, K.M., Ockenfels, A., Cramton, P. and Do, W., 2020. Bringing the efficiency of electricity market mechanisms to multimodal mobility across congested transportation systems. </w:t>
      </w:r>
      <w:r>
        <w:rPr>
          <w:i/>
          <w:iCs/>
          <w:color w:val="222222"/>
          <w:shd w:val="clear" w:color="auto" w:fill="FFFFFF"/>
        </w:rPr>
        <w:t>Transportation Research Part A: Policy and Practice</w:t>
      </w:r>
      <w:r>
        <w:rPr>
          <w:color w:val="222222"/>
          <w:shd w:val="clear" w:color="auto" w:fill="FFFFFF"/>
        </w:rPr>
        <w:t xml:space="preserve">, </w:t>
      </w:r>
      <w:r>
        <w:rPr>
          <w:i/>
          <w:iCs/>
          <w:color w:val="222222"/>
          <w:shd w:val="clear" w:color="auto" w:fill="FFFFFF"/>
        </w:rPr>
        <w:t>131</w:t>
      </w:r>
      <w:r>
        <w:rPr>
          <w:color w:val="222222"/>
          <w:shd w:val="clear" w:color="auto" w:fill="FFFFFF"/>
        </w:rPr>
        <w:t>, pp.58-69.</w:t>
      </w:r>
    </w:p>
    <w:p w14:paraId="0E8BF482"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Bogliacino, F., Codagnone, C., Cirillo, V. and Guarascio, D., 2020. Quantity and quality of work in the platform economy. In </w:t>
      </w:r>
      <w:r>
        <w:rPr>
          <w:i/>
          <w:iCs/>
          <w:color w:val="222222"/>
          <w:shd w:val="clear" w:color="auto" w:fill="FFFFFF"/>
        </w:rPr>
        <w:t>Handbook of Labor, Human Resources and Population Economics</w:t>
      </w:r>
      <w:r>
        <w:rPr>
          <w:color w:val="222222"/>
          <w:shd w:val="clear" w:color="auto" w:fill="FFFFFF"/>
        </w:rPr>
        <w:t xml:space="preserve"> (pp. 1-28). Cham: Springer International Publishing.</w:t>
      </w:r>
    </w:p>
    <w:p w14:paraId="2A2FC88D"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Brydges, T. and Hracs, B.J., 2019. What motivates millennials? How intersectionality shapes the working lives of female entrepreneurs in Canada’s fashion industry. </w:t>
      </w:r>
      <w:r>
        <w:rPr>
          <w:i/>
          <w:iCs/>
          <w:color w:val="222222"/>
          <w:shd w:val="clear" w:color="auto" w:fill="FFFFFF"/>
        </w:rPr>
        <w:t>Gender, Place &amp; Culture</w:t>
      </w:r>
      <w:r>
        <w:rPr>
          <w:color w:val="222222"/>
          <w:shd w:val="clear" w:color="auto" w:fill="FFFFFF"/>
        </w:rPr>
        <w:t xml:space="preserve">, </w:t>
      </w:r>
      <w:r>
        <w:rPr>
          <w:i/>
          <w:iCs/>
          <w:color w:val="222222"/>
          <w:shd w:val="clear" w:color="auto" w:fill="FFFFFF"/>
        </w:rPr>
        <w:t>26</w:t>
      </w:r>
      <w:r>
        <w:rPr>
          <w:color w:val="222222"/>
          <w:shd w:val="clear" w:color="auto" w:fill="FFFFFF"/>
        </w:rPr>
        <w:t>(4), pp.510-532.</w:t>
      </w:r>
    </w:p>
    <w:p w14:paraId="062D9697"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Burger, S.P., Jenkins, J.D., Batlle, C. and Pérez-Arriaga, I.J., 2019. Restructuring revisited part 1: Competition in electricity distribution systems. </w:t>
      </w:r>
      <w:r>
        <w:rPr>
          <w:i/>
          <w:iCs/>
          <w:color w:val="222222"/>
          <w:shd w:val="clear" w:color="auto" w:fill="FFFFFF"/>
        </w:rPr>
        <w:t>The Energy Journal</w:t>
      </w:r>
      <w:r>
        <w:rPr>
          <w:color w:val="222222"/>
          <w:shd w:val="clear" w:color="auto" w:fill="FFFFFF"/>
        </w:rPr>
        <w:t xml:space="preserve">, </w:t>
      </w:r>
      <w:r>
        <w:rPr>
          <w:i/>
          <w:iCs/>
          <w:color w:val="222222"/>
          <w:shd w:val="clear" w:color="auto" w:fill="FFFFFF"/>
        </w:rPr>
        <w:t>40</w:t>
      </w:r>
      <w:r>
        <w:rPr>
          <w:color w:val="222222"/>
          <w:shd w:val="clear" w:color="auto" w:fill="FFFFFF"/>
        </w:rPr>
        <w:t>(3).</w:t>
      </w:r>
    </w:p>
    <w:p w14:paraId="1DF6D40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Chen, Y. and Wang, L., 2019. Commentary: Marketing and the sharing economy: Digital economy and emerging market challenges. </w:t>
      </w:r>
      <w:r>
        <w:rPr>
          <w:i/>
          <w:iCs/>
          <w:color w:val="222222"/>
          <w:shd w:val="clear" w:color="auto" w:fill="FFFFFF"/>
        </w:rPr>
        <w:t>Journal of Marketing</w:t>
      </w:r>
      <w:r>
        <w:rPr>
          <w:color w:val="222222"/>
          <w:shd w:val="clear" w:color="auto" w:fill="FFFFFF"/>
        </w:rPr>
        <w:t xml:space="preserve">, </w:t>
      </w:r>
      <w:r>
        <w:rPr>
          <w:i/>
          <w:iCs/>
          <w:color w:val="222222"/>
          <w:shd w:val="clear" w:color="auto" w:fill="FFFFFF"/>
        </w:rPr>
        <w:t>83</w:t>
      </w:r>
      <w:r>
        <w:rPr>
          <w:color w:val="222222"/>
          <w:shd w:val="clear" w:color="auto" w:fill="FFFFFF"/>
        </w:rPr>
        <w:t>(5), pp.28-31.</w:t>
      </w:r>
    </w:p>
    <w:p w14:paraId="213085A5" w14:textId="77777777" w:rsidR="001B17F5" w:rsidRDefault="001B17F5" w:rsidP="001B17F5">
      <w:pPr>
        <w:pStyle w:val="NormalWeb"/>
        <w:spacing w:before="0" w:beforeAutospacing="0" w:after="0" w:afterAutospacing="0" w:line="360" w:lineRule="auto"/>
        <w:jc w:val="both"/>
      </w:pPr>
      <w:r>
        <w:rPr>
          <w:color w:val="222222"/>
          <w:shd w:val="clear" w:color="auto" w:fill="FFFFFF"/>
        </w:rPr>
        <w:lastRenderedPageBreak/>
        <w:t xml:space="preserve">Gläser, S., Jahnke, H. and Strassheim, N., 2021. Opportunities and challenges of crowd logistics on the last mile for courier, express and parcel service providers–a literature review. </w:t>
      </w:r>
      <w:r>
        <w:rPr>
          <w:i/>
          <w:iCs/>
          <w:color w:val="222222"/>
          <w:shd w:val="clear" w:color="auto" w:fill="FFFFFF"/>
        </w:rPr>
        <w:t>International Journal of Logistics Research and Applications</w:t>
      </w:r>
      <w:r>
        <w:rPr>
          <w:color w:val="222222"/>
          <w:shd w:val="clear" w:color="auto" w:fill="FFFFFF"/>
        </w:rPr>
        <w:t>, pp.1-29.</w:t>
      </w:r>
    </w:p>
    <w:p w14:paraId="5D83C127"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Gomez, T., Herrero, I., Rodilla, P., Escobar, R., Lanza, S., de la Fuente, I., Llorens, M.L. and Junco, P., 2019. European Union electricity markets: Current practice and future view. </w:t>
      </w:r>
      <w:r>
        <w:rPr>
          <w:i/>
          <w:iCs/>
          <w:color w:val="222222"/>
          <w:shd w:val="clear" w:color="auto" w:fill="FFFFFF"/>
        </w:rPr>
        <w:t>IEEE Power and Energy Magazine</w:t>
      </w:r>
      <w:r>
        <w:rPr>
          <w:color w:val="222222"/>
          <w:shd w:val="clear" w:color="auto" w:fill="FFFFFF"/>
        </w:rPr>
        <w:t xml:space="preserve">, </w:t>
      </w:r>
      <w:r>
        <w:rPr>
          <w:i/>
          <w:iCs/>
          <w:color w:val="222222"/>
          <w:shd w:val="clear" w:color="auto" w:fill="FFFFFF"/>
        </w:rPr>
        <w:t>17</w:t>
      </w:r>
      <w:r>
        <w:rPr>
          <w:color w:val="222222"/>
          <w:shd w:val="clear" w:color="auto" w:fill="FFFFFF"/>
        </w:rPr>
        <w:t>(1), pp.20-31.</w:t>
      </w:r>
    </w:p>
    <w:p w14:paraId="2295CBD3"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Kohler, T. and Chesbrough, H., 2019. From collaborative community to competitive market: The quest to build a crowdsourcing platform for social innovation. </w:t>
      </w:r>
      <w:r>
        <w:rPr>
          <w:i/>
          <w:iCs/>
          <w:color w:val="222222"/>
          <w:shd w:val="clear" w:color="auto" w:fill="FFFFFF"/>
        </w:rPr>
        <w:t>R&amp;d Management</w:t>
      </w:r>
      <w:r>
        <w:rPr>
          <w:color w:val="222222"/>
          <w:shd w:val="clear" w:color="auto" w:fill="FFFFFF"/>
        </w:rPr>
        <w:t xml:space="preserve">, </w:t>
      </w:r>
      <w:r>
        <w:rPr>
          <w:i/>
          <w:iCs/>
          <w:color w:val="222222"/>
          <w:shd w:val="clear" w:color="auto" w:fill="FFFFFF"/>
        </w:rPr>
        <w:t>49</w:t>
      </w:r>
      <w:r>
        <w:rPr>
          <w:color w:val="222222"/>
          <w:shd w:val="clear" w:color="auto" w:fill="FFFFFF"/>
        </w:rPr>
        <w:t>(3), pp.356-368.</w:t>
      </w:r>
    </w:p>
    <w:p w14:paraId="67B926EE"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Kretschmer, T., Leiponen, A., Schilling, M. and Vasudeva, G., 2022. Platform ecosystems as meta‐organizations: Implications for platform strategies. </w:t>
      </w:r>
      <w:r>
        <w:rPr>
          <w:i/>
          <w:iCs/>
          <w:color w:val="222222"/>
          <w:shd w:val="clear" w:color="auto" w:fill="FFFFFF"/>
        </w:rPr>
        <w:t>Strategic Management Journal</w:t>
      </w:r>
      <w:r>
        <w:rPr>
          <w:color w:val="222222"/>
          <w:shd w:val="clear" w:color="auto" w:fill="FFFFFF"/>
        </w:rPr>
        <w:t xml:space="preserve">, </w:t>
      </w:r>
      <w:r>
        <w:rPr>
          <w:i/>
          <w:iCs/>
          <w:color w:val="222222"/>
          <w:shd w:val="clear" w:color="auto" w:fill="FFFFFF"/>
        </w:rPr>
        <w:t>43</w:t>
      </w:r>
      <w:r>
        <w:rPr>
          <w:color w:val="222222"/>
          <w:shd w:val="clear" w:color="auto" w:fill="FFFFFF"/>
        </w:rPr>
        <w:t>(3), pp.405-424.</w:t>
      </w:r>
    </w:p>
    <w:p w14:paraId="45176B07" w14:textId="77777777" w:rsidR="001B17F5" w:rsidRDefault="001B17F5" w:rsidP="001B17F5">
      <w:pPr>
        <w:pStyle w:val="NormalWeb"/>
        <w:spacing w:before="0" w:beforeAutospacing="0" w:after="0" w:afterAutospacing="0" w:line="360" w:lineRule="auto"/>
        <w:jc w:val="both"/>
      </w:pPr>
      <w:r>
        <w:rPr>
          <w:color w:val="222222"/>
          <w:shd w:val="clear" w:color="auto" w:fill="FFFFFF"/>
        </w:rPr>
        <w:t>Lane, M., 2020. Regulating platform work in the digital age.</w:t>
      </w:r>
    </w:p>
    <w:p w14:paraId="2E71BAF8"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Le, T.V., Stathopoulos, A., Van Woensel, T. and Ukkusuri, S.V., 2019. Supply, demand, operations, and management of crowd-shipping services: A review and empirical evidence. </w:t>
      </w:r>
      <w:r>
        <w:rPr>
          <w:i/>
          <w:iCs/>
          <w:color w:val="222222"/>
          <w:shd w:val="clear" w:color="auto" w:fill="FFFFFF"/>
        </w:rPr>
        <w:t>Transportation Research Part C: Emerging Technologies</w:t>
      </w:r>
      <w:r>
        <w:rPr>
          <w:color w:val="222222"/>
          <w:shd w:val="clear" w:color="auto" w:fill="FFFFFF"/>
        </w:rPr>
        <w:t xml:space="preserve">, </w:t>
      </w:r>
      <w:r>
        <w:rPr>
          <w:i/>
          <w:iCs/>
          <w:color w:val="222222"/>
          <w:shd w:val="clear" w:color="auto" w:fill="FFFFFF"/>
        </w:rPr>
        <w:t>103</w:t>
      </w:r>
      <w:r>
        <w:rPr>
          <w:color w:val="222222"/>
          <w:shd w:val="clear" w:color="auto" w:fill="FFFFFF"/>
        </w:rPr>
        <w:t>, pp.83-103.</w:t>
      </w:r>
    </w:p>
    <w:p w14:paraId="5C1E8440"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Majchrzak, A. and Malhotra, A., 2020. </w:t>
      </w:r>
      <w:r>
        <w:rPr>
          <w:i/>
          <w:iCs/>
          <w:color w:val="222222"/>
          <w:shd w:val="clear" w:color="auto" w:fill="FFFFFF"/>
        </w:rPr>
        <w:t>Unleashing the crowd</w:t>
      </w:r>
      <w:r>
        <w:rPr>
          <w:color w:val="222222"/>
          <w:shd w:val="clear" w:color="auto" w:fill="FFFFFF"/>
        </w:rPr>
        <w:t>. Springer International Publishing.</w:t>
      </w:r>
    </w:p>
    <w:p w14:paraId="19C4620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Marano, V., Tallman, S. and Teegen, H.J., 2020. The liability of disruption. </w:t>
      </w:r>
      <w:r>
        <w:rPr>
          <w:i/>
          <w:iCs/>
          <w:color w:val="222222"/>
          <w:shd w:val="clear" w:color="auto" w:fill="FFFFFF"/>
        </w:rPr>
        <w:t>Global Strategy Journal</w:t>
      </w:r>
      <w:r>
        <w:rPr>
          <w:color w:val="222222"/>
          <w:shd w:val="clear" w:color="auto" w:fill="FFFFFF"/>
        </w:rPr>
        <w:t xml:space="preserve">, </w:t>
      </w:r>
      <w:r>
        <w:rPr>
          <w:i/>
          <w:iCs/>
          <w:color w:val="222222"/>
          <w:shd w:val="clear" w:color="auto" w:fill="FFFFFF"/>
        </w:rPr>
        <w:t>10</w:t>
      </w:r>
      <w:r>
        <w:rPr>
          <w:color w:val="222222"/>
          <w:shd w:val="clear" w:color="auto" w:fill="FFFFFF"/>
        </w:rPr>
        <w:t>(1), pp.174-209.</w:t>
      </w:r>
    </w:p>
    <w:p w14:paraId="1DF11A5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Mazzucato, M., Kattel, R. and Ryan-Collins, J., 2020. Challenge-driven innovation policy: towards a new policy toolkit. </w:t>
      </w:r>
      <w:r>
        <w:rPr>
          <w:i/>
          <w:iCs/>
          <w:color w:val="222222"/>
          <w:shd w:val="clear" w:color="auto" w:fill="FFFFFF"/>
        </w:rPr>
        <w:t>Journal of industry, competition and trade</w:t>
      </w:r>
      <w:r>
        <w:rPr>
          <w:color w:val="222222"/>
          <w:shd w:val="clear" w:color="auto" w:fill="FFFFFF"/>
        </w:rPr>
        <w:t xml:space="preserve">, </w:t>
      </w:r>
      <w:r>
        <w:rPr>
          <w:i/>
          <w:iCs/>
          <w:color w:val="222222"/>
          <w:shd w:val="clear" w:color="auto" w:fill="FFFFFF"/>
        </w:rPr>
        <w:t>20</w:t>
      </w:r>
      <w:r>
        <w:rPr>
          <w:color w:val="222222"/>
          <w:shd w:val="clear" w:color="auto" w:fill="FFFFFF"/>
        </w:rPr>
        <w:t>, pp.421-437.</w:t>
      </w:r>
    </w:p>
    <w:p w14:paraId="458BF16A"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Musabegovic, I., Özer, M., Djukovic, S. and Jovanovic, S., 2019. Influence of financial technology (FinTech) on financial industry. </w:t>
      </w:r>
      <w:r>
        <w:rPr>
          <w:i/>
          <w:iCs/>
          <w:color w:val="222222"/>
          <w:shd w:val="clear" w:color="auto" w:fill="FFFFFF"/>
        </w:rPr>
        <w:t>Економика пољопривреде</w:t>
      </w:r>
      <w:r>
        <w:rPr>
          <w:color w:val="222222"/>
          <w:shd w:val="clear" w:color="auto" w:fill="FFFFFF"/>
        </w:rPr>
        <w:t xml:space="preserve">, </w:t>
      </w:r>
      <w:r>
        <w:rPr>
          <w:i/>
          <w:iCs/>
          <w:color w:val="222222"/>
          <w:shd w:val="clear" w:color="auto" w:fill="FFFFFF"/>
        </w:rPr>
        <w:t>66</w:t>
      </w:r>
      <w:r>
        <w:rPr>
          <w:color w:val="222222"/>
          <w:shd w:val="clear" w:color="auto" w:fill="FFFFFF"/>
        </w:rPr>
        <w:t>(4), pp.1003-1021.</w:t>
      </w:r>
    </w:p>
    <w:p w14:paraId="24B954BD"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Naradda Gamage, S.K., Ekanayake, E.M.S., Abeyrathne, G.A.K.N.J., Prasanna, R.P.I.R., Jayasundara, J.M.S.B. and Rajapakshe, P.S.K., 2020. A review of global challenges and survival strategies of small and medium enterprises (SMEs). </w:t>
      </w:r>
      <w:r>
        <w:rPr>
          <w:i/>
          <w:iCs/>
          <w:color w:val="222222"/>
          <w:shd w:val="clear" w:color="auto" w:fill="FFFFFF"/>
        </w:rPr>
        <w:t>Economies</w:t>
      </w:r>
      <w:r>
        <w:rPr>
          <w:color w:val="222222"/>
          <w:shd w:val="clear" w:color="auto" w:fill="FFFFFF"/>
        </w:rPr>
        <w:t xml:space="preserve">, </w:t>
      </w:r>
      <w:r>
        <w:rPr>
          <w:i/>
          <w:iCs/>
          <w:color w:val="222222"/>
          <w:shd w:val="clear" w:color="auto" w:fill="FFFFFF"/>
        </w:rPr>
        <w:t>8</w:t>
      </w:r>
      <w:r>
        <w:rPr>
          <w:color w:val="222222"/>
          <w:shd w:val="clear" w:color="auto" w:fill="FFFFFF"/>
        </w:rPr>
        <w:t>(4), p.79.</w:t>
      </w:r>
    </w:p>
    <w:p w14:paraId="74F49958"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Narain, A., Srivastava, S.K. and Singh, S.N., 2020. Congestion management approaches in restructured power system: Key issues and challenges. </w:t>
      </w:r>
      <w:r>
        <w:rPr>
          <w:i/>
          <w:iCs/>
          <w:color w:val="222222"/>
          <w:shd w:val="clear" w:color="auto" w:fill="FFFFFF"/>
        </w:rPr>
        <w:t>The Electricity Journal</w:t>
      </w:r>
      <w:r>
        <w:rPr>
          <w:color w:val="222222"/>
          <w:shd w:val="clear" w:color="auto" w:fill="FFFFFF"/>
        </w:rPr>
        <w:t xml:space="preserve">, </w:t>
      </w:r>
      <w:r>
        <w:rPr>
          <w:i/>
          <w:iCs/>
          <w:color w:val="222222"/>
          <w:shd w:val="clear" w:color="auto" w:fill="FFFFFF"/>
        </w:rPr>
        <w:t>33</w:t>
      </w:r>
      <w:r>
        <w:rPr>
          <w:color w:val="222222"/>
          <w:shd w:val="clear" w:color="auto" w:fill="FFFFFF"/>
        </w:rPr>
        <w:t>(3), p.106715.</w:t>
      </w:r>
    </w:p>
    <w:p w14:paraId="66ABB822"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Nordhaus, W.D., 2021. </w:t>
      </w:r>
      <w:r>
        <w:rPr>
          <w:i/>
          <w:iCs/>
          <w:color w:val="222222"/>
          <w:shd w:val="clear" w:color="auto" w:fill="FFFFFF"/>
        </w:rPr>
        <w:t>The spirit of green: the economics of collisions and contagions in a crowded world</w:t>
      </w:r>
      <w:r>
        <w:rPr>
          <w:color w:val="222222"/>
          <w:shd w:val="clear" w:color="auto" w:fill="FFFFFF"/>
        </w:rPr>
        <w:t>. Princeton University Press.</w:t>
      </w:r>
    </w:p>
    <w:p w14:paraId="64C3D13B" w14:textId="77777777" w:rsidR="001B17F5" w:rsidRDefault="001B17F5" w:rsidP="001B17F5">
      <w:pPr>
        <w:pStyle w:val="NormalWeb"/>
        <w:spacing w:before="0" w:beforeAutospacing="0" w:after="0" w:afterAutospacing="0" w:line="360" w:lineRule="auto"/>
        <w:jc w:val="both"/>
      </w:pPr>
      <w:r>
        <w:rPr>
          <w:color w:val="222222"/>
          <w:shd w:val="clear" w:color="auto" w:fill="FFFFFF"/>
        </w:rPr>
        <w:lastRenderedPageBreak/>
        <w:t xml:space="preserve">Peticca-Harris, A., DeGAMA, N. and Ravishankar, M.N., 2020. Postcapitalist precarious work and those in the ‘drivers’ seat: Exploring the motivations and lived experiences of Uber drivers in Canada. </w:t>
      </w:r>
      <w:r>
        <w:rPr>
          <w:i/>
          <w:iCs/>
          <w:color w:val="222222"/>
          <w:shd w:val="clear" w:color="auto" w:fill="FFFFFF"/>
        </w:rPr>
        <w:t>Organization</w:t>
      </w:r>
      <w:r>
        <w:rPr>
          <w:color w:val="222222"/>
          <w:shd w:val="clear" w:color="auto" w:fill="FFFFFF"/>
        </w:rPr>
        <w:t xml:space="preserve">, </w:t>
      </w:r>
      <w:r>
        <w:rPr>
          <w:i/>
          <w:iCs/>
          <w:color w:val="222222"/>
          <w:shd w:val="clear" w:color="auto" w:fill="FFFFFF"/>
        </w:rPr>
        <w:t>27</w:t>
      </w:r>
      <w:r>
        <w:rPr>
          <w:color w:val="222222"/>
          <w:shd w:val="clear" w:color="auto" w:fill="FFFFFF"/>
        </w:rPr>
        <w:t>(1), pp.36-59.</w:t>
      </w:r>
    </w:p>
    <w:p w14:paraId="473EBF51"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Pomarici, E., Corsi, A., Mazzarino, S. and Sardone, R., 2021. The Italian wine sector: Evolution, structure, competitiveness and future challenges of an enduring leader. </w:t>
      </w:r>
      <w:r>
        <w:rPr>
          <w:i/>
          <w:iCs/>
          <w:color w:val="222222"/>
          <w:shd w:val="clear" w:color="auto" w:fill="FFFFFF"/>
        </w:rPr>
        <w:t>Italian Economic Journal</w:t>
      </w:r>
      <w:r>
        <w:rPr>
          <w:color w:val="222222"/>
          <w:shd w:val="clear" w:color="auto" w:fill="FFFFFF"/>
        </w:rPr>
        <w:t xml:space="preserve">, </w:t>
      </w:r>
      <w:r>
        <w:rPr>
          <w:i/>
          <w:iCs/>
          <w:color w:val="222222"/>
          <w:shd w:val="clear" w:color="auto" w:fill="FFFFFF"/>
        </w:rPr>
        <w:t>7</w:t>
      </w:r>
      <w:r>
        <w:rPr>
          <w:color w:val="222222"/>
          <w:shd w:val="clear" w:color="auto" w:fill="FFFFFF"/>
        </w:rPr>
        <w:t>(2), pp.259-295.</w:t>
      </w:r>
    </w:p>
    <w:p w14:paraId="4D3E5C11"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Rani, U. and Furrer, M., 2021. Digital labour platforms and new forms of flexible work in developing countries: Algorithmic management of work and workers. </w:t>
      </w:r>
      <w:r>
        <w:rPr>
          <w:i/>
          <w:iCs/>
          <w:color w:val="222222"/>
          <w:shd w:val="clear" w:color="auto" w:fill="FFFFFF"/>
        </w:rPr>
        <w:t>Competition &amp; Change</w:t>
      </w:r>
      <w:r>
        <w:rPr>
          <w:color w:val="222222"/>
          <w:shd w:val="clear" w:color="auto" w:fill="FFFFFF"/>
        </w:rPr>
        <w:t xml:space="preserve">, </w:t>
      </w:r>
      <w:r>
        <w:rPr>
          <w:i/>
          <w:iCs/>
          <w:color w:val="222222"/>
          <w:shd w:val="clear" w:color="auto" w:fill="FFFFFF"/>
        </w:rPr>
        <w:t>25</w:t>
      </w:r>
      <w:r>
        <w:rPr>
          <w:color w:val="222222"/>
          <w:shd w:val="clear" w:color="auto" w:fill="FFFFFF"/>
        </w:rPr>
        <w:t>(2), pp.212-236.</w:t>
      </w:r>
    </w:p>
    <w:p w14:paraId="6C5EE99D"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Tirole, J., 2020. Competition and the industrial challenge for the digital age. </w:t>
      </w:r>
      <w:r>
        <w:rPr>
          <w:i/>
          <w:iCs/>
          <w:color w:val="222222"/>
          <w:shd w:val="clear" w:color="auto" w:fill="FFFFFF"/>
        </w:rPr>
        <w:t>IFS Deaton Review on Inequalities in</w:t>
      </w:r>
      <w:r>
        <w:rPr>
          <w:color w:val="222222"/>
          <w:shd w:val="clear" w:color="auto" w:fill="FFFFFF"/>
        </w:rPr>
        <w:t>.</w:t>
      </w:r>
    </w:p>
    <w:p w14:paraId="10352C64"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Tubaro, P. and Casilli, A.A., 2019. Micro-work, artificial intelligence and the automotive industry. </w:t>
      </w:r>
      <w:r>
        <w:rPr>
          <w:i/>
          <w:iCs/>
          <w:color w:val="222222"/>
          <w:shd w:val="clear" w:color="auto" w:fill="FFFFFF"/>
        </w:rPr>
        <w:t>Journal of Industrial and Business Economics</w:t>
      </w:r>
      <w:r>
        <w:rPr>
          <w:color w:val="222222"/>
          <w:shd w:val="clear" w:color="auto" w:fill="FFFFFF"/>
        </w:rPr>
        <w:t xml:space="preserve">, </w:t>
      </w:r>
      <w:r>
        <w:rPr>
          <w:i/>
          <w:iCs/>
          <w:color w:val="222222"/>
          <w:shd w:val="clear" w:color="auto" w:fill="FFFFFF"/>
        </w:rPr>
        <w:t>46</w:t>
      </w:r>
      <w:r>
        <w:rPr>
          <w:color w:val="222222"/>
          <w:shd w:val="clear" w:color="auto" w:fill="FFFFFF"/>
        </w:rPr>
        <w:t>, pp.333-345.</w:t>
      </w:r>
    </w:p>
    <w:p w14:paraId="62F4B1A5"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Viacheslavna, Z.O. and Anatolievna, O.J., 2020. Business activity of agricultural enterprises. Problems and solutions. </w:t>
      </w:r>
      <w:r>
        <w:rPr>
          <w:i/>
          <w:iCs/>
          <w:color w:val="222222"/>
          <w:shd w:val="clear" w:color="auto" w:fill="FFFFFF"/>
        </w:rPr>
        <w:t>Азимут научных исследований: экономика и управление</w:t>
      </w:r>
      <w:r>
        <w:rPr>
          <w:color w:val="222222"/>
          <w:shd w:val="clear" w:color="auto" w:fill="FFFFFF"/>
        </w:rPr>
        <w:t xml:space="preserve">, </w:t>
      </w:r>
      <w:r>
        <w:rPr>
          <w:i/>
          <w:iCs/>
          <w:color w:val="222222"/>
          <w:shd w:val="clear" w:color="auto" w:fill="FFFFFF"/>
        </w:rPr>
        <w:t>9</w:t>
      </w:r>
      <w:r>
        <w:rPr>
          <w:color w:val="222222"/>
          <w:shd w:val="clear" w:color="auto" w:fill="FFFFFF"/>
        </w:rPr>
        <w:t>(4 (33)), pp.151-153.</w:t>
      </w:r>
    </w:p>
    <w:p w14:paraId="6050056B" w14:textId="77777777" w:rsidR="001B17F5" w:rsidRDefault="001B17F5" w:rsidP="001B17F5">
      <w:pPr>
        <w:pStyle w:val="NormalWeb"/>
        <w:spacing w:before="0" w:beforeAutospacing="0" w:after="0" w:afterAutospacing="0" w:line="360" w:lineRule="auto"/>
        <w:jc w:val="both"/>
      </w:pPr>
      <w:r>
        <w:rPr>
          <w:color w:val="222222"/>
          <w:shd w:val="clear" w:color="auto" w:fill="FFFFFF"/>
        </w:rPr>
        <w:t xml:space="preserve">Ye, Y., Qiu, D., Li, J. and Strbac, G., 2019. Multi-period and multi-spatial equilibrium analysis in imperfect electricity markets: A novel multi-agent deep reinforcement learning approach. </w:t>
      </w:r>
      <w:r>
        <w:rPr>
          <w:i/>
          <w:iCs/>
          <w:color w:val="222222"/>
          <w:shd w:val="clear" w:color="auto" w:fill="FFFFFF"/>
        </w:rPr>
        <w:t>IEEE access</w:t>
      </w:r>
      <w:r>
        <w:rPr>
          <w:color w:val="222222"/>
          <w:shd w:val="clear" w:color="auto" w:fill="FFFFFF"/>
        </w:rPr>
        <w:t xml:space="preserve">, </w:t>
      </w:r>
      <w:r>
        <w:rPr>
          <w:i/>
          <w:iCs/>
          <w:color w:val="222222"/>
          <w:shd w:val="clear" w:color="auto" w:fill="FFFFFF"/>
        </w:rPr>
        <w:t>7</w:t>
      </w:r>
      <w:r>
        <w:rPr>
          <w:color w:val="222222"/>
          <w:shd w:val="clear" w:color="auto" w:fill="FFFFFF"/>
        </w:rPr>
        <w:t>, pp.130515-130529.</w:t>
      </w:r>
    </w:p>
    <w:p w14:paraId="6B0D004F" w14:textId="77777777" w:rsidR="001B17F5" w:rsidRDefault="001B17F5" w:rsidP="001B17F5">
      <w:pPr>
        <w:spacing w:line="360" w:lineRule="auto"/>
        <w:jc w:val="both"/>
        <w:rPr>
          <w:rFonts w:ascii="Times New Roman" w:eastAsia="Times New Roman" w:hAnsi="Times New Roman" w:cs="Times New Roman"/>
          <w:sz w:val="24"/>
          <w:szCs w:val="24"/>
        </w:rPr>
      </w:pPr>
    </w:p>
    <w:p w14:paraId="00000035" w14:textId="77777777" w:rsidR="00E41C81" w:rsidRDefault="00E41C81" w:rsidP="001B17F5">
      <w:pPr>
        <w:spacing w:line="360" w:lineRule="auto"/>
        <w:jc w:val="both"/>
        <w:rPr>
          <w:rFonts w:ascii="Times New Roman" w:eastAsia="Times New Roman" w:hAnsi="Times New Roman" w:cs="Times New Roman"/>
          <w:sz w:val="24"/>
          <w:szCs w:val="24"/>
        </w:rPr>
      </w:pPr>
    </w:p>
    <w:p w14:paraId="00000036" w14:textId="77777777" w:rsidR="00E41C81" w:rsidRDefault="00E41C81" w:rsidP="001B17F5">
      <w:pPr>
        <w:spacing w:line="360" w:lineRule="auto"/>
        <w:jc w:val="both"/>
        <w:rPr>
          <w:rFonts w:ascii="Times New Roman" w:eastAsia="Times New Roman" w:hAnsi="Times New Roman" w:cs="Times New Roman"/>
          <w:sz w:val="24"/>
          <w:szCs w:val="24"/>
        </w:rPr>
      </w:pPr>
    </w:p>
    <w:p w14:paraId="00000037" w14:textId="77777777" w:rsidR="00E41C81" w:rsidRDefault="00E41C81" w:rsidP="001B17F5">
      <w:pPr>
        <w:spacing w:line="360" w:lineRule="auto"/>
        <w:jc w:val="both"/>
        <w:rPr>
          <w:rFonts w:ascii="Times New Roman" w:eastAsia="Times New Roman" w:hAnsi="Times New Roman" w:cs="Times New Roman"/>
          <w:sz w:val="24"/>
          <w:szCs w:val="24"/>
        </w:rPr>
      </w:pPr>
    </w:p>
    <w:p w14:paraId="00000038" w14:textId="77777777" w:rsidR="00E41C81" w:rsidRDefault="00E41C81" w:rsidP="001B17F5">
      <w:pPr>
        <w:spacing w:line="360" w:lineRule="auto"/>
        <w:jc w:val="both"/>
        <w:rPr>
          <w:rFonts w:ascii="Times New Roman" w:eastAsia="Times New Roman" w:hAnsi="Times New Roman" w:cs="Times New Roman"/>
          <w:sz w:val="24"/>
          <w:szCs w:val="24"/>
        </w:rPr>
      </w:pPr>
    </w:p>
    <w:p w14:paraId="00000039" w14:textId="77777777" w:rsidR="00E41C81" w:rsidRDefault="00E41C81" w:rsidP="001B17F5">
      <w:pPr>
        <w:spacing w:line="360" w:lineRule="auto"/>
        <w:jc w:val="both"/>
        <w:rPr>
          <w:rFonts w:ascii="Times New Roman" w:eastAsia="Times New Roman" w:hAnsi="Times New Roman" w:cs="Times New Roman"/>
          <w:sz w:val="24"/>
          <w:szCs w:val="24"/>
        </w:rPr>
      </w:pPr>
    </w:p>
    <w:sectPr w:rsidR="00E41C81" w:rsidSect="001B17F5">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7B5BD9E" w14:textId="77777777" w:rsidR="005F0F5A" w:rsidRDefault="005F0F5A" w:rsidP="001B17F5">
      <w:pPr>
        <w:spacing w:line="240" w:lineRule="auto"/>
      </w:pPr>
      <w:r>
        <w:separator/>
      </w:r>
    </w:p>
  </w:endnote>
  <w:endnote w:type="continuationSeparator" w:id="0">
    <w:p w14:paraId="3BB73E59" w14:textId="77777777" w:rsidR="005F0F5A" w:rsidRDefault="005F0F5A" w:rsidP="001B17F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82658588"/>
      <w:docPartObj>
        <w:docPartGallery w:val="Page Numbers (Bottom of Page)"/>
        <w:docPartUnique/>
      </w:docPartObj>
    </w:sdtPr>
    <w:sdtEndPr>
      <w:rPr>
        <w:rFonts w:ascii="Times New Roman" w:hAnsi="Times New Roman" w:cs="Times New Roman"/>
        <w:noProof/>
        <w:sz w:val="24"/>
      </w:rPr>
    </w:sdtEndPr>
    <w:sdtContent>
      <w:p w14:paraId="050C01EE" w14:textId="3B869D30" w:rsidR="001B17F5" w:rsidRPr="001B17F5" w:rsidRDefault="001B17F5">
        <w:pPr>
          <w:pStyle w:val="Footer"/>
          <w:jc w:val="right"/>
          <w:rPr>
            <w:rFonts w:ascii="Times New Roman" w:hAnsi="Times New Roman" w:cs="Times New Roman"/>
            <w:sz w:val="24"/>
          </w:rPr>
        </w:pPr>
        <w:r w:rsidRPr="001B17F5">
          <w:rPr>
            <w:rFonts w:ascii="Times New Roman" w:hAnsi="Times New Roman" w:cs="Times New Roman"/>
            <w:sz w:val="24"/>
          </w:rPr>
          <w:fldChar w:fldCharType="begin"/>
        </w:r>
        <w:r w:rsidRPr="001B17F5">
          <w:rPr>
            <w:rFonts w:ascii="Times New Roman" w:hAnsi="Times New Roman" w:cs="Times New Roman"/>
            <w:sz w:val="24"/>
          </w:rPr>
          <w:instrText xml:space="preserve"> PAGE   \* MERGEFORMAT </w:instrText>
        </w:r>
        <w:r w:rsidRPr="001B17F5">
          <w:rPr>
            <w:rFonts w:ascii="Times New Roman" w:hAnsi="Times New Roman" w:cs="Times New Roman"/>
            <w:sz w:val="24"/>
          </w:rPr>
          <w:fldChar w:fldCharType="separate"/>
        </w:r>
        <w:r>
          <w:rPr>
            <w:rFonts w:ascii="Times New Roman" w:hAnsi="Times New Roman" w:cs="Times New Roman"/>
            <w:noProof/>
            <w:sz w:val="24"/>
          </w:rPr>
          <w:t>15</w:t>
        </w:r>
        <w:r w:rsidRPr="001B17F5">
          <w:rPr>
            <w:rFonts w:ascii="Times New Roman" w:hAnsi="Times New Roman" w:cs="Times New Roman"/>
            <w:noProof/>
            <w:sz w:val="24"/>
          </w:rPr>
          <w:fldChar w:fldCharType="end"/>
        </w:r>
      </w:p>
    </w:sdtContent>
  </w:sdt>
  <w:p w14:paraId="65DACC69" w14:textId="77777777" w:rsidR="001B17F5" w:rsidRDefault="001B17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11D323" w14:textId="77777777" w:rsidR="005F0F5A" w:rsidRDefault="005F0F5A" w:rsidP="001B17F5">
      <w:pPr>
        <w:spacing w:line="240" w:lineRule="auto"/>
      </w:pPr>
      <w:r>
        <w:separator/>
      </w:r>
    </w:p>
  </w:footnote>
  <w:footnote w:type="continuationSeparator" w:id="0">
    <w:p w14:paraId="70D76C9F" w14:textId="77777777" w:rsidR="005F0F5A" w:rsidRDefault="005F0F5A" w:rsidP="001B17F5">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E41C81"/>
    <w:rsid w:val="00060C0F"/>
    <w:rsid w:val="000F07FC"/>
    <w:rsid w:val="001B17F5"/>
    <w:rsid w:val="001B3086"/>
    <w:rsid w:val="001B7D57"/>
    <w:rsid w:val="001E2CAF"/>
    <w:rsid w:val="00251FCF"/>
    <w:rsid w:val="0026465B"/>
    <w:rsid w:val="002B6125"/>
    <w:rsid w:val="002C7D8E"/>
    <w:rsid w:val="00306208"/>
    <w:rsid w:val="0038301A"/>
    <w:rsid w:val="003A5D53"/>
    <w:rsid w:val="0046630E"/>
    <w:rsid w:val="0049226F"/>
    <w:rsid w:val="005120B5"/>
    <w:rsid w:val="005A209E"/>
    <w:rsid w:val="005B6C16"/>
    <w:rsid w:val="005F0F5A"/>
    <w:rsid w:val="006216AE"/>
    <w:rsid w:val="00641A81"/>
    <w:rsid w:val="00671C71"/>
    <w:rsid w:val="007E5BA1"/>
    <w:rsid w:val="00873457"/>
    <w:rsid w:val="00874981"/>
    <w:rsid w:val="008C7383"/>
    <w:rsid w:val="009A0C56"/>
    <w:rsid w:val="009F42C4"/>
    <w:rsid w:val="00A429B7"/>
    <w:rsid w:val="00A7710C"/>
    <w:rsid w:val="00B57D0F"/>
    <w:rsid w:val="00B82ADE"/>
    <w:rsid w:val="00BC3645"/>
    <w:rsid w:val="00BD6B03"/>
    <w:rsid w:val="00C56AA6"/>
    <w:rsid w:val="00C62384"/>
    <w:rsid w:val="00CC1181"/>
    <w:rsid w:val="00DF3C5D"/>
    <w:rsid w:val="00E25D38"/>
    <w:rsid w:val="00E41C81"/>
    <w:rsid w:val="00E57095"/>
    <w:rsid w:val="00E618FE"/>
    <w:rsid w:val="00EB4986"/>
    <w:rsid w:val="00EC3B66"/>
    <w:rsid w:val="00EE325B"/>
    <w:rsid w:val="00F03D81"/>
    <w:rsid w:val="00F642F5"/>
    <w:rsid w:val="00F741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B0BC06"/>
  <w15:docId w15:val="{47A63ABC-20D6-4FD1-94DE-88CA9043493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NormalWeb">
    <w:name w:val="Normal (Web)"/>
    <w:basedOn w:val="Normal"/>
    <w:uiPriority w:val="99"/>
    <w:semiHidden/>
    <w:unhideWhenUsed/>
    <w:rsid w:val="001B17F5"/>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Header">
    <w:name w:val="header"/>
    <w:basedOn w:val="Normal"/>
    <w:link w:val="HeaderChar"/>
    <w:uiPriority w:val="99"/>
    <w:unhideWhenUsed/>
    <w:rsid w:val="001B17F5"/>
    <w:pPr>
      <w:tabs>
        <w:tab w:val="center" w:pos="4680"/>
        <w:tab w:val="right" w:pos="9360"/>
      </w:tabs>
      <w:spacing w:line="240" w:lineRule="auto"/>
    </w:pPr>
  </w:style>
  <w:style w:type="character" w:customStyle="1" w:styleId="HeaderChar">
    <w:name w:val="Header Char"/>
    <w:basedOn w:val="DefaultParagraphFont"/>
    <w:link w:val="Header"/>
    <w:uiPriority w:val="99"/>
    <w:rsid w:val="001B17F5"/>
  </w:style>
  <w:style w:type="paragraph" w:styleId="Footer">
    <w:name w:val="footer"/>
    <w:basedOn w:val="Normal"/>
    <w:link w:val="FooterChar"/>
    <w:uiPriority w:val="99"/>
    <w:unhideWhenUsed/>
    <w:rsid w:val="001B17F5"/>
    <w:pPr>
      <w:tabs>
        <w:tab w:val="center" w:pos="4680"/>
        <w:tab w:val="right" w:pos="9360"/>
      </w:tabs>
      <w:spacing w:line="240" w:lineRule="auto"/>
    </w:pPr>
  </w:style>
  <w:style w:type="character" w:customStyle="1" w:styleId="FooterChar">
    <w:name w:val="Footer Char"/>
    <w:basedOn w:val="DefaultParagraphFont"/>
    <w:link w:val="Footer"/>
    <w:uiPriority w:val="99"/>
    <w:rsid w:val="001B17F5"/>
  </w:style>
  <w:style w:type="paragraph" w:styleId="TOCHeading">
    <w:name w:val="TOC Heading"/>
    <w:basedOn w:val="Heading1"/>
    <w:next w:val="Normal"/>
    <w:uiPriority w:val="39"/>
    <w:semiHidden/>
    <w:unhideWhenUsed/>
    <w:qFormat/>
    <w:rsid w:val="001B17F5"/>
    <w:pPr>
      <w:spacing w:before="480" w:line="276" w:lineRule="auto"/>
      <w:jc w:val="left"/>
      <w:outlineLvl w:val="9"/>
    </w:pPr>
    <w:rPr>
      <w:rFonts w:asciiTheme="majorHAnsi" w:eastAsiaTheme="majorEastAsia" w:hAnsiTheme="majorHAnsi" w:cstheme="majorBidi"/>
      <w:bCs/>
      <w:color w:val="365F91" w:themeColor="accent1" w:themeShade="BF"/>
      <w:lang w:val="en-US" w:eastAsia="ja-JP"/>
    </w:rPr>
  </w:style>
  <w:style w:type="paragraph" w:styleId="TOC1">
    <w:name w:val="toc 1"/>
    <w:basedOn w:val="Normal"/>
    <w:next w:val="Normal"/>
    <w:autoRedefine/>
    <w:uiPriority w:val="39"/>
    <w:unhideWhenUsed/>
    <w:rsid w:val="001B17F5"/>
    <w:pPr>
      <w:spacing w:after="100"/>
    </w:pPr>
  </w:style>
  <w:style w:type="character" w:styleId="Hyperlink">
    <w:name w:val="Hyperlink"/>
    <w:basedOn w:val="DefaultParagraphFont"/>
    <w:uiPriority w:val="99"/>
    <w:unhideWhenUsed/>
    <w:rsid w:val="001B17F5"/>
    <w:rPr>
      <w:color w:val="0000FF" w:themeColor="hyperlink"/>
      <w:u w:val="single"/>
    </w:rPr>
  </w:style>
  <w:style w:type="paragraph" w:styleId="BalloonText">
    <w:name w:val="Balloon Text"/>
    <w:basedOn w:val="Normal"/>
    <w:link w:val="BalloonTextChar"/>
    <w:uiPriority w:val="99"/>
    <w:semiHidden/>
    <w:unhideWhenUsed/>
    <w:rsid w:val="001B17F5"/>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B17F5"/>
    <w:rPr>
      <w:rFonts w:ascii="Tahoma" w:hAnsi="Tahoma" w:cs="Tahoma"/>
      <w:sz w:val="16"/>
      <w:szCs w:val="16"/>
    </w:rPr>
  </w:style>
  <w:style w:type="paragraph" w:styleId="TOC2">
    <w:name w:val="toc 2"/>
    <w:basedOn w:val="Normal"/>
    <w:next w:val="Normal"/>
    <w:autoRedefine/>
    <w:uiPriority w:val="39"/>
    <w:unhideWhenUsed/>
    <w:rsid w:val="008C7383"/>
    <w:pPr>
      <w:spacing w:after="100" w:line="360" w:lineRule="auto"/>
      <w:ind w:left="240"/>
      <w:jc w:val="both"/>
    </w:pPr>
    <w:rPr>
      <w:rFonts w:ascii="Times New Roman" w:eastAsia="Times New Roman" w:hAnsi="Times New Roman" w:cs="Times New Roman"/>
      <w:sz w:val="24"/>
      <w:szCs w:val="24"/>
      <w:lang w:val="en-GB" w:eastAsia="en-I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9809979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D2E2A1F-2FCB-4BC2-9CA8-149889D3D9C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16</Pages>
  <Words>5112</Words>
  <Characters>29144</Characters>
  <Application>Microsoft Office Word</Application>
  <DocSecurity>0</DocSecurity>
  <Lines>242</Lines>
  <Paragraphs>68</Paragraphs>
  <ScaleCrop>false</ScaleCrop>
  <Company/>
  <LinksUpToDate>false</LinksUpToDate>
  <CharactersWithSpaces>34188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Kaurmandeepmoga88@gmail.com</cp:lastModifiedBy>
  <cp:revision>41</cp:revision>
  <dcterms:created xsi:type="dcterms:W3CDTF">2023-04-17T07:33:00Z</dcterms:created>
  <dcterms:modified xsi:type="dcterms:W3CDTF">2023-04-28T21:42:00Z</dcterms:modified>
</cp:coreProperties>
</file>