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4B5D39F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226C58">
        <w:rPr>
          <w:rFonts w:ascii="Aptos" w:hAnsi="Aptos" w:cs="Arial"/>
          <w:sz w:val="28"/>
          <w:szCs w:val="28"/>
          <w:lang w:val="nl-NL"/>
        </w:rPr>
        <w:t xml:space="preserve"> </w:t>
      </w:r>
      <w:proofErr w:type="spellStart"/>
      <w:r w:rsidR="00226C58">
        <w:rPr>
          <w:rFonts w:ascii="Aptos" w:hAnsi="Aptos" w:cs="Arial"/>
          <w:sz w:val="28"/>
          <w:szCs w:val="28"/>
          <w:lang w:val="nl-NL"/>
        </w:rPr>
        <w:t>Shaukat</w:t>
      </w:r>
      <w:proofErr w:type="spellEnd"/>
      <w:r w:rsidR="00226C58">
        <w:rPr>
          <w:rFonts w:ascii="Aptos" w:hAnsi="Aptos" w:cs="Arial"/>
          <w:sz w:val="28"/>
          <w:szCs w:val="28"/>
          <w:lang w:val="nl-NL"/>
        </w:rPr>
        <w:t xml:space="preserve"> Sultan</w:t>
      </w:r>
    </w:p>
    <w:p w14:paraId="4D060E17" w14:textId="7E67E15D"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226C58">
        <w:rPr>
          <w:rFonts w:ascii="Aptos" w:hAnsi="Aptos" w:cs="Arial"/>
          <w:sz w:val="28"/>
          <w:szCs w:val="28"/>
          <w:lang w:val="nl-NL"/>
        </w:rPr>
        <w:t xml:space="preserve"> </w:t>
      </w:r>
      <w:r w:rsidR="00226C58" w:rsidRPr="004631A4">
        <w:rPr>
          <w:rFonts w:ascii="Aptos" w:hAnsi="Aptos" w:cs="Arial"/>
          <w:b/>
          <w:bCs/>
          <w:sz w:val="28"/>
          <w:szCs w:val="28"/>
        </w:rPr>
        <w:t>2309243</w:t>
      </w:r>
    </w:p>
    <w:p w14:paraId="791B3193" w14:textId="77777777" w:rsidR="00226C58" w:rsidRDefault="00226C58" w:rsidP="00226C58">
      <w:pPr>
        <w:spacing w:line="360" w:lineRule="auto"/>
        <w:rPr>
          <w:rFonts w:ascii="Aptos" w:hAnsi="Aptos" w:cs="Arial"/>
          <w:sz w:val="28"/>
          <w:szCs w:val="28"/>
          <w:lang w:val="nl-NL"/>
        </w:rPr>
      </w:pPr>
    </w:p>
    <w:p w14:paraId="5EB69AC9" w14:textId="77777777" w:rsidR="00226C58" w:rsidRDefault="00226C58" w:rsidP="00226C58">
      <w:pPr>
        <w:spacing w:line="360" w:lineRule="auto"/>
        <w:rPr>
          <w:rFonts w:ascii="Aptos" w:hAnsi="Aptos" w:cs="Arial"/>
          <w:sz w:val="28"/>
          <w:szCs w:val="28"/>
          <w:lang w:val="nl-NL"/>
        </w:rPr>
      </w:pPr>
    </w:p>
    <w:p w14:paraId="41CBCDE7" w14:textId="215B14E9" w:rsidR="00C31D85" w:rsidRPr="00226C58" w:rsidRDefault="00226C58" w:rsidP="00226C58">
      <w:pPr>
        <w:spacing w:line="360" w:lineRule="auto"/>
        <w:rPr>
          <w:rFonts w:ascii="Aptos" w:hAnsi="Aptos" w:cs="Arial"/>
          <w:b/>
          <w:bCs/>
          <w:sz w:val="28"/>
          <w:szCs w:val="28"/>
        </w:rPr>
      </w:pPr>
      <w:r>
        <w:rPr>
          <w:rFonts w:ascii="Aptos" w:hAnsi="Aptos" w:cs="Arial"/>
          <w:sz w:val="28"/>
          <w:szCs w:val="28"/>
          <w:lang w:val="nl-NL"/>
        </w:rPr>
        <w:t xml:space="preserve">       </w:t>
      </w:r>
      <w:r w:rsidR="00C31D85" w:rsidRPr="00C31D85">
        <w:rPr>
          <w:rFonts w:ascii="Aptos" w:hAnsi="Aptos" w:cs="Arial"/>
          <w:b/>
          <w:bCs/>
          <w:sz w:val="28"/>
          <w:szCs w:val="28"/>
          <w:lang w:val="nl-NL"/>
        </w:rPr>
        <w:t>Module name</w:t>
      </w:r>
      <w:r w:rsidR="00C31D85" w:rsidRPr="00C31D85">
        <w:rPr>
          <w:rFonts w:ascii="Aptos" w:hAnsi="Aptos" w:cs="Arial"/>
          <w:sz w:val="28"/>
          <w:szCs w:val="28"/>
          <w:lang w:val="nl-NL"/>
        </w:rPr>
        <w:t xml:space="preserve">: </w:t>
      </w:r>
      <w:r w:rsidRPr="003A2FDF">
        <w:rPr>
          <w:rFonts w:ascii="Aptos" w:hAnsi="Aptos" w:cs="Arial"/>
          <w:b/>
          <w:bCs/>
          <w:sz w:val="28"/>
          <w:szCs w:val="28"/>
        </w:rPr>
        <w:t>Independent Project (BMHP6020_BIRM)</w:t>
      </w:r>
      <w:r>
        <w:rPr>
          <w:rFonts w:ascii="Aptos" w:hAnsi="Aptos" w:cs="Arial"/>
          <w:b/>
          <w:bCs/>
          <w:sz w:val="28"/>
          <w:szCs w:val="28"/>
        </w:rPr>
        <w:t xml:space="preserve"> </w:t>
      </w:r>
      <w:r>
        <w:rPr>
          <w:rFonts w:ascii="Aptos" w:hAnsi="Aptos" w:cs="Arial"/>
          <w:sz w:val="28"/>
          <w:szCs w:val="28"/>
          <w:lang w:val="nl-NL"/>
        </w:rPr>
        <w:t>Element 2</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6516"/>
        <w:gridCol w:w="8100"/>
      </w:tblGrid>
      <w:tr w:rsidR="00802FF1" w:rsidRPr="007C4741" w14:paraId="2F1EE6C0" w14:textId="77777777" w:rsidTr="00F52F83">
        <w:trPr>
          <w:trHeight w:val="597"/>
        </w:trPr>
        <w:tc>
          <w:tcPr>
            <w:tcW w:w="14616" w:type="dxa"/>
            <w:gridSpan w:val="2"/>
            <w:vAlign w:val="center"/>
          </w:tcPr>
          <w:p w14:paraId="080E7EB0" w14:textId="76470873" w:rsidR="00802FF1" w:rsidRPr="007C4741" w:rsidRDefault="00DB79AA" w:rsidP="007C4741">
            <w:pPr>
              <w:spacing w:line="276" w:lineRule="auto"/>
              <w:rPr>
                <w:rFonts w:ascii="Arial" w:hAnsi="Arial" w:cs="Arial"/>
              </w:rPr>
            </w:pPr>
            <w:r w:rsidRPr="007C4741">
              <w:rPr>
                <w:rFonts w:ascii="Arial" w:hAnsi="Arial" w:cs="Arial"/>
              </w:rPr>
              <w:lastRenderedPageBreak/>
              <w:t>Burnout Among UK Healthcare Professionals: A Critical Evaluation of Its Impact on Patient Safety, Workforce Retention and NHS System Sustainability</w:t>
            </w:r>
          </w:p>
        </w:tc>
      </w:tr>
      <w:tr w:rsidR="007C4741" w:rsidRPr="007C4741" w14:paraId="51100EC3" w14:textId="77777777" w:rsidTr="007C4741">
        <w:trPr>
          <w:trHeight w:val="1856"/>
        </w:trPr>
        <w:tc>
          <w:tcPr>
            <w:tcW w:w="6516" w:type="dxa"/>
          </w:tcPr>
          <w:p w14:paraId="3C941D29" w14:textId="77777777" w:rsidR="002A7697" w:rsidRPr="007C4741" w:rsidRDefault="001A2DAB" w:rsidP="007C4741">
            <w:pPr>
              <w:pStyle w:val="ListParagraph"/>
              <w:numPr>
                <w:ilvl w:val="0"/>
                <w:numId w:val="32"/>
              </w:numPr>
              <w:spacing w:line="276" w:lineRule="auto"/>
              <w:rPr>
                <w:rFonts w:ascii="Arial" w:hAnsi="Arial" w:cs="Arial"/>
                <w:b/>
                <w:bCs/>
                <w:lang w:val="en-GB"/>
              </w:rPr>
            </w:pPr>
            <w:r w:rsidRPr="007C4741">
              <w:rPr>
                <w:rFonts w:ascii="Arial" w:hAnsi="Arial" w:cs="Arial"/>
                <w:b/>
                <w:bCs/>
              </w:rPr>
              <w:t xml:space="preserve">Introduction and </w:t>
            </w:r>
            <w:r w:rsidR="00AB5409" w:rsidRPr="007C4741">
              <w:rPr>
                <w:rFonts w:ascii="Arial" w:hAnsi="Arial" w:cs="Arial"/>
                <w:b/>
                <w:bCs/>
              </w:rPr>
              <w:t xml:space="preserve">Research </w:t>
            </w:r>
            <w:proofErr w:type="gramStart"/>
            <w:r w:rsidRPr="007C4741">
              <w:rPr>
                <w:rFonts w:ascii="Arial" w:hAnsi="Arial" w:cs="Arial"/>
                <w:b/>
                <w:bCs/>
              </w:rPr>
              <w:t xml:space="preserve">Aim </w:t>
            </w:r>
            <w:r w:rsidR="002A7697" w:rsidRPr="007C4741">
              <w:rPr>
                <w:rFonts w:ascii="Arial" w:hAnsi="Arial" w:cs="Arial"/>
                <w:b/>
                <w:bCs/>
              </w:rPr>
              <w:t>:</w:t>
            </w:r>
            <w:proofErr w:type="gramEnd"/>
            <w:r w:rsidR="002A7697" w:rsidRPr="007C4741">
              <w:rPr>
                <w:rFonts w:ascii="Arial" w:hAnsi="Arial" w:cs="Arial"/>
                <w:b/>
                <w:bCs/>
              </w:rPr>
              <w:t xml:space="preserve"> </w:t>
            </w:r>
          </w:p>
          <w:p w14:paraId="6C81660B" w14:textId="4DA135A7" w:rsidR="002A7697" w:rsidRPr="007C4741" w:rsidRDefault="002A7697" w:rsidP="007C4741">
            <w:pPr>
              <w:spacing w:line="276" w:lineRule="auto"/>
              <w:ind w:left="360"/>
              <w:rPr>
                <w:rFonts w:ascii="Arial" w:hAnsi="Arial" w:cs="Arial"/>
                <w:lang w:val="en-GB"/>
              </w:rPr>
            </w:pPr>
            <w:r w:rsidRPr="007C4741">
              <w:rPr>
                <w:rFonts w:ascii="Arial" w:hAnsi="Arial" w:cs="Arial"/>
                <w:lang w:val="en-GB"/>
              </w:rPr>
              <w:t>To critically evaluate burnout among UK healthcare professionals as a systemic occupational phenomenon, examining its prevalence, structural determinants and consequences for patient safety and workforce retention, and to formulate evidence-informed recommendations that address both organisational culture and national workforce policy within the NHS.</w:t>
            </w:r>
          </w:p>
          <w:p w14:paraId="40BAB927" w14:textId="3B349BEC" w:rsidR="002A7697" w:rsidRPr="007C4741" w:rsidRDefault="002A7697" w:rsidP="007C4741">
            <w:pPr>
              <w:spacing w:line="276" w:lineRule="auto"/>
              <w:ind w:left="360"/>
              <w:rPr>
                <w:rFonts w:ascii="Arial" w:hAnsi="Arial" w:cs="Arial"/>
                <w:b/>
                <w:bCs/>
              </w:rPr>
            </w:pPr>
          </w:p>
          <w:p w14:paraId="4F873229" w14:textId="76AF13D7" w:rsidR="000E56ED" w:rsidRPr="007C4741" w:rsidRDefault="00F51AF9" w:rsidP="007C4741">
            <w:pPr>
              <w:spacing w:line="276" w:lineRule="auto"/>
              <w:jc w:val="both"/>
              <w:rPr>
                <w:rFonts w:ascii="Arial" w:hAnsi="Arial" w:cs="Arial"/>
              </w:rPr>
            </w:pPr>
            <w:r w:rsidRPr="007C4741">
              <w:rPr>
                <w:rFonts w:ascii="Arial" w:hAnsi="Arial" w:cs="Arial"/>
                <w:lang w:val="en-GB"/>
              </w:rPr>
              <w:t xml:space="preserve"> </w:t>
            </w:r>
          </w:p>
        </w:tc>
        <w:tc>
          <w:tcPr>
            <w:tcW w:w="8100" w:type="dxa"/>
          </w:tcPr>
          <w:p w14:paraId="25CA190D" w14:textId="225BEDA5" w:rsidR="0029329C" w:rsidRPr="007C4741" w:rsidRDefault="00C31D85" w:rsidP="007C4741">
            <w:pPr>
              <w:spacing w:line="276" w:lineRule="auto"/>
              <w:rPr>
                <w:rFonts w:ascii="Arial" w:hAnsi="Arial" w:cs="Arial"/>
              </w:rPr>
            </w:pPr>
            <w:r w:rsidRPr="007C4741">
              <w:rPr>
                <w:rFonts w:ascii="Arial" w:hAnsi="Arial" w:cs="Arial"/>
                <w:b/>
                <w:bCs/>
              </w:rPr>
              <w:t>02</w:t>
            </w:r>
            <w:r w:rsidR="00AB5409" w:rsidRPr="007C4741">
              <w:rPr>
                <w:rFonts w:ascii="Arial" w:hAnsi="Arial" w:cs="Arial"/>
                <w:b/>
                <w:bCs/>
              </w:rPr>
              <w:t xml:space="preserve"> Search Strategy</w:t>
            </w:r>
            <w:r w:rsidR="00AB5409" w:rsidRPr="007C4741">
              <w:rPr>
                <w:rFonts w:ascii="Arial" w:hAnsi="Arial" w:cs="Arial"/>
              </w:rPr>
              <w:t xml:space="preserve"> </w:t>
            </w:r>
          </w:p>
          <w:p w14:paraId="109C23A4" w14:textId="23F42379" w:rsidR="0029329C" w:rsidRPr="007C4741" w:rsidRDefault="002A7697" w:rsidP="007C4741">
            <w:pPr>
              <w:spacing w:line="276" w:lineRule="auto"/>
              <w:jc w:val="both"/>
              <w:rPr>
                <w:rFonts w:ascii="Arial" w:hAnsi="Arial" w:cs="Arial"/>
                <w:lang w:val="en-GB"/>
              </w:rPr>
            </w:pPr>
            <w:r w:rsidRPr="002A7697">
              <w:rPr>
                <w:rFonts w:ascii="Arial" w:hAnsi="Arial" w:cs="Arial"/>
                <w:lang w:val="en-GB"/>
              </w:rPr>
              <w:t>For this dissertation, a structured search strategy was used to locate high-quality academic and policy-based evidence related to burnout in UK healthcare professionals. The search focused on three main concepts: Burnout, occupational stress and moral injury. Healthcare professionals, including doctors, nurses and allied health professionals. Patient safety, workforce retention and NHS sustainability. The following databases and sources were selected: PubMed. CINAHL. PsycINFO. NHS England workforce datasets. General Medical Council reports. Example Search Terms “burnout” AND “UK healthcare professionals” “clinician burnout” AND “patient safety” “NHS staff burnout” AND “retention” “moral injury” AND “healthcare workforce” “burnout” AND “doctors OR nurses OR allied health professionals” AND “United Kingdom” Boolean Operators Used AND narrows the search by combining concepts. OR broadens the search by including synonyms. NOT excludes irrelevant concepts where necessary</w:t>
            </w:r>
          </w:p>
        </w:tc>
      </w:tr>
      <w:tr w:rsidR="007C4741" w:rsidRPr="007C4741" w14:paraId="56FBFF17" w14:textId="77777777" w:rsidTr="007C4741">
        <w:trPr>
          <w:trHeight w:val="1856"/>
        </w:trPr>
        <w:tc>
          <w:tcPr>
            <w:tcW w:w="6516" w:type="dxa"/>
          </w:tcPr>
          <w:p w14:paraId="54E41379" w14:textId="31D2BF7E" w:rsidR="0029329C" w:rsidRPr="007C4741" w:rsidRDefault="00C31D85" w:rsidP="007C4741">
            <w:pPr>
              <w:spacing w:line="276" w:lineRule="auto"/>
              <w:rPr>
                <w:rFonts w:ascii="Arial" w:hAnsi="Arial" w:cs="Arial"/>
              </w:rPr>
            </w:pPr>
            <w:r w:rsidRPr="007C4741">
              <w:rPr>
                <w:rFonts w:ascii="Arial" w:hAnsi="Arial" w:cs="Arial"/>
                <w:b/>
                <w:bCs/>
              </w:rPr>
              <w:t>03</w:t>
            </w:r>
            <w:r w:rsidR="00AB5409" w:rsidRPr="007C4741">
              <w:rPr>
                <w:rFonts w:ascii="Arial" w:hAnsi="Arial" w:cs="Arial"/>
              </w:rPr>
              <w:t xml:space="preserve"> </w:t>
            </w:r>
            <w:r w:rsidR="00AB5409" w:rsidRPr="007C4741">
              <w:rPr>
                <w:rFonts w:ascii="Arial" w:hAnsi="Arial" w:cs="Arial"/>
                <w:b/>
                <w:bCs/>
              </w:rPr>
              <w:t>Searching for Information</w:t>
            </w:r>
            <w:r w:rsidR="00AB5409" w:rsidRPr="007C4741">
              <w:rPr>
                <w:rFonts w:ascii="Arial" w:hAnsi="Arial" w:cs="Arial"/>
              </w:rPr>
              <w:t xml:space="preserve"> </w:t>
            </w:r>
          </w:p>
          <w:p w14:paraId="1C5E114C" w14:textId="6A7B8B31" w:rsidR="00C02B82" w:rsidRPr="007C4741" w:rsidRDefault="005F7D75" w:rsidP="007C4741">
            <w:pPr>
              <w:spacing w:line="276" w:lineRule="auto"/>
              <w:jc w:val="both"/>
              <w:rPr>
                <w:rFonts w:ascii="Arial" w:hAnsi="Arial" w:cs="Arial"/>
                <w:lang w:val="en-GB"/>
              </w:rPr>
            </w:pPr>
            <w:r w:rsidRPr="007C4741">
              <w:rPr>
                <w:rFonts w:ascii="Arial" w:hAnsi="Arial" w:cs="Arial"/>
                <w:lang w:val="en-GB"/>
              </w:rPr>
              <w:t xml:space="preserve"> </w:t>
            </w:r>
            <w:r w:rsidR="00C02B82" w:rsidRPr="007C4741">
              <w:rPr>
                <w:rFonts w:ascii="Arial" w:hAnsi="Arial" w:cs="Arial"/>
                <w:lang w:val="en-GB"/>
              </w:rPr>
              <w:t xml:space="preserve">Step-by-Step Search Process Step 1: Identify Key Concepts Burnout. UK healthcare professionals. Patient safety. Workforce retention. NHS system sustainability. Step 2: Select Appropriate Databases PubMed for medical and public health studies. CINAHL for nursing and allied health literature. PsycINFO for psychological theories and occupational stress evidence. Step 3: Develop Search Terms Burnout. Emotional exhaustion. Depersonalisation. Occupational stress. Moral injury. NHS workforce. Retention. Staff turnover. Patient safety. Medical errors. Step 4: Apply Boolean Operators AND to combine key concepts. OR to include similar terms. Truncation or phrase searching where available, for example “healthcare professional*”. Step 5: Screen Titles and Abstracts 03 Searching for Information Non-healthcare settings. Studies focused only on student burnout. Non-UK evidence where not transferable to the NHS context. Step 6: Access Full Texts Only studies that were </w:t>
            </w:r>
            <w:r w:rsidR="00C02B82" w:rsidRPr="007C4741">
              <w:rPr>
                <w:rFonts w:ascii="Arial" w:hAnsi="Arial" w:cs="Arial"/>
                <w:lang w:val="en-GB"/>
              </w:rPr>
              <w:lastRenderedPageBreak/>
              <w:t>fully accessible online and sufficiently relevant were retained for full review. Step 7: Search Grey Literature and Policy Sources NHS England reports. GMC workforce surveys. Royal College and workforce policy documents. Relevant government and professional body publications. Step 8: Organise References Accurate Harvard referencing. Efficient source organisation. Reduced risk of citation errors.</w:t>
            </w:r>
          </w:p>
          <w:p w14:paraId="701333EA" w14:textId="5FCA5252" w:rsidR="0029329C" w:rsidRPr="007C4741" w:rsidRDefault="0029329C" w:rsidP="007C4741">
            <w:pPr>
              <w:spacing w:line="276" w:lineRule="auto"/>
              <w:jc w:val="both"/>
              <w:rPr>
                <w:rFonts w:ascii="Arial" w:hAnsi="Arial" w:cs="Arial"/>
                <w:lang w:val="en-GB"/>
              </w:rPr>
            </w:pPr>
          </w:p>
        </w:tc>
        <w:tc>
          <w:tcPr>
            <w:tcW w:w="8100" w:type="dxa"/>
          </w:tcPr>
          <w:p w14:paraId="54995ADA" w14:textId="4015D840" w:rsidR="00C31D85" w:rsidRPr="007C4741" w:rsidRDefault="00C31D85" w:rsidP="007C4741">
            <w:pPr>
              <w:spacing w:line="276" w:lineRule="auto"/>
              <w:rPr>
                <w:rFonts w:ascii="Arial" w:hAnsi="Arial" w:cs="Arial"/>
              </w:rPr>
            </w:pPr>
            <w:r w:rsidRPr="007C4741">
              <w:rPr>
                <w:rFonts w:ascii="Arial" w:hAnsi="Arial" w:cs="Arial"/>
                <w:b/>
                <w:bCs/>
              </w:rPr>
              <w:lastRenderedPageBreak/>
              <w:t>04</w:t>
            </w:r>
            <w:r w:rsidR="00AB5409" w:rsidRPr="007C4741">
              <w:rPr>
                <w:rFonts w:ascii="Arial" w:hAnsi="Arial" w:cs="Arial"/>
              </w:rPr>
              <w:t xml:space="preserve"> </w:t>
            </w:r>
            <w:r w:rsidR="00AB5409" w:rsidRPr="007C4741">
              <w:rPr>
                <w:rFonts w:ascii="Arial" w:hAnsi="Arial" w:cs="Arial"/>
                <w:b/>
                <w:bCs/>
              </w:rPr>
              <w:t>Picture / Graph / Visual Aid / Statistics</w:t>
            </w:r>
            <w:r w:rsidR="00AB5409" w:rsidRPr="007C4741">
              <w:rPr>
                <w:rFonts w:ascii="Arial" w:hAnsi="Arial" w:cs="Arial"/>
              </w:rPr>
              <w:t xml:space="preserve"> </w:t>
            </w:r>
          </w:p>
          <w:p w14:paraId="425F56EF" w14:textId="15FDE41E" w:rsidR="00C02B82" w:rsidRPr="007C4741" w:rsidRDefault="007C4741" w:rsidP="007C4741">
            <w:pPr>
              <w:spacing w:line="276" w:lineRule="auto"/>
              <w:rPr>
                <w:rFonts w:ascii="Arial" w:hAnsi="Arial" w:cs="Arial"/>
              </w:rPr>
            </w:pPr>
            <w:r w:rsidRPr="007C4741">
              <w:rPr>
                <w:rFonts w:ascii="Arial" w:hAnsi="Arial" w:cs="Arial"/>
                <w:noProof/>
              </w:rPr>
              <w:drawing>
                <wp:anchor distT="0" distB="0" distL="114300" distR="114300" simplePos="0" relativeHeight="251660288" behindDoc="1" locked="0" layoutInCell="1" allowOverlap="1" wp14:anchorId="0621FFBE" wp14:editId="6CA9DF94">
                  <wp:simplePos x="0" y="0"/>
                  <wp:positionH relativeFrom="column">
                    <wp:posOffset>466208</wp:posOffset>
                  </wp:positionH>
                  <wp:positionV relativeFrom="paragraph">
                    <wp:posOffset>43638</wp:posOffset>
                  </wp:positionV>
                  <wp:extent cx="3354705" cy="1899285"/>
                  <wp:effectExtent l="0" t="0" r="0" b="5715"/>
                  <wp:wrapTight wrapText="bothSides">
                    <wp:wrapPolygon edited="0">
                      <wp:start x="0" y="0"/>
                      <wp:lineTo x="0" y="21521"/>
                      <wp:lineTo x="21506" y="21521"/>
                      <wp:lineTo x="21506" y="0"/>
                      <wp:lineTo x="0" y="0"/>
                    </wp:wrapPolygon>
                  </wp:wrapTight>
                  <wp:docPr id="1" name="Picture 1" descr="A diagram of a health care professio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health care professiona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54705" cy="1899285"/>
                          </a:xfrm>
                          <a:prstGeom prst="rect">
                            <a:avLst/>
                          </a:prstGeom>
                        </pic:spPr>
                      </pic:pic>
                    </a:graphicData>
                  </a:graphic>
                  <wp14:sizeRelH relativeFrom="page">
                    <wp14:pctWidth>0</wp14:pctWidth>
                  </wp14:sizeRelH>
                  <wp14:sizeRelV relativeFrom="page">
                    <wp14:pctHeight>0</wp14:pctHeight>
                  </wp14:sizeRelV>
                </wp:anchor>
              </w:drawing>
            </w:r>
          </w:p>
          <w:p w14:paraId="2BBB997C" w14:textId="601EBB22" w:rsidR="005F7D75" w:rsidRPr="007C4741" w:rsidRDefault="005F7D75" w:rsidP="007C4741">
            <w:pPr>
              <w:spacing w:line="276" w:lineRule="auto"/>
              <w:jc w:val="both"/>
              <w:rPr>
                <w:rFonts w:ascii="Arial" w:hAnsi="Arial" w:cs="Arial"/>
              </w:rPr>
            </w:pPr>
          </w:p>
        </w:tc>
      </w:tr>
      <w:tr w:rsidR="00C31D85" w:rsidRPr="007C4741" w14:paraId="71279A0E" w14:textId="77777777" w:rsidTr="00F52F83">
        <w:trPr>
          <w:trHeight w:val="983"/>
        </w:trPr>
        <w:tc>
          <w:tcPr>
            <w:tcW w:w="14616" w:type="dxa"/>
            <w:gridSpan w:val="2"/>
          </w:tcPr>
          <w:p w14:paraId="559B5E23" w14:textId="77777777" w:rsidR="00C31D85" w:rsidRPr="007C4741" w:rsidRDefault="00C31D85" w:rsidP="007C4741">
            <w:pPr>
              <w:spacing w:line="276" w:lineRule="auto"/>
              <w:jc w:val="center"/>
              <w:rPr>
                <w:rFonts w:ascii="Arial" w:hAnsi="Arial" w:cs="Arial"/>
                <w:b/>
                <w:bCs/>
              </w:rPr>
            </w:pPr>
            <w:r w:rsidRPr="007C4741">
              <w:rPr>
                <w:rFonts w:ascii="Arial" w:hAnsi="Arial" w:cs="Arial"/>
                <w:b/>
                <w:bCs/>
              </w:rPr>
              <w:t>05</w:t>
            </w:r>
            <w:r w:rsidR="00AB5409" w:rsidRPr="007C4741">
              <w:rPr>
                <w:rFonts w:ascii="Arial" w:hAnsi="Arial" w:cs="Arial"/>
              </w:rPr>
              <w:t xml:space="preserve"> </w:t>
            </w:r>
            <w:r w:rsidR="00AB5409" w:rsidRPr="007C4741">
              <w:rPr>
                <w:rFonts w:ascii="Arial" w:hAnsi="Arial" w:cs="Arial"/>
                <w:b/>
                <w:bCs/>
              </w:rPr>
              <w:t>Research Validation and Analysis</w:t>
            </w:r>
          </w:p>
          <w:p w14:paraId="7454B819" w14:textId="159CEAA4" w:rsidR="00516CC0" w:rsidRPr="007C4741" w:rsidRDefault="00C02B82" w:rsidP="007C4741">
            <w:pPr>
              <w:spacing w:line="276" w:lineRule="auto"/>
              <w:rPr>
                <w:rFonts w:ascii="Arial" w:hAnsi="Arial" w:cs="Arial"/>
              </w:rPr>
            </w:pPr>
            <w:r w:rsidRPr="007C4741">
              <w:rPr>
                <w:rFonts w:ascii="Arial" w:hAnsi="Arial" w:cs="Arial"/>
              </w:rPr>
              <w:t xml:space="preserve">To validate the evidence used in this dissertation, sources were selected based on: Peer-review status. Study design quality, such as systematic reviews, meta-analyses and large cohort studies. Sample size and representativeness. Relevance to the UK healthcare and NHS context. Publication recency. Transparency of methods and limitations. Use of established data sources, such as NHS England and the GMC. Themes Likely to Be Drawn from the Literature Structural and </w:t>
            </w:r>
            <w:proofErr w:type="spellStart"/>
            <w:r w:rsidRPr="007C4741">
              <w:rPr>
                <w:rFonts w:ascii="Arial" w:hAnsi="Arial" w:cs="Arial"/>
              </w:rPr>
              <w:t>organisational</w:t>
            </w:r>
            <w:proofErr w:type="spellEnd"/>
            <w:r w:rsidRPr="007C4741">
              <w:rPr>
                <w:rFonts w:ascii="Arial" w:hAnsi="Arial" w:cs="Arial"/>
              </w:rPr>
              <w:t xml:space="preserve"> determinants of burnout, including workload, staffing shortages, </w:t>
            </w:r>
            <w:proofErr w:type="spellStart"/>
            <w:r w:rsidRPr="007C4741">
              <w:rPr>
                <w:rFonts w:ascii="Arial" w:hAnsi="Arial" w:cs="Arial"/>
              </w:rPr>
              <w:t>shi</w:t>
            </w:r>
            <w:proofErr w:type="spellEnd"/>
            <w:r w:rsidRPr="007C4741">
              <w:rPr>
                <w:rFonts w:ascii="Arial" w:hAnsi="Arial" w:cs="Arial"/>
              </w:rPr>
              <w:t xml:space="preserve"> intensity, leadership and moral injury. Burnout and patient safety, including medical errors, reduced quality of care, safety culture and communication breakdown. 04 Picture / Graph / Visual Aid / Statistics 05 Research Validation and Analysis Burnout and workforce retention, including intention to leave, reduced hours, absenteeism, presenteeism and early retirement. Critique of </w:t>
            </w:r>
            <w:proofErr w:type="spellStart"/>
            <w:r w:rsidRPr="007C4741">
              <w:rPr>
                <w:rFonts w:ascii="Arial" w:hAnsi="Arial" w:cs="Arial"/>
              </w:rPr>
              <w:t>individualised</w:t>
            </w:r>
            <w:proofErr w:type="spellEnd"/>
            <w:r w:rsidRPr="007C4741">
              <w:rPr>
                <w:rFonts w:ascii="Arial" w:hAnsi="Arial" w:cs="Arial"/>
              </w:rPr>
              <w:t xml:space="preserve"> resilience narratives, including the limitations of wellbeing-only interventions and the tension between personal coping and systemic accountability. System-level recommendations for NHS sustainability, including workforce planning, supportive leadership, staffing reform and cultural change. This dissertation will use a thematic synthesis approach, informed by Braun and Clarke, to identify key themes across the literature.</w:t>
            </w:r>
          </w:p>
        </w:tc>
      </w:tr>
      <w:tr w:rsidR="007C4741" w:rsidRPr="007C4741" w14:paraId="1159AF67" w14:textId="77777777" w:rsidTr="007C4741">
        <w:trPr>
          <w:trHeight w:val="1856"/>
        </w:trPr>
        <w:tc>
          <w:tcPr>
            <w:tcW w:w="6516" w:type="dxa"/>
          </w:tcPr>
          <w:p w14:paraId="398EE9B0" w14:textId="77777777" w:rsidR="00AB5409" w:rsidRPr="007C4741" w:rsidRDefault="00AB5409" w:rsidP="007C4741">
            <w:pPr>
              <w:spacing w:line="276" w:lineRule="auto"/>
              <w:rPr>
                <w:rFonts w:ascii="Arial" w:hAnsi="Arial" w:cs="Arial"/>
              </w:rPr>
            </w:pPr>
            <w:r w:rsidRPr="007C4741">
              <w:rPr>
                <w:rFonts w:ascii="Arial" w:hAnsi="Arial" w:cs="Arial"/>
                <w:b/>
                <w:bCs/>
              </w:rPr>
              <w:t>06</w:t>
            </w:r>
            <w:r w:rsidRPr="007C4741">
              <w:rPr>
                <w:rFonts w:ascii="Arial" w:hAnsi="Arial" w:cs="Arial"/>
              </w:rPr>
              <w:t xml:space="preserve"> </w:t>
            </w:r>
            <w:r w:rsidRPr="007C4741">
              <w:rPr>
                <w:rFonts w:ascii="Arial" w:hAnsi="Arial" w:cs="Arial"/>
                <w:b/>
                <w:bCs/>
              </w:rPr>
              <w:t>Inclusion Criteria</w:t>
            </w:r>
            <w:r w:rsidRPr="007C4741">
              <w:rPr>
                <w:rFonts w:ascii="Arial" w:hAnsi="Arial" w:cs="Arial"/>
              </w:rPr>
              <w:t xml:space="preserve"> </w:t>
            </w:r>
          </w:p>
          <w:p w14:paraId="00628477" w14:textId="7125AA0D" w:rsidR="00516CC0" w:rsidRPr="007C4741" w:rsidRDefault="00C02B82" w:rsidP="007C4741">
            <w:pPr>
              <w:spacing w:line="276" w:lineRule="auto"/>
              <w:contextualSpacing/>
              <w:jc w:val="both"/>
              <w:rPr>
                <w:rFonts w:ascii="Arial" w:hAnsi="Arial" w:cs="Arial"/>
                <w:lang w:val="en-GB"/>
              </w:rPr>
            </w:pPr>
            <w:r w:rsidRPr="00C02B82">
              <w:rPr>
                <w:rFonts w:ascii="Arial" w:hAnsi="Arial" w:cs="Arial"/>
                <w:lang w:val="en-GB"/>
              </w:rPr>
              <w:t xml:space="preserve">Included Sources Peer-reviewed journal articles. Systematic reviews and meta-analyses. Large-scale cohort or cross-sectional studies. UK-specific workforce reports and policy documents. Sources published within the last 10 years, approximately 2016–2026 where possible. Seminal older sources included where theoretically necessary, such as Maslach and Jackson (1981). Studies Focused </w:t>
            </w:r>
            <w:proofErr w:type="gramStart"/>
            <w:r w:rsidRPr="00C02B82">
              <w:rPr>
                <w:rFonts w:ascii="Arial" w:hAnsi="Arial" w:cs="Arial"/>
                <w:lang w:val="en-GB"/>
              </w:rPr>
              <w:t>On</w:t>
            </w:r>
            <w:proofErr w:type="gramEnd"/>
            <w:r w:rsidRPr="00C02B82">
              <w:rPr>
                <w:rFonts w:ascii="Arial" w:hAnsi="Arial" w:cs="Arial"/>
                <w:lang w:val="en-GB"/>
              </w:rPr>
              <w:t xml:space="preserve"> Doctors. Nurses. Allied health professionals. NHS staff and the UK healthcare workforce. Articles Examining Burnout prevalence. Occupational determinants. Patient safety outcomes. Retention, turnover and intention to leave. Full-text sources accessible online. English-language publications</w:t>
            </w:r>
          </w:p>
        </w:tc>
        <w:tc>
          <w:tcPr>
            <w:tcW w:w="8100" w:type="dxa"/>
          </w:tcPr>
          <w:p w14:paraId="51867809" w14:textId="77777777" w:rsidR="00AB5409" w:rsidRPr="007C4741" w:rsidRDefault="00AB5409" w:rsidP="007C4741">
            <w:pPr>
              <w:spacing w:line="276" w:lineRule="auto"/>
              <w:rPr>
                <w:rFonts w:ascii="Arial" w:hAnsi="Arial" w:cs="Arial"/>
              </w:rPr>
            </w:pPr>
            <w:r w:rsidRPr="007C4741">
              <w:rPr>
                <w:rFonts w:ascii="Arial" w:hAnsi="Arial" w:cs="Arial"/>
                <w:b/>
                <w:bCs/>
              </w:rPr>
              <w:t>07</w:t>
            </w:r>
            <w:r w:rsidRPr="007C4741">
              <w:rPr>
                <w:rFonts w:ascii="Arial" w:hAnsi="Arial" w:cs="Arial"/>
              </w:rPr>
              <w:t xml:space="preserve"> </w:t>
            </w:r>
            <w:r w:rsidRPr="007C4741">
              <w:rPr>
                <w:rFonts w:ascii="Arial" w:hAnsi="Arial" w:cs="Arial"/>
                <w:b/>
                <w:bCs/>
              </w:rPr>
              <w:t>Exclusion Criteria</w:t>
            </w:r>
            <w:r w:rsidRPr="007C4741">
              <w:rPr>
                <w:rFonts w:ascii="Arial" w:hAnsi="Arial" w:cs="Arial"/>
              </w:rPr>
              <w:t xml:space="preserve"> </w:t>
            </w:r>
          </w:p>
          <w:p w14:paraId="46869D99" w14:textId="77777777" w:rsidR="00C02B82" w:rsidRPr="00C02B82" w:rsidRDefault="00C02B82" w:rsidP="007C4741">
            <w:pPr>
              <w:spacing w:line="276" w:lineRule="auto"/>
              <w:contextualSpacing/>
              <w:jc w:val="both"/>
              <w:rPr>
                <w:rFonts w:ascii="Arial" w:hAnsi="Arial" w:cs="Arial"/>
                <w:lang w:val="en-GB"/>
              </w:rPr>
            </w:pPr>
            <w:r w:rsidRPr="00C02B82">
              <w:rPr>
                <w:rFonts w:ascii="Arial" w:hAnsi="Arial" w:cs="Arial"/>
                <w:lang w:val="en-GB"/>
              </w:rPr>
              <w:t xml:space="preserve">Excluded Sources Articles published more than 10 years ago, unless they were key theoretical texts. Studies conducted outside the UK where findings were not transferable to NHS systems. Research focused solely on students. Research focused on non-clinical professions. General workplace stress without burnout-specific analysis. Sources without full-text access. Opinion pieces, blogs or non-academic commentary lacking robust evidence. Studies </w:t>
            </w:r>
            <w:proofErr w:type="gramStart"/>
            <w:r w:rsidRPr="00C02B82">
              <w:rPr>
                <w:rFonts w:ascii="Arial" w:hAnsi="Arial" w:cs="Arial"/>
                <w:lang w:val="en-GB"/>
              </w:rPr>
              <w:t>With</w:t>
            </w:r>
            <w:proofErr w:type="gramEnd"/>
            <w:r w:rsidRPr="00C02B82">
              <w:rPr>
                <w:rFonts w:ascii="Arial" w:hAnsi="Arial" w:cs="Arial"/>
                <w:lang w:val="en-GB"/>
              </w:rPr>
              <w:t xml:space="preserve"> Small, unrepresentative samples. Poor methodological transparency. Limited relevance to patient safety or workforce outcomes. Duplicate studies across databases. Sources that did not address healthcare settings or professional practice.</w:t>
            </w:r>
          </w:p>
          <w:p w14:paraId="253F8839" w14:textId="639365EC" w:rsidR="00516CC0" w:rsidRPr="007C4741" w:rsidRDefault="00516CC0" w:rsidP="007C4741">
            <w:pPr>
              <w:spacing w:line="276" w:lineRule="auto"/>
              <w:contextualSpacing/>
              <w:jc w:val="both"/>
              <w:rPr>
                <w:rFonts w:ascii="Arial" w:hAnsi="Arial" w:cs="Arial"/>
              </w:rPr>
            </w:pPr>
          </w:p>
        </w:tc>
      </w:tr>
      <w:tr w:rsidR="00C31D85" w:rsidRPr="007C4741" w14:paraId="583C9C87" w14:textId="77777777" w:rsidTr="00F52F83">
        <w:trPr>
          <w:trHeight w:val="1798"/>
        </w:trPr>
        <w:tc>
          <w:tcPr>
            <w:tcW w:w="14616" w:type="dxa"/>
            <w:gridSpan w:val="2"/>
          </w:tcPr>
          <w:p w14:paraId="09904B04" w14:textId="16A4DFC3" w:rsidR="00C02B82" w:rsidRPr="007C4741" w:rsidRDefault="00C31D85" w:rsidP="007C4741">
            <w:pPr>
              <w:spacing w:line="276" w:lineRule="auto"/>
              <w:jc w:val="center"/>
              <w:rPr>
                <w:rFonts w:ascii="Arial" w:hAnsi="Arial" w:cs="Arial"/>
                <w:b/>
                <w:bCs/>
              </w:rPr>
            </w:pPr>
            <w:r w:rsidRPr="007C4741">
              <w:rPr>
                <w:rFonts w:ascii="Arial" w:hAnsi="Arial" w:cs="Arial"/>
                <w:b/>
                <w:bCs/>
              </w:rPr>
              <w:lastRenderedPageBreak/>
              <w:t>0</w:t>
            </w:r>
            <w:r w:rsidR="00AB5409" w:rsidRPr="007C4741">
              <w:rPr>
                <w:rFonts w:ascii="Arial" w:hAnsi="Arial" w:cs="Arial"/>
                <w:b/>
                <w:bCs/>
              </w:rPr>
              <w:t>8</w:t>
            </w:r>
            <w:r w:rsidR="00AB5409" w:rsidRPr="007C4741">
              <w:rPr>
                <w:rFonts w:ascii="Arial" w:hAnsi="Arial" w:cs="Arial"/>
              </w:rPr>
              <w:t xml:space="preserve"> </w:t>
            </w:r>
            <w:r w:rsidR="00AB5409" w:rsidRPr="007C4741">
              <w:rPr>
                <w:rFonts w:ascii="Arial" w:hAnsi="Arial" w:cs="Arial"/>
                <w:b/>
                <w:bCs/>
              </w:rPr>
              <w:t>Ethical Considerations</w:t>
            </w:r>
          </w:p>
          <w:p w14:paraId="28D04039" w14:textId="0C1C1C4D" w:rsidR="00F52F83" w:rsidRPr="00892FBA" w:rsidRDefault="00C02B82" w:rsidP="007C4741">
            <w:pPr>
              <w:spacing w:line="276" w:lineRule="auto"/>
              <w:rPr>
                <w:rFonts w:ascii="Arial" w:hAnsi="Arial" w:cs="Arial"/>
                <w:lang w:val="en-GB"/>
              </w:rPr>
            </w:pPr>
            <w:r w:rsidRPr="00C02B82">
              <w:rPr>
                <w:rFonts w:ascii="Arial" w:hAnsi="Arial" w:cs="Arial"/>
                <w:lang w:val="en-GB"/>
              </w:rPr>
              <w:t>Ethics in Secondary Research Because this project uses secondary data only, formal ethical approval is generally not required. However, several ethical principles still apply: 1. Academic Integrity All ideas, data and findings from published sources will be accurately cited using Harvard referencing to avoid plagiarism and maintain scholarly honesty. 2. Accurate Representation of Evidence Findings will be reported fairly and without selective distortion. Contradictory evidence will be included where relevant to avoid bias and support balanced critical discussion. 3. Use of Credible Sources Only reputable academic databases and recognised UK policy sources, such as NHS England and the GMC, will be used. 4. Avoidance of Harm Through Misinterpretation The dissertation will avoid reinforcing harmful narratives that overemphasise personal resilience while ignoring structural causes. 5. Reflexivity As a healthcare student with personal proximity to the topic, reflexivity is important. Personal experiences may create insight, but they may also introduce bias. 07 Exclusion Criteria 08 Ethical Considerations 6. Respect for Original Data Context Data and findings from reports or studies will be interpreted within their original context to avoid misrepresentation</w:t>
            </w:r>
          </w:p>
        </w:tc>
      </w:tr>
    </w:tbl>
    <w:p w14:paraId="53F82A21" w14:textId="77777777" w:rsidR="00C31D85" w:rsidRPr="007C4741" w:rsidRDefault="00C31D85" w:rsidP="007C4741">
      <w:pPr>
        <w:spacing w:line="276" w:lineRule="auto"/>
        <w:rPr>
          <w:rFonts w:ascii="Arial" w:hAnsi="Arial" w:cs="Arial"/>
        </w:rPr>
        <w:sectPr w:rsidR="00C31D85" w:rsidRPr="007C4741" w:rsidSect="00C31D85">
          <w:pgSz w:w="15840" w:h="12240" w:orient="landscape" w:code="1"/>
          <w:pgMar w:top="720" w:right="720" w:bottom="576" w:left="720" w:header="432" w:footer="288" w:gutter="0"/>
          <w:cols w:space="720"/>
          <w:titlePg/>
          <w:docGrid w:linePitch="360"/>
        </w:sectPr>
      </w:pPr>
    </w:p>
    <w:p w14:paraId="489BBCE1" w14:textId="120A6912" w:rsidR="00ED1049" w:rsidRPr="007C4741" w:rsidRDefault="00C02B82" w:rsidP="007C4741">
      <w:pPr>
        <w:spacing w:line="276" w:lineRule="auto"/>
        <w:rPr>
          <w:rFonts w:ascii="Arial" w:hAnsi="Arial" w:cs="Arial"/>
          <w:b/>
          <w:bCs/>
        </w:rPr>
      </w:pPr>
      <w:r w:rsidRPr="007C4741">
        <w:rPr>
          <w:rFonts w:ascii="Arial" w:hAnsi="Arial" w:cs="Arial"/>
          <w:b/>
          <w:bCs/>
        </w:rPr>
        <w:lastRenderedPageBreak/>
        <w:t>R</w:t>
      </w:r>
      <w:r w:rsidR="00ED1049" w:rsidRPr="007C4741">
        <w:rPr>
          <w:rFonts w:ascii="Arial" w:hAnsi="Arial" w:cs="Arial"/>
          <w:b/>
          <w:bCs/>
        </w:rPr>
        <w:t>eferences</w:t>
      </w:r>
    </w:p>
    <w:p w14:paraId="7194845B"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Bakker, A.B. and Demerouti, E., 2007. The Job Demands-Resources model: state of the art. </w:t>
      </w:r>
      <w:r w:rsidRPr="007C4741">
        <w:rPr>
          <w:rStyle w:val="Emphasis"/>
          <w:rFonts w:ascii="Arial" w:hAnsi="Arial" w:cs="Arial"/>
          <w:sz w:val="22"/>
          <w:szCs w:val="22"/>
        </w:rPr>
        <w:t>Journal of Managerial Psychology</w:t>
      </w:r>
      <w:r w:rsidRPr="007C4741">
        <w:rPr>
          <w:rFonts w:ascii="Arial" w:hAnsi="Arial" w:cs="Arial"/>
          <w:sz w:val="22"/>
          <w:szCs w:val="22"/>
        </w:rPr>
        <w:t>, 22(3), pp.309-328.</w:t>
      </w:r>
    </w:p>
    <w:p w14:paraId="69A67C6F"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Chew-Graham, C.A., Rogers, A. and Yassin, N., 2003. ‘I wouldn’t want it on my CV or their records’: medical students’ experiences of help-seeking for mental health problems. </w:t>
      </w:r>
      <w:r w:rsidRPr="007C4741">
        <w:rPr>
          <w:rStyle w:val="Emphasis"/>
          <w:rFonts w:ascii="Arial" w:hAnsi="Arial" w:cs="Arial"/>
          <w:sz w:val="22"/>
          <w:szCs w:val="22"/>
        </w:rPr>
        <w:t>Medical Education</w:t>
      </w:r>
      <w:r w:rsidRPr="007C4741">
        <w:rPr>
          <w:rFonts w:ascii="Arial" w:hAnsi="Arial" w:cs="Arial"/>
          <w:sz w:val="22"/>
          <w:szCs w:val="22"/>
        </w:rPr>
        <w:t>, 37(10), pp.873-880.</w:t>
      </w:r>
    </w:p>
    <w:p w14:paraId="3300A563"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Cooper, C.L., Rout, U. and Faragher, B., 1989. Mental health, job satisfaction, and job stress among general practitioners. </w:t>
      </w:r>
      <w:r w:rsidRPr="007C4741">
        <w:rPr>
          <w:rStyle w:val="Emphasis"/>
          <w:rFonts w:ascii="Arial" w:hAnsi="Arial" w:cs="Arial"/>
          <w:sz w:val="22"/>
          <w:szCs w:val="22"/>
        </w:rPr>
        <w:t>British Medical Journal</w:t>
      </w:r>
      <w:r w:rsidRPr="007C4741">
        <w:rPr>
          <w:rFonts w:ascii="Arial" w:hAnsi="Arial" w:cs="Arial"/>
          <w:sz w:val="22"/>
          <w:szCs w:val="22"/>
        </w:rPr>
        <w:t>, 298(6670), pp.366-370.</w:t>
      </w:r>
    </w:p>
    <w:p w14:paraId="3AD5927E" w14:textId="77777777" w:rsidR="00E55E0C" w:rsidRPr="007C4741" w:rsidRDefault="00E55E0C" w:rsidP="007C4741">
      <w:pPr>
        <w:pStyle w:val="my-2"/>
        <w:spacing w:line="276" w:lineRule="auto"/>
        <w:rPr>
          <w:rFonts w:ascii="Arial" w:hAnsi="Arial" w:cs="Arial"/>
          <w:sz w:val="22"/>
          <w:szCs w:val="22"/>
        </w:rPr>
      </w:pPr>
      <w:proofErr w:type="spellStart"/>
      <w:r w:rsidRPr="007C4741">
        <w:rPr>
          <w:rFonts w:ascii="Arial" w:hAnsi="Arial" w:cs="Arial"/>
          <w:sz w:val="22"/>
          <w:szCs w:val="22"/>
        </w:rPr>
        <w:t>Dall’Ora</w:t>
      </w:r>
      <w:proofErr w:type="spellEnd"/>
      <w:r w:rsidRPr="007C4741">
        <w:rPr>
          <w:rFonts w:ascii="Arial" w:hAnsi="Arial" w:cs="Arial"/>
          <w:sz w:val="22"/>
          <w:szCs w:val="22"/>
        </w:rPr>
        <w:t xml:space="preserve">, C., Ball, J., </w:t>
      </w:r>
      <w:proofErr w:type="spellStart"/>
      <w:r w:rsidRPr="007C4741">
        <w:rPr>
          <w:rFonts w:ascii="Arial" w:hAnsi="Arial" w:cs="Arial"/>
          <w:sz w:val="22"/>
          <w:szCs w:val="22"/>
        </w:rPr>
        <w:t>Reinius</w:t>
      </w:r>
      <w:proofErr w:type="spellEnd"/>
      <w:r w:rsidRPr="007C4741">
        <w:rPr>
          <w:rFonts w:ascii="Arial" w:hAnsi="Arial" w:cs="Arial"/>
          <w:sz w:val="22"/>
          <w:szCs w:val="22"/>
        </w:rPr>
        <w:t xml:space="preserve">, M. and Griffiths, P., 2020. Burnout in nursing: a theoretical review. </w:t>
      </w:r>
      <w:r w:rsidRPr="007C4741">
        <w:rPr>
          <w:rStyle w:val="Emphasis"/>
          <w:rFonts w:ascii="Arial" w:hAnsi="Arial" w:cs="Arial"/>
          <w:sz w:val="22"/>
          <w:szCs w:val="22"/>
        </w:rPr>
        <w:t>Human Resources for Health</w:t>
      </w:r>
      <w:r w:rsidRPr="007C4741">
        <w:rPr>
          <w:rFonts w:ascii="Arial" w:hAnsi="Arial" w:cs="Arial"/>
          <w:sz w:val="22"/>
          <w:szCs w:val="22"/>
        </w:rPr>
        <w:t>, 18, article 41.</w:t>
      </w:r>
    </w:p>
    <w:p w14:paraId="2E61C936" w14:textId="77777777" w:rsidR="00E55E0C" w:rsidRPr="007C4741" w:rsidRDefault="00E55E0C" w:rsidP="007C4741">
      <w:pPr>
        <w:pStyle w:val="my-2"/>
        <w:spacing w:line="276" w:lineRule="auto"/>
        <w:rPr>
          <w:rFonts w:ascii="Arial" w:hAnsi="Arial" w:cs="Arial"/>
          <w:sz w:val="22"/>
          <w:szCs w:val="22"/>
        </w:rPr>
      </w:pPr>
      <w:proofErr w:type="spellStart"/>
      <w:r w:rsidRPr="007C4741">
        <w:rPr>
          <w:rFonts w:ascii="Arial" w:hAnsi="Arial" w:cs="Arial"/>
          <w:sz w:val="22"/>
          <w:szCs w:val="22"/>
        </w:rPr>
        <w:t>Dimou</w:t>
      </w:r>
      <w:proofErr w:type="spellEnd"/>
      <w:r w:rsidRPr="007C4741">
        <w:rPr>
          <w:rFonts w:ascii="Arial" w:hAnsi="Arial" w:cs="Arial"/>
          <w:sz w:val="22"/>
          <w:szCs w:val="22"/>
        </w:rPr>
        <w:t xml:space="preserve">, F.M., </w:t>
      </w:r>
      <w:proofErr w:type="spellStart"/>
      <w:r w:rsidRPr="007C4741">
        <w:rPr>
          <w:rFonts w:ascii="Arial" w:hAnsi="Arial" w:cs="Arial"/>
          <w:sz w:val="22"/>
          <w:szCs w:val="22"/>
        </w:rPr>
        <w:t>Eckelbarger</w:t>
      </w:r>
      <w:proofErr w:type="spellEnd"/>
      <w:r w:rsidRPr="007C4741">
        <w:rPr>
          <w:rFonts w:ascii="Arial" w:hAnsi="Arial" w:cs="Arial"/>
          <w:sz w:val="22"/>
          <w:szCs w:val="22"/>
        </w:rPr>
        <w:t xml:space="preserve">, D. and </w:t>
      </w:r>
      <w:proofErr w:type="spellStart"/>
      <w:r w:rsidRPr="007C4741">
        <w:rPr>
          <w:rFonts w:ascii="Arial" w:hAnsi="Arial" w:cs="Arial"/>
          <w:sz w:val="22"/>
          <w:szCs w:val="22"/>
        </w:rPr>
        <w:t>Riall</w:t>
      </w:r>
      <w:proofErr w:type="spellEnd"/>
      <w:r w:rsidRPr="007C4741">
        <w:rPr>
          <w:rFonts w:ascii="Arial" w:hAnsi="Arial" w:cs="Arial"/>
          <w:sz w:val="22"/>
          <w:szCs w:val="22"/>
        </w:rPr>
        <w:t xml:space="preserve">, T.S., 2016. Surgeon burnout: a systematic review. </w:t>
      </w:r>
      <w:r w:rsidRPr="007C4741">
        <w:rPr>
          <w:rStyle w:val="Emphasis"/>
          <w:rFonts w:ascii="Arial" w:hAnsi="Arial" w:cs="Arial"/>
          <w:sz w:val="22"/>
          <w:szCs w:val="22"/>
        </w:rPr>
        <w:t>Journal of the American College of Surgeons</w:t>
      </w:r>
      <w:r w:rsidRPr="007C4741">
        <w:rPr>
          <w:rFonts w:ascii="Arial" w:hAnsi="Arial" w:cs="Arial"/>
          <w:sz w:val="22"/>
          <w:szCs w:val="22"/>
        </w:rPr>
        <w:t>, 222(6), pp.1230-1239.</w:t>
      </w:r>
    </w:p>
    <w:p w14:paraId="7870E37F"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Maslach, C., Schaufeli, W.B. and Leiter, M.P., 2001. Job burnout. </w:t>
      </w:r>
      <w:r w:rsidRPr="007C4741">
        <w:rPr>
          <w:rStyle w:val="Emphasis"/>
          <w:rFonts w:ascii="Arial" w:hAnsi="Arial" w:cs="Arial"/>
          <w:sz w:val="22"/>
          <w:szCs w:val="22"/>
        </w:rPr>
        <w:t>Annual Review of Psychology</w:t>
      </w:r>
      <w:r w:rsidRPr="007C4741">
        <w:rPr>
          <w:rFonts w:ascii="Arial" w:hAnsi="Arial" w:cs="Arial"/>
          <w:sz w:val="22"/>
          <w:szCs w:val="22"/>
        </w:rPr>
        <w:t>, 52, pp.397-422.</w:t>
      </w:r>
    </w:p>
    <w:p w14:paraId="1DD478E6"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NHS England, 2022. </w:t>
      </w:r>
      <w:r w:rsidRPr="007C4741">
        <w:rPr>
          <w:rStyle w:val="Emphasis"/>
          <w:rFonts w:ascii="Arial" w:hAnsi="Arial" w:cs="Arial"/>
          <w:sz w:val="22"/>
          <w:szCs w:val="22"/>
        </w:rPr>
        <w:t>NHS staff survey 2022: national results briefing</w:t>
      </w:r>
      <w:r w:rsidRPr="007C4741">
        <w:rPr>
          <w:rFonts w:ascii="Arial" w:hAnsi="Arial" w:cs="Arial"/>
          <w:sz w:val="22"/>
          <w:szCs w:val="22"/>
        </w:rPr>
        <w:t>. London: NHS England.</w:t>
      </w:r>
    </w:p>
    <w:p w14:paraId="7B2EC979"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Royal College of Physicians, 2022. </w:t>
      </w:r>
      <w:r w:rsidRPr="007C4741">
        <w:rPr>
          <w:rStyle w:val="Emphasis"/>
          <w:rFonts w:ascii="Arial" w:hAnsi="Arial" w:cs="Arial"/>
          <w:sz w:val="22"/>
          <w:szCs w:val="22"/>
        </w:rPr>
        <w:t>Burnout and wellbeing in the medical workforce</w:t>
      </w:r>
      <w:r w:rsidRPr="007C4741">
        <w:rPr>
          <w:rFonts w:ascii="Arial" w:hAnsi="Arial" w:cs="Arial"/>
          <w:sz w:val="22"/>
          <w:szCs w:val="22"/>
        </w:rPr>
        <w:t>. London: Royal College of Physicians.</w:t>
      </w:r>
    </w:p>
    <w:p w14:paraId="4CF41075" w14:textId="77777777"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Royal College of Nursing, 2023. </w:t>
      </w:r>
      <w:r w:rsidRPr="007C4741">
        <w:rPr>
          <w:rStyle w:val="Emphasis"/>
          <w:rFonts w:ascii="Arial" w:hAnsi="Arial" w:cs="Arial"/>
          <w:sz w:val="22"/>
          <w:szCs w:val="22"/>
        </w:rPr>
        <w:t>On the frontline of the UK’s nursing crisis</w:t>
      </w:r>
      <w:r w:rsidRPr="007C4741">
        <w:rPr>
          <w:rFonts w:ascii="Arial" w:hAnsi="Arial" w:cs="Arial"/>
          <w:sz w:val="22"/>
          <w:szCs w:val="22"/>
        </w:rPr>
        <w:t>. London: Royal College of Nursing.</w:t>
      </w:r>
    </w:p>
    <w:p w14:paraId="729B175F" w14:textId="52647042" w:rsidR="00E55E0C" w:rsidRPr="007C4741" w:rsidRDefault="00E55E0C" w:rsidP="007C4741">
      <w:pPr>
        <w:pStyle w:val="my-2"/>
        <w:spacing w:line="276" w:lineRule="auto"/>
        <w:rPr>
          <w:rFonts w:ascii="Arial" w:hAnsi="Arial" w:cs="Arial"/>
          <w:sz w:val="22"/>
          <w:szCs w:val="22"/>
        </w:rPr>
      </w:pPr>
      <w:r w:rsidRPr="007C4741">
        <w:rPr>
          <w:rFonts w:ascii="Arial" w:hAnsi="Arial" w:cs="Arial"/>
          <w:sz w:val="22"/>
          <w:szCs w:val="22"/>
        </w:rPr>
        <w:t xml:space="preserve">World Health Organization, 2019. </w:t>
      </w:r>
      <w:r w:rsidRPr="007C4741">
        <w:rPr>
          <w:rStyle w:val="Emphasis"/>
          <w:rFonts w:ascii="Arial" w:hAnsi="Arial" w:cs="Arial"/>
          <w:sz w:val="22"/>
          <w:szCs w:val="22"/>
        </w:rPr>
        <w:t>International classification of diseases for mortality and morbidity statistics (11th Revision)</w:t>
      </w:r>
      <w:r w:rsidRPr="007C4741">
        <w:rPr>
          <w:rFonts w:ascii="Arial" w:hAnsi="Arial" w:cs="Arial"/>
          <w:sz w:val="22"/>
          <w:szCs w:val="22"/>
        </w:rPr>
        <w:t>. Geneva: World Health Organizatio</w:t>
      </w:r>
      <w:r w:rsidRPr="007C4741">
        <w:rPr>
          <w:rFonts w:ascii="Arial" w:hAnsi="Arial" w:cs="Arial"/>
          <w:sz w:val="22"/>
          <w:szCs w:val="22"/>
        </w:rPr>
        <w:t>n</w:t>
      </w:r>
    </w:p>
    <w:p w14:paraId="518844CA" w14:textId="493C3228" w:rsidR="00C02B82" w:rsidRPr="007C4741" w:rsidRDefault="00C02B82" w:rsidP="007C4741">
      <w:pPr>
        <w:pStyle w:val="my-2"/>
        <w:spacing w:line="276" w:lineRule="auto"/>
        <w:rPr>
          <w:rFonts w:ascii="Arial" w:hAnsi="Arial" w:cs="Arial"/>
          <w:sz w:val="22"/>
          <w:szCs w:val="22"/>
        </w:rPr>
      </w:pPr>
      <w:r w:rsidRPr="007C4741">
        <w:rPr>
          <w:rFonts w:ascii="Arial" w:hAnsi="Arial" w:cs="Arial"/>
          <w:sz w:val="22"/>
          <w:szCs w:val="22"/>
        </w:rPr>
        <w:t xml:space="preserve">General Medical Council, 2022. </w:t>
      </w:r>
      <w:r w:rsidRPr="007C4741">
        <w:rPr>
          <w:rStyle w:val="Emphasis"/>
          <w:rFonts w:ascii="Arial" w:hAnsi="Arial" w:cs="Arial"/>
          <w:sz w:val="22"/>
          <w:szCs w:val="22"/>
        </w:rPr>
        <w:t>The state of medical education and practice in the UK: workplace experiences</w:t>
      </w:r>
      <w:r w:rsidRPr="007C4741">
        <w:rPr>
          <w:rStyle w:val="Emphasis"/>
          <w:rFonts w:ascii="Arial" w:hAnsi="Arial" w:cs="Arial"/>
          <w:sz w:val="22"/>
          <w:szCs w:val="22"/>
        </w:rPr>
        <w:t xml:space="preserve"> </w:t>
      </w:r>
      <w:r w:rsidRPr="007C4741">
        <w:rPr>
          <w:rStyle w:val="Emphasis"/>
          <w:rFonts w:ascii="Arial" w:hAnsi="Arial" w:cs="Arial"/>
          <w:sz w:val="22"/>
          <w:szCs w:val="22"/>
        </w:rPr>
        <w:t>2022</w:t>
      </w:r>
      <w:r w:rsidRPr="007C4741">
        <w:rPr>
          <w:rFonts w:ascii="Arial" w:hAnsi="Arial" w:cs="Arial"/>
          <w:sz w:val="22"/>
          <w:szCs w:val="22"/>
        </w:rPr>
        <w:t>. London: General Medical Council.</w:t>
      </w:r>
    </w:p>
    <w:p w14:paraId="73C3C9EE" w14:textId="77777777" w:rsidR="00C02B82" w:rsidRPr="007C4741" w:rsidRDefault="00C02B82" w:rsidP="007C4741">
      <w:pPr>
        <w:pStyle w:val="my-2"/>
        <w:spacing w:line="276" w:lineRule="auto"/>
        <w:rPr>
          <w:rFonts w:ascii="Arial" w:hAnsi="Arial" w:cs="Arial"/>
          <w:sz w:val="22"/>
          <w:szCs w:val="22"/>
        </w:rPr>
      </w:pPr>
      <w:r w:rsidRPr="007C4741">
        <w:rPr>
          <w:rFonts w:ascii="Arial" w:hAnsi="Arial" w:cs="Arial"/>
          <w:sz w:val="22"/>
          <w:szCs w:val="22"/>
        </w:rPr>
        <w:t xml:space="preserve">Hall, L.H., Johnson, J., Watt, I., </w:t>
      </w:r>
      <w:proofErr w:type="spellStart"/>
      <w:r w:rsidRPr="007C4741">
        <w:rPr>
          <w:rFonts w:ascii="Arial" w:hAnsi="Arial" w:cs="Arial"/>
          <w:sz w:val="22"/>
          <w:szCs w:val="22"/>
        </w:rPr>
        <w:t>Tsipa</w:t>
      </w:r>
      <w:proofErr w:type="spellEnd"/>
      <w:r w:rsidRPr="007C4741">
        <w:rPr>
          <w:rFonts w:ascii="Arial" w:hAnsi="Arial" w:cs="Arial"/>
          <w:sz w:val="22"/>
          <w:szCs w:val="22"/>
        </w:rPr>
        <w:t xml:space="preserve">, A. and O’Connor, D.B., 2016. Healthcare staff wellbeing, burnout, and patient safety: a systematic review. </w:t>
      </w:r>
      <w:r w:rsidRPr="007C4741">
        <w:rPr>
          <w:rStyle w:val="Emphasis"/>
          <w:rFonts w:ascii="Arial" w:hAnsi="Arial" w:cs="Arial"/>
          <w:sz w:val="22"/>
          <w:szCs w:val="22"/>
        </w:rPr>
        <w:t>PLOS ONE</w:t>
      </w:r>
      <w:r w:rsidRPr="007C4741">
        <w:rPr>
          <w:rFonts w:ascii="Arial" w:hAnsi="Arial" w:cs="Arial"/>
          <w:sz w:val="22"/>
          <w:szCs w:val="22"/>
        </w:rPr>
        <w:t>, 11(7), e0159015.</w:t>
      </w:r>
    </w:p>
    <w:p w14:paraId="3926936B" w14:textId="77777777" w:rsidR="00C02B82" w:rsidRPr="007C4741" w:rsidRDefault="00C02B82" w:rsidP="007C4741">
      <w:pPr>
        <w:pStyle w:val="my-2"/>
        <w:spacing w:line="276" w:lineRule="auto"/>
        <w:rPr>
          <w:rFonts w:ascii="Arial" w:hAnsi="Arial" w:cs="Arial"/>
          <w:sz w:val="22"/>
          <w:szCs w:val="22"/>
        </w:rPr>
      </w:pPr>
      <w:r w:rsidRPr="007C4741">
        <w:rPr>
          <w:rFonts w:ascii="Arial" w:hAnsi="Arial" w:cs="Arial"/>
          <w:sz w:val="22"/>
          <w:szCs w:val="22"/>
        </w:rPr>
        <w:t xml:space="preserve">Maslach, C. and Jackson, S.E., 1981. The measurement of experienced burnout. </w:t>
      </w:r>
      <w:r w:rsidRPr="007C4741">
        <w:rPr>
          <w:rStyle w:val="Emphasis"/>
          <w:rFonts w:ascii="Arial" w:hAnsi="Arial" w:cs="Arial"/>
          <w:sz w:val="22"/>
          <w:szCs w:val="22"/>
        </w:rPr>
        <w:t>Journal of Occupational Behaviour</w:t>
      </w:r>
      <w:r w:rsidRPr="007C4741">
        <w:rPr>
          <w:rFonts w:ascii="Arial" w:hAnsi="Arial" w:cs="Arial"/>
          <w:sz w:val="22"/>
          <w:szCs w:val="22"/>
        </w:rPr>
        <w:t>, 2(2), pp.99-113.</w:t>
      </w:r>
    </w:p>
    <w:p w14:paraId="17F22F57" w14:textId="77777777" w:rsidR="00C02B82" w:rsidRPr="007C4741" w:rsidRDefault="00C02B82" w:rsidP="007C4741">
      <w:pPr>
        <w:pStyle w:val="my-2"/>
        <w:spacing w:line="276" w:lineRule="auto"/>
        <w:rPr>
          <w:rFonts w:ascii="Arial" w:hAnsi="Arial" w:cs="Arial"/>
          <w:sz w:val="22"/>
          <w:szCs w:val="22"/>
        </w:rPr>
      </w:pPr>
      <w:proofErr w:type="spellStart"/>
      <w:r w:rsidRPr="007C4741">
        <w:rPr>
          <w:rFonts w:ascii="Arial" w:hAnsi="Arial" w:cs="Arial"/>
          <w:sz w:val="22"/>
          <w:szCs w:val="22"/>
        </w:rPr>
        <w:t>Panagioti</w:t>
      </w:r>
      <w:proofErr w:type="spellEnd"/>
      <w:r w:rsidRPr="007C4741">
        <w:rPr>
          <w:rFonts w:ascii="Arial" w:hAnsi="Arial" w:cs="Arial"/>
          <w:sz w:val="22"/>
          <w:szCs w:val="22"/>
        </w:rPr>
        <w:t xml:space="preserve">, M., Geraghty, K., Johnson, J., Zhou, A., </w:t>
      </w:r>
      <w:proofErr w:type="spellStart"/>
      <w:r w:rsidRPr="007C4741">
        <w:rPr>
          <w:rFonts w:ascii="Arial" w:hAnsi="Arial" w:cs="Arial"/>
          <w:sz w:val="22"/>
          <w:szCs w:val="22"/>
        </w:rPr>
        <w:t>Panagopoulou</w:t>
      </w:r>
      <w:proofErr w:type="spellEnd"/>
      <w:r w:rsidRPr="007C4741">
        <w:rPr>
          <w:rFonts w:ascii="Arial" w:hAnsi="Arial" w:cs="Arial"/>
          <w:sz w:val="22"/>
          <w:szCs w:val="22"/>
        </w:rPr>
        <w:t xml:space="preserve">, E., Chew-Graham, C., Peters, D., Hodkinson, A., Riley, R. and </w:t>
      </w:r>
      <w:proofErr w:type="spellStart"/>
      <w:r w:rsidRPr="007C4741">
        <w:rPr>
          <w:rFonts w:ascii="Arial" w:hAnsi="Arial" w:cs="Arial"/>
          <w:sz w:val="22"/>
          <w:szCs w:val="22"/>
        </w:rPr>
        <w:t>Esmail</w:t>
      </w:r>
      <w:proofErr w:type="spellEnd"/>
      <w:r w:rsidRPr="007C4741">
        <w:rPr>
          <w:rFonts w:ascii="Arial" w:hAnsi="Arial" w:cs="Arial"/>
          <w:sz w:val="22"/>
          <w:szCs w:val="22"/>
        </w:rPr>
        <w:t xml:space="preserve">, A., 2018. Association between physician burnout and patient safety, professionalism, and patient satisfaction: a systematic review and meta-analysis. </w:t>
      </w:r>
      <w:r w:rsidRPr="007C4741">
        <w:rPr>
          <w:rStyle w:val="Emphasis"/>
          <w:rFonts w:ascii="Arial" w:hAnsi="Arial" w:cs="Arial"/>
          <w:sz w:val="22"/>
          <w:szCs w:val="22"/>
        </w:rPr>
        <w:t>JAMA Internal Medicine</w:t>
      </w:r>
      <w:r w:rsidRPr="007C4741">
        <w:rPr>
          <w:rFonts w:ascii="Arial" w:hAnsi="Arial" w:cs="Arial"/>
          <w:sz w:val="22"/>
          <w:szCs w:val="22"/>
        </w:rPr>
        <w:t>, 178(10), pp.1317-1331.</w:t>
      </w:r>
    </w:p>
    <w:p w14:paraId="2B1D5641" w14:textId="563ADD19" w:rsidR="005F7D75" w:rsidRPr="007C4741" w:rsidRDefault="00C02B82" w:rsidP="007C4741">
      <w:pPr>
        <w:pStyle w:val="my-2"/>
        <w:spacing w:line="276" w:lineRule="auto"/>
        <w:rPr>
          <w:rFonts w:ascii="Arial" w:hAnsi="Arial" w:cs="Arial"/>
          <w:sz w:val="22"/>
          <w:szCs w:val="22"/>
        </w:rPr>
      </w:pPr>
      <w:r w:rsidRPr="007C4741">
        <w:rPr>
          <w:rFonts w:ascii="Arial" w:hAnsi="Arial" w:cs="Arial"/>
          <w:sz w:val="22"/>
          <w:szCs w:val="22"/>
        </w:rPr>
        <w:t xml:space="preserve">West, C.P., </w:t>
      </w:r>
      <w:proofErr w:type="spellStart"/>
      <w:r w:rsidRPr="007C4741">
        <w:rPr>
          <w:rFonts w:ascii="Arial" w:hAnsi="Arial" w:cs="Arial"/>
          <w:sz w:val="22"/>
          <w:szCs w:val="22"/>
        </w:rPr>
        <w:t>Dyrbye</w:t>
      </w:r>
      <w:proofErr w:type="spellEnd"/>
      <w:r w:rsidRPr="007C4741">
        <w:rPr>
          <w:rFonts w:ascii="Arial" w:hAnsi="Arial" w:cs="Arial"/>
          <w:sz w:val="22"/>
          <w:szCs w:val="22"/>
        </w:rPr>
        <w:t xml:space="preserve">, L.N. and </w:t>
      </w:r>
      <w:proofErr w:type="spellStart"/>
      <w:r w:rsidRPr="007C4741">
        <w:rPr>
          <w:rFonts w:ascii="Arial" w:hAnsi="Arial" w:cs="Arial"/>
          <w:sz w:val="22"/>
          <w:szCs w:val="22"/>
        </w:rPr>
        <w:t>Shanafelt</w:t>
      </w:r>
      <w:proofErr w:type="spellEnd"/>
      <w:r w:rsidRPr="007C4741">
        <w:rPr>
          <w:rFonts w:ascii="Arial" w:hAnsi="Arial" w:cs="Arial"/>
          <w:sz w:val="22"/>
          <w:szCs w:val="22"/>
        </w:rPr>
        <w:t xml:space="preserve">, T.D., 2018. Physician burnout: contributors, consequences and solutions. </w:t>
      </w:r>
      <w:r w:rsidRPr="007C4741">
        <w:rPr>
          <w:rStyle w:val="Emphasis"/>
          <w:rFonts w:ascii="Arial" w:hAnsi="Arial" w:cs="Arial"/>
          <w:sz w:val="22"/>
          <w:szCs w:val="22"/>
        </w:rPr>
        <w:t>Journal of Internal Medicine</w:t>
      </w:r>
      <w:r w:rsidRPr="007C4741">
        <w:rPr>
          <w:rFonts w:ascii="Arial" w:hAnsi="Arial" w:cs="Arial"/>
          <w:sz w:val="22"/>
          <w:szCs w:val="22"/>
        </w:rPr>
        <w:t>, 283(6), pp.516-529.</w:t>
      </w:r>
    </w:p>
    <w:p w14:paraId="03F0D60E" w14:textId="09E1D8B5" w:rsidR="00582081" w:rsidRPr="007C4741" w:rsidRDefault="00582081" w:rsidP="007C4741">
      <w:pPr>
        <w:spacing w:line="276" w:lineRule="auto"/>
        <w:rPr>
          <w:rFonts w:ascii="Arial" w:hAnsi="Arial" w:cs="Arial"/>
        </w:rPr>
      </w:pPr>
    </w:p>
    <w:sectPr w:rsidR="00582081" w:rsidRPr="007C4741"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901A6" w14:textId="77777777" w:rsidR="0027103F" w:rsidRDefault="0027103F" w:rsidP="00D210FA">
      <w:pPr>
        <w:spacing w:after="0"/>
      </w:pPr>
      <w:r>
        <w:separator/>
      </w:r>
    </w:p>
  </w:endnote>
  <w:endnote w:type="continuationSeparator" w:id="0">
    <w:p w14:paraId="1D8DFEC5" w14:textId="77777777" w:rsidR="0027103F" w:rsidRDefault="0027103F"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panose1 w:val="020B06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9B4740" w14:textId="77777777" w:rsidR="0027103F" w:rsidRDefault="0027103F" w:rsidP="00D210FA">
      <w:pPr>
        <w:spacing w:after="0"/>
      </w:pPr>
      <w:r>
        <w:separator/>
      </w:r>
    </w:p>
  </w:footnote>
  <w:footnote w:type="continuationSeparator" w:id="0">
    <w:p w14:paraId="1791CAA8" w14:textId="77777777" w:rsidR="0027103F" w:rsidRDefault="0027103F"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1D7360"/>
    <w:multiLevelType w:val="multilevel"/>
    <w:tmpl w:val="0CF20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E630A2"/>
    <w:multiLevelType w:val="multilevel"/>
    <w:tmpl w:val="E3248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B624010"/>
    <w:multiLevelType w:val="multilevel"/>
    <w:tmpl w:val="D6C0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2A47A3"/>
    <w:multiLevelType w:val="multilevel"/>
    <w:tmpl w:val="FECE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21244A"/>
    <w:multiLevelType w:val="multilevel"/>
    <w:tmpl w:val="D890C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254CC5"/>
    <w:multiLevelType w:val="multilevel"/>
    <w:tmpl w:val="EBB0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6576CA"/>
    <w:multiLevelType w:val="multilevel"/>
    <w:tmpl w:val="F090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727C8"/>
    <w:multiLevelType w:val="multilevel"/>
    <w:tmpl w:val="A1EC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A64B45"/>
    <w:multiLevelType w:val="multilevel"/>
    <w:tmpl w:val="B874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3A6F11"/>
    <w:multiLevelType w:val="multilevel"/>
    <w:tmpl w:val="585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0702B8"/>
    <w:multiLevelType w:val="multilevel"/>
    <w:tmpl w:val="0300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A8F2016"/>
    <w:multiLevelType w:val="multilevel"/>
    <w:tmpl w:val="338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9A2351"/>
    <w:multiLevelType w:val="multilevel"/>
    <w:tmpl w:val="36EA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DC25EF"/>
    <w:multiLevelType w:val="multilevel"/>
    <w:tmpl w:val="0D9E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D157E3"/>
    <w:multiLevelType w:val="multilevel"/>
    <w:tmpl w:val="CF06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D5E06A2"/>
    <w:multiLevelType w:val="hybridMultilevel"/>
    <w:tmpl w:val="C0CA9B82"/>
    <w:lvl w:ilvl="0" w:tplc="5334732C">
      <w:start w:val="1"/>
      <w:numFmt w:val="decimalZero"/>
      <w:lvlText w:val="%1"/>
      <w:lvlJc w:val="left"/>
      <w:pPr>
        <w:ind w:left="860" w:hanging="50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81725D"/>
    <w:multiLevelType w:val="multilevel"/>
    <w:tmpl w:val="378C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091B87"/>
    <w:multiLevelType w:val="multilevel"/>
    <w:tmpl w:val="72A2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B80C5A"/>
    <w:multiLevelType w:val="multilevel"/>
    <w:tmpl w:val="08B4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7E552B"/>
    <w:multiLevelType w:val="multilevel"/>
    <w:tmpl w:val="44D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A05F1E"/>
    <w:multiLevelType w:val="multilevel"/>
    <w:tmpl w:val="7C5C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0"/>
  </w:num>
  <w:num w:numId="4">
    <w:abstractNumId w:val="33"/>
  </w:num>
  <w:num w:numId="5">
    <w:abstractNumId w:val="12"/>
  </w:num>
  <w:num w:numId="6">
    <w:abstractNumId w:val="11"/>
  </w:num>
  <w:num w:numId="7">
    <w:abstractNumId w:val="24"/>
  </w:num>
  <w:num w:numId="8">
    <w:abstractNumId w:val="19"/>
  </w:num>
  <w:num w:numId="9">
    <w:abstractNumId w:val="3"/>
  </w:num>
  <w:num w:numId="10">
    <w:abstractNumId w:val="0"/>
  </w:num>
  <w:num w:numId="11">
    <w:abstractNumId w:val="8"/>
  </w:num>
  <w:num w:numId="12">
    <w:abstractNumId w:val="2"/>
  </w:num>
  <w:num w:numId="13">
    <w:abstractNumId w:val="28"/>
  </w:num>
  <w:num w:numId="14">
    <w:abstractNumId w:val="32"/>
  </w:num>
  <w:num w:numId="15">
    <w:abstractNumId w:val="6"/>
  </w:num>
  <w:num w:numId="16">
    <w:abstractNumId w:val="18"/>
  </w:num>
  <w:num w:numId="17">
    <w:abstractNumId w:val="31"/>
  </w:num>
  <w:num w:numId="18">
    <w:abstractNumId w:val="20"/>
  </w:num>
  <w:num w:numId="19">
    <w:abstractNumId w:val="27"/>
  </w:num>
  <w:num w:numId="20">
    <w:abstractNumId w:val="17"/>
  </w:num>
  <w:num w:numId="21">
    <w:abstractNumId w:val="16"/>
  </w:num>
  <w:num w:numId="22">
    <w:abstractNumId w:val="9"/>
  </w:num>
  <w:num w:numId="23">
    <w:abstractNumId w:val="14"/>
  </w:num>
  <w:num w:numId="24">
    <w:abstractNumId w:val="22"/>
  </w:num>
  <w:num w:numId="25">
    <w:abstractNumId w:val="13"/>
  </w:num>
  <w:num w:numId="26">
    <w:abstractNumId w:val="23"/>
  </w:num>
  <w:num w:numId="27">
    <w:abstractNumId w:val="26"/>
  </w:num>
  <w:num w:numId="28">
    <w:abstractNumId w:val="29"/>
  </w:num>
  <w:num w:numId="29">
    <w:abstractNumId w:val="4"/>
  </w:num>
  <w:num w:numId="30">
    <w:abstractNumId w:val="10"/>
  </w:num>
  <w:num w:numId="31">
    <w:abstractNumId w:val="1"/>
  </w:num>
  <w:num w:numId="32">
    <w:abstractNumId w:val="25"/>
  </w:num>
  <w:num w:numId="33">
    <w:abstractNumId w:val="2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26C58"/>
    <w:rsid w:val="002341AD"/>
    <w:rsid w:val="00253267"/>
    <w:rsid w:val="0027103F"/>
    <w:rsid w:val="002823CD"/>
    <w:rsid w:val="00287787"/>
    <w:rsid w:val="00291685"/>
    <w:rsid w:val="0029329C"/>
    <w:rsid w:val="002A7697"/>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38BC"/>
    <w:rsid w:val="005B57E1"/>
    <w:rsid w:val="005E61E0"/>
    <w:rsid w:val="005F0F31"/>
    <w:rsid w:val="005F6DD5"/>
    <w:rsid w:val="005F7D75"/>
    <w:rsid w:val="006024ED"/>
    <w:rsid w:val="0061793F"/>
    <w:rsid w:val="0062123A"/>
    <w:rsid w:val="006605F8"/>
    <w:rsid w:val="006676A1"/>
    <w:rsid w:val="006833BD"/>
    <w:rsid w:val="006D2642"/>
    <w:rsid w:val="006E2D42"/>
    <w:rsid w:val="00720FEE"/>
    <w:rsid w:val="00764B6F"/>
    <w:rsid w:val="007C4741"/>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92FBA"/>
    <w:rsid w:val="008B0F18"/>
    <w:rsid w:val="008C1616"/>
    <w:rsid w:val="008E3921"/>
    <w:rsid w:val="0090027B"/>
    <w:rsid w:val="00905238"/>
    <w:rsid w:val="0093407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02B82"/>
    <w:rsid w:val="00C20ED0"/>
    <w:rsid w:val="00C31D85"/>
    <w:rsid w:val="00C348A8"/>
    <w:rsid w:val="00C34FA0"/>
    <w:rsid w:val="00C46111"/>
    <w:rsid w:val="00C47DCC"/>
    <w:rsid w:val="00C562AE"/>
    <w:rsid w:val="00C83332"/>
    <w:rsid w:val="00C95E04"/>
    <w:rsid w:val="00CC0A8F"/>
    <w:rsid w:val="00CC24B6"/>
    <w:rsid w:val="00CD3A64"/>
    <w:rsid w:val="00CE08CD"/>
    <w:rsid w:val="00D0664A"/>
    <w:rsid w:val="00D210FA"/>
    <w:rsid w:val="00D30F1D"/>
    <w:rsid w:val="00D57231"/>
    <w:rsid w:val="00D87B48"/>
    <w:rsid w:val="00D91203"/>
    <w:rsid w:val="00D94FD1"/>
    <w:rsid w:val="00DB79AA"/>
    <w:rsid w:val="00E41692"/>
    <w:rsid w:val="00E55D74"/>
    <w:rsid w:val="00E55E0C"/>
    <w:rsid w:val="00E81234"/>
    <w:rsid w:val="00E9037E"/>
    <w:rsid w:val="00EA120D"/>
    <w:rsid w:val="00EA49C3"/>
    <w:rsid w:val="00EB5E14"/>
    <w:rsid w:val="00EB6F36"/>
    <w:rsid w:val="00ED1049"/>
    <w:rsid w:val="00EE19D9"/>
    <w:rsid w:val="00EE2C13"/>
    <w:rsid w:val="00EF26FC"/>
    <w:rsid w:val="00F37523"/>
    <w:rsid w:val="00F50168"/>
    <w:rsid w:val="00F50D34"/>
    <w:rsid w:val="00F51AF9"/>
    <w:rsid w:val="00F52F83"/>
    <w:rsid w:val="00F61360"/>
    <w:rsid w:val="00F84F1E"/>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F51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customStyle="1" w:styleId="Heading3Char">
    <w:name w:val="Heading 3 Char"/>
    <w:basedOn w:val="DefaultParagraphFont"/>
    <w:link w:val="Heading3"/>
    <w:uiPriority w:val="9"/>
    <w:semiHidden/>
    <w:rsid w:val="00F51AF9"/>
    <w:rPr>
      <w:rFonts w:asciiTheme="majorHAnsi" w:eastAsiaTheme="majorEastAsia" w:hAnsiTheme="majorHAnsi" w:cstheme="majorBidi"/>
      <w:color w:val="1F3763" w:themeColor="accent1" w:themeShade="7F"/>
      <w:sz w:val="24"/>
      <w:szCs w:val="24"/>
    </w:rPr>
  </w:style>
  <w:style w:type="paragraph" w:customStyle="1" w:styleId="my-2">
    <w:name w:val="my-2"/>
    <w:basedOn w:val="Normal"/>
    <w:rsid w:val="00C02B82"/>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C02B82"/>
    <w:rPr>
      <w:color w:val="0000FF"/>
      <w:u w:val="single"/>
    </w:rPr>
  </w:style>
  <w:style w:type="character" w:styleId="Emphasis">
    <w:name w:val="Emphasis"/>
    <w:basedOn w:val="DefaultParagraphFont"/>
    <w:uiPriority w:val="20"/>
    <w:qFormat/>
    <w:rsid w:val="00C02B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175778036">
      <w:bodyDiv w:val="1"/>
      <w:marLeft w:val="0"/>
      <w:marRight w:val="0"/>
      <w:marTop w:val="0"/>
      <w:marBottom w:val="0"/>
      <w:divBdr>
        <w:top w:val="none" w:sz="0" w:space="0" w:color="auto"/>
        <w:left w:val="none" w:sz="0" w:space="0" w:color="auto"/>
        <w:bottom w:val="none" w:sz="0" w:space="0" w:color="auto"/>
        <w:right w:val="none" w:sz="0" w:space="0" w:color="auto"/>
      </w:divBdr>
    </w:div>
    <w:div w:id="176694730">
      <w:bodyDiv w:val="1"/>
      <w:marLeft w:val="0"/>
      <w:marRight w:val="0"/>
      <w:marTop w:val="0"/>
      <w:marBottom w:val="0"/>
      <w:divBdr>
        <w:top w:val="none" w:sz="0" w:space="0" w:color="auto"/>
        <w:left w:val="none" w:sz="0" w:space="0" w:color="auto"/>
        <w:bottom w:val="none" w:sz="0" w:space="0" w:color="auto"/>
        <w:right w:val="none" w:sz="0" w:space="0" w:color="auto"/>
      </w:divBdr>
    </w:div>
    <w:div w:id="227108715">
      <w:bodyDiv w:val="1"/>
      <w:marLeft w:val="0"/>
      <w:marRight w:val="0"/>
      <w:marTop w:val="0"/>
      <w:marBottom w:val="0"/>
      <w:divBdr>
        <w:top w:val="none" w:sz="0" w:space="0" w:color="auto"/>
        <w:left w:val="none" w:sz="0" w:space="0" w:color="auto"/>
        <w:bottom w:val="none" w:sz="0" w:space="0" w:color="auto"/>
        <w:right w:val="none" w:sz="0" w:space="0" w:color="auto"/>
      </w:divBdr>
    </w:div>
    <w:div w:id="273445146">
      <w:bodyDiv w:val="1"/>
      <w:marLeft w:val="0"/>
      <w:marRight w:val="0"/>
      <w:marTop w:val="0"/>
      <w:marBottom w:val="0"/>
      <w:divBdr>
        <w:top w:val="none" w:sz="0" w:space="0" w:color="auto"/>
        <w:left w:val="none" w:sz="0" w:space="0" w:color="auto"/>
        <w:bottom w:val="none" w:sz="0" w:space="0" w:color="auto"/>
        <w:right w:val="none" w:sz="0" w:space="0" w:color="auto"/>
      </w:divBdr>
    </w:div>
    <w:div w:id="282737855">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61368428">
      <w:bodyDiv w:val="1"/>
      <w:marLeft w:val="0"/>
      <w:marRight w:val="0"/>
      <w:marTop w:val="0"/>
      <w:marBottom w:val="0"/>
      <w:divBdr>
        <w:top w:val="none" w:sz="0" w:space="0" w:color="auto"/>
        <w:left w:val="none" w:sz="0" w:space="0" w:color="auto"/>
        <w:bottom w:val="none" w:sz="0" w:space="0" w:color="auto"/>
        <w:right w:val="none" w:sz="0" w:space="0" w:color="auto"/>
      </w:divBdr>
    </w:div>
    <w:div w:id="363605703">
      <w:bodyDiv w:val="1"/>
      <w:marLeft w:val="0"/>
      <w:marRight w:val="0"/>
      <w:marTop w:val="0"/>
      <w:marBottom w:val="0"/>
      <w:divBdr>
        <w:top w:val="none" w:sz="0" w:space="0" w:color="auto"/>
        <w:left w:val="none" w:sz="0" w:space="0" w:color="auto"/>
        <w:bottom w:val="none" w:sz="0" w:space="0" w:color="auto"/>
        <w:right w:val="none" w:sz="0" w:space="0" w:color="auto"/>
      </w:divBdr>
    </w:div>
    <w:div w:id="430509085">
      <w:bodyDiv w:val="1"/>
      <w:marLeft w:val="0"/>
      <w:marRight w:val="0"/>
      <w:marTop w:val="0"/>
      <w:marBottom w:val="0"/>
      <w:divBdr>
        <w:top w:val="none" w:sz="0" w:space="0" w:color="auto"/>
        <w:left w:val="none" w:sz="0" w:space="0" w:color="auto"/>
        <w:bottom w:val="none" w:sz="0" w:space="0" w:color="auto"/>
        <w:right w:val="none" w:sz="0" w:space="0" w:color="auto"/>
      </w:divBdr>
    </w:div>
    <w:div w:id="442965225">
      <w:bodyDiv w:val="1"/>
      <w:marLeft w:val="0"/>
      <w:marRight w:val="0"/>
      <w:marTop w:val="0"/>
      <w:marBottom w:val="0"/>
      <w:divBdr>
        <w:top w:val="none" w:sz="0" w:space="0" w:color="auto"/>
        <w:left w:val="none" w:sz="0" w:space="0" w:color="auto"/>
        <w:bottom w:val="none" w:sz="0" w:space="0" w:color="auto"/>
        <w:right w:val="none" w:sz="0" w:space="0" w:color="auto"/>
      </w:divBdr>
    </w:div>
    <w:div w:id="448009624">
      <w:bodyDiv w:val="1"/>
      <w:marLeft w:val="0"/>
      <w:marRight w:val="0"/>
      <w:marTop w:val="0"/>
      <w:marBottom w:val="0"/>
      <w:divBdr>
        <w:top w:val="none" w:sz="0" w:space="0" w:color="auto"/>
        <w:left w:val="none" w:sz="0" w:space="0" w:color="auto"/>
        <w:bottom w:val="none" w:sz="0" w:space="0" w:color="auto"/>
        <w:right w:val="none" w:sz="0" w:space="0" w:color="auto"/>
      </w:divBdr>
    </w:div>
    <w:div w:id="490683110">
      <w:bodyDiv w:val="1"/>
      <w:marLeft w:val="0"/>
      <w:marRight w:val="0"/>
      <w:marTop w:val="0"/>
      <w:marBottom w:val="0"/>
      <w:divBdr>
        <w:top w:val="none" w:sz="0" w:space="0" w:color="auto"/>
        <w:left w:val="none" w:sz="0" w:space="0" w:color="auto"/>
        <w:bottom w:val="none" w:sz="0" w:space="0" w:color="auto"/>
        <w:right w:val="none" w:sz="0" w:space="0" w:color="auto"/>
      </w:divBdr>
    </w:div>
    <w:div w:id="611674180">
      <w:bodyDiv w:val="1"/>
      <w:marLeft w:val="0"/>
      <w:marRight w:val="0"/>
      <w:marTop w:val="0"/>
      <w:marBottom w:val="0"/>
      <w:divBdr>
        <w:top w:val="none" w:sz="0" w:space="0" w:color="auto"/>
        <w:left w:val="none" w:sz="0" w:space="0" w:color="auto"/>
        <w:bottom w:val="none" w:sz="0" w:space="0" w:color="auto"/>
        <w:right w:val="none" w:sz="0" w:space="0" w:color="auto"/>
      </w:divBdr>
    </w:div>
    <w:div w:id="710228135">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905797125">
      <w:bodyDiv w:val="1"/>
      <w:marLeft w:val="0"/>
      <w:marRight w:val="0"/>
      <w:marTop w:val="0"/>
      <w:marBottom w:val="0"/>
      <w:divBdr>
        <w:top w:val="none" w:sz="0" w:space="0" w:color="auto"/>
        <w:left w:val="none" w:sz="0" w:space="0" w:color="auto"/>
        <w:bottom w:val="none" w:sz="0" w:space="0" w:color="auto"/>
        <w:right w:val="none" w:sz="0" w:space="0" w:color="auto"/>
      </w:divBdr>
    </w:div>
    <w:div w:id="960308040">
      <w:bodyDiv w:val="1"/>
      <w:marLeft w:val="0"/>
      <w:marRight w:val="0"/>
      <w:marTop w:val="0"/>
      <w:marBottom w:val="0"/>
      <w:divBdr>
        <w:top w:val="none" w:sz="0" w:space="0" w:color="auto"/>
        <w:left w:val="none" w:sz="0" w:space="0" w:color="auto"/>
        <w:bottom w:val="none" w:sz="0" w:space="0" w:color="auto"/>
        <w:right w:val="none" w:sz="0" w:space="0" w:color="auto"/>
      </w:divBdr>
    </w:div>
    <w:div w:id="1041979121">
      <w:bodyDiv w:val="1"/>
      <w:marLeft w:val="0"/>
      <w:marRight w:val="0"/>
      <w:marTop w:val="0"/>
      <w:marBottom w:val="0"/>
      <w:divBdr>
        <w:top w:val="none" w:sz="0" w:space="0" w:color="auto"/>
        <w:left w:val="none" w:sz="0" w:space="0" w:color="auto"/>
        <w:bottom w:val="none" w:sz="0" w:space="0" w:color="auto"/>
        <w:right w:val="none" w:sz="0" w:space="0" w:color="auto"/>
      </w:divBdr>
    </w:div>
    <w:div w:id="1066880893">
      <w:bodyDiv w:val="1"/>
      <w:marLeft w:val="0"/>
      <w:marRight w:val="0"/>
      <w:marTop w:val="0"/>
      <w:marBottom w:val="0"/>
      <w:divBdr>
        <w:top w:val="none" w:sz="0" w:space="0" w:color="auto"/>
        <w:left w:val="none" w:sz="0" w:space="0" w:color="auto"/>
        <w:bottom w:val="none" w:sz="0" w:space="0" w:color="auto"/>
        <w:right w:val="none" w:sz="0" w:space="0" w:color="auto"/>
      </w:divBdr>
    </w:div>
    <w:div w:id="1067338585">
      <w:bodyDiv w:val="1"/>
      <w:marLeft w:val="0"/>
      <w:marRight w:val="0"/>
      <w:marTop w:val="0"/>
      <w:marBottom w:val="0"/>
      <w:divBdr>
        <w:top w:val="none" w:sz="0" w:space="0" w:color="auto"/>
        <w:left w:val="none" w:sz="0" w:space="0" w:color="auto"/>
        <w:bottom w:val="none" w:sz="0" w:space="0" w:color="auto"/>
        <w:right w:val="none" w:sz="0" w:space="0" w:color="auto"/>
      </w:divBdr>
    </w:div>
    <w:div w:id="1107313036">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289318308">
      <w:bodyDiv w:val="1"/>
      <w:marLeft w:val="0"/>
      <w:marRight w:val="0"/>
      <w:marTop w:val="0"/>
      <w:marBottom w:val="0"/>
      <w:divBdr>
        <w:top w:val="none" w:sz="0" w:space="0" w:color="auto"/>
        <w:left w:val="none" w:sz="0" w:space="0" w:color="auto"/>
        <w:bottom w:val="none" w:sz="0" w:space="0" w:color="auto"/>
        <w:right w:val="none" w:sz="0" w:space="0" w:color="auto"/>
      </w:divBdr>
    </w:div>
    <w:div w:id="1295260381">
      <w:bodyDiv w:val="1"/>
      <w:marLeft w:val="0"/>
      <w:marRight w:val="0"/>
      <w:marTop w:val="0"/>
      <w:marBottom w:val="0"/>
      <w:divBdr>
        <w:top w:val="none" w:sz="0" w:space="0" w:color="auto"/>
        <w:left w:val="none" w:sz="0" w:space="0" w:color="auto"/>
        <w:bottom w:val="none" w:sz="0" w:space="0" w:color="auto"/>
        <w:right w:val="none" w:sz="0" w:space="0" w:color="auto"/>
      </w:divBdr>
    </w:div>
    <w:div w:id="1485969177">
      <w:bodyDiv w:val="1"/>
      <w:marLeft w:val="0"/>
      <w:marRight w:val="0"/>
      <w:marTop w:val="0"/>
      <w:marBottom w:val="0"/>
      <w:divBdr>
        <w:top w:val="none" w:sz="0" w:space="0" w:color="auto"/>
        <w:left w:val="none" w:sz="0" w:space="0" w:color="auto"/>
        <w:bottom w:val="none" w:sz="0" w:space="0" w:color="auto"/>
        <w:right w:val="none" w:sz="0" w:space="0" w:color="auto"/>
      </w:divBdr>
    </w:div>
    <w:div w:id="1504319210">
      <w:bodyDiv w:val="1"/>
      <w:marLeft w:val="0"/>
      <w:marRight w:val="0"/>
      <w:marTop w:val="0"/>
      <w:marBottom w:val="0"/>
      <w:divBdr>
        <w:top w:val="none" w:sz="0" w:space="0" w:color="auto"/>
        <w:left w:val="none" w:sz="0" w:space="0" w:color="auto"/>
        <w:bottom w:val="none" w:sz="0" w:space="0" w:color="auto"/>
        <w:right w:val="none" w:sz="0" w:space="0" w:color="auto"/>
      </w:divBdr>
    </w:div>
    <w:div w:id="1508903360">
      <w:bodyDiv w:val="1"/>
      <w:marLeft w:val="0"/>
      <w:marRight w:val="0"/>
      <w:marTop w:val="0"/>
      <w:marBottom w:val="0"/>
      <w:divBdr>
        <w:top w:val="none" w:sz="0" w:space="0" w:color="auto"/>
        <w:left w:val="none" w:sz="0" w:space="0" w:color="auto"/>
        <w:bottom w:val="none" w:sz="0" w:space="0" w:color="auto"/>
        <w:right w:val="none" w:sz="0" w:space="0" w:color="auto"/>
      </w:divBdr>
    </w:div>
    <w:div w:id="1519075442">
      <w:bodyDiv w:val="1"/>
      <w:marLeft w:val="0"/>
      <w:marRight w:val="0"/>
      <w:marTop w:val="0"/>
      <w:marBottom w:val="0"/>
      <w:divBdr>
        <w:top w:val="none" w:sz="0" w:space="0" w:color="auto"/>
        <w:left w:val="none" w:sz="0" w:space="0" w:color="auto"/>
        <w:bottom w:val="none" w:sz="0" w:space="0" w:color="auto"/>
        <w:right w:val="none" w:sz="0" w:space="0" w:color="auto"/>
      </w:divBdr>
    </w:div>
    <w:div w:id="1615356825">
      <w:bodyDiv w:val="1"/>
      <w:marLeft w:val="0"/>
      <w:marRight w:val="0"/>
      <w:marTop w:val="0"/>
      <w:marBottom w:val="0"/>
      <w:divBdr>
        <w:top w:val="none" w:sz="0" w:space="0" w:color="auto"/>
        <w:left w:val="none" w:sz="0" w:space="0" w:color="auto"/>
        <w:bottom w:val="none" w:sz="0" w:space="0" w:color="auto"/>
        <w:right w:val="none" w:sz="0" w:space="0" w:color="auto"/>
      </w:divBdr>
    </w:div>
    <w:div w:id="1637950565">
      <w:bodyDiv w:val="1"/>
      <w:marLeft w:val="0"/>
      <w:marRight w:val="0"/>
      <w:marTop w:val="0"/>
      <w:marBottom w:val="0"/>
      <w:divBdr>
        <w:top w:val="none" w:sz="0" w:space="0" w:color="auto"/>
        <w:left w:val="none" w:sz="0" w:space="0" w:color="auto"/>
        <w:bottom w:val="none" w:sz="0" w:space="0" w:color="auto"/>
        <w:right w:val="none" w:sz="0" w:space="0" w:color="auto"/>
      </w:divBdr>
    </w:div>
    <w:div w:id="1654528674">
      <w:bodyDiv w:val="1"/>
      <w:marLeft w:val="0"/>
      <w:marRight w:val="0"/>
      <w:marTop w:val="0"/>
      <w:marBottom w:val="0"/>
      <w:divBdr>
        <w:top w:val="none" w:sz="0" w:space="0" w:color="auto"/>
        <w:left w:val="none" w:sz="0" w:space="0" w:color="auto"/>
        <w:bottom w:val="none" w:sz="0" w:space="0" w:color="auto"/>
        <w:right w:val="none" w:sz="0" w:space="0" w:color="auto"/>
      </w:divBdr>
    </w:div>
    <w:div w:id="1754862478">
      <w:bodyDiv w:val="1"/>
      <w:marLeft w:val="0"/>
      <w:marRight w:val="0"/>
      <w:marTop w:val="0"/>
      <w:marBottom w:val="0"/>
      <w:divBdr>
        <w:top w:val="none" w:sz="0" w:space="0" w:color="auto"/>
        <w:left w:val="none" w:sz="0" w:space="0" w:color="auto"/>
        <w:bottom w:val="none" w:sz="0" w:space="0" w:color="auto"/>
        <w:right w:val="none" w:sz="0" w:space="0" w:color="auto"/>
      </w:divBdr>
    </w:div>
    <w:div w:id="1786538715">
      <w:bodyDiv w:val="1"/>
      <w:marLeft w:val="0"/>
      <w:marRight w:val="0"/>
      <w:marTop w:val="0"/>
      <w:marBottom w:val="0"/>
      <w:divBdr>
        <w:top w:val="none" w:sz="0" w:space="0" w:color="auto"/>
        <w:left w:val="none" w:sz="0" w:space="0" w:color="auto"/>
        <w:bottom w:val="none" w:sz="0" w:space="0" w:color="auto"/>
        <w:right w:val="none" w:sz="0" w:space="0" w:color="auto"/>
      </w:divBdr>
    </w:div>
    <w:div w:id="1798910614">
      <w:bodyDiv w:val="1"/>
      <w:marLeft w:val="0"/>
      <w:marRight w:val="0"/>
      <w:marTop w:val="0"/>
      <w:marBottom w:val="0"/>
      <w:divBdr>
        <w:top w:val="none" w:sz="0" w:space="0" w:color="auto"/>
        <w:left w:val="none" w:sz="0" w:space="0" w:color="auto"/>
        <w:bottom w:val="none" w:sz="0" w:space="0" w:color="auto"/>
        <w:right w:val="none" w:sz="0" w:space="0" w:color="auto"/>
      </w:divBdr>
    </w:div>
    <w:div w:id="1837188723">
      <w:bodyDiv w:val="1"/>
      <w:marLeft w:val="0"/>
      <w:marRight w:val="0"/>
      <w:marTop w:val="0"/>
      <w:marBottom w:val="0"/>
      <w:divBdr>
        <w:top w:val="none" w:sz="0" w:space="0" w:color="auto"/>
        <w:left w:val="none" w:sz="0" w:space="0" w:color="auto"/>
        <w:bottom w:val="none" w:sz="0" w:space="0" w:color="auto"/>
        <w:right w:val="none" w:sz="0" w:space="0" w:color="auto"/>
      </w:divBdr>
    </w:div>
    <w:div w:id="1890602636">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 w:id="2108424878">
      <w:bodyDiv w:val="1"/>
      <w:marLeft w:val="0"/>
      <w:marRight w:val="0"/>
      <w:marTop w:val="0"/>
      <w:marBottom w:val="0"/>
      <w:divBdr>
        <w:top w:val="none" w:sz="0" w:space="0" w:color="auto"/>
        <w:left w:val="none" w:sz="0" w:space="0" w:color="auto"/>
        <w:bottom w:val="none" w:sz="0" w:space="0" w:color="auto"/>
        <w:right w:val="none" w:sz="0" w:space="0" w:color="auto"/>
      </w:divBdr>
    </w:div>
    <w:div w:id="2130660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5</Pages>
  <Words>1258</Words>
  <Characters>8417</Characters>
  <Application>Microsoft Office Word</Application>
  <DocSecurity>0</DocSecurity>
  <Lines>191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2026-02-27T09:46:00Z</dcterms:created>
  <dcterms:modified xsi:type="dcterms:W3CDTF">2026-07-14T15:54:00Z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