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C1787" w14:textId="586F9487" w:rsidR="008C2E6D" w:rsidRDefault="003511DF" w:rsidP="003511DF">
      <w:pPr>
        <w:jc w:val="center"/>
      </w:pPr>
      <w:r>
        <w:t xml:space="preserve">An Exploration of Inclusivism- The Encyclopaedia of Christian Theology. </w:t>
      </w:r>
    </w:p>
    <w:p w14:paraId="1BDB5DE6" w14:textId="77777777" w:rsidR="00F87E21" w:rsidRDefault="00F87E21" w:rsidP="00F87E21">
      <w:pPr>
        <w:rPr>
          <w:b/>
          <w:bCs/>
        </w:rPr>
      </w:pPr>
    </w:p>
    <w:p w14:paraId="4BA1DA3B" w14:textId="141596BC" w:rsidR="003511DF" w:rsidRPr="00F87E21" w:rsidRDefault="00F87E21" w:rsidP="00F87E21">
      <w:pPr>
        <w:rPr>
          <w:b/>
          <w:bCs/>
        </w:rPr>
      </w:pPr>
      <w:r>
        <w:rPr>
          <w:b/>
          <w:bCs/>
        </w:rPr>
        <w:t xml:space="preserve">Inclusivism’s Context </w:t>
      </w:r>
    </w:p>
    <w:p w14:paraId="3098225A" w14:textId="1E7630AE" w:rsidR="003511DF" w:rsidRDefault="003511DF" w:rsidP="003511DF">
      <w:pPr>
        <w:jc w:val="both"/>
      </w:pPr>
      <w:r>
        <w:t xml:space="preserve">Religious diversity is an undeniable element of our reality, and we are arguably more aware of this than ever before. As this pluralistic reality began to make its way to the forefront of our consciousness, it inevitably brought with it questions regarding the nature of salvation. Questions such as- If Christianity offers the only means by which to attain salvation, why do other religions not only persist in their existence but continue to thrive and flourish? Furthermore, what is the eternal destiny for those, who for </w:t>
      </w:r>
      <w:r w:rsidR="00E41662">
        <w:t>several</w:t>
      </w:r>
      <w:r>
        <w:t xml:space="preserve"> social/cultural/geographical reasons, have not been in contact with the Christian Gospel? </w:t>
      </w:r>
      <w:r w:rsidR="00E41662">
        <w:t xml:space="preserve">Similarly, what was the fate of those who lived and died before Jesus? Theologians have wrestled with salvific questions such as these and have presented a broad range of theories which fall under the classic framework known as the Theology of Religions. </w:t>
      </w:r>
    </w:p>
    <w:p w14:paraId="0032E317" w14:textId="14712F64" w:rsidR="00E41662" w:rsidRDefault="00E41662" w:rsidP="003511DF">
      <w:pPr>
        <w:jc w:val="both"/>
      </w:pPr>
      <w:r>
        <w:t>Although the viewpoints on this matter are vast</w:t>
      </w:r>
      <w:r w:rsidR="00860D68">
        <w:t>ly varied</w:t>
      </w:r>
      <w:r>
        <w:t>, the Theology of Religions framework seeks to place each theological opinion within one of three</w:t>
      </w:r>
      <w:r w:rsidR="00FF00FD">
        <w:t xml:space="preserve"> focal</w:t>
      </w:r>
      <w:r>
        <w:t xml:space="preserve"> categories- Exclusivism, Inclusivism and Pluralism. It is Inclusivism that will be explored within this article. I will firstly present </w:t>
      </w:r>
      <w:r w:rsidR="00766D88">
        <w:t>the</w:t>
      </w:r>
      <w:r w:rsidR="00FF00FD">
        <w:t xml:space="preserve"> theological</w:t>
      </w:r>
      <w:r w:rsidR="00766D88">
        <w:t xml:space="preserve"> arguments that underpin this </w:t>
      </w:r>
      <w:r w:rsidR="00FF00FD">
        <w:t>position</w:t>
      </w:r>
      <w:r w:rsidR="00766D88">
        <w:t xml:space="preserve"> before </w:t>
      </w:r>
      <w:r w:rsidR="00AF51CF">
        <w:t xml:space="preserve">briefly </w:t>
      </w:r>
      <w:r w:rsidR="00766D88">
        <w:t xml:space="preserve">focusing on prominent theologians who have lent their voice to </w:t>
      </w:r>
      <w:r w:rsidR="00FF00FD">
        <w:t>Inclusivism</w:t>
      </w:r>
      <w:r w:rsidR="00766D88">
        <w:t>- Karl R</w:t>
      </w:r>
      <w:r w:rsidR="00131B9D">
        <w:t>ah</w:t>
      </w:r>
      <w:r w:rsidR="00766D88">
        <w:t>ner</w:t>
      </w:r>
      <w:r w:rsidR="00683E44">
        <w:t xml:space="preserve">, </w:t>
      </w:r>
      <w:r w:rsidR="00766D88">
        <w:t>Hans Kung</w:t>
      </w:r>
      <w:r w:rsidR="007C7063">
        <w:t>, Ja</w:t>
      </w:r>
      <w:r w:rsidR="00FA3ED1">
        <w:t>c</w:t>
      </w:r>
      <w:r w:rsidR="007C7063">
        <w:t xml:space="preserve">ques Dupuis and </w:t>
      </w:r>
      <w:r w:rsidR="00683E44">
        <w:t>Clark Pinnoc</w:t>
      </w:r>
      <w:r w:rsidR="00751A33">
        <w:t>k.</w:t>
      </w:r>
    </w:p>
    <w:p w14:paraId="0DB46142" w14:textId="3928716B" w:rsidR="008C5200" w:rsidRDefault="008C5200" w:rsidP="003511DF">
      <w:pPr>
        <w:jc w:val="both"/>
        <w:rPr>
          <w:b/>
          <w:bCs/>
        </w:rPr>
      </w:pPr>
      <w:r>
        <w:rPr>
          <w:b/>
          <w:bCs/>
        </w:rPr>
        <w:t xml:space="preserve">What is Inclusivism? </w:t>
      </w:r>
    </w:p>
    <w:p w14:paraId="48B61E4D" w14:textId="77777777" w:rsidR="00860D68" w:rsidRDefault="00195E57" w:rsidP="003511DF">
      <w:pPr>
        <w:jc w:val="both"/>
      </w:pPr>
      <w:r>
        <w:t>At the core of Christianity are two seemingly contradictory beliefs, the first is the belief that God has a universal salvific will</w:t>
      </w:r>
      <w:r w:rsidR="00161D1A">
        <w:t xml:space="preserve"> (cf. John 12:32; 2 Cor. 5:19; Heb</w:t>
      </w:r>
      <w:r w:rsidR="008062FF">
        <w:t>.</w:t>
      </w:r>
      <w:r w:rsidR="00161D1A">
        <w:t xml:space="preserve"> 2:9)</w:t>
      </w:r>
      <w:r>
        <w:t>, and the second is that the life, death and resurrection of Jesus is the only means by which such salvation can be obtained</w:t>
      </w:r>
      <w:r w:rsidR="00161D1A">
        <w:t xml:space="preserve"> (cf. </w:t>
      </w:r>
      <w:r w:rsidR="00A5447B">
        <w:t>John 14:6;  Acts 4:12; 1 Tim. 2:5)</w:t>
      </w:r>
      <w:r>
        <w:t>. It could be argued that these two Christian values seem to counteract each other</w:t>
      </w:r>
      <w:r w:rsidR="00B51E42">
        <w:t>- How can God’s will be to bring the whole world into salvific unification with him, and yet exempt every person who has not submitted themselves to Jesus? Surely, these are incompatible values. And yet, the very foundation of Inclusivism is</w:t>
      </w:r>
      <w:r w:rsidR="009F5452">
        <w:t xml:space="preserve"> built upon</w:t>
      </w:r>
      <w:r w:rsidR="00B51E42">
        <w:t xml:space="preserve"> the</w:t>
      </w:r>
      <w:r w:rsidR="003B021F">
        <w:t xml:space="preserve"> acknowledgment of these</w:t>
      </w:r>
      <w:r w:rsidR="00B51E42">
        <w:t xml:space="preserve"> belief</w:t>
      </w:r>
      <w:r w:rsidR="003B021F">
        <w:t>s and the opinion</w:t>
      </w:r>
      <w:r w:rsidR="00B51E42">
        <w:t xml:space="preserve"> that the</w:t>
      </w:r>
      <w:r w:rsidR="003B021F">
        <w:t>y</w:t>
      </w:r>
      <w:r w:rsidR="00B51E42">
        <w:t xml:space="preserve"> are </w:t>
      </w:r>
      <w:r w:rsidR="00B51E42" w:rsidRPr="009F5452">
        <w:rPr>
          <w:i/>
          <w:iCs/>
        </w:rPr>
        <w:t>not</w:t>
      </w:r>
      <w:r w:rsidR="00B51E42">
        <w:t xml:space="preserve"> incompatible values</w:t>
      </w:r>
      <w:r w:rsidR="009F5452">
        <w:t xml:space="preserve">. Inclusivist scholars </w:t>
      </w:r>
      <w:r>
        <w:t xml:space="preserve">argue that the tension between this universality and particularism is in fact, </w:t>
      </w:r>
      <w:r w:rsidR="003B021F">
        <w:t xml:space="preserve">a </w:t>
      </w:r>
      <w:r>
        <w:t xml:space="preserve">solution, not </w:t>
      </w:r>
      <w:r w:rsidR="003B021F">
        <w:t xml:space="preserve">a </w:t>
      </w:r>
      <w:r>
        <w:t>problem.</w:t>
      </w:r>
      <w:r w:rsidR="00B51E42">
        <w:t xml:space="preserve"> </w:t>
      </w:r>
      <w:r w:rsidR="00860D68">
        <w:t xml:space="preserve">It is the answer and not the question. </w:t>
      </w:r>
    </w:p>
    <w:p w14:paraId="52DA2EAD" w14:textId="570A7EFA" w:rsidR="009F5452" w:rsidRDefault="00131B9D" w:rsidP="003511DF">
      <w:pPr>
        <w:jc w:val="both"/>
      </w:pPr>
      <w:r>
        <w:t xml:space="preserve">Inclusivism is </w:t>
      </w:r>
      <w:r w:rsidR="009F5452">
        <w:t xml:space="preserve">therefore </w:t>
      </w:r>
      <w:r>
        <w:t xml:space="preserve">a theological negotiation between these two values- a negation which settles upon the </w:t>
      </w:r>
      <w:r w:rsidR="003B021F">
        <w:t>idea</w:t>
      </w:r>
      <w:r>
        <w:t xml:space="preserve"> that although God’s saving grace</w:t>
      </w:r>
      <w:r w:rsidR="00B51E42">
        <w:t xml:space="preserve"> </w:t>
      </w:r>
      <w:r w:rsidR="003B021F">
        <w:t xml:space="preserve">exclusively </w:t>
      </w:r>
      <w:r w:rsidR="00B51E42">
        <w:t>originates and ultimately leads back to Jesus</w:t>
      </w:r>
      <w:r>
        <w:t xml:space="preserve">, other religions </w:t>
      </w:r>
      <w:r w:rsidR="00B51E42">
        <w:t xml:space="preserve">can act as vehicles of this grace. </w:t>
      </w:r>
    </w:p>
    <w:p w14:paraId="01D4B783" w14:textId="6D22A995" w:rsidR="00A617BA" w:rsidRPr="00A617BA" w:rsidRDefault="00E43D9E" w:rsidP="003511DF">
      <w:pPr>
        <w:jc w:val="both"/>
        <w:rPr>
          <w:rFonts w:cstheme="minorHAnsi"/>
          <w:shd w:val="clear" w:color="auto" w:fill="FFFFFF"/>
        </w:rPr>
      </w:pPr>
      <w:r>
        <w:t xml:space="preserve">And it is commonly the example of Jesus himself who sustains such an argument, as the Gospels record how he frequently and intentionally breaks down </w:t>
      </w:r>
      <w:r w:rsidR="00B95330">
        <w:t xml:space="preserve">the </w:t>
      </w:r>
      <w:r>
        <w:t>religious and cultural barriers</w:t>
      </w:r>
      <w:r w:rsidR="00B95330">
        <w:t xml:space="preserve"> within his own context</w:t>
      </w:r>
      <w:r>
        <w:t xml:space="preserve">. For example, </w:t>
      </w:r>
      <w:r w:rsidR="00B95330">
        <w:t>he uses a parable in order to praise the empathy of a Samaritan man while condemning the apathy of Jewish officials (Luke 10:25-37), he also singles out the exemplary faith of Greek men (John 12:20-50</w:t>
      </w:r>
      <w:r w:rsidR="00A45C27">
        <w:t>)</w:t>
      </w:r>
      <w:r w:rsidR="00B95330">
        <w:t xml:space="preserve"> and a Canaanite woman (Matt. 15:22-28)- all of which would have been considered the religious ‘other’. It is Jesus’ seeming disregard for the differing religious identities along with his commission to “go, therefore, and make disciples of </w:t>
      </w:r>
      <w:r w:rsidR="00B95330">
        <w:rPr>
          <w:i/>
          <w:iCs/>
        </w:rPr>
        <w:t xml:space="preserve">all nations” </w:t>
      </w:r>
      <w:r w:rsidR="00B95330">
        <w:t>(</w:t>
      </w:r>
      <w:r w:rsidR="00A45C27">
        <w:t>Matt. 28:19) that underpin many Inclusivist arguments and have led many historically prominent Christian scholars to accept such arguments- scholars such as John Stott, John Wesley and C.S Lewis who w</w:t>
      </w:r>
      <w:r w:rsidR="00A45C27" w:rsidRPr="00A45C27">
        <w:rPr>
          <w:rFonts w:cstheme="minorHAnsi"/>
        </w:rPr>
        <w:t xml:space="preserve">rote </w:t>
      </w:r>
      <w:r w:rsidR="00A45C27" w:rsidRPr="00A617BA">
        <w:rPr>
          <w:rFonts w:cstheme="minorHAnsi"/>
        </w:rPr>
        <w:t>that “</w:t>
      </w:r>
      <w:r w:rsidR="00A45C27" w:rsidRPr="00A617BA">
        <w:rPr>
          <w:rFonts w:cstheme="minorHAnsi"/>
          <w:shd w:val="clear" w:color="auto" w:fill="FFFFFF"/>
        </w:rPr>
        <w:t>If you are a Christian, you are free to think that all these religions, even the queerest ones, contain at least some hint of the truth.”</w:t>
      </w:r>
      <w:r w:rsidR="00A45C27" w:rsidRPr="00A617BA">
        <w:rPr>
          <w:rStyle w:val="FootnoteReference"/>
          <w:rFonts w:cstheme="minorHAnsi"/>
          <w:shd w:val="clear" w:color="auto" w:fill="FFFFFF"/>
        </w:rPr>
        <w:footnoteReference w:id="1"/>
      </w:r>
    </w:p>
    <w:p w14:paraId="027FC932" w14:textId="58F3E445" w:rsidR="00A45C27" w:rsidRDefault="00A45C27" w:rsidP="00A45C27">
      <w:pPr>
        <w:jc w:val="both"/>
      </w:pPr>
      <w:r w:rsidRPr="00A617BA">
        <w:lastRenderedPageBreak/>
        <w:t xml:space="preserve">It is also important to </w:t>
      </w:r>
      <w:r w:rsidR="00202184" w:rsidRPr="00A617BA">
        <w:t>note t</w:t>
      </w:r>
      <w:r w:rsidRPr="00A617BA">
        <w:t xml:space="preserve">hat Inclusivism is </w:t>
      </w:r>
      <w:r w:rsidR="00202184" w:rsidRPr="00A617BA">
        <w:t xml:space="preserve">often acknowledged as </w:t>
      </w:r>
      <w:r w:rsidRPr="00A617BA">
        <w:t xml:space="preserve">western Christianity’s mainstream response to the existence of other religions and has consequently become </w:t>
      </w:r>
      <w:r>
        <w:t>the official stance of both the Catholic and the Anglican church.</w:t>
      </w:r>
      <w:r>
        <w:rPr>
          <w:rStyle w:val="FootnoteReference"/>
        </w:rPr>
        <w:footnoteReference w:id="2"/>
      </w:r>
      <w:r w:rsidR="00A617BA">
        <w:t xml:space="preserve"> The Catholic Encyclical (Remptoris Missio) states that: </w:t>
      </w:r>
    </w:p>
    <w:p w14:paraId="1F8912C5" w14:textId="6D8036FF" w:rsidR="00A617BA" w:rsidRPr="0032025E" w:rsidRDefault="00A617BA" w:rsidP="00A617BA">
      <w:pPr>
        <w:jc w:val="center"/>
        <w:rPr>
          <w:i/>
          <w:iCs/>
        </w:rPr>
      </w:pPr>
      <w:r w:rsidRPr="0032025E">
        <w:rPr>
          <w:i/>
          <w:iCs/>
        </w:rPr>
        <w:t xml:space="preserve">The universality of salvation means that </w:t>
      </w:r>
      <w:r w:rsidR="0032025E" w:rsidRPr="0032025E">
        <w:rPr>
          <w:i/>
          <w:iCs/>
        </w:rPr>
        <w:t>it is granted not only to those who explicitly believe in Christ and have entered the church. Since salvation is offered to all, it must be made concretely available to all.</w:t>
      </w:r>
      <w:r w:rsidR="0032025E">
        <w:rPr>
          <w:rStyle w:val="FootnoteReference"/>
          <w:i/>
          <w:iCs/>
        </w:rPr>
        <w:footnoteReference w:id="3"/>
      </w:r>
      <w:r w:rsidR="0032025E" w:rsidRPr="0032025E">
        <w:rPr>
          <w:i/>
          <w:iCs/>
        </w:rPr>
        <w:t xml:space="preserve"> </w:t>
      </w:r>
    </w:p>
    <w:p w14:paraId="16E254F1" w14:textId="2813D3A2" w:rsidR="00A45C27" w:rsidRDefault="00891745" w:rsidP="003511DF">
      <w:pPr>
        <w:jc w:val="both"/>
      </w:pPr>
      <w:r>
        <w:t xml:space="preserve">Therefore, it is </w:t>
      </w:r>
      <w:r w:rsidR="005564AC">
        <w:t>argued</w:t>
      </w:r>
      <w:r>
        <w:t xml:space="preserve"> that there is an element of truth and </w:t>
      </w:r>
      <w:r w:rsidR="005564AC">
        <w:t>consequent</w:t>
      </w:r>
      <w:r>
        <w:t xml:space="preserve"> worth to be found in other religious traditions. And yet the Christocentric nature of salvation remains, as the Encyclical continues to explain that: </w:t>
      </w:r>
    </w:p>
    <w:p w14:paraId="563B3A34" w14:textId="62264F47" w:rsidR="00891745" w:rsidRPr="00891745" w:rsidRDefault="00891745" w:rsidP="00891745">
      <w:pPr>
        <w:jc w:val="center"/>
        <w:rPr>
          <w:i/>
          <w:iCs/>
        </w:rPr>
      </w:pPr>
      <w:r>
        <w:rPr>
          <w:i/>
          <w:iCs/>
        </w:rPr>
        <w:t>Although participated forms of mediation of different kinds and degrees are not excluded, they acquire meaning and value only from Christ’s own mediation, and they cannot be understood as parallel or complementary to his.</w:t>
      </w:r>
      <w:r>
        <w:rPr>
          <w:rStyle w:val="FootnoteReference"/>
          <w:i/>
          <w:iCs/>
        </w:rPr>
        <w:footnoteReference w:id="4"/>
      </w:r>
      <w:r>
        <w:rPr>
          <w:i/>
          <w:iCs/>
        </w:rPr>
        <w:t xml:space="preserve"> </w:t>
      </w:r>
    </w:p>
    <w:p w14:paraId="434B8C8B" w14:textId="798EC2C3" w:rsidR="00E43D9E" w:rsidRDefault="00E43D9E" w:rsidP="003511DF">
      <w:pPr>
        <w:jc w:val="both"/>
      </w:pPr>
      <w:r>
        <w:t xml:space="preserve">While some scholars brand Inclusivism as </w:t>
      </w:r>
      <w:r w:rsidR="005564AC">
        <w:t>n</w:t>
      </w:r>
      <w:r>
        <w:t xml:space="preserve">othing more than a compromise between Exclusivism and Pluralism, other scholars defend the position, claiming that it is more than </w:t>
      </w:r>
      <w:r w:rsidR="005564AC">
        <w:t xml:space="preserve">a </w:t>
      </w:r>
      <w:r>
        <w:t xml:space="preserve">position on which the ‘unsure’ tend to settle, but a theological argument within its own right. </w:t>
      </w:r>
      <w:r w:rsidR="00794946">
        <w:t xml:space="preserve">David Cheetham </w:t>
      </w:r>
      <w:r w:rsidR="003B021F">
        <w:t>describes Inclusivism as “a commitment to both the revelation of God (in Jesus) and the heart of God”</w:t>
      </w:r>
      <w:r w:rsidR="003B021F">
        <w:rPr>
          <w:rStyle w:val="FootnoteReference"/>
        </w:rPr>
        <w:footnoteReference w:id="5"/>
      </w:r>
      <w:r w:rsidR="003B021F">
        <w:t xml:space="preserve"> as well as a means by which Christians can honour both a faithfulness to their own tradition and an un-threatened openness towards others.</w:t>
      </w:r>
      <w:r w:rsidR="003B021F">
        <w:rPr>
          <w:rStyle w:val="FootnoteReference"/>
        </w:rPr>
        <w:footnoteReference w:id="6"/>
      </w:r>
      <w:r w:rsidR="003B021F">
        <w:t xml:space="preserve"> </w:t>
      </w:r>
      <w:r w:rsidR="008D2049">
        <w:t xml:space="preserve">However, such an argument may solve one question while </w:t>
      </w:r>
      <w:r w:rsidR="009B69BC">
        <w:t xml:space="preserve">bringing forth </w:t>
      </w:r>
      <w:r w:rsidR="008D2049">
        <w:t>others- questions such as, does this extend to all</w:t>
      </w:r>
      <w:r w:rsidR="009B69BC">
        <w:t xml:space="preserve"> and any</w:t>
      </w:r>
      <w:r w:rsidR="008D2049">
        <w:t xml:space="preserve"> religion? How </w:t>
      </w:r>
      <w:r w:rsidR="009B69BC">
        <w:t>close</w:t>
      </w:r>
      <w:r w:rsidR="008D2049">
        <w:t xml:space="preserve"> to salvation do these other traditions get a person, if not the whole way?</w:t>
      </w:r>
      <w:r w:rsidR="005564AC">
        <w:t xml:space="preserve"> Is Inclusivism not simply a way of saying that all religions are adequate, but Christianity is superior?</w:t>
      </w:r>
      <w:r w:rsidR="008D2049">
        <w:t xml:space="preserve"> </w:t>
      </w:r>
      <w:r w:rsidR="009B69BC">
        <w:t>There is arguably no one answer to these sub-questions</w:t>
      </w:r>
      <w:r w:rsidR="00880A83">
        <w:t xml:space="preserve"> as each scholar’s boundaries fall in different places</w:t>
      </w:r>
      <w:r w:rsidR="001737CB">
        <w:t>; this</w:t>
      </w:r>
      <w:r w:rsidR="009B69BC">
        <w:t xml:space="preserve"> </w:t>
      </w:r>
      <w:r w:rsidR="001737CB">
        <w:t>has led</w:t>
      </w:r>
      <w:r w:rsidR="009B69BC">
        <w:t xml:space="preserve"> </w:t>
      </w:r>
      <w:r w:rsidR="001737CB">
        <w:t>many</w:t>
      </w:r>
      <w:r w:rsidR="009B69BC">
        <w:t xml:space="preserve"> to the conclusion that there is no one ‘Inclusivism’, but rather, </w:t>
      </w:r>
      <w:r w:rsidR="00860D68">
        <w:t xml:space="preserve">a spectrum of </w:t>
      </w:r>
      <w:r w:rsidR="009B69BC">
        <w:t>multiple ‘Inclusivisms’</w:t>
      </w:r>
      <w:r w:rsidR="00880A83">
        <w:t>.</w:t>
      </w:r>
      <w:r w:rsidR="005564AC">
        <w:t xml:space="preserve"> </w:t>
      </w:r>
    </w:p>
    <w:p w14:paraId="732CE75D" w14:textId="0CC56759" w:rsidR="00F87E21" w:rsidRPr="002C3B71" w:rsidRDefault="002C3B71" w:rsidP="003511DF">
      <w:pPr>
        <w:jc w:val="both"/>
      </w:pPr>
      <w:r>
        <w:t>There are however, t</w:t>
      </w:r>
      <w:r w:rsidR="00683E44">
        <w:t>hree</w:t>
      </w:r>
      <w:r>
        <w:t xml:space="preserve"> leading voices</w:t>
      </w:r>
      <w:r w:rsidR="009922B1">
        <w:t xml:space="preserve"> that help us to dig into the details of how Inclusivism/Inclusivisms work </w:t>
      </w:r>
      <w:r>
        <w:t>- those of Karl Rahner</w:t>
      </w:r>
      <w:r w:rsidR="007C7063">
        <w:t xml:space="preserve"> and his critics: Hans Kung, Ja</w:t>
      </w:r>
      <w:r w:rsidR="00FA3ED1">
        <w:t>c</w:t>
      </w:r>
      <w:r w:rsidR="007C7063">
        <w:t>ques Dupuis and Clark Pinnock</w:t>
      </w:r>
      <w:r>
        <w:t xml:space="preserve">. </w:t>
      </w:r>
    </w:p>
    <w:p w14:paraId="5F93EB5D" w14:textId="1E58C53D" w:rsidR="008C5200" w:rsidRDefault="008C5200" w:rsidP="003511DF">
      <w:pPr>
        <w:jc w:val="both"/>
        <w:rPr>
          <w:b/>
          <w:bCs/>
        </w:rPr>
      </w:pPr>
      <w:r>
        <w:rPr>
          <w:b/>
          <w:bCs/>
        </w:rPr>
        <w:t>Karl R</w:t>
      </w:r>
      <w:r w:rsidR="00BF020F">
        <w:rPr>
          <w:b/>
          <w:bCs/>
        </w:rPr>
        <w:t>ah</w:t>
      </w:r>
      <w:r>
        <w:rPr>
          <w:b/>
          <w:bCs/>
        </w:rPr>
        <w:t xml:space="preserve">ner </w:t>
      </w:r>
    </w:p>
    <w:p w14:paraId="3DE5E309" w14:textId="7E3D4816" w:rsidR="002C3B71" w:rsidRDefault="009C6F2C" w:rsidP="003511DF">
      <w:pPr>
        <w:jc w:val="both"/>
      </w:pPr>
      <w:r>
        <w:t>Karl Rahner (1904-1984) was a German theologian and anthropologist whose work greatly impacted the Catholic church’s afore mentioned inclusivist viewpoint.</w:t>
      </w:r>
      <w:r>
        <w:rPr>
          <w:rStyle w:val="FootnoteReference"/>
        </w:rPr>
        <w:footnoteReference w:id="7"/>
      </w:r>
      <w:r>
        <w:t xml:space="preserve"> It is perhaps because of his influence o</w:t>
      </w:r>
      <w:r w:rsidR="00BF020F">
        <w:t>ver</w:t>
      </w:r>
      <w:r>
        <w:t xml:space="preserve"> the Catholic church’s official stance, that Rahner is often considered to be the most influential voice in Inclusivis</w:t>
      </w:r>
      <w:r w:rsidR="00553EC7">
        <w:t>t</w:t>
      </w:r>
      <w:r>
        <w:t xml:space="preserve"> theology, as h</w:t>
      </w:r>
      <w:r w:rsidR="00BF020F">
        <w:t xml:space="preserve">is work has helped to </w:t>
      </w:r>
      <w:r>
        <w:t xml:space="preserve">develop and define the details of Inclusivism. </w:t>
      </w:r>
      <w:r w:rsidR="00BF020F">
        <w:t xml:space="preserve">Rahner’s theological conclusions can only be fully understood when we identify his anthropological premise: that all people are born with an innate sense of God’s presence, even if they live the entirety of their lives unaware of it. Rahner argues that it is human nature to seek God, and not any God, but </w:t>
      </w:r>
      <w:r w:rsidR="00BF020F">
        <w:lastRenderedPageBreak/>
        <w:t xml:space="preserve">the God </w:t>
      </w:r>
      <w:r w:rsidR="00553EC7">
        <w:t>presented</w:t>
      </w:r>
      <w:r w:rsidR="00BF020F">
        <w:t xml:space="preserve"> within the Christin </w:t>
      </w:r>
      <w:r w:rsidR="00553EC7">
        <w:t xml:space="preserve">scriptures </w:t>
      </w:r>
      <w:r w:rsidR="00BF020F">
        <w:t xml:space="preserve">and ultimately revealed through the person of Jesus. As Cheetham points out, Rahner’s Inclusivism is firmly rooted in the Christian tradition, as he </w:t>
      </w:r>
      <w:r w:rsidR="00E337E4">
        <w:t>maintain</w:t>
      </w:r>
      <w:r w:rsidR="00BF020F">
        <w:t>s that Jesus is the highest expression of God’s salvific grace.</w:t>
      </w:r>
      <w:r w:rsidR="00BF020F">
        <w:rPr>
          <w:rStyle w:val="FootnoteReference"/>
        </w:rPr>
        <w:footnoteReference w:id="8"/>
      </w:r>
      <w:r w:rsidR="00BF020F">
        <w:t xml:space="preserve"> </w:t>
      </w:r>
    </w:p>
    <w:p w14:paraId="5467CF66" w14:textId="52169525" w:rsidR="00E337E4" w:rsidRDefault="00E337E4" w:rsidP="003511DF">
      <w:pPr>
        <w:jc w:val="both"/>
        <w:rPr>
          <w:i/>
          <w:iCs/>
        </w:rPr>
      </w:pPr>
      <w:r>
        <w:t>Rahner’s idea that every person is naturally inclined to seek God, partnered with the belief that Jesus is the ultimate revelation of God brings Rahner to the conclusion that all of humanity are searching for what Christianity offers</w:t>
      </w:r>
      <w:r w:rsidR="00553EC7">
        <w:t>.</w:t>
      </w:r>
      <w:r>
        <w:t xml:space="preserve"> </w:t>
      </w:r>
      <w:r w:rsidR="00553EC7">
        <w:t xml:space="preserve">This </w:t>
      </w:r>
      <w:r>
        <w:t>conclusion famously led to hi</w:t>
      </w:r>
      <w:r w:rsidR="00553EC7">
        <w:t xml:space="preserve">m </w:t>
      </w:r>
      <w:r>
        <w:t xml:space="preserve">labelling all participants </w:t>
      </w:r>
      <w:r w:rsidR="00553EC7">
        <w:t xml:space="preserve">of </w:t>
      </w:r>
      <w:r>
        <w:t>other religions as ‘</w:t>
      </w:r>
      <w:r w:rsidRPr="00E337E4">
        <w:rPr>
          <w:i/>
          <w:iCs/>
        </w:rPr>
        <w:t>Anonymous Christians.</w:t>
      </w:r>
      <w:r>
        <w:t>’</w:t>
      </w:r>
      <w:r>
        <w:rPr>
          <w:rStyle w:val="FootnoteReference"/>
        </w:rPr>
        <w:footnoteReference w:id="9"/>
      </w:r>
      <w:r>
        <w:t xml:space="preserve"> His use of this term could also be described as </w:t>
      </w:r>
      <w:r w:rsidRPr="00E337E4">
        <w:rPr>
          <w:i/>
          <w:iCs/>
        </w:rPr>
        <w:t>‘potential Christians’</w:t>
      </w:r>
      <w:r>
        <w:rPr>
          <w:i/>
          <w:iCs/>
        </w:rPr>
        <w:t xml:space="preserve">, </w:t>
      </w:r>
      <w:r>
        <w:t>as he argues that all other religions provide and potentiality for the Christian gospel to break through</w:t>
      </w:r>
      <w:r w:rsidR="00AF51CF">
        <w:t xml:space="preserve">- therefore, according to Rahner, participants of other religious traditions are experiencing the grace of God before being exposed to the gospel. </w:t>
      </w:r>
      <w:r w:rsidR="00553EC7">
        <w:t xml:space="preserve">Furthermore, through other religious practices and teachings, participants are cultivating selfless love, which is Rahner’s definitive marker of an </w:t>
      </w:r>
      <w:r w:rsidR="00553EC7" w:rsidRPr="00553EC7">
        <w:rPr>
          <w:i/>
          <w:iCs/>
        </w:rPr>
        <w:t>‘anonymous Christian’.</w:t>
      </w:r>
      <w:r w:rsidR="00777C37">
        <w:rPr>
          <w:rStyle w:val="FootnoteReference"/>
          <w:i/>
          <w:iCs/>
        </w:rPr>
        <w:footnoteReference w:id="10"/>
      </w:r>
    </w:p>
    <w:p w14:paraId="3E8A80BA" w14:textId="0A677502" w:rsidR="00553EC7" w:rsidRPr="00553EC7" w:rsidRDefault="00553EC7" w:rsidP="003511DF">
      <w:pPr>
        <w:jc w:val="both"/>
      </w:pPr>
      <w:r>
        <w:t xml:space="preserve">Although Karl Rahner’s voice </w:t>
      </w:r>
      <w:r w:rsidR="00777C37">
        <w:t xml:space="preserve">has arguably </w:t>
      </w:r>
      <w:r>
        <w:t>remain</w:t>
      </w:r>
      <w:r w:rsidR="00777C37">
        <w:t>ed</w:t>
      </w:r>
      <w:r>
        <w:t xml:space="preserve"> the most celebrated within Inclusivist theology, </w:t>
      </w:r>
      <w:r w:rsidR="00777C37">
        <w:t>it has also become the most criticised</w:t>
      </w:r>
      <w:r>
        <w:t xml:space="preserve">. </w:t>
      </w:r>
    </w:p>
    <w:p w14:paraId="101BB67C" w14:textId="504BF366" w:rsidR="008C5200" w:rsidRDefault="007C7063" w:rsidP="003511DF">
      <w:pPr>
        <w:jc w:val="both"/>
        <w:rPr>
          <w:b/>
          <w:bCs/>
        </w:rPr>
      </w:pPr>
      <w:r>
        <w:rPr>
          <w:b/>
          <w:bCs/>
        </w:rPr>
        <w:t xml:space="preserve">Other voices- </w:t>
      </w:r>
      <w:r w:rsidR="008C5200">
        <w:rPr>
          <w:b/>
          <w:bCs/>
        </w:rPr>
        <w:t>Hans Kung</w:t>
      </w:r>
      <w:r>
        <w:rPr>
          <w:b/>
          <w:bCs/>
        </w:rPr>
        <w:t>, Ja</w:t>
      </w:r>
      <w:r w:rsidR="00FA3ED1">
        <w:rPr>
          <w:b/>
          <w:bCs/>
        </w:rPr>
        <w:t>c</w:t>
      </w:r>
      <w:r>
        <w:rPr>
          <w:b/>
          <w:bCs/>
        </w:rPr>
        <w:t>ques Dupuis</w:t>
      </w:r>
      <w:r w:rsidR="00683E44">
        <w:rPr>
          <w:b/>
          <w:bCs/>
        </w:rPr>
        <w:t xml:space="preserve"> and Clark Pinnock</w:t>
      </w:r>
    </w:p>
    <w:p w14:paraId="4E5C78E4" w14:textId="73051182" w:rsidR="007C7063" w:rsidRPr="007C7063" w:rsidRDefault="007C7063" w:rsidP="003511DF">
      <w:pPr>
        <w:jc w:val="both"/>
      </w:pPr>
      <w:r>
        <w:t>In order to highlight the diversity which falls under the Inclusive category, I have briefly outlined the core of Kung, Pinnock</w:t>
      </w:r>
      <w:r w:rsidR="00FA3ED1">
        <w:t xml:space="preserve"> and Dupuis’</w:t>
      </w:r>
      <w:r>
        <w:t xml:space="preserve"> nuanced theologies. </w:t>
      </w:r>
    </w:p>
    <w:p w14:paraId="056A8BA7" w14:textId="13A64C35" w:rsidR="00630BD0" w:rsidRDefault="001226E9" w:rsidP="003511DF">
      <w:pPr>
        <w:jc w:val="both"/>
      </w:pPr>
      <w:r>
        <w:t xml:space="preserve">Kung (1928-present day) shares many commonalities with Rahner, as he is also a devoted member of the catholic church (a catholic priest) and a firm </w:t>
      </w:r>
      <w:r w:rsidR="00214B3E">
        <w:t>I</w:t>
      </w:r>
      <w:r>
        <w:t>nclusivist</w:t>
      </w:r>
      <w:r w:rsidR="00214B3E">
        <w:t>,</w:t>
      </w:r>
      <w:r>
        <w:t xml:space="preserve"> and yet their definitions, details and boundaries around such theology differs considerably</w:t>
      </w:r>
      <w:r w:rsidR="00FA3ED1">
        <w:t>-</w:t>
      </w:r>
      <w:r>
        <w:t xml:space="preserve"> </w:t>
      </w:r>
      <w:r w:rsidR="00630BD0">
        <w:t xml:space="preserve">Kung is particularly critical of Rahner’s ‘Anonymous Christianity’ theory, </w:t>
      </w:r>
      <w:r w:rsidR="00683E44">
        <w:t xml:space="preserve">stating that it </w:t>
      </w:r>
      <w:r w:rsidR="007C7063">
        <w:t xml:space="preserve">has a self-importance to it, and is also too particular and definitive. Kung </w:t>
      </w:r>
      <w:r w:rsidR="00FA3ED1">
        <w:t xml:space="preserve">sought to </w:t>
      </w:r>
      <w:r w:rsidR="007C7063">
        <w:t>develop an inclusivism which is</w:t>
      </w:r>
      <w:r w:rsidR="00FA3ED1">
        <w:t xml:space="preserve"> equally as confessional as Karl Rahner’s, and yet is</w:t>
      </w:r>
      <w:r w:rsidR="007C7063">
        <w:t xml:space="preserve"> more fluid and </w:t>
      </w:r>
      <w:r w:rsidR="00FA3ED1">
        <w:t xml:space="preserve">therefore </w:t>
      </w:r>
      <w:r w:rsidR="007C7063">
        <w:t>relevant to the realities of the religious ‘other’.</w:t>
      </w:r>
      <w:r w:rsidR="004408DB">
        <w:rPr>
          <w:rStyle w:val="FootnoteReference"/>
        </w:rPr>
        <w:footnoteReference w:id="11"/>
      </w:r>
    </w:p>
    <w:p w14:paraId="71F611F5" w14:textId="0DA49E79" w:rsidR="00E337E4" w:rsidRDefault="00683E44" w:rsidP="003511DF">
      <w:pPr>
        <w:jc w:val="both"/>
      </w:pPr>
      <w:r>
        <w:t xml:space="preserve">Clark Pinnock (1937-2010) introduced a more pneumatological element to Inclusivist theology, emphasising the </w:t>
      </w:r>
      <w:r w:rsidR="007C7063">
        <w:t>omni</w:t>
      </w:r>
      <w:r w:rsidR="00752000">
        <w:t>present</w:t>
      </w:r>
      <w:r w:rsidR="007C7063">
        <w:t xml:space="preserve"> </w:t>
      </w:r>
      <w:r>
        <w:t xml:space="preserve">nature of God’s </w:t>
      </w:r>
      <w:r w:rsidR="007C7063">
        <w:t>experiential</w:t>
      </w:r>
      <w:r w:rsidR="005D6B54">
        <w:t xml:space="preserve"> </w:t>
      </w:r>
      <w:r>
        <w:t>presence</w:t>
      </w:r>
      <w:r w:rsidR="005D6B54">
        <w:t>, his ultimate sovereignty and the ‘wideness of his mercy’.</w:t>
      </w:r>
      <w:r w:rsidR="005D6B54">
        <w:rPr>
          <w:rStyle w:val="FootnoteReference"/>
        </w:rPr>
        <w:footnoteReference w:id="12"/>
      </w:r>
      <w:r w:rsidR="005D6B54">
        <w:t xml:space="preserve"> </w:t>
      </w:r>
      <w:r w:rsidR="00752000">
        <w:t xml:space="preserve">He argues that if such elements of God’s character are to be taken seriously, than other religious experiences should also be taken as possible revelations of God’s presence. </w:t>
      </w:r>
      <w:r w:rsidR="00E337E4" w:rsidRPr="00E337E4">
        <w:t xml:space="preserve">Pinnock </w:t>
      </w:r>
      <w:r w:rsidR="00752000">
        <w:t xml:space="preserve">refers to Rahner’s theology as </w:t>
      </w:r>
      <w:r w:rsidR="00E337E4" w:rsidRPr="00E337E4">
        <w:t>‘cautious Inclus</w:t>
      </w:r>
      <w:r>
        <w:t>iv</w:t>
      </w:r>
      <w:r w:rsidR="00E337E4" w:rsidRPr="00E337E4">
        <w:t>ism’</w:t>
      </w:r>
      <w:r w:rsidR="00752000">
        <w:t xml:space="preserve"> </w:t>
      </w:r>
      <w:r w:rsidR="00FA3ED1">
        <w:t>i</w:t>
      </w:r>
      <w:r w:rsidR="00752000">
        <w:t>n comparison to his own conclusions.</w:t>
      </w:r>
      <w:r w:rsidR="00752000">
        <w:rPr>
          <w:rStyle w:val="FootnoteReference"/>
        </w:rPr>
        <w:footnoteReference w:id="13"/>
      </w:r>
    </w:p>
    <w:p w14:paraId="4775C1FA" w14:textId="4DD1C2BA" w:rsidR="008C5200" w:rsidRPr="00751A33" w:rsidRDefault="00FA3ED1" w:rsidP="003511DF">
      <w:pPr>
        <w:jc w:val="both"/>
      </w:pPr>
      <w:r>
        <w:t xml:space="preserve">Jacques Dupuis (1923-2004) is perhaps the </w:t>
      </w:r>
      <w:r>
        <w:t xml:space="preserve">most </w:t>
      </w:r>
      <w:r w:rsidR="004408DB">
        <w:t>‘</w:t>
      </w:r>
      <w:r>
        <w:t>radical</w:t>
      </w:r>
      <w:r w:rsidR="004408DB">
        <w:t>’</w:t>
      </w:r>
      <w:r>
        <w:t xml:space="preserve"> of the Inclusivists I have referenced, as he argued that not only do other religions experience/present revelations of God that are familiar to Christianity, but that Christianity is not vast enough to encompass every dealing that humanity has had with the divine. Therefore, other religions are experiencing elements on God’s nature in a way that Christianity is not. </w:t>
      </w:r>
      <w:r>
        <w:rPr>
          <w:rStyle w:val="FootnoteReference"/>
        </w:rPr>
        <w:footnoteReference w:id="14"/>
      </w:r>
    </w:p>
    <w:p w14:paraId="060D3A00" w14:textId="5533CCEB" w:rsidR="008C5200" w:rsidRDefault="008C5200" w:rsidP="003511DF">
      <w:pPr>
        <w:jc w:val="both"/>
        <w:rPr>
          <w:b/>
          <w:bCs/>
        </w:rPr>
      </w:pPr>
      <w:r>
        <w:rPr>
          <w:b/>
          <w:bCs/>
        </w:rPr>
        <w:t xml:space="preserve">Inclusivism </w:t>
      </w:r>
      <w:r w:rsidR="00F87E21">
        <w:rPr>
          <w:b/>
          <w:bCs/>
        </w:rPr>
        <w:t>S</w:t>
      </w:r>
      <w:r>
        <w:rPr>
          <w:b/>
          <w:bCs/>
        </w:rPr>
        <w:t xml:space="preserve">ummarised </w:t>
      </w:r>
    </w:p>
    <w:p w14:paraId="3F49390D" w14:textId="5A1087C4" w:rsidR="00751A33" w:rsidRDefault="00751A33" w:rsidP="003511DF">
      <w:pPr>
        <w:jc w:val="both"/>
      </w:pPr>
      <w:r>
        <w:lastRenderedPageBreak/>
        <w:t>While some may s</w:t>
      </w:r>
      <w:r w:rsidR="005A5710">
        <w:t>tate</w:t>
      </w:r>
      <w:r>
        <w:t xml:space="preserve"> that Inclusivism is simply a balancing act between Exclusivism and Pluralism- and therefore, the absence of a</w:t>
      </w:r>
      <w:r w:rsidR="005A5710">
        <w:t>ny firm theological</w:t>
      </w:r>
      <w:r>
        <w:t xml:space="preserve"> position, others would argue that it is</w:t>
      </w:r>
      <w:r w:rsidR="005A5710">
        <w:t xml:space="preserve"> quite the contrary; that it is</w:t>
      </w:r>
      <w:r>
        <w:t xml:space="preserve"> a complex and highly nuanced range of positions. The differences between the Inclusive theologies are undeniably vast, and yet</w:t>
      </w:r>
      <w:r w:rsidR="005A5710">
        <w:t xml:space="preserve"> they are all built upon two core values: </w:t>
      </w:r>
      <w:r>
        <w:t xml:space="preserve">that Jesus is the only mediator of salvific grace, </w:t>
      </w:r>
      <w:r w:rsidR="00D907D4">
        <w:t xml:space="preserve">but that the experience of such grace can be obtained in other religions. </w:t>
      </w:r>
      <w:r>
        <w:t xml:space="preserve"> </w:t>
      </w:r>
    </w:p>
    <w:p w14:paraId="47355F8A" w14:textId="659F1C34" w:rsidR="00C911F3" w:rsidRDefault="00C911F3" w:rsidP="003511DF">
      <w:pPr>
        <w:jc w:val="both"/>
      </w:pPr>
    </w:p>
    <w:p w14:paraId="2409E663" w14:textId="2AD8223B" w:rsidR="00C911F3" w:rsidRDefault="00C911F3" w:rsidP="003511DF">
      <w:pPr>
        <w:jc w:val="both"/>
      </w:pPr>
    </w:p>
    <w:p w14:paraId="40A6091A" w14:textId="3CB7F1DA" w:rsidR="00C911F3" w:rsidRDefault="00C911F3" w:rsidP="003511DF">
      <w:pPr>
        <w:jc w:val="both"/>
      </w:pPr>
    </w:p>
    <w:p w14:paraId="77C61601" w14:textId="05470E17" w:rsidR="00C911F3" w:rsidRDefault="00C911F3" w:rsidP="003511DF">
      <w:pPr>
        <w:jc w:val="both"/>
      </w:pPr>
    </w:p>
    <w:p w14:paraId="11F44739" w14:textId="635D1864" w:rsidR="00C911F3" w:rsidRDefault="00C911F3" w:rsidP="003511DF">
      <w:pPr>
        <w:jc w:val="both"/>
      </w:pPr>
    </w:p>
    <w:p w14:paraId="057DA77F" w14:textId="408F6D95" w:rsidR="00C911F3" w:rsidRDefault="00C911F3" w:rsidP="003511DF">
      <w:pPr>
        <w:jc w:val="both"/>
      </w:pPr>
    </w:p>
    <w:p w14:paraId="596BBAAE" w14:textId="14E57EFA" w:rsidR="00C911F3" w:rsidRDefault="00C911F3" w:rsidP="003511DF">
      <w:pPr>
        <w:jc w:val="both"/>
      </w:pPr>
    </w:p>
    <w:p w14:paraId="43450786" w14:textId="4A3E7D31" w:rsidR="00C911F3" w:rsidRDefault="00C911F3" w:rsidP="003511DF">
      <w:pPr>
        <w:jc w:val="both"/>
      </w:pPr>
    </w:p>
    <w:p w14:paraId="5A558EA6" w14:textId="1F4E6BF2" w:rsidR="00C911F3" w:rsidRDefault="00C911F3" w:rsidP="003511DF">
      <w:pPr>
        <w:jc w:val="both"/>
      </w:pPr>
    </w:p>
    <w:p w14:paraId="1E8FDD23" w14:textId="1023405D" w:rsidR="00C911F3" w:rsidRDefault="00C911F3" w:rsidP="003511DF">
      <w:pPr>
        <w:jc w:val="both"/>
      </w:pPr>
    </w:p>
    <w:p w14:paraId="3368EF8D" w14:textId="5BBABDCD" w:rsidR="00C911F3" w:rsidRDefault="00C911F3" w:rsidP="003511DF">
      <w:pPr>
        <w:jc w:val="both"/>
      </w:pPr>
    </w:p>
    <w:p w14:paraId="2610498D" w14:textId="59E26529" w:rsidR="00C911F3" w:rsidRDefault="00C911F3" w:rsidP="003511DF">
      <w:pPr>
        <w:jc w:val="both"/>
      </w:pPr>
    </w:p>
    <w:p w14:paraId="5D4FC5E9" w14:textId="58686AB0" w:rsidR="00C911F3" w:rsidRDefault="00C911F3" w:rsidP="003511DF">
      <w:pPr>
        <w:jc w:val="both"/>
      </w:pPr>
    </w:p>
    <w:p w14:paraId="38D1C31F" w14:textId="6237464A" w:rsidR="00C911F3" w:rsidRDefault="00C911F3" w:rsidP="003511DF">
      <w:pPr>
        <w:jc w:val="both"/>
      </w:pPr>
    </w:p>
    <w:p w14:paraId="7D907067" w14:textId="2935125C" w:rsidR="00C911F3" w:rsidRDefault="00C911F3" w:rsidP="003511DF">
      <w:pPr>
        <w:jc w:val="both"/>
      </w:pPr>
    </w:p>
    <w:p w14:paraId="740E1F79" w14:textId="5CDA4CCE" w:rsidR="00C911F3" w:rsidRDefault="00C911F3" w:rsidP="003511DF">
      <w:pPr>
        <w:jc w:val="both"/>
      </w:pPr>
    </w:p>
    <w:p w14:paraId="3DC171BF" w14:textId="41359057" w:rsidR="00C911F3" w:rsidRDefault="00C911F3" w:rsidP="003511DF">
      <w:pPr>
        <w:jc w:val="both"/>
      </w:pPr>
    </w:p>
    <w:p w14:paraId="3EEF3F49" w14:textId="7B5B99A6" w:rsidR="00C911F3" w:rsidRDefault="00C911F3" w:rsidP="003511DF">
      <w:pPr>
        <w:jc w:val="both"/>
      </w:pPr>
    </w:p>
    <w:p w14:paraId="0422761C" w14:textId="3919CCF1" w:rsidR="00C911F3" w:rsidRDefault="00C911F3" w:rsidP="003511DF">
      <w:pPr>
        <w:jc w:val="both"/>
      </w:pPr>
    </w:p>
    <w:p w14:paraId="2DD7F8F1" w14:textId="517602A7" w:rsidR="00C911F3" w:rsidRDefault="00C911F3" w:rsidP="003511DF">
      <w:pPr>
        <w:jc w:val="both"/>
      </w:pPr>
    </w:p>
    <w:p w14:paraId="375096FC" w14:textId="29BD24FA" w:rsidR="00C911F3" w:rsidRDefault="00C911F3" w:rsidP="003511DF">
      <w:pPr>
        <w:jc w:val="both"/>
      </w:pPr>
    </w:p>
    <w:p w14:paraId="58406615" w14:textId="3999169C" w:rsidR="00C911F3" w:rsidRDefault="00C911F3" w:rsidP="003511DF">
      <w:pPr>
        <w:jc w:val="both"/>
      </w:pPr>
    </w:p>
    <w:p w14:paraId="4105367D" w14:textId="00082EC2" w:rsidR="00C911F3" w:rsidRDefault="00C911F3" w:rsidP="003511DF">
      <w:pPr>
        <w:jc w:val="both"/>
      </w:pPr>
    </w:p>
    <w:p w14:paraId="54F677AE" w14:textId="0E5A38B0" w:rsidR="00C911F3" w:rsidRDefault="00C911F3" w:rsidP="003511DF">
      <w:pPr>
        <w:jc w:val="both"/>
      </w:pPr>
    </w:p>
    <w:p w14:paraId="363D7D52" w14:textId="6FFD9445" w:rsidR="00C911F3" w:rsidRDefault="00C911F3" w:rsidP="003511DF">
      <w:pPr>
        <w:jc w:val="both"/>
      </w:pPr>
    </w:p>
    <w:p w14:paraId="6E2E00F7" w14:textId="75E80521" w:rsidR="00C911F3" w:rsidRDefault="00C911F3" w:rsidP="003511DF">
      <w:pPr>
        <w:jc w:val="both"/>
      </w:pPr>
    </w:p>
    <w:p w14:paraId="0359AA47" w14:textId="6F9720F9" w:rsidR="00C911F3" w:rsidRDefault="00C911F3" w:rsidP="003511DF">
      <w:pPr>
        <w:jc w:val="both"/>
      </w:pPr>
    </w:p>
    <w:p w14:paraId="13D8D89C" w14:textId="43D5A327" w:rsidR="00C911F3" w:rsidRDefault="00C911F3" w:rsidP="00C911F3">
      <w:pPr>
        <w:rPr>
          <w:b/>
          <w:bCs/>
        </w:rPr>
      </w:pPr>
      <w:r>
        <w:rPr>
          <w:b/>
          <w:bCs/>
        </w:rPr>
        <w:lastRenderedPageBreak/>
        <w:t>Bibliography</w:t>
      </w:r>
    </w:p>
    <w:p w14:paraId="26260A68" w14:textId="1515C163" w:rsidR="00C911F3" w:rsidRDefault="00C911F3" w:rsidP="00C911F3">
      <w:r w:rsidRPr="00C911F3">
        <w:t xml:space="preserve">Cantwell Smith W “The Christian in a Religiously Plural World” in Hick J &amp; Hebblethwaite B (eds) </w:t>
      </w:r>
      <w:r w:rsidRPr="00C911F3">
        <w:rPr>
          <w:i/>
          <w:iCs/>
        </w:rPr>
        <w:t>Christianity and Other Religions</w:t>
      </w:r>
      <w:r w:rsidRPr="00C911F3">
        <w:t>, (London: Oneworld, 2001)</w:t>
      </w:r>
    </w:p>
    <w:p w14:paraId="7EA8AD8E" w14:textId="4C1BED4A" w:rsidR="00923EE3" w:rsidRPr="00C911F3" w:rsidRDefault="00923EE3" w:rsidP="00C911F3">
      <w:r w:rsidRPr="00923EE3">
        <w:t>Cheetham,</w:t>
      </w:r>
      <w:r>
        <w:t xml:space="preserve"> D.</w:t>
      </w:r>
      <w:r w:rsidRPr="00923EE3">
        <w:t xml:space="preserve"> </w:t>
      </w:r>
      <w:r w:rsidRPr="00923EE3">
        <w:rPr>
          <w:i/>
          <w:iCs/>
        </w:rPr>
        <w:t>Inclusivisms: Honouring Faithfulness and Openness</w:t>
      </w:r>
      <w:r w:rsidRPr="00923EE3">
        <w:t xml:space="preserve"> in </w:t>
      </w:r>
      <w:r w:rsidRPr="00923EE3">
        <w:rPr>
          <w:i/>
          <w:iCs/>
        </w:rPr>
        <w:t xml:space="preserve">Christian Approaches to Other Faiths, </w:t>
      </w:r>
      <w:r w:rsidRPr="00923EE3">
        <w:t>Alan race and Paul Hedges, London: SCM Press, 2008</w:t>
      </w:r>
    </w:p>
    <w:p w14:paraId="4393A5E2" w14:textId="1E72B778" w:rsidR="00C911F3" w:rsidRDefault="00C911F3" w:rsidP="00C911F3">
      <w:r w:rsidRPr="00C911F3">
        <w:t>Dupuis,</w:t>
      </w:r>
      <w:r>
        <w:t xml:space="preserve"> J.</w:t>
      </w:r>
      <w:r w:rsidRPr="00C911F3">
        <w:t xml:space="preserve"> </w:t>
      </w:r>
      <w:r w:rsidRPr="00C911F3">
        <w:rPr>
          <w:i/>
          <w:iCs/>
        </w:rPr>
        <w:t xml:space="preserve">Toward a Christian Theology of Religious Pluralisms, </w:t>
      </w:r>
      <w:r w:rsidR="00923EE3">
        <w:rPr>
          <w:i/>
          <w:iCs/>
        </w:rPr>
        <w:t>(</w:t>
      </w:r>
      <w:r w:rsidRPr="00C911F3">
        <w:t>Maryknoll: Orbis Publishing, 1997.</w:t>
      </w:r>
      <w:r w:rsidR="00923EE3">
        <w:t>)</w:t>
      </w:r>
      <w:r w:rsidRPr="00C911F3">
        <w:t xml:space="preserve"> </w:t>
      </w:r>
    </w:p>
    <w:p w14:paraId="31F53E87" w14:textId="03C77245" w:rsidR="00923EE3" w:rsidRDefault="00923EE3" w:rsidP="00C911F3">
      <w:r>
        <w:t>Lewis, C.S.</w:t>
      </w:r>
      <w:r w:rsidRPr="00923EE3">
        <w:t xml:space="preserve"> </w:t>
      </w:r>
      <w:r w:rsidRPr="00923EE3">
        <w:rPr>
          <w:i/>
          <w:iCs/>
        </w:rPr>
        <w:t xml:space="preserve">Mere Christianity, </w:t>
      </w:r>
      <w:r>
        <w:rPr>
          <w:i/>
          <w:iCs/>
        </w:rPr>
        <w:t>(</w:t>
      </w:r>
      <w:r w:rsidRPr="00923EE3">
        <w:rPr>
          <w:i/>
          <w:iCs/>
        </w:rPr>
        <w:t>London: Geoffrey Bles Publishing, 1952.</w:t>
      </w:r>
      <w:r>
        <w:rPr>
          <w:i/>
          <w:iCs/>
        </w:rPr>
        <w:t>)</w:t>
      </w:r>
    </w:p>
    <w:p w14:paraId="1414029B" w14:textId="582ADF07" w:rsidR="00C911F3" w:rsidRDefault="00923EE3" w:rsidP="00C911F3">
      <w:r w:rsidRPr="00923EE3">
        <w:t xml:space="preserve">Pinnock, </w:t>
      </w:r>
      <w:r>
        <w:t xml:space="preserve">C. </w:t>
      </w:r>
      <w:r w:rsidRPr="00923EE3">
        <w:t xml:space="preserve">A Wideness in God’s Mercy: The Finality of Jesus Christ in the World of Religions, </w:t>
      </w:r>
      <w:r>
        <w:t>(</w:t>
      </w:r>
      <w:r w:rsidRPr="00923EE3">
        <w:t>Grand Rapids: Zondervan, 199</w:t>
      </w:r>
      <w:r>
        <w:t>2)</w:t>
      </w:r>
    </w:p>
    <w:p w14:paraId="561F3E76" w14:textId="144EFCB1" w:rsidR="00C911F3" w:rsidRDefault="00923EE3" w:rsidP="00C911F3">
      <w:r w:rsidRPr="00923EE3">
        <w:t>Pinnock,</w:t>
      </w:r>
      <w:r>
        <w:t xml:space="preserve"> C.</w:t>
      </w:r>
      <w:r w:rsidRPr="00923EE3">
        <w:t xml:space="preserve"> </w:t>
      </w:r>
      <w:r w:rsidRPr="00923EE3">
        <w:rPr>
          <w:i/>
          <w:iCs/>
        </w:rPr>
        <w:t xml:space="preserve">Inclusivism </w:t>
      </w:r>
      <w:r w:rsidRPr="00923EE3">
        <w:t xml:space="preserve">in </w:t>
      </w:r>
      <w:r w:rsidRPr="00923EE3">
        <w:rPr>
          <w:i/>
          <w:iCs/>
        </w:rPr>
        <w:t xml:space="preserve">More Than One Way?, </w:t>
      </w:r>
      <w:r w:rsidRPr="00923EE3">
        <w:t xml:space="preserve">D.L Okholm, T.R Phillips (eds), </w:t>
      </w:r>
      <w:r>
        <w:t>(</w:t>
      </w:r>
      <w:r w:rsidRPr="00923EE3">
        <w:t>Grand Rapids: Zondervan, 1995</w:t>
      </w:r>
      <w:r>
        <w:t>)</w:t>
      </w:r>
    </w:p>
    <w:p w14:paraId="62E87263" w14:textId="5EB4B8B7" w:rsidR="00C911F3" w:rsidRPr="00C911F3" w:rsidRDefault="00C911F3" w:rsidP="00C911F3">
      <w:r w:rsidRPr="00C911F3">
        <w:t xml:space="preserve">Race A “Track One: Christian Theology of Religions” in Race A, </w:t>
      </w:r>
      <w:r w:rsidRPr="00C911F3">
        <w:rPr>
          <w:i/>
          <w:iCs/>
        </w:rPr>
        <w:t>Interfaith Encounter: The Twin Tracks of Theology and dialogue</w:t>
      </w:r>
      <w:r w:rsidRPr="00C911F3">
        <w:t>, (London: SCM Press, 2001)</w:t>
      </w:r>
    </w:p>
    <w:p w14:paraId="50345C8E" w14:textId="11AF1419" w:rsidR="00C911F3" w:rsidRDefault="00C911F3" w:rsidP="00C911F3">
      <w:r w:rsidRPr="00C911F3">
        <w:t xml:space="preserve">Race A, “Christianity and Other Religions: Is Inclusivism Enough?” in Hick J &amp; Hebblethwaite B (eds) </w:t>
      </w:r>
      <w:r w:rsidRPr="00C911F3">
        <w:rPr>
          <w:i/>
          <w:iCs/>
        </w:rPr>
        <w:t>Christianity and Other Religions</w:t>
      </w:r>
      <w:r w:rsidRPr="00C911F3">
        <w:t>, (London: Oneworld, 2001) </w:t>
      </w:r>
    </w:p>
    <w:p w14:paraId="398DAE17" w14:textId="3FB7A95A" w:rsidR="00923EE3" w:rsidRPr="00923EE3" w:rsidRDefault="00923EE3" w:rsidP="00923EE3">
      <w:r w:rsidRPr="00923EE3">
        <w:t>Rahner,</w:t>
      </w:r>
      <w:r>
        <w:t xml:space="preserve"> K.</w:t>
      </w:r>
      <w:r w:rsidRPr="00923EE3">
        <w:t xml:space="preserve"> </w:t>
      </w:r>
      <w:r w:rsidRPr="00923EE3">
        <w:rPr>
          <w:i/>
          <w:iCs/>
        </w:rPr>
        <w:t>Anonymous and Explicit Faith</w:t>
      </w:r>
      <w:r w:rsidRPr="00923EE3">
        <w:t xml:space="preserve">, in </w:t>
      </w:r>
      <w:r w:rsidRPr="00923EE3">
        <w:rPr>
          <w:i/>
          <w:iCs/>
        </w:rPr>
        <w:t xml:space="preserve">Theological Investigations vol. 16, </w:t>
      </w:r>
      <w:r w:rsidRPr="00923EE3">
        <w:t xml:space="preserve">London: DLT (Morland David Trans), 1979. </w:t>
      </w:r>
    </w:p>
    <w:p w14:paraId="0B5C77B5" w14:textId="23966078" w:rsidR="00923EE3" w:rsidRPr="00923EE3" w:rsidRDefault="00923EE3" w:rsidP="00923EE3">
      <w:r w:rsidRPr="00923EE3">
        <w:t>Rahner,</w:t>
      </w:r>
      <w:r>
        <w:t xml:space="preserve"> K.</w:t>
      </w:r>
      <w:r w:rsidRPr="00923EE3">
        <w:t xml:space="preserve"> </w:t>
      </w:r>
      <w:r w:rsidRPr="00923EE3">
        <w:rPr>
          <w:i/>
          <w:iCs/>
        </w:rPr>
        <w:t xml:space="preserve">Foundations of Christianity, </w:t>
      </w:r>
      <w:r>
        <w:rPr>
          <w:i/>
          <w:iCs/>
        </w:rPr>
        <w:t>(</w:t>
      </w:r>
      <w:r w:rsidRPr="00923EE3">
        <w:t>New York: Crossroads Publishing, 1982.</w:t>
      </w:r>
      <w:r>
        <w:t>)</w:t>
      </w:r>
      <w:bookmarkStart w:id="11" w:name="_GoBack"/>
      <w:bookmarkEnd w:id="11"/>
    </w:p>
    <w:p w14:paraId="04A2AFE5" w14:textId="613DE842" w:rsidR="00C911F3" w:rsidRPr="00C911F3" w:rsidRDefault="00923EE3" w:rsidP="00923EE3">
      <w:r w:rsidRPr="00923EE3">
        <w:t>Rahner,</w:t>
      </w:r>
      <w:r>
        <w:t xml:space="preserve"> K.</w:t>
      </w:r>
      <w:r w:rsidRPr="00923EE3">
        <w:t xml:space="preserve"> </w:t>
      </w:r>
      <w:r w:rsidRPr="00923EE3">
        <w:rPr>
          <w:i/>
          <w:iCs/>
        </w:rPr>
        <w:t>Theological Investigations vol 4,5</w:t>
      </w:r>
      <w:r w:rsidRPr="00923EE3">
        <w:t>, London: DLT (K.H Kruger trans), 1966</w:t>
      </w:r>
    </w:p>
    <w:p w14:paraId="75E0E170" w14:textId="77777777" w:rsidR="00C911F3" w:rsidRPr="00C911F3" w:rsidRDefault="00C911F3" w:rsidP="00C911F3">
      <w:pPr>
        <w:rPr>
          <w:b/>
          <w:bCs/>
        </w:rPr>
      </w:pPr>
    </w:p>
    <w:p w14:paraId="02777133" w14:textId="77777777" w:rsidR="00FF00FD" w:rsidRDefault="00FF00FD" w:rsidP="003511DF">
      <w:pPr>
        <w:jc w:val="both"/>
      </w:pPr>
    </w:p>
    <w:sectPr w:rsidR="00FF00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3E474C" w14:textId="77777777" w:rsidR="00797FCA" w:rsidRDefault="00797FCA" w:rsidP="0090117A">
      <w:pPr>
        <w:spacing w:after="0" w:line="240" w:lineRule="auto"/>
      </w:pPr>
      <w:r>
        <w:separator/>
      </w:r>
    </w:p>
  </w:endnote>
  <w:endnote w:type="continuationSeparator" w:id="0">
    <w:p w14:paraId="04B8878F" w14:textId="77777777" w:rsidR="00797FCA" w:rsidRDefault="00797FCA" w:rsidP="00901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AAAAE" w14:textId="77777777" w:rsidR="00797FCA" w:rsidRDefault="00797FCA" w:rsidP="0090117A">
      <w:pPr>
        <w:spacing w:after="0" w:line="240" w:lineRule="auto"/>
      </w:pPr>
      <w:r>
        <w:separator/>
      </w:r>
    </w:p>
  </w:footnote>
  <w:footnote w:type="continuationSeparator" w:id="0">
    <w:p w14:paraId="19DADC0E" w14:textId="77777777" w:rsidR="00797FCA" w:rsidRDefault="00797FCA" w:rsidP="0090117A">
      <w:pPr>
        <w:spacing w:after="0" w:line="240" w:lineRule="auto"/>
      </w:pPr>
      <w:r>
        <w:continuationSeparator/>
      </w:r>
    </w:p>
  </w:footnote>
  <w:footnote w:id="1">
    <w:p w14:paraId="2775026E" w14:textId="40F47078" w:rsidR="00777C37" w:rsidRPr="00202184" w:rsidRDefault="00777C37">
      <w:pPr>
        <w:pStyle w:val="FootnoteText"/>
        <w:rPr>
          <w:i/>
          <w:iCs/>
        </w:rPr>
      </w:pPr>
      <w:r>
        <w:rPr>
          <w:rStyle w:val="FootnoteReference"/>
        </w:rPr>
        <w:footnoteRef/>
      </w:r>
      <w:r>
        <w:t xml:space="preserve"> </w:t>
      </w:r>
      <w:bookmarkStart w:id="0" w:name="_Hlk27146175"/>
      <w:r w:rsidRPr="00202184">
        <w:rPr>
          <w:sz w:val="16"/>
          <w:szCs w:val="16"/>
        </w:rPr>
        <w:t xml:space="preserve">C.S Lewis, </w:t>
      </w:r>
      <w:r w:rsidRPr="00202184">
        <w:rPr>
          <w:i/>
          <w:iCs/>
          <w:sz w:val="16"/>
          <w:szCs w:val="16"/>
        </w:rPr>
        <w:t>Mere Christianity, London: Geoffrey Bles Publishing, 1952.</w:t>
      </w:r>
      <w:bookmarkEnd w:id="0"/>
    </w:p>
  </w:footnote>
  <w:footnote w:id="2">
    <w:p w14:paraId="7B56421A" w14:textId="5138900D" w:rsidR="00777C37" w:rsidRDefault="00777C37" w:rsidP="00A45C27">
      <w:pPr>
        <w:pStyle w:val="FootnoteText"/>
        <w:rPr>
          <w:sz w:val="16"/>
          <w:szCs w:val="16"/>
        </w:rPr>
      </w:pPr>
      <w:r>
        <w:rPr>
          <w:rStyle w:val="FootnoteReference"/>
        </w:rPr>
        <w:footnoteRef/>
      </w:r>
      <w:r>
        <w:t xml:space="preserve"> </w:t>
      </w:r>
      <w:r w:rsidRPr="0090117A">
        <w:rPr>
          <w:sz w:val="16"/>
          <w:szCs w:val="16"/>
        </w:rPr>
        <w:t>Cf.</w:t>
      </w:r>
      <w:r>
        <w:rPr>
          <w:sz w:val="16"/>
          <w:szCs w:val="16"/>
        </w:rPr>
        <w:t xml:space="preserve"> </w:t>
      </w:r>
      <w:r w:rsidRPr="0090117A">
        <w:rPr>
          <w:sz w:val="16"/>
          <w:szCs w:val="16"/>
        </w:rPr>
        <w:t>The Church of England’s Mission and Ministry in a Multi-Religious Society A report on the recent work and future vision of the Presence and Engagement programme</w:t>
      </w:r>
      <w:r>
        <w:rPr>
          <w:sz w:val="16"/>
          <w:szCs w:val="16"/>
        </w:rPr>
        <w:t xml:space="preserve">, </w:t>
      </w:r>
      <w:hyperlink r:id="rId1" w:history="1">
        <w:r w:rsidRPr="00E40C9E">
          <w:rPr>
            <w:rStyle w:val="Hyperlink"/>
            <w:sz w:val="16"/>
            <w:szCs w:val="16"/>
          </w:rPr>
          <w:t>https://www.churchofengland.org/sites/default/files/2019-05/Report%20to%20General%20Synod%20July%202017.pdf</w:t>
        </w:r>
      </w:hyperlink>
    </w:p>
    <w:p w14:paraId="3732CF77" w14:textId="77777777" w:rsidR="00777C37" w:rsidRDefault="00777C37" w:rsidP="00A45C27">
      <w:pPr>
        <w:pStyle w:val="FootnoteText"/>
      </w:pPr>
      <w:r>
        <w:rPr>
          <w:sz w:val="16"/>
          <w:szCs w:val="16"/>
        </w:rPr>
        <w:t xml:space="preserve">Pope John Paul II, Papal Encyclical, </w:t>
      </w:r>
      <w:r w:rsidRPr="00195E57">
        <w:rPr>
          <w:i/>
          <w:iCs/>
          <w:sz w:val="16"/>
          <w:szCs w:val="16"/>
        </w:rPr>
        <w:t>Remptoris Missio</w:t>
      </w:r>
      <w:r>
        <w:rPr>
          <w:sz w:val="16"/>
          <w:szCs w:val="16"/>
        </w:rPr>
        <w:t xml:space="preserve">, Vatican Polyglot Press: Vatican City State, 1990. </w:t>
      </w:r>
    </w:p>
  </w:footnote>
  <w:footnote w:id="3">
    <w:p w14:paraId="6ACAB42B" w14:textId="1A9C824E" w:rsidR="00777C37" w:rsidRDefault="00777C37">
      <w:pPr>
        <w:pStyle w:val="FootnoteText"/>
      </w:pPr>
      <w:r>
        <w:rPr>
          <w:rStyle w:val="FootnoteReference"/>
        </w:rPr>
        <w:footnoteRef/>
      </w:r>
      <w:r>
        <w:t xml:space="preserve"> </w:t>
      </w:r>
      <w:r>
        <w:rPr>
          <w:sz w:val="16"/>
          <w:szCs w:val="16"/>
        </w:rPr>
        <w:t xml:space="preserve">Pope John Paul II, </w:t>
      </w:r>
      <w:bookmarkStart w:id="1" w:name="_Hlk27136152"/>
      <w:r>
        <w:rPr>
          <w:sz w:val="16"/>
          <w:szCs w:val="16"/>
        </w:rPr>
        <w:t xml:space="preserve">Papal Encyclical, </w:t>
      </w:r>
      <w:r w:rsidRPr="00195E57">
        <w:rPr>
          <w:i/>
          <w:iCs/>
          <w:sz w:val="16"/>
          <w:szCs w:val="16"/>
        </w:rPr>
        <w:t>Remptoris Missio</w:t>
      </w:r>
      <w:r>
        <w:rPr>
          <w:sz w:val="16"/>
          <w:szCs w:val="16"/>
        </w:rPr>
        <w:t xml:space="preserve">, </w:t>
      </w:r>
      <w:bookmarkEnd w:id="1"/>
      <w:r>
        <w:rPr>
          <w:sz w:val="16"/>
          <w:szCs w:val="16"/>
        </w:rPr>
        <w:t>Vatican Polyglot Press: Vatican City State, 1990.</w:t>
      </w:r>
    </w:p>
  </w:footnote>
  <w:footnote w:id="4">
    <w:p w14:paraId="72BC3174" w14:textId="3A6B68F2" w:rsidR="00777C37" w:rsidRDefault="00777C37">
      <w:pPr>
        <w:pStyle w:val="FootnoteText"/>
      </w:pPr>
      <w:r>
        <w:rPr>
          <w:rStyle w:val="FootnoteReference"/>
        </w:rPr>
        <w:footnoteRef/>
      </w:r>
      <w:r>
        <w:t xml:space="preserve"> </w:t>
      </w:r>
      <w:r>
        <w:rPr>
          <w:sz w:val="16"/>
          <w:szCs w:val="16"/>
        </w:rPr>
        <w:t xml:space="preserve">Papal Encyclical, </w:t>
      </w:r>
      <w:r w:rsidRPr="00195E57">
        <w:rPr>
          <w:i/>
          <w:iCs/>
          <w:sz w:val="16"/>
          <w:szCs w:val="16"/>
        </w:rPr>
        <w:t>Remptoris Missio</w:t>
      </w:r>
      <w:r>
        <w:rPr>
          <w:sz w:val="16"/>
          <w:szCs w:val="16"/>
        </w:rPr>
        <w:t xml:space="preserve">. </w:t>
      </w:r>
    </w:p>
  </w:footnote>
  <w:footnote w:id="5">
    <w:p w14:paraId="3EDF7521" w14:textId="04F5D72D" w:rsidR="00777C37" w:rsidRPr="003B021F" w:rsidRDefault="00777C37">
      <w:pPr>
        <w:pStyle w:val="FootnoteText"/>
      </w:pPr>
      <w:r>
        <w:rPr>
          <w:rStyle w:val="FootnoteReference"/>
        </w:rPr>
        <w:footnoteRef/>
      </w:r>
      <w:r>
        <w:t xml:space="preserve"> </w:t>
      </w:r>
      <w:bookmarkStart w:id="2" w:name="_Hlk27139099"/>
      <w:r w:rsidRPr="003B021F">
        <w:rPr>
          <w:sz w:val="16"/>
          <w:szCs w:val="16"/>
        </w:rPr>
        <w:t xml:space="preserve">David Cheetham, </w:t>
      </w:r>
      <w:r w:rsidRPr="003B021F">
        <w:rPr>
          <w:i/>
          <w:iCs/>
          <w:sz w:val="16"/>
          <w:szCs w:val="16"/>
        </w:rPr>
        <w:t>Inclusivisms: Honouring Faithfulness and Openness</w:t>
      </w:r>
      <w:r w:rsidRPr="003B021F">
        <w:rPr>
          <w:sz w:val="16"/>
          <w:szCs w:val="16"/>
        </w:rPr>
        <w:t xml:space="preserve"> in </w:t>
      </w:r>
      <w:r w:rsidRPr="003B021F">
        <w:rPr>
          <w:i/>
          <w:iCs/>
          <w:sz w:val="16"/>
          <w:szCs w:val="16"/>
        </w:rPr>
        <w:t xml:space="preserve">Christian Approaches to Other Faiths, </w:t>
      </w:r>
      <w:r w:rsidRPr="003B021F">
        <w:rPr>
          <w:sz w:val="16"/>
          <w:szCs w:val="16"/>
        </w:rPr>
        <w:t>Alan race and Paul Hedges, London: SCM Press, 2008. P-63.</w:t>
      </w:r>
      <w:bookmarkEnd w:id="2"/>
    </w:p>
  </w:footnote>
  <w:footnote w:id="6">
    <w:p w14:paraId="11E1751B" w14:textId="1E0ECCE7" w:rsidR="00777C37" w:rsidRDefault="00777C37">
      <w:pPr>
        <w:pStyle w:val="FootnoteText"/>
      </w:pPr>
      <w:r>
        <w:rPr>
          <w:rStyle w:val="FootnoteReference"/>
        </w:rPr>
        <w:footnoteRef/>
      </w:r>
      <w:r>
        <w:t xml:space="preserve"> </w:t>
      </w:r>
      <w:r w:rsidRPr="003B021F">
        <w:rPr>
          <w:sz w:val="16"/>
          <w:szCs w:val="16"/>
        </w:rPr>
        <w:t>Cheetham, Inclusivisms, p- 63.</w:t>
      </w:r>
    </w:p>
  </w:footnote>
  <w:footnote w:id="7">
    <w:p w14:paraId="1680AA55" w14:textId="7369E59A" w:rsidR="00777C37" w:rsidRDefault="00777C37">
      <w:pPr>
        <w:pStyle w:val="FootnoteText"/>
      </w:pPr>
      <w:r>
        <w:rPr>
          <w:rStyle w:val="FootnoteReference"/>
        </w:rPr>
        <w:footnoteRef/>
      </w:r>
      <w:r>
        <w:t xml:space="preserve"> </w:t>
      </w:r>
      <w:r w:rsidRPr="009C6F2C">
        <w:rPr>
          <w:sz w:val="16"/>
          <w:szCs w:val="16"/>
        </w:rPr>
        <w:t>Cf.</w:t>
      </w:r>
      <w:r>
        <w:t xml:space="preserve"> </w:t>
      </w:r>
      <w:r w:rsidRPr="009C6F2C">
        <w:rPr>
          <w:sz w:val="16"/>
          <w:szCs w:val="16"/>
        </w:rPr>
        <w:t>Nostra Aetate, second Vatican Council, 1962-65.</w:t>
      </w:r>
    </w:p>
  </w:footnote>
  <w:footnote w:id="8">
    <w:p w14:paraId="4946FC10" w14:textId="3FE076F8" w:rsidR="00777C37" w:rsidRDefault="00777C37">
      <w:pPr>
        <w:pStyle w:val="FootnoteText"/>
      </w:pPr>
      <w:r>
        <w:rPr>
          <w:rStyle w:val="FootnoteReference"/>
        </w:rPr>
        <w:footnoteRef/>
      </w:r>
      <w:r>
        <w:t xml:space="preserve"> </w:t>
      </w:r>
      <w:bookmarkStart w:id="3" w:name="_Hlk27146034"/>
      <w:r w:rsidRPr="003B021F">
        <w:rPr>
          <w:sz w:val="16"/>
          <w:szCs w:val="16"/>
        </w:rPr>
        <w:t xml:space="preserve">David Cheetham, </w:t>
      </w:r>
      <w:r w:rsidRPr="003B021F">
        <w:rPr>
          <w:i/>
          <w:iCs/>
          <w:sz w:val="16"/>
          <w:szCs w:val="16"/>
        </w:rPr>
        <w:t>Inclusivisms: Honouring Faithfulness and Openness</w:t>
      </w:r>
      <w:r w:rsidRPr="003B021F">
        <w:rPr>
          <w:sz w:val="16"/>
          <w:szCs w:val="16"/>
        </w:rPr>
        <w:t xml:space="preserve"> in </w:t>
      </w:r>
      <w:r w:rsidRPr="003B021F">
        <w:rPr>
          <w:i/>
          <w:iCs/>
          <w:sz w:val="16"/>
          <w:szCs w:val="16"/>
        </w:rPr>
        <w:t xml:space="preserve">Christian Approaches to Other Faiths, </w:t>
      </w:r>
      <w:r w:rsidRPr="003B021F">
        <w:rPr>
          <w:sz w:val="16"/>
          <w:szCs w:val="16"/>
        </w:rPr>
        <w:t>Alan race and Paul Hedges, London: SCM Press, 2008</w:t>
      </w:r>
      <w:bookmarkEnd w:id="3"/>
      <w:r w:rsidRPr="003B021F">
        <w:rPr>
          <w:sz w:val="16"/>
          <w:szCs w:val="16"/>
        </w:rPr>
        <w:t>. P-</w:t>
      </w:r>
      <w:r>
        <w:rPr>
          <w:sz w:val="16"/>
          <w:szCs w:val="16"/>
        </w:rPr>
        <w:t>70</w:t>
      </w:r>
      <w:r w:rsidRPr="003B021F">
        <w:rPr>
          <w:sz w:val="16"/>
          <w:szCs w:val="16"/>
        </w:rPr>
        <w:t>.</w:t>
      </w:r>
    </w:p>
  </w:footnote>
  <w:footnote w:id="9">
    <w:p w14:paraId="4C5217D6" w14:textId="41D47331" w:rsidR="00777C37" w:rsidRPr="00E337E4" w:rsidRDefault="00777C37">
      <w:pPr>
        <w:pStyle w:val="FootnoteText"/>
      </w:pPr>
      <w:r>
        <w:rPr>
          <w:rStyle w:val="FootnoteReference"/>
        </w:rPr>
        <w:footnoteRef/>
      </w:r>
      <w:r>
        <w:t xml:space="preserve"> </w:t>
      </w:r>
      <w:bookmarkStart w:id="4" w:name="_Hlk27140332"/>
      <w:bookmarkStart w:id="5" w:name="_Hlk27146084"/>
      <w:r w:rsidRPr="00E337E4">
        <w:rPr>
          <w:sz w:val="16"/>
          <w:szCs w:val="16"/>
        </w:rPr>
        <w:t xml:space="preserve">Karl Rahner, </w:t>
      </w:r>
      <w:r w:rsidRPr="00E337E4">
        <w:rPr>
          <w:i/>
          <w:iCs/>
          <w:sz w:val="16"/>
          <w:szCs w:val="16"/>
        </w:rPr>
        <w:t>Anonymous and Explicit Faith</w:t>
      </w:r>
      <w:r w:rsidRPr="00E337E4">
        <w:rPr>
          <w:sz w:val="16"/>
          <w:szCs w:val="16"/>
        </w:rPr>
        <w:t xml:space="preserve">, in </w:t>
      </w:r>
      <w:r w:rsidRPr="00E337E4">
        <w:rPr>
          <w:i/>
          <w:iCs/>
          <w:sz w:val="16"/>
          <w:szCs w:val="16"/>
        </w:rPr>
        <w:t xml:space="preserve">Theological Investigations vol. 16, </w:t>
      </w:r>
      <w:r w:rsidRPr="00E337E4">
        <w:rPr>
          <w:sz w:val="16"/>
          <w:szCs w:val="16"/>
        </w:rPr>
        <w:t>London: DLT (Morland David Trans), 1979.</w:t>
      </w:r>
      <w:r>
        <w:t xml:space="preserve"> </w:t>
      </w:r>
      <w:bookmarkEnd w:id="4"/>
    </w:p>
  </w:footnote>
  <w:footnote w:id="10">
    <w:p w14:paraId="47648CCD" w14:textId="5AC87043" w:rsidR="00777C37" w:rsidRDefault="00777C37">
      <w:pPr>
        <w:pStyle w:val="FootnoteText"/>
        <w:rPr>
          <w:sz w:val="16"/>
          <w:szCs w:val="16"/>
        </w:rPr>
      </w:pPr>
      <w:r>
        <w:rPr>
          <w:rStyle w:val="FootnoteReference"/>
        </w:rPr>
        <w:footnoteRef/>
      </w:r>
      <w:r>
        <w:t xml:space="preserve"> </w:t>
      </w:r>
      <w:r w:rsidRPr="00E337E4">
        <w:rPr>
          <w:sz w:val="16"/>
          <w:szCs w:val="16"/>
        </w:rPr>
        <w:t xml:space="preserve">Karl Rahner, </w:t>
      </w:r>
      <w:r w:rsidRPr="00E337E4">
        <w:rPr>
          <w:i/>
          <w:iCs/>
          <w:sz w:val="16"/>
          <w:szCs w:val="16"/>
        </w:rPr>
        <w:t>Anonymous and Explicit Faith</w:t>
      </w:r>
      <w:r w:rsidRPr="00E337E4">
        <w:rPr>
          <w:sz w:val="16"/>
          <w:szCs w:val="16"/>
        </w:rPr>
        <w:t xml:space="preserve">, in </w:t>
      </w:r>
      <w:r w:rsidRPr="00E337E4">
        <w:rPr>
          <w:i/>
          <w:iCs/>
          <w:sz w:val="16"/>
          <w:szCs w:val="16"/>
        </w:rPr>
        <w:t xml:space="preserve">Theological Investigations vol. 16, </w:t>
      </w:r>
      <w:r w:rsidRPr="00E337E4">
        <w:rPr>
          <w:sz w:val="16"/>
          <w:szCs w:val="16"/>
        </w:rPr>
        <w:t>London: DLT (Morland David Trans), 1979.</w:t>
      </w:r>
    </w:p>
    <w:p w14:paraId="5687A5B6" w14:textId="4E3F4DEE" w:rsidR="00777C37" w:rsidRDefault="00777C37">
      <w:pPr>
        <w:pStyle w:val="FootnoteText"/>
        <w:rPr>
          <w:sz w:val="16"/>
          <w:szCs w:val="16"/>
        </w:rPr>
      </w:pPr>
      <w:r>
        <w:rPr>
          <w:sz w:val="16"/>
          <w:szCs w:val="16"/>
        </w:rPr>
        <w:t xml:space="preserve">Karl Rahner, </w:t>
      </w:r>
      <w:r w:rsidR="001226E9">
        <w:rPr>
          <w:i/>
          <w:iCs/>
          <w:sz w:val="16"/>
          <w:szCs w:val="16"/>
        </w:rPr>
        <w:t xml:space="preserve">Foundations of Christianity, </w:t>
      </w:r>
      <w:r w:rsidR="001226E9">
        <w:rPr>
          <w:sz w:val="16"/>
          <w:szCs w:val="16"/>
        </w:rPr>
        <w:t>New York: Crossroads Publishing, 1982.</w:t>
      </w:r>
    </w:p>
    <w:p w14:paraId="73AE8A80" w14:textId="4EA1ADC1" w:rsidR="001226E9" w:rsidRPr="001226E9" w:rsidRDefault="001226E9">
      <w:pPr>
        <w:pStyle w:val="FootnoteText"/>
        <w:rPr>
          <w:i/>
          <w:iCs/>
          <w:sz w:val="16"/>
          <w:szCs w:val="16"/>
        </w:rPr>
      </w:pPr>
      <w:r w:rsidRPr="001226E9">
        <w:rPr>
          <w:sz w:val="16"/>
          <w:szCs w:val="16"/>
        </w:rPr>
        <w:t>Karl Rahner</w:t>
      </w:r>
      <w:r>
        <w:rPr>
          <w:sz w:val="16"/>
          <w:szCs w:val="16"/>
        </w:rPr>
        <w:t xml:space="preserve">, </w:t>
      </w:r>
      <w:r w:rsidRPr="001226E9">
        <w:rPr>
          <w:i/>
          <w:iCs/>
          <w:sz w:val="16"/>
          <w:szCs w:val="16"/>
        </w:rPr>
        <w:t>Theological Investigations vol 4,5</w:t>
      </w:r>
      <w:r>
        <w:rPr>
          <w:sz w:val="16"/>
          <w:szCs w:val="16"/>
        </w:rPr>
        <w:t>, London: DLT (K.H Kruger trans), 1966</w:t>
      </w:r>
    </w:p>
  </w:footnote>
  <w:footnote w:id="11">
    <w:p w14:paraId="6DC65422" w14:textId="7FCA6429" w:rsidR="004408DB" w:rsidRPr="004408DB" w:rsidRDefault="004408DB">
      <w:pPr>
        <w:pStyle w:val="FootnoteText"/>
        <w:rPr>
          <w:b/>
          <w:bCs/>
        </w:rPr>
      </w:pPr>
      <w:r>
        <w:rPr>
          <w:rStyle w:val="FootnoteReference"/>
        </w:rPr>
        <w:footnoteRef/>
      </w:r>
      <w:r>
        <w:t xml:space="preserve"> </w:t>
      </w:r>
      <w:r w:rsidRPr="004408DB">
        <w:rPr>
          <w:sz w:val="16"/>
          <w:szCs w:val="16"/>
        </w:rPr>
        <w:t xml:space="preserve">Hans Kung, </w:t>
      </w:r>
      <w:hyperlink r:id="rId2" w:history="1">
        <w:r w:rsidRPr="004408DB">
          <w:rPr>
            <w:rStyle w:val="Hyperlink"/>
            <w:color w:val="auto"/>
            <w:sz w:val="16"/>
            <w:szCs w:val="16"/>
            <w:u w:val="none"/>
          </w:rPr>
          <w:t>The age of globalization requires a global ethic</w:t>
        </w:r>
      </w:hyperlink>
      <w:r w:rsidRPr="004408DB">
        <w:rPr>
          <w:sz w:val="16"/>
          <w:szCs w:val="16"/>
        </w:rPr>
        <w:t>,</w:t>
      </w:r>
      <w:r w:rsidRPr="004408DB">
        <w:rPr>
          <w:b/>
          <w:bCs/>
          <w:sz w:val="16"/>
          <w:szCs w:val="16"/>
        </w:rPr>
        <w:t xml:space="preserve"> </w:t>
      </w:r>
      <w:r w:rsidRPr="004408DB">
        <w:rPr>
          <w:sz w:val="16"/>
          <w:szCs w:val="16"/>
        </w:rPr>
        <w:t>Theology, September 2010, Vol.113(875), pp.323-33</w:t>
      </w:r>
    </w:p>
  </w:footnote>
  <w:footnote w:id="12">
    <w:p w14:paraId="696F89B8" w14:textId="137D8F48" w:rsidR="005D6B54" w:rsidRDefault="005D6B54">
      <w:pPr>
        <w:pStyle w:val="FootnoteText"/>
      </w:pPr>
      <w:r>
        <w:rPr>
          <w:rStyle w:val="FootnoteReference"/>
        </w:rPr>
        <w:footnoteRef/>
      </w:r>
      <w:r>
        <w:t xml:space="preserve"> </w:t>
      </w:r>
      <w:r w:rsidRPr="005D6B54">
        <w:rPr>
          <w:sz w:val="16"/>
          <w:szCs w:val="16"/>
        </w:rPr>
        <w:t>Clark Pinnock, A Wideness in God’s Mercy: The Finality of Jesus Christ in the World of Religions, Grand Rapids: Zondervan, 1992.</w:t>
      </w:r>
      <w:r>
        <w:t xml:space="preserve"> </w:t>
      </w:r>
    </w:p>
  </w:footnote>
  <w:footnote w:id="13">
    <w:p w14:paraId="2377C5E5" w14:textId="19965A7D" w:rsidR="00752000" w:rsidRPr="00752000" w:rsidRDefault="00752000">
      <w:pPr>
        <w:pStyle w:val="FootnoteText"/>
      </w:pPr>
      <w:r>
        <w:rPr>
          <w:rStyle w:val="FootnoteReference"/>
        </w:rPr>
        <w:footnoteRef/>
      </w:r>
      <w:r>
        <w:t xml:space="preserve"> </w:t>
      </w:r>
      <w:bookmarkStart w:id="6" w:name="_Hlk27145905"/>
      <w:r w:rsidRPr="00752000">
        <w:rPr>
          <w:sz w:val="16"/>
          <w:szCs w:val="16"/>
        </w:rPr>
        <w:t xml:space="preserve">Clark Pinnock, </w:t>
      </w:r>
      <w:r w:rsidRPr="00752000">
        <w:rPr>
          <w:i/>
          <w:iCs/>
          <w:sz w:val="16"/>
          <w:szCs w:val="16"/>
        </w:rPr>
        <w:t xml:space="preserve">Inclusivism </w:t>
      </w:r>
      <w:r w:rsidRPr="00752000">
        <w:rPr>
          <w:sz w:val="16"/>
          <w:szCs w:val="16"/>
        </w:rPr>
        <w:t xml:space="preserve">in </w:t>
      </w:r>
      <w:r w:rsidRPr="00752000">
        <w:rPr>
          <w:i/>
          <w:iCs/>
          <w:sz w:val="16"/>
          <w:szCs w:val="16"/>
        </w:rPr>
        <w:t xml:space="preserve">More Than One Way?, </w:t>
      </w:r>
      <w:r w:rsidRPr="00752000">
        <w:rPr>
          <w:sz w:val="16"/>
          <w:szCs w:val="16"/>
        </w:rPr>
        <w:t xml:space="preserve">D.L Okholm, T.R Phillips (eds), Grand Rapids: Zondervan, 1995, </w:t>
      </w:r>
      <w:bookmarkEnd w:id="6"/>
      <w:r w:rsidRPr="00752000">
        <w:rPr>
          <w:sz w:val="16"/>
          <w:szCs w:val="16"/>
        </w:rPr>
        <w:t>pp- 98-100.</w:t>
      </w:r>
    </w:p>
  </w:footnote>
  <w:footnote w:id="14">
    <w:p w14:paraId="3492ED7B" w14:textId="48261DD3" w:rsidR="00FA3ED1" w:rsidRPr="00C911F3" w:rsidRDefault="00FA3ED1">
      <w:pPr>
        <w:pStyle w:val="FootnoteText"/>
        <w:rPr>
          <w:sz w:val="16"/>
          <w:szCs w:val="16"/>
        </w:rPr>
      </w:pPr>
      <w:r w:rsidRPr="00C911F3">
        <w:rPr>
          <w:rStyle w:val="FootnoteReference"/>
          <w:sz w:val="16"/>
          <w:szCs w:val="16"/>
        </w:rPr>
        <w:footnoteRef/>
      </w:r>
      <w:r w:rsidRPr="00C911F3">
        <w:rPr>
          <w:sz w:val="16"/>
          <w:szCs w:val="16"/>
        </w:rPr>
        <w:t xml:space="preserve"> </w:t>
      </w:r>
      <w:bookmarkStart w:id="7" w:name="_Hlk27145895"/>
      <w:bookmarkStart w:id="8" w:name="_Hlk27145896"/>
      <w:bookmarkStart w:id="9" w:name="_Hlk27145897"/>
      <w:bookmarkStart w:id="10" w:name="_Hlk27145898"/>
      <w:r w:rsidR="0084017D" w:rsidRPr="00C911F3">
        <w:rPr>
          <w:sz w:val="16"/>
          <w:szCs w:val="16"/>
        </w:rPr>
        <w:t xml:space="preserve">Jacques Dupuis, </w:t>
      </w:r>
      <w:r w:rsidR="0084017D" w:rsidRPr="00C911F3">
        <w:rPr>
          <w:i/>
          <w:iCs/>
          <w:sz w:val="16"/>
          <w:szCs w:val="16"/>
        </w:rPr>
        <w:t xml:space="preserve">Toward a Christian Theology of Religious Pluralisms, </w:t>
      </w:r>
      <w:r w:rsidR="0084017D" w:rsidRPr="00C911F3">
        <w:rPr>
          <w:sz w:val="16"/>
          <w:szCs w:val="16"/>
        </w:rPr>
        <w:t xml:space="preserve">Maryknoll: Orbis Publishing, 1997. </w:t>
      </w:r>
      <w:bookmarkEnd w:id="7"/>
      <w:bookmarkEnd w:id="8"/>
      <w:bookmarkEnd w:id="9"/>
      <w:bookmarkEnd w:id="1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1DF"/>
    <w:rsid w:val="001226E9"/>
    <w:rsid w:val="00131B9D"/>
    <w:rsid w:val="00161D1A"/>
    <w:rsid w:val="001737CB"/>
    <w:rsid w:val="00195E57"/>
    <w:rsid w:val="00202184"/>
    <w:rsid w:val="00214B3E"/>
    <w:rsid w:val="002C3B71"/>
    <w:rsid w:val="0032025E"/>
    <w:rsid w:val="003511DF"/>
    <w:rsid w:val="003B021F"/>
    <w:rsid w:val="004408DB"/>
    <w:rsid w:val="00461D0E"/>
    <w:rsid w:val="00553EC7"/>
    <w:rsid w:val="005564AC"/>
    <w:rsid w:val="005A5710"/>
    <w:rsid w:val="005D6B54"/>
    <w:rsid w:val="00630BD0"/>
    <w:rsid w:val="00683E44"/>
    <w:rsid w:val="006D03B4"/>
    <w:rsid w:val="00751A33"/>
    <w:rsid w:val="00752000"/>
    <w:rsid w:val="00766D88"/>
    <w:rsid w:val="00777C37"/>
    <w:rsid w:val="00794946"/>
    <w:rsid w:val="00797FCA"/>
    <w:rsid w:val="007C7063"/>
    <w:rsid w:val="008062FF"/>
    <w:rsid w:val="0084017D"/>
    <w:rsid w:val="00860D68"/>
    <w:rsid w:val="00880A83"/>
    <w:rsid w:val="00891745"/>
    <w:rsid w:val="008C2E6D"/>
    <w:rsid w:val="008C5200"/>
    <w:rsid w:val="008D2049"/>
    <w:rsid w:val="0090117A"/>
    <w:rsid w:val="00923EE3"/>
    <w:rsid w:val="009922B1"/>
    <w:rsid w:val="009B69BC"/>
    <w:rsid w:val="009C6F2C"/>
    <w:rsid w:val="009F5452"/>
    <w:rsid w:val="00A45C27"/>
    <w:rsid w:val="00A5447B"/>
    <w:rsid w:val="00A617BA"/>
    <w:rsid w:val="00AF51CF"/>
    <w:rsid w:val="00B51E42"/>
    <w:rsid w:val="00B95330"/>
    <w:rsid w:val="00BF020F"/>
    <w:rsid w:val="00C911F3"/>
    <w:rsid w:val="00D907D4"/>
    <w:rsid w:val="00E337E4"/>
    <w:rsid w:val="00E41662"/>
    <w:rsid w:val="00E43D9E"/>
    <w:rsid w:val="00F87E21"/>
    <w:rsid w:val="00FA3ED1"/>
    <w:rsid w:val="00FF0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4FB89"/>
  <w15:chartTrackingRefBased/>
  <w15:docId w15:val="{F08DB10D-C7D0-4687-8B81-B4AF508E2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B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4408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011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117A"/>
    <w:rPr>
      <w:sz w:val="20"/>
      <w:szCs w:val="20"/>
    </w:rPr>
  </w:style>
  <w:style w:type="character" w:styleId="FootnoteReference">
    <w:name w:val="footnote reference"/>
    <w:basedOn w:val="DefaultParagraphFont"/>
    <w:uiPriority w:val="99"/>
    <w:semiHidden/>
    <w:unhideWhenUsed/>
    <w:rsid w:val="0090117A"/>
    <w:rPr>
      <w:vertAlign w:val="superscript"/>
    </w:rPr>
  </w:style>
  <w:style w:type="character" w:styleId="Hyperlink">
    <w:name w:val="Hyperlink"/>
    <w:basedOn w:val="DefaultParagraphFont"/>
    <w:uiPriority w:val="99"/>
    <w:unhideWhenUsed/>
    <w:rsid w:val="0090117A"/>
    <w:rPr>
      <w:color w:val="0563C1" w:themeColor="hyperlink"/>
      <w:u w:val="single"/>
    </w:rPr>
  </w:style>
  <w:style w:type="character" w:styleId="UnresolvedMention">
    <w:name w:val="Unresolved Mention"/>
    <w:basedOn w:val="DefaultParagraphFont"/>
    <w:uiPriority w:val="99"/>
    <w:semiHidden/>
    <w:unhideWhenUsed/>
    <w:rsid w:val="0090117A"/>
    <w:rPr>
      <w:color w:val="605E5C"/>
      <w:shd w:val="clear" w:color="auto" w:fill="E1DFDD"/>
    </w:rPr>
  </w:style>
  <w:style w:type="character" w:customStyle="1" w:styleId="Heading1Char">
    <w:name w:val="Heading 1 Char"/>
    <w:basedOn w:val="DefaultParagraphFont"/>
    <w:link w:val="Heading1"/>
    <w:uiPriority w:val="9"/>
    <w:rsid w:val="005D6B54"/>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4408D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386532">
      <w:bodyDiv w:val="1"/>
      <w:marLeft w:val="0"/>
      <w:marRight w:val="0"/>
      <w:marTop w:val="0"/>
      <w:marBottom w:val="0"/>
      <w:divBdr>
        <w:top w:val="none" w:sz="0" w:space="0" w:color="auto"/>
        <w:left w:val="none" w:sz="0" w:space="0" w:color="auto"/>
        <w:bottom w:val="none" w:sz="0" w:space="0" w:color="auto"/>
        <w:right w:val="none" w:sz="0" w:space="0" w:color="auto"/>
      </w:divBdr>
    </w:div>
    <w:div w:id="821048248">
      <w:bodyDiv w:val="1"/>
      <w:marLeft w:val="0"/>
      <w:marRight w:val="0"/>
      <w:marTop w:val="0"/>
      <w:marBottom w:val="0"/>
      <w:divBdr>
        <w:top w:val="none" w:sz="0" w:space="0" w:color="auto"/>
        <w:left w:val="none" w:sz="0" w:space="0" w:color="auto"/>
        <w:bottom w:val="none" w:sz="0" w:space="0" w:color="auto"/>
        <w:right w:val="none" w:sz="0" w:space="0" w:color="auto"/>
      </w:divBdr>
    </w:div>
    <w:div w:id="1058474914">
      <w:bodyDiv w:val="1"/>
      <w:marLeft w:val="0"/>
      <w:marRight w:val="0"/>
      <w:marTop w:val="0"/>
      <w:marBottom w:val="0"/>
      <w:divBdr>
        <w:top w:val="none" w:sz="0" w:space="0" w:color="auto"/>
        <w:left w:val="none" w:sz="0" w:space="0" w:color="auto"/>
        <w:bottom w:val="none" w:sz="0" w:space="0" w:color="auto"/>
        <w:right w:val="none" w:sz="0" w:space="0" w:color="auto"/>
      </w:divBdr>
    </w:div>
    <w:div w:id="203495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hel-primo.hosted.exlibrisgroup.com/primo-explore/fulldisplay?docid=TN_sage_s10_1177_0040571X1011300502&amp;context=PC&amp;vid=44WHELF_UWTSD_VU1&amp;lang=en_US&amp;search_scope=CSCOP_EVERYTHING&amp;adaptor=primo_central_multiple_fe&amp;tab=tab1&amp;query=any,contains,hans%20kung&amp;mode=basic" TargetMode="External"/><Relationship Id="rId1" Type="http://schemas.openxmlformats.org/officeDocument/2006/relationships/hyperlink" Target="https://www.churchofengland.org/sites/default/files/2019-05/Report%20to%20General%20Synod%20July%20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CD325-BFB5-4FF9-A78C-4CCEDA211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5</Pages>
  <Words>1730</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28</cp:revision>
  <dcterms:created xsi:type="dcterms:W3CDTF">2019-12-13T11:06:00Z</dcterms:created>
  <dcterms:modified xsi:type="dcterms:W3CDTF">2019-12-13T16:16:00Z</dcterms:modified>
</cp:coreProperties>
</file>