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charts/chart11.xml" ContentType="application/vnd.openxmlformats-officedocument.drawingml.chart+xml"/>
  <Override PartName="/word/charts/style11.xml" ContentType="application/vnd.ms-office.chartstyle+xml"/>
  <Override PartName="/word/charts/colors11.xml" ContentType="application/vnd.ms-office.chartcolorstyle+xml"/>
  <Override PartName="/word/charts/chart12.xml" ContentType="application/vnd.openxmlformats-officedocument.drawingml.chart+xml"/>
  <Override PartName="/word/charts/style12.xml" ContentType="application/vnd.ms-office.chartstyle+xml"/>
  <Override PartName="/word/charts/colors12.xml" ContentType="application/vnd.ms-office.chartcolorstyle+xml"/>
  <Override PartName="/word/charts/chart13.xml" ContentType="application/vnd.openxmlformats-officedocument.drawingml.chart+xml"/>
  <Override PartName="/word/charts/style13.xml" ContentType="application/vnd.ms-office.chartstyle+xml"/>
  <Override PartName="/word/charts/colors13.xml" ContentType="application/vnd.ms-office.chartcolorstyle+xml"/>
  <Override PartName="/word/charts/chart14.xml" ContentType="application/vnd.openxmlformats-officedocument.drawingml.chart+xml"/>
  <Override PartName="/word/charts/style14.xml" ContentType="application/vnd.ms-office.chartstyle+xml"/>
  <Override PartName="/word/charts/colors14.xml" ContentType="application/vnd.ms-office.chartcolorstyle+xml"/>
  <Override PartName="/word/charts/chart15.xml" ContentType="application/vnd.openxmlformats-officedocument.drawingml.chart+xml"/>
  <Override PartName="/word/charts/style15.xml" ContentType="application/vnd.ms-office.chartstyle+xml"/>
  <Override PartName="/word/charts/colors15.xml" ContentType="application/vnd.ms-office.chartcolorstyle+xml"/>
  <Override PartName="/word/charts/chart16.xml" ContentType="application/vnd.openxmlformats-officedocument.drawingml.chart+xml"/>
  <Override PartName="/word/charts/style16.xml" ContentType="application/vnd.ms-office.chartstyle+xml"/>
  <Override PartName="/word/charts/colors16.xml" ContentType="application/vnd.ms-office.chartcolorstyle+xml"/>
  <Override PartName="/word/charts/chart17.xml" ContentType="application/vnd.openxmlformats-officedocument.drawingml.chart+xml"/>
  <Override PartName="/word/charts/style17.xml" ContentType="application/vnd.ms-office.chartstyle+xml"/>
  <Override PartName="/word/charts/colors17.xml" ContentType="application/vnd.ms-office.chartcolorstyle+xml"/>
  <Override PartName="/word/charts/chart18.xml" ContentType="application/vnd.openxmlformats-officedocument.drawingml.chart+xml"/>
  <Override PartName="/word/charts/style18.xml" ContentType="application/vnd.ms-office.chartstyle+xml"/>
  <Override PartName="/word/charts/colors18.xml" ContentType="application/vnd.ms-office.chartcolorstyle+xml"/>
  <Override PartName="/word/charts/chart19.xml" ContentType="application/vnd.openxmlformats-officedocument.drawingml.chart+xml"/>
  <Override PartName="/word/charts/style19.xml" ContentType="application/vnd.ms-office.chartstyle+xml"/>
  <Override PartName="/word/charts/colors19.xml" ContentType="application/vnd.ms-office.chartcolorstyle+xml"/>
  <Override PartName="/word/charts/chart20.xml" ContentType="application/vnd.openxmlformats-officedocument.drawingml.chart+xml"/>
  <Override PartName="/word/charts/style20.xml" ContentType="application/vnd.ms-office.chartstyle+xml"/>
  <Override PartName="/word/charts/colors20.xml" ContentType="application/vnd.ms-office.chartcolorstyle+xml"/>
  <Override PartName="/word/charts/chart21.xml" ContentType="application/vnd.openxmlformats-officedocument.drawingml.chart+xml"/>
  <Override PartName="/word/charts/style21.xml" ContentType="application/vnd.ms-office.chartstyle+xml"/>
  <Override PartName="/word/charts/colors21.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708A598" w14:textId="0CD41A3F" w:rsidR="001A0CCA" w:rsidRPr="00C921A4" w:rsidRDefault="003E23C3" w:rsidP="007956F7">
      <w:pPr>
        <w:outlineLvl w:val="0"/>
        <w:rPr>
          <w:u w:val="single"/>
        </w:rPr>
      </w:pPr>
      <w:r>
        <w:rPr>
          <w:u w:val="single"/>
        </w:rPr>
        <w:t>Needs analysis</w:t>
      </w:r>
    </w:p>
    <w:p w14:paraId="4A90E090" w14:textId="23861806" w:rsidR="00A207BB" w:rsidRDefault="00A207BB">
      <w:pPr>
        <w:rPr>
          <w:u w:val="single"/>
        </w:rPr>
      </w:pPr>
    </w:p>
    <w:p w14:paraId="4665C2BB" w14:textId="0DB98BA0" w:rsidR="00D32D60" w:rsidRDefault="003E23C3">
      <w:r>
        <w:t>A needs analysis</w:t>
      </w:r>
      <w:r w:rsidR="00D32D60">
        <w:t xml:space="preserve"> should be carried out to find out the potential socio-economic issues that are faced by the population of</w:t>
      </w:r>
      <w:r>
        <w:t xml:space="preserve"> Swansea.  This needs analysis</w:t>
      </w:r>
      <w:r w:rsidR="00D32D60">
        <w:t xml:space="preserve"> will hopefully identify those areas where there is a need that require</w:t>
      </w:r>
      <w:r w:rsidR="000E1085">
        <w:t>s</w:t>
      </w:r>
      <w:r w:rsidR="00D32D60">
        <w:t xml:space="preserve"> an improvement on the services provided to minimise</w:t>
      </w:r>
      <w:r w:rsidR="00D12E50">
        <w:t xml:space="preserve"> it.  To complete the analysis</w:t>
      </w:r>
      <w:r w:rsidR="00D32D60">
        <w:t xml:space="preserve">, a variety of statistical data has been researched.  </w:t>
      </w:r>
    </w:p>
    <w:p w14:paraId="3CC5EC86" w14:textId="77777777" w:rsidR="00D32D60" w:rsidRDefault="00D32D60"/>
    <w:p w14:paraId="100FA5CD" w14:textId="57AF8DDE" w:rsidR="00D32D60" w:rsidRDefault="00D32D60">
      <w:r>
        <w:t>Firstly, research has been carried out on population statistics to obtain information on trends.  Secondly, data has been obtained on employment statistics to find out the percentage rate of the population in employment by gender and age group.  Thirdly, the research has concentrated on the population who fall under the category of third age, which include people of 65+.  The fourth area researched is on the number of Welsh speakers in the area.  Finally, data has been collected on the number of rough (homeless) sleepers in the area of Swansea.</w:t>
      </w:r>
    </w:p>
    <w:p w14:paraId="126C16B3" w14:textId="77777777" w:rsidR="00D32D60" w:rsidRDefault="00D32D60"/>
    <w:p w14:paraId="04E26A60" w14:textId="6E35A882" w:rsidR="00D32D60" w:rsidRDefault="00D32D60">
      <w:r>
        <w:t>This research will help me achiev</w:t>
      </w:r>
      <w:r w:rsidR="00D12E50">
        <w:t xml:space="preserve">e the purpose of the analysis </w:t>
      </w:r>
      <w:r>
        <w:t>which is to identify specific socio-economic needs in Swansea.</w:t>
      </w:r>
    </w:p>
    <w:p w14:paraId="43586A23" w14:textId="16D113A8" w:rsidR="009762FF" w:rsidRDefault="009762FF">
      <w:r>
        <w:br w:type="page"/>
      </w:r>
    </w:p>
    <w:p w14:paraId="6DEBC422" w14:textId="014DA881" w:rsidR="00D32D60" w:rsidRDefault="009762FF">
      <w:r>
        <w:lastRenderedPageBreak/>
        <w:t>POPULATION DATA</w:t>
      </w:r>
    </w:p>
    <w:p w14:paraId="7DAFDB9A" w14:textId="0BB69389" w:rsidR="00A9670B" w:rsidRPr="00C921A4" w:rsidRDefault="00E67941" w:rsidP="007956F7">
      <w:pPr>
        <w:outlineLvl w:val="0"/>
        <w:rPr>
          <w:sz w:val="21"/>
          <w:szCs w:val="21"/>
          <w:u w:val="single"/>
        </w:rPr>
      </w:pPr>
      <w:r>
        <w:rPr>
          <w:noProof/>
          <w:lang w:eastAsia="en-GB"/>
        </w:rPr>
        <mc:AlternateContent>
          <mc:Choice Requires="wps">
            <w:drawing>
              <wp:anchor distT="0" distB="0" distL="114300" distR="114300" simplePos="0" relativeHeight="251718656" behindDoc="0" locked="0" layoutInCell="1" allowOverlap="1" wp14:anchorId="0B32F6C5" wp14:editId="10E7E007">
                <wp:simplePos x="0" y="0"/>
                <wp:positionH relativeFrom="margin">
                  <wp:align>left</wp:align>
                </wp:positionH>
                <wp:positionV relativeFrom="paragraph">
                  <wp:posOffset>7934325</wp:posOffset>
                </wp:positionV>
                <wp:extent cx="5836920" cy="457200"/>
                <wp:effectExtent l="0" t="0" r="0" b="0"/>
                <wp:wrapSquare wrapText="bothSides"/>
                <wp:docPr id="4" name="Text Box 13"/>
                <wp:cNvGraphicFramePr/>
                <a:graphic xmlns:a="http://schemas.openxmlformats.org/drawingml/2006/main">
                  <a:graphicData uri="http://schemas.microsoft.com/office/word/2010/wordprocessingShape">
                    <wps:wsp>
                      <wps:cNvSpPr txBox="1"/>
                      <wps:spPr>
                        <a:xfrm>
                          <a:off x="0" y="0"/>
                          <a:ext cx="5836920" cy="4572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02830845" w14:textId="2427B77B" w:rsidR="000E1085" w:rsidRPr="00F45CA3" w:rsidRDefault="000E1085" w:rsidP="000024D1">
                            <w:r>
                              <w:rPr>
                                <w:b/>
                              </w:rPr>
                              <w:t xml:space="preserve">Figure 1.2 </w:t>
                            </w:r>
                            <w:r>
                              <w:t>Graph showing the mid-year population estimates in Wales Regions from 1991 to 2016. Data Source: www.stats.Wales.gov.Wales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0B32F6C5" id="_x0000_t202" coordsize="21600,21600" o:spt="202" path="m0,0l0,21600,21600,21600,21600,0xe">
                <v:stroke joinstyle="miter"/>
                <v:path gradientshapeok="t" o:connecttype="rect"/>
              </v:shapetype>
              <v:shape id="Text Box 13" o:spid="_x0000_s1026" type="#_x0000_t202" style="position:absolute;margin-left:0;margin-top:624.75pt;width:459.6pt;height:36pt;z-index:251718656;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" filled="f" stroked="f">
                <v:textbox>
                  <w:txbxContent>
                    <w:p w14:paraId="02830845" w14:textId="2427B77B" w:rsidR="000E1085" w:rsidRPr="00F45CA3" w:rsidRDefault="000E1085" w:rsidP="000024D1">
                      <w:r>
                        <w:rPr>
                          <w:b/>
                        </w:rPr>
                        <w:t xml:space="preserve">Figure 1.2 </w:t>
                      </w:r>
                      <w:r>
                        <w:t>Graph showing the mid-year population estimates in Wales Regions from 1991 to 2016. Data Source: www.stats.Wales.gov.Wales</w:t>
                      </w:r>
                    </w:p>
                  </w:txbxContent>
                </v:textbox>
                <w10:wrap type="square" anchorx="margin"/>
              </v:shape>
            </w:pict>
          </mc:Fallback>
        </mc:AlternateContent>
      </w:r>
      <w:r>
        <w:rPr>
          <w:noProof/>
          <w:sz w:val="32"/>
          <w:szCs w:val="32"/>
          <w:lang w:eastAsia="en-GB"/>
        </w:rPr>
        <mc:AlternateContent>
          <mc:Choice Requires="wps">
            <w:drawing>
              <wp:anchor distT="0" distB="0" distL="114300" distR="114300" simplePos="0" relativeHeight="251714560" behindDoc="0" locked="0" layoutInCell="1" allowOverlap="1" wp14:anchorId="29F99045" wp14:editId="7C8EE5AD">
                <wp:simplePos x="0" y="0"/>
                <wp:positionH relativeFrom="margin">
                  <wp:posOffset>53340</wp:posOffset>
                </wp:positionH>
                <wp:positionV relativeFrom="paragraph">
                  <wp:posOffset>2844800</wp:posOffset>
                </wp:positionV>
                <wp:extent cx="5684520" cy="548640"/>
                <wp:effectExtent l="0" t="0" r="0" b="3810"/>
                <wp:wrapSquare wrapText="bothSides"/>
                <wp:docPr id="7" name="Text Box 7"/>
                <wp:cNvGraphicFramePr/>
                <a:graphic xmlns:a="http://schemas.openxmlformats.org/drawingml/2006/main">
                  <a:graphicData uri="http://schemas.microsoft.com/office/word/2010/wordprocessingShape">
                    <wps:wsp>
                      <wps:cNvSpPr txBox="1"/>
                      <wps:spPr>
                        <a:xfrm>
                          <a:off x="0" y="0"/>
                          <a:ext cx="5684520" cy="54864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7ED0F043" w14:textId="77777777" w:rsidR="000E1085" w:rsidRPr="00C921A4" w:rsidRDefault="000E1085" w:rsidP="009762FF">
                            <w:r w:rsidRPr="00F2488E">
                              <w:rPr>
                                <w:b/>
                              </w:rPr>
                              <w:t>Figure 1.1</w:t>
                            </w:r>
                            <w:r>
                              <w:t xml:space="preserve"> Graph shows a mid-year </w:t>
                            </w:r>
                            <w:r w:rsidRPr="00A35D12">
                              <w:t>estimation of the population within the Un</w:t>
                            </w:r>
                            <w:r>
                              <w:t xml:space="preserve">ited Kingdom from 1971 to 2016.  Data source: </w:t>
                            </w:r>
                            <w:r w:rsidRPr="00C921A4">
                              <w:t>(https://www.ons.gov.uk)</w:t>
                            </w:r>
                            <w:r w:rsidRPr="00C921A4">
                              <w:rPr>
                                <w:noProof/>
                                <w:lang w:eastAsia="en-GB"/>
                              </w:rPr>
                              <w:t xml:space="preserve"> </w:t>
                            </w:r>
                          </w:p>
                          <w:p w14:paraId="309E39DE" w14:textId="77777777" w:rsidR="000E1085" w:rsidRPr="00C921A4" w:rsidRDefault="000E1085" w:rsidP="009762FF"/>
                          <w:p w14:paraId="411ED97B" w14:textId="77777777" w:rsidR="000E1085" w:rsidRPr="00A35D12" w:rsidRDefault="000E1085" w:rsidP="009762FF"/>
                          <w:p w14:paraId="578A29BC" w14:textId="77777777" w:rsidR="000E1085" w:rsidRDefault="000E1085" w:rsidP="009762FF">
                            <w:pPr>
                              <w:rPr>
                                <w:sz w:val="32"/>
                                <w:szCs w:val="32"/>
                              </w:rPr>
                            </w:pPr>
                          </w:p>
                          <w:p w14:paraId="6A6FFA45" w14:textId="77777777" w:rsidR="000E1085" w:rsidRDefault="000E1085" w:rsidP="009762F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9F99045" id="Text Box 7" o:spid="_x0000_s1027" type="#_x0000_t202" style="position:absolute;margin-left:4.2pt;margin-top:224pt;width:447.6pt;height:43.2pt;z-index:2517145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" filled="f" stroked="f">
                <v:textbox>
                  <w:txbxContent>
                    <w:p w14:paraId="7ED0F043" w14:textId="77777777" w:rsidR="000E1085" w:rsidRPr="00C921A4" w:rsidRDefault="000E1085" w:rsidP="009762FF">
                      <w:r w:rsidRPr="00F2488E">
                        <w:rPr>
                          <w:b/>
                        </w:rPr>
                        <w:t>Figure 1.1</w:t>
                      </w:r>
                      <w:r>
                        <w:t xml:space="preserve"> Graph shows a mid-year </w:t>
                      </w:r>
                      <w:r w:rsidRPr="00A35D12">
                        <w:t>estimation of the population within the Un</w:t>
                      </w:r>
                      <w:r>
                        <w:t xml:space="preserve">ited Kingdom from 1971 to 2016.  Data source: </w:t>
                      </w:r>
                      <w:r w:rsidRPr="00C921A4">
                        <w:t>(https://www.ons.gov.uk)</w:t>
                      </w:r>
                      <w:r w:rsidRPr="00C921A4">
                        <w:rPr>
                          <w:noProof/>
                          <w:lang w:eastAsia="en-GB"/>
                        </w:rPr>
                        <w:t xml:space="preserve"> </w:t>
                      </w:r>
                    </w:p>
                    <w:p w14:paraId="309E39DE" w14:textId="77777777" w:rsidR="000E1085" w:rsidRPr="00C921A4" w:rsidRDefault="000E1085" w:rsidP="009762FF"/>
                    <w:p w14:paraId="411ED97B" w14:textId="77777777" w:rsidR="000E1085" w:rsidRPr="00A35D12" w:rsidRDefault="000E1085" w:rsidP="009762FF"/>
                    <w:p w14:paraId="578A29BC" w14:textId="77777777" w:rsidR="000E1085" w:rsidRDefault="000E1085" w:rsidP="009762FF">
                      <w:pPr>
                        <w:rPr>
                          <w:sz w:val="32"/>
                          <w:szCs w:val="32"/>
                        </w:rPr>
                      </w:pPr>
                    </w:p>
                    <w:p w14:paraId="6A6FFA45" w14:textId="77777777" w:rsidR="000E1085" w:rsidRDefault="000E1085" w:rsidP="009762FF"/>
                  </w:txbxContent>
                </v:textbox>
                <w10:wrap type="square" anchorx="margin"/>
              </v:shape>
            </w:pict>
          </mc:Fallback>
        </mc:AlternateContent>
      </w:r>
      <w:r>
        <w:rPr>
          <w:noProof/>
          <w:lang w:eastAsia="en-GB"/>
        </w:rPr>
        <w:drawing>
          <wp:anchor distT="0" distB="0" distL="114300" distR="114300" simplePos="0" relativeHeight="251673600" behindDoc="0" locked="0" layoutInCell="1" allowOverlap="1" wp14:anchorId="6F3A82E3" wp14:editId="7646AC6F">
            <wp:simplePos x="0" y="0"/>
            <wp:positionH relativeFrom="margin">
              <wp:posOffset>22225</wp:posOffset>
            </wp:positionH>
            <wp:positionV relativeFrom="paragraph">
              <wp:posOffset>307975</wp:posOffset>
            </wp:positionV>
            <wp:extent cx="5692140" cy="2522220"/>
            <wp:effectExtent l="0" t="0" r="3810" b="11430"/>
            <wp:wrapTight wrapText="bothSides">
              <wp:wrapPolygon edited="0">
                <wp:start x="0" y="0"/>
                <wp:lineTo x="0" y="21535"/>
                <wp:lineTo x="21542" y="21535"/>
                <wp:lineTo x="21542" y="0"/>
                <wp:lineTo x="0" y="0"/>
              </wp:wrapPolygon>
            </wp:wrapTight>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14:sizeRelH relativeFrom="page">
              <wp14:pctWidth>0</wp14:pctWidth>
            </wp14:sizeRelH>
            <wp14:sizeRelV relativeFrom="page">
              <wp14:pctHeight>0</wp14:pctHeight>
            </wp14:sizeRelV>
          </wp:anchor>
        </w:drawing>
      </w:r>
      <w:r w:rsidR="009762FF">
        <w:rPr>
          <w:noProof/>
          <w:lang w:eastAsia="en-GB"/>
        </w:rPr>
        <w:drawing>
          <wp:anchor distT="0" distB="0" distL="114300" distR="114300" simplePos="0" relativeHeight="251716608" behindDoc="0" locked="0" layoutInCell="1" allowOverlap="1" wp14:anchorId="5D4D29DA" wp14:editId="1343C177">
            <wp:simplePos x="0" y="0"/>
            <wp:positionH relativeFrom="margin">
              <wp:align>left</wp:align>
            </wp:positionH>
            <wp:positionV relativeFrom="paragraph">
              <wp:posOffset>3530600</wp:posOffset>
            </wp:positionV>
            <wp:extent cx="5791200" cy="4381500"/>
            <wp:effectExtent l="0" t="0" r="0" b="0"/>
            <wp:wrapTight wrapText="bothSides">
              <wp:wrapPolygon edited="0">
                <wp:start x="0" y="0"/>
                <wp:lineTo x="0" y="21506"/>
                <wp:lineTo x="21529" y="21506"/>
                <wp:lineTo x="21529" y="0"/>
                <wp:lineTo x="0" y="0"/>
              </wp:wrapPolygon>
            </wp:wrapTight>
            <wp:docPr id="11" name="Chart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14:sizeRelH relativeFrom="page">
              <wp14:pctWidth>0</wp14:pctWidth>
            </wp14:sizeRelH>
            <wp14:sizeRelV relativeFrom="page">
              <wp14:pctHeight>0</wp14:pctHeight>
            </wp14:sizeRelV>
          </wp:anchor>
        </w:drawing>
      </w:r>
    </w:p>
    <w:p w14:paraId="5E88900A" w14:textId="7F2D3B38" w:rsidR="00A9670B" w:rsidRDefault="00143CB3" w:rsidP="005A1C83">
      <w:pPr>
        <w:rPr>
          <w:sz w:val="21"/>
          <w:szCs w:val="21"/>
        </w:rPr>
      </w:pPr>
      <w:r>
        <w:rPr>
          <w:sz w:val="21"/>
          <w:szCs w:val="21"/>
        </w:rPr>
        <w:t>Population in Swansea</w:t>
      </w:r>
    </w:p>
    <w:p w14:paraId="72EDA61F" w14:textId="6D32EDB1" w:rsidR="00901CEA" w:rsidRDefault="00901CEA" w:rsidP="005A1C83">
      <w:pPr>
        <w:rPr>
          <w:sz w:val="21"/>
          <w:szCs w:val="21"/>
        </w:rPr>
      </w:pPr>
    </w:p>
    <w:tbl>
      <w:tblPr>
        <w:tblStyle w:val="TableGrid"/>
        <w:tblpPr w:leftFromText="141" w:rightFromText="141" w:vertAnchor="text" w:horzAnchor="margin" w:tblpY="74"/>
        <w:tblW w:w="2480" w:type="dxa"/>
        <w:tblLook w:val="04A0" w:firstRow="1" w:lastRow="0" w:firstColumn="1" w:lastColumn="0" w:noHBand="0" w:noVBand="1"/>
      </w:tblPr>
      <w:tblGrid>
        <w:gridCol w:w="1240"/>
        <w:gridCol w:w="1240"/>
      </w:tblGrid>
      <w:tr w:rsidR="00143CB3" w:rsidRPr="0012789B" w14:paraId="240E27F9" w14:textId="77777777" w:rsidTr="00143CB3">
        <w:trPr>
          <w:trHeight w:val="300"/>
        </w:trPr>
        <w:tc>
          <w:tcPr>
            <w:tcW w:w="1240" w:type="dxa"/>
            <w:shd w:val="clear" w:color="auto" w:fill="D9D9D9" w:themeFill="background1" w:themeFillShade="D9"/>
          </w:tcPr>
          <w:p w14:paraId="74B250C1" w14:textId="4E203E38" w:rsidR="00143CB3" w:rsidRPr="000A0C34" w:rsidRDefault="00143CB3" w:rsidP="00143CB3">
            <w:pPr>
              <w:rPr>
                <w:rFonts w:eastAsia="Times New Roman" w:cstheme="minorHAnsi"/>
                <w:color w:val="000000"/>
                <w:sz w:val="18"/>
                <w:szCs w:val="18"/>
                <w:lang w:val="es-ES" w:eastAsia="es-ES"/>
              </w:rPr>
            </w:pPr>
            <w:proofErr w:type="spellStart"/>
            <w:r w:rsidRPr="000A0C34">
              <w:rPr>
                <w:rFonts w:eastAsia="Times New Roman" w:cstheme="minorHAnsi"/>
                <w:color w:val="000000"/>
                <w:sz w:val="18"/>
                <w:szCs w:val="18"/>
                <w:lang w:val="es-ES" w:eastAsia="es-ES"/>
              </w:rPr>
              <w:lastRenderedPageBreak/>
              <w:t>Year</w:t>
            </w:r>
            <w:proofErr w:type="spellEnd"/>
            <w:r w:rsidRPr="000A0C34">
              <w:rPr>
                <w:rFonts w:eastAsia="Times New Roman" w:cstheme="minorHAnsi"/>
                <w:color w:val="000000"/>
                <w:sz w:val="18"/>
                <w:szCs w:val="18"/>
                <w:lang w:val="es-ES" w:eastAsia="es-ES"/>
              </w:rPr>
              <w:t xml:space="preserve"> </w:t>
            </w:r>
          </w:p>
        </w:tc>
        <w:tc>
          <w:tcPr>
            <w:tcW w:w="1240" w:type="dxa"/>
            <w:shd w:val="clear" w:color="auto" w:fill="D9D9D9" w:themeFill="background1" w:themeFillShade="D9"/>
            <w:noWrap/>
          </w:tcPr>
          <w:p w14:paraId="77D0E5D6" w14:textId="45FFBE1D" w:rsidR="00143CB3" w:rsidRPr="000A0C34" w:rsidRDefault="00143CB3" w:rsidP="00143CB3">
            <w:pPr>
              <w:jc w:val="right"/>
              <w:rPr>
                <w:rFonts w:eastAsia="Times New Roman" w:cstheme="minorHAnsi"/>
                <w:color w:val="000000"/>
                <w:sz w:val="18"/>
                <w:szCs w:val="18"/>
                <w:lang w:val="es-ES" w:eastAsia="es-ES"/>
              </w:rPr>
            </w:pPr>
            <w:proofErr w:type="spellStart"/>
            <w:r w:rsidRPr="000A0C34">
              <w:rPr>
                <w:rFonts w:eastAsia="Times New Roman" w:cstheme="minorHAnsi"/>
                <w:color w:val="000000"/>
                <w:sz w:val="18"/>
                <w:szCs w:val="18"/>
                <w:lang w:val="es-ES" w:eastAsia="es-ES"/>
              </w:rPr>
              <w:t>Population</w:t>
            </w:r>
            <w:proofErr w:type="spellEnd"/>
          </w:p>
        </w:tc>
      </w:tr>
      <w:tr w:rsidR="00143CB3" w:rsidRPr="0012789B" w14:paraId="4FC9AEA5" w14:textId="77777777" w:rsidTr="00143CB3">
        <w:trPr>
          <w:trHeight w:val="300"/>
        </w:trPr>
        <w:tc>
          <w:tcPr>
            <w:tcW w:w="1240" w:type="dxa"/>
            <w:hideMark/>
          </w:tcPr>
          <w:p w14:paraId="710EE204" w14:textId="77777777" w:rsidR="00143CB3" w:rsidRPr="0012789B" w:rsidRDefault="00143CB3" w:rsidP="00143CB3">
            <w:pPr>
              <w:rPr>
                <w:rFonts w:eastAsia="Times New Roman" w:cstheme="minorHAnsi"/>
                <w:color w:val="000000"/>
                <w:sz w:val="18"/>
                <w:szCs w:val="18"/>
                <w:lang w:val="es-ES" w:eastAsia="es-ES"/>
              </w:rPr>
            </w:pPr>
            <w:r w:rsidRPr="0012789B">
              <w:rPr>
                <w:rFonts w:eastAsia="Times New Roman" w:cstheme="minorHAnsi"/>
                <w:color w:val="000000"/>
                <w:sz w:val="18"/>
                <w:szCs w:val="18"/>
                <w:lang w:val="es-ES" w:eastAsia="es-ES"/>
              </w:rPr>
              <w:t>1992 to 1993</w:t>
            </w:r>
          </w:p>
        </w:tc>
        <w:tc>
          <w:tcPr>
            <w:tcW w:w="1240" w:type="dxa"/>
            <w:noWrap/>
            <w:hideMark/>
          </w:tcPr>
          <w:p w14:paraId="63019BFA" w14:textId="77777777" w:rsidR="00143CB3" w:rsidRPr="0012789B" w:rsidRDefault="00143CB3" w:rsidP="00143CB3">
            <w:pPr>
              <w:jc w:val="right"/>
              <w:rPr>
                <w:rFonts w:eastAsia="Times New Roman" w:cstheme="minorHAnsi"/>
                <w:color w:val="000000"/>
                <w:sz w:val="18"/>
                <w:szCs w:val="18"/>
                <w:lang w:val="es-ES" w:eastAsia="es-ES"/>
              </w:rPr>
            </w:pPr>
            <w:r w:rsidRPr="0012789B">
              <w:rPr>
                <w:rFonts w:eastAsia="Times New Roman" w:cstheme="minorHAnsi"/>
                <w:color w:val="000000"/>
                <w:sz w:val="18"/>
                <w:szCs w:val="18"/>
                <w:lang w:val="es-ES" w:eastAsia="es-ES"/>
              </w:rPr>
              <w:t>229,349</w:t>
            </w:r>
          </w:p>
        </w:tc>
      </w:tr>
      <w:tr w:rsidR="00143CB3" w:rsidRPr="0012789B" w14:paraId="01C30A75" w14:textId="77777777" w:rsidTr="00143CB3">
        <w:trPr>
          <w:trHeight w:val="300"/>
        </w:trPr>
        <w:tc>
          <w:tcPr>
            <w:tcW w:w="1240" w:type="dxa"/>
            <w:hideMark/>
          </w:tcPr>
          <w:p w14:paraId="073DCE34" w14:textId="77777777" w:rsidR="00143CB3" w:rsidRPr="0012789B" w:rsidRDefault="00143CB3" w:rsidP="00143CB3">
            <w:pPr>
              <w:rPr>
                <w:rFonts w:eastAsia="Times New Roman" w:cstheme="minorHAnsi"/>
                <w:color w:val="000000"/>
                <w:sz w:val="18"/>
                <w:szCs w:val="18"/>
                <w:lang w:val="es-ES" w:eastAsia="es-ES"/>
              </w:rPr>
            </w:pPr>
            <w:r w:rsidRPr="0012789B">
              <w:rPr>
                <w:rFonts w:eastAsia="Times New Roman" w:cstheme="minorHAnsi"/>
                <w:color w:val="000000"/>
                <w:sz w:val="18"/>
                <w:szCs w:val="18"/>
                <w:lang w:val="es-ES" w:eastAsia="es-ES"/>
              </w:rPr>
              <w:t>1993 to 1994</w:t>
            </w:r>
          </w:p>
        </w:tc>
        <w:tc>
          <w:tcPr>
            <w:tcW w:w="1240" w:type="dxa"/>
            <w:noWrap/>
            <w:hideMark/>
          </w:tcPr>
          <w:p w14:paraId="691C67B2" w14:textId="77777777" w:rsidR="00143CB3" w:rsidRPr="0012789B" w:rsidRDefault="00143CB3" w:rsidP="00143CB3">
            <w:pPr>
              <w:jc w:val="right"/>
              <w:rPr>
                <w:rFonts w:eastAsia="Times New Roman" w:cstheme="minorHAnsi"/>
                <w:color w:val="000000"/>
                <w:sz w:val="18"/>
                <w:szCs w:val="18"/>
                <w:lang w:val="es-ES" w:eastAsia="es-ES"/>
              </w:rPr>
            </w:pPr>
            <w:r w:rsidRPr="0012789B">
              <w:rPr>
                <w:rFonts w:eastAsia="Times New Roman" w:cstheme="minorHAnsi"/>
                <w:color w:val="000000"/>
                <w:sz w:val="18"/>
                <w:szCs w:val="18"/>
                <w:lang w:val="es-ES" w:eastAsia="es-ES"/>
              </w:rPr>
              <w:t>228,239</w:t>
            </w:r>
          </w:p>
        </w:tc>
      </w:tr>
      <w:tr w:rsidR="00143CB3" w:rsidRPr="0012789B" w14:paraId="0F4025A6" w14:textId="77777777" w:rsidTr="00143CB3">
        <w:trPr>
          <w:trHeight w:val="300"/>
        </w:trPr>
        <w:tc>
          <w:tcPr>
            <w:tcW w:w="1240" w:type="dxa"/>
            <w:hideMark/>
          </w:tcPr>
          <w:p w14:paraId="3274E879" w14:textId="77777777" w:rsidR="00143CB3" w:rsidRPr="0012789B" w:rsidRDefault="00143CB3" w:rsidP="00143CB3">
            <w:pPr>
              <w:rPr>
                <w:rFonts w:eastAsia="Times New Roman" w:cstheme="minorHAnsi"/>
                <w:color w:val="000000"/>
                <w:sz w:val="18"/>
                <w:szCs w:val="18"/>
                <w:lang w:val="es-ES" w:eastAsia="es-ES"/>
              </w:rPr>
            </w:pPr>
            <w:r w:rsidRPr="0012789B">
              <w:rPr>
                <w:rFonts w:eastAsia="Times New Roman" w:cstheme="minorHAnsi"/>
                <w:color w:val="000000"/>
                <w:sz w:val="18"/>
                <w:szCs w:val="18"/>
                <w:lang w:val="es-ES" w:eastAsia="es-ES"/>
              </w:rPr>
              <w:t>1994 to 1995</w:t>
            </w:r>
          </w:p>
        </w:tc>
        <w:tc>
          <w:tcPr>
            <w:tcW w:w="1240" w:type="dxa"/>
            <w:noWrap/>
            <w:hideMark/>
          </w:tcPr>
          <w:p w14:paraId="4A0725C0" w14:textId="77777777" w:rsidR="00143CB3" w:rsidRPr="0012789B" w:rsidRDefault="00143CB3" w:rsidP="00143CB3">
            <w:pPr>
              <w:jc w:val="right"/>
              <w:rPr>
                <w:rFonts w:eastAsia="Times New Roman" w:cstheme="minorHAnsi"/>
                <w:color w:val="000000"/>
                <w:sz w:val="18"/>
                <w:szCs w:val="18"/>
                <w:lang w:val="es-ES" w:eastAsia="es-ES"/>
              </w:rPr>
            </w:pPr>
            <w:r w:rsidRPr="0012789B">
              <w:rPr>
                <w:rFonts w:eastAsia="Times New Roman" w:cstheme="minorHAnsi"/>
                <w:color w:val="000000"/>
                <w:sz w:val="18"/>
                <w:szCs w:val="18"/>
                <w:lang w:val="es-ES" w:eastAsia="es-ES"/>
              </w:rPr>
              <w:t>227,765</w:t>
            </w:r>
          </w:p>
        </w:tc>
      </w:tr>
      <w:tr w:rsidR="00143CB3" w:rsidRPr="0012789B" w14:paraId="0E9C8F88" w14:textId="77777777" w:rsidTr="00143CB3">
        <w:trPr>
          <w:trHeight w:val="300"/>
        </w:trPr>
        <w:tc>
          <w:tcPr>
            <w:tcW w:w="1240" w:type="dxa"/>
            <w:hideMark/>
          </w:tcPr>
          <w:p w14:paraId="2AF0FE30" w14:textId="77777777" w:rsidR="00143CB3" w:rsidRPr="0012789B" w:rsidRDefault="00143CB3" w:rsidP="00143CB3">
            <w:pPr>
              <w:rPr>
                <w:rFonts w:eastAsia="Times New Roman" w:cstheme="minorHAnsi"/>
                <w:color w:val="000000"/>
                <w:sz w:val="18"/>
                <w:szCs w:val="18"/>
                <w:lang w:val="es-ES" w:eastAsia="es-ES"/>
              </w:rPr>
            </w:pPr>
            <w:r w:rsidRPr="0012789B">
              <w:rPr>
                <w:rFonts w:eastAsia="Times New Roman" w:cstheme="minorHAnsi"/>
                <w:color w:val="000000"/>
                <w:sz w:val="18"/>
                <w:szCs w:val="18"/>
                <w:lang w:val="es-ES" w:eastAsia="es-ES"/>
              </w:rPr>
              <w:t>1995 to 1996</w:t>
            </w:r>
          </w:p>
        </w:tc>
        <w:tc>
          <w:tcPr>
            <w:tcW w:w="1240" w:type="dxa"/>
            <w:noWrap/>
            <w:hideMark/>
          </w:tcPr>
          <w:p w14:paraId="7A5449B5" w14:textId="77777777" w:rsidR="00143CB3" w:rsidRPr="0012789B" w:rsidRDefault="00143CB3" w:rsidP="00143CB3">
            <w:pPr>
              <w:jc w:val="right"/>
              <w:rPr>
                <w:rFonts w:eastAsia="Times New Roman" w:cstheme="minorHAnsi"/>
                <w:color w:val="000000"/>
                <w:sz w:val="18"/>
                <w:szCs w:val="18"/>
                <w:lang w:val="es-ES" w:eastAsia="es-ES"/>
              </w:rPr>
            </w:pPr>
            <w:r w:rsidRPr="0012789B">
              <w:rPr>
                <w:rFonts w:eastAsia="Times New Roman" w:cstheme="minorHAnsi"/>
                <w:color w:val="000000"/>
                <w:sz w:val="18"/>
                <w:szCs w:val="18"/>
                <w:lang w:val="es-ES" w:eastAsia="es-ES"/>
              </w:rPr>
              <w:t>227,199</w:t>
            </w:r>
          </w:p>
        </w:tc>
      </w:tr>
      <w:tr w:rsidR="00143CB3" w:rsidRPr="0012789B" w14:paraId="310FAC49" w14:textId="77777777" w:rsidTr="00143CB3">
        <w:trPr>
          <w:trHeight w:val="300"/>
        </w:trPr>
        <w:tc>
          <w:tcPr>
            <w:tcW w:w="1240" w:type="dxa"/>
            <w:hideMark/>
          </w:tcPr>
          <w:p w14:paraId="273B01BD" w14:textId="77777777" w:rsidR="00143CB3" w:rsidRPr="0012789B" w:rsidRDefault="00143CB3" w:rsidP="00143CB3">
            <w:pPr>
              <w:rPr>
                <w:rFonts w:eastAsia="Times New Roman" w:cstheme="minorHAnsi"/>
                <w:color w:val="000000"/>
                <w:sz w:val="18"/>
                <w:szCs w:val="18"/>
                <w:lang w:val="es-ES" w:eastAsia="es-ES"/>
              </w:rPr>
            </w:pPr>
            <w:r w:rsidRPr="0012789B">
              <w:rPr>
                <w:rFonts w:eastAsia="Times New Roman" w:cstheme="minorHAnsi"/>
                <w:color w:val="000000"/>
                <w:sz w:val="18"/>
                <w:szCs w:val="18"/>
                <w:lang w:val="es-ES" w:eastAsia="es-ES"/>
              </w:rPr>
              <w:t>1996 to 1997</w:t>
            </w:r>
          </w:p>
        </w:tc>
        <w:tc>
          <w:tcPr>
            <w:tcW w:w="1240" w:type="dxa"/>
            <w:noWrap/>
            <w:hideMark/>
          </w:tcPr>
          <w:p w14:paraId="1DBE8561" w14:textId="77777777" w:rsidR="00143CB3" w:rsidRPr="0012789B" w:rsidRDefault="00143CB3" w:rsidP="00143CB3">
            <w:pPr>
              <w:jc w:val="right"/>
              <w:rPr>
                <w:rFonts w:eastAsia="Times New Roman" w:cstheme="minorHAnsi"/>
                <w:color w:val="000000"/>
                <w:sz w:val="18"/>
                <w:szCs w:val="18"/>
                <w:lang w:val="es-ES" w:eastAsia="es-ES"/>
              </w:rPr>
            </w:pPr>
            <w:r w:rsidRPr="0012789B">
              <w:rPr>
                <w:rFonts w:eastAsia="Times New Roman" w:cstheme="minorHAnsi"/>
                <w:color w:val="000000"/>
                <w:sz w:val="18"/>
                <w:szCs w:val="18"/>
                <w:lang w:val="es-ES" w:eastAsia="es-ES"/>
              </w:rPr>
              <w:t>226,764</w:t>
            </w:r>
          </w:p>
        </w:tc>
      </w:tr>
      <w:tr w:rsidR="00143CB3" w:rsidRPr="0012789B" w14:paraId="15A6CAE8" w14:textId="77777777" w:rsidTr="00143CB3">
        <w:trPr>
          <w:trHeight w:val="300"/>
        </w:trPr>
        <w:tc>
          <w:tcPr>
            <w:tcW w:w="1240" w:type="dxa"/>
            <w:hideMark/>
          </w:tcPr>
          <w:p w14:paraId="41514263" w14:textId="77777777" w:rsidR="00143CB3" w:rsidRPr="0012789B" w:rsidRDefault="00143CB3" w:rsidP="00143CB3">
            <w:pPr>
              <w:rPr>
                <w:rFonts w:eastAsia="Times New Roman" w:cstheme="minorHAnsi"/>
                <w:color w:val="000000"/>
                <w:sz w:val="18"/>
                <w:szCs w:val="18"/>
                <w:lang w:val="es-ES" w:eastAsia="es-ES"/>
              </w:rPr>
            </w:pPr>
            <w:r w:rsidRPr="0012789B">
              <w:rPr>
                <w:rFonts w:eastAsia="Times New Roman" w:cstheme="minorHAnsi"/>
                <w:color w:val="000000"/>
                <w:sz w:val="18"/>
                <w:szCs w:val="18"/>
                <w:lang w:val="es-ES" w:eastAsia="es-ES"/>
              </w:rPr>
              <w:t>1997 to 1998</w:t>
            </w:r>
          </w:p>
        </w:tc>
        <w:tc>
          <w:tcPr>
            <w:tcW w:w="1240" w:type="dxa"/>
            <w:noWrap/>
            <w:hideMark/>
          </w:tcPr>
          <w:p w14:paraId="656CAFF2" w14:textId="77777777" w:rsidR="00143CB3" w:rsidRPr="0012789B" w:rsidRDefault="00143CB3" w:rsidP="00143CB3">
            <w:pPr>
              <w:jc w:val="right"/>
              <w:rPr>
                <w:rFonts w:eastAsia="Times New Roman" w:cstheme="minorHAnsi"/>
                <w:color w:val="000000"/>
                <w:sz w:val="18"/>
                <w:szCs w:val="18"/>
                <w:lang w:val="es-ES" w:eastAsia="es-ES"/>
              </w:rPr>
            </w:pPr>
            <w:r w:rsidRPr="0012789B">
              <w:rPr>
                <w:rFonts w:eastAsia="Times New Roman" w:cstheme="minorHAnsi"/>
                <w:color w:val="000000"/>
                <w:sz w:val="18"/>
                <w:szCs w:val="18"/>
                <w:lang w:val="es-ES" w:eastAsia="es-ES"/>
              </w:rPr>
              <w:t>225,702</w:t>
            </w:r>
          </w:p>
        </w:tc>
      </w:tr>
      <w:tr w:rsidR="00143CB3" w:rsidRPr="0012789B" w14:paraId="36A1CE23" w14:textId="77777777" w:rsidTr="00143CB3">
        <w:trPr>
          <w:trHeight w:val="300"/>
        </w:trPr>
        <w:tc>
          <w:tcPr>
            <w:tcW w:w="1240" w:type="dxa"/>
            <w:hideMark/>
          </w:tcPr>
          <w:p w14:paraId="3AC2E0A7" w14:textId="77777777" w:rsidR="00143CB3" w:rsidRPr="0012789B" w:rsidRDefault="00143CB3" w:rsidP="00143CB3">
            <w:pPr>
              <w:rPr>
                <w:rFonts w:eastAsia="Times New Roman" w:cstheme="minorHAnsi"/>
                <w:color w:val="000000"/>
                <w:sz w:val="18"/>
                <w:szCs w:val="18"/>
                <w:lang w:val="es-ES" w:eastAsia="es-ES"/>
              </w:rPr>
            </w:pPr>
            <w:r w:rsidRPr="0012789B">
              <w:rPr>
                <w:rFonts w:eastAsia="Times New Roman" w:cstheme="minorHAnsi"/>
                <w:color w:val="000000"/>
                <w:sz w:val="18"/>
                <w:szCs w:val="18"/>
                <w:lang w:val="es-ES" w:eastAsia="es-ES"/>
              </w:rPr>
              <w:t>1998 to 1999</w:t>
            </w:r>
          </w:p>
        </w:tc>
        <w:tc>
          <w:tcPr>
            <w:tcW w:w="1240" w:type="dxa"/>
            <w:noWrap/>
            <w:hideMark/>
          </w:tcPr>
          <w:p w14:paraId="61312D40" w14:textId="77777777" w:rsidR="00143CB3" w:rsidRPr="0012789B" w:rsidRDefault="00143CB3" w:rsidP="00143CB3">
            <w:pPr>
              <w:jc w:val="right"/>
              <w:rPr>
                <w:rFonts w:eastAsia="Times New Roman" w:cstheme="minorHAnsi"/>
                <w:color w:val="000000"/>
                <w:sz w:val="18"/>
                <w:szCs w:val="18"/>
                <w:lang w:val="es-ES" w:eastAsia="es-ES"/>
              </w:rPr>
            </w:pPr>
            <w:r w:rsidRPr="0012789B">
              <w:rPr>
                <w:rFonts w:eastAsia="Times New Roman" w:cstheme="minorHAnsi"/>
                <w:color w:val="000000"/>
                <w:sz w:val="18"/>
                <w:szCs w:val="18"/>
                <w:lang w:val="es-ES" w:eastAsia="es-ES"/>
              </w:rPr>
              <w:t>225,08</w:t>
            </w:r>
          </w:p>
        </w:tc>
      </w:tr>
      <w:tr w:rsidR="00143CB3" w:rsidRPr="0012789B" w14:paraId="24461113" w14:textId="77777777" w:rsidTr="00143CB3">
        <w:trPr>
          <w:trHeight w:val="300"/>
        </w:trPr>
        <w:tc>
          <w:tcPr>
            <w:tcW w:w="1240" w:type="dxa"/>
            <w:hideMark/>
          </w:tcPr>
          <w:p w14:paraId="786DDF0A" w14:textId="77777777" w:rsidR="00143CB3" w:rsidRPr="0012789B" w:rsidRDefault="00143CB3" w:rsidP="00143CB3">
            <w:pPr>
              <w:rPr>
                <w:rFonts w:eastAsia="Times New Roman" w:cstheme="minorHAnsi"/>
                <w:color w:val="000000"/>
                <w:sz w:val="18"/>
                <w:szCs w:val="18"/>
                <w:lang w:val="es-ES" w:eastAsia="es-ES"/>
              </w:rPr>
            </w:pPr>
            <w:r w:rsidRPr="0012789B">
              <w:rPr>
                <w:rFonts w:eastAsia="Times New Roman" w:cstheme="minorHAnsi"/>
                <w:color w:val="000000"/>
                <w:sz w:val="18"/>
                <w:szCs w:val="18"/>
                <w:lang w:val="es-ES" w:eastAsia="es-ES"/>
              </w:rPr>
              <w:t>1999 to 2000</w:t>
            </w:r>
          </w:p>
        </w:tc>
        <w:tc>
          <w:tcPr>
            <w:tcW w:w="1240" w:type="dxa"/>
            <w:noWrap/>
            <w:hideMark/>
          </w:tcPr>
          <w:p w14:paraId="2A128A08" w14:textId="77777777" w:rsidR="00143CB3" w:rsidRPr="0012789B" w:rsidRDefault="00143CB3" w:rsidP="00143CB3">
            <w:pPr>
              <w:jc w:val="right"/>
              <w:rPr>
                <w:rFonts w:eastAsia="Times New Roman" w:cstheme="minorHAnsi"/>
                <w:color w:val="000000"/>
                <w:sz w:val="18"/>
                <w:szCs w:val="18"/>
                <w:lang w:val="es-ES" w:eastAsia="es-ES"/>
              </w:rPr>
            </w:pPr>
            <w:r w:rsidRPr="0012789B">
              <w:rPr>
                <w:rFonts w:eastAsia="Times New Roman" w:cstheme="minorHAnsi"/>
                <w:color w:val="000000"/>
                <w:sz w:val="18"/>
                <w:szCs w:val="18"/>
                <w:lang w:val="es-ES" w:eastAsia="es-ES"/>
              </w:rPr>
              <w:t>224,475</w:t>
            </w:r>
          </w:p>
        </w:tc>
      </w:tr>
      <w:tr w:rsidR="00143CB3" w:rsidRPr="0012789B" w14:paraId="41724D09" w14:textId="77777777" w:rsidTr="00143CB3">
        <w:trPr>
          <w:trHeight w:val="300"/>
        </w:trPr>
        <w:tc>
          <w:tcPr>
            <w:tcW w:w="1240" w:type="dxa"/>
            <w:hideMark/>
          </w:tcPr>
          <w:p w14:paraId="2F09DA46" w14:textId="77777777" w:rsidR="00143CB3" w:rsidRPr="0012789B" w:rsidRDefault="00143CB3" w:rsidP="00143CB3">
            <w:pPr>
              <w:rPr>
                <w:rFonts w:eastAsia="Times New Roman" w:cstheme="minorHAnsi"/>
                <w:color w:val="000000"/>
                <w:sz w:val="18"/>
                <w:szCs w:val="18"/>
                <w:lang w:val="es-ES" w:eastAsia="es-ES"/>
              </w:rPr>
            </w:pPr>
            <w:r w:rsidRPr="0012789B">
              <w:rPr>
                <w:rFonts w:eastAsia="Times New Roman" w:cstheme="minorHAnsi"/>
                <w:color w:val="000000"/>
                <w:sz w:val="18"/>
                <w:szCs w:val="18"/>
                <w:lang w:val="es-ES" w:eastAsia="es-ES"/>
              </w:rPr>
              <w:t>2000 to 2001</w:t>
            </w:r>
          </w:p>
        </w:tc>
        <w:tc>
          <w:tcPr>
            <w:tcW w:w="1240" w:type="dxa"/>
            <w:noWrap/>
            <w:hideMark/>
          </w:tcPr>
          <w:p w14:paraId="28077723" w14:textId="77777777" w:rsidR="00143CB3" w:rsidRPr="0012789B" w:rsidRDefault="00143CB3" w:rsidP="00143CB3">
            <w:pPr>
              <w:jc w:val="right"/>
              <w:rPr>
                <w:rFonts w:eastAsia="Times New Roman" w:cstheme="minorHAnsi"/>
                <w:color w:val="000000"/>
                <w:sz w:val="18"/>
                <w:szCs w:val="18"/>
                <w:lang w:val="es-ES" w:eastAsia="es-ES"/>
              </w:rPr>
            </w:pPr>
            <w:r w:rsidRPr="0012789B">
              <w:rPr>
                <w:rFonts w:eastAsia="Times New Roman" w:cstheme="minorHAnsi"/>
                <w:color w:val="000000"/>
                <w:sz w:val="18"/>
                <w:szCs w:val="18"/>
                <w:lang w:val="es-ES" w:eastAsia="es-ES"/>
              </w:rPr>
              <w:t>223,463</w:t>
            </w:r>
          </w:p>
        </w:tc>
      </w:tr>
      <w:tr w:rsidR="00143CB3" w:rsidRPr="0012789B" w14:paraId="55CA8BBB" w14:textId="77777777" w:rsidTr="00143CB3">
        <w:trPr>
          <w:trHeight w:val="300"/>
        </w:trPr>
        <w:tc>
          <w:tcPr>
            <w:tcW w:w="1240" w:type="dxa"/>
            <w:hideMark/>
          </w:tcPr>
          <w:p w14:paraId="59022B82" w14:textId="77777777" w:rsidR="00143CB3" w:rsidRPr="0012789B" w:rsidRDefault="00143CB3" w:rsidP="00143CB3">
            <w:pPr>
              <w:rPr>
                <w:rFonts w:eastAsia="Times New Roman" w:cstheme="minorHAnsi"/>
                <w:color w:val="000000"/>
                <w:sz w:val="18"/>
                <w:szCs w:val="18"/>
                <w:lang w:val="es-ES" w:eastAsia="es-ES"/>
              </w:rPr>
            </w:pPr>
            <w:r w:rsidRPr="0012789B">
              <w:rPr>
                <w:rFonts w:eastAsia="Times New Roman" w:cstheme="minorHAnsi"/>
                <w:color w:val="000000"/>
                <w:sz w:val="18"/>
                <w:szCs w:val="18"/>
                <w:lang w:val="es-ES" w:eastAsia="es-ES"/>
              </w:rPr>
              <w:t>2001 to 2002</w:t>
            </w:r>
          </w:p>
        </w:tc>
        <w:tc>
          <w:tcPr>
            <w:tcW w:w="1240" w:type="dxa"/>
            <w:noWrap/>
            <w:hideMark/>
          </w:tcPr>
          <w:p w14:paraId="434C00E1" w14:textId="77777777" w:rsidR="00143CB3" w:rsidRPr="0012789B" w:rsidRDefault="00143CB3" w:rsidP="00143CB3">
            <w:pPr>
              <w:jc w:val="right"/>
              <w:rPr>
                <w:rFonts w:eastAsia="Times New Roman" w:cstheme="minorHAnsi"/>
                <w:color w:val="000000"/>
                <w:sz w:val="18"/>
                <w:szCs w:val="18"/>
                <w:lang w:val="es-ES" w:eastAsia="es-ES"/>
              </w:rPr>
            </w:pPr>
            <w:r w:rsidRPr="0012789B">
              <w:rPr>
                <w:rFonts w:eastAsia="Times New Roman" w:cstheme="minorHAnsi"/>
                <w:color w:val="000000"/>
                <w:sz w:val="18"/>
                <w:szCs w:val="18"/>
                <w:lang w:val="es-ES" w:eastAsia="es-ES"/>
              </w:rPr>
              <w:t>224,755</w:t>
            </w:r>
          </w:p>
        </w:tc>
      </w:tr>
      <w:tr w:rsidR="00143CB3" w:rsidRPr="0012789B" w14:paraId="309943AD" w14:textId="77777777" w:rsidTr="00143CB3">
        <w:trPr>
          <w:trHeight w:val="300"/>
        </w:trPr>
        <w:tc>
          <w:tcPr>
            <w:tcW w:w="1240" w:type="dxa"/>
            <w:hideMark/>
          </w:tcPr>
          <w:p w14:paraId="565F7686" w14:textId="77777777" w:rsidR="00143CB3" w:rsidRPr="0012789B" w:rsidRDefault="00143CB3" w:rsidP="00143CB3">
            <w:pPr>
              <w:rPr>
                <w:rFonts w:eastAsia="Times New Roman" w:cstheme="minorHAnsi"/>
                <w:color w:val="000000"/>
                <w:sz w:val="18"/>
                <w:szCs w:val="18"/>
                <w:lang w:val="es-ES" w:eastAsia="es-ES"/>
              </w:rPr>
            </w:pPr>
            <w:r w:rsidRPr="0012789B">
              <w:rPr>
                <w:rFonts w:eastAsia="Times New Roman" w:cstheme="minorHAnsi"/>
                <w:color w:val="000000"/>
                <w:sz w:val="18"/>
                <w:szCs w:val="18"/>
                <w:lang w:val="es-ES" w:eastAsia="es-ES"/>
              </w:rPr>
              <w:t>2002 to 2003</w:t>
            </w:r>
          </w:p>
        </w:tc>
        <w:tc>
          <w:tcPr>
            <w:tcW w:w="1240" w:type="dxa"/>
            <w:noWrap/>
            <w:hideMark/>
          </w:tcPr>
          <w:p w14:paraId="2752DA9B" w14:textId="77777777" w:rsidR="00143CB3" w:rsidRPr="0012789B" w:rsidRDefault="00143CB3" w:rsidP="00143CB3">
            <w:pPr>
              <w:jc w:val="right"/>
              <w:rPr>
                <w:rFonts w:eastAsia="Times New Roman" w:cstheme="minorHAnsi"/>
                <w:color w:val="000000"/>
                <w:sz w:val="18"/>
                <w:szCs w:val="18"/>
                <w:lang w:val="es-ES" w:eastAsia="es-ES"/>
              </w:rPr>
            </w:pPr>
            <w:r w:rsidRPr="0012789B">
              <w:rPr>
                <w:rFonts w:eastAsia="Times New Roman" w:cstheme="minorHAnsi"/>
                <w:color w:val="000000"/>
                <w:sz w:val="18"/>
                <w:szCs w:val="18"/>
                <w:lang w:val="es-ES" w:eastAsia="es-ES"/>
              </w:rPr>
              <w:t>226,35</w:t>
            </w:r>
          </w:p>
        </w:tc>
      </w:tr>
      <w:tr w:rsidR="00143CB3" w:rsidRPr="0012789B" w14:paraId="3474F3A8" w14:textId="77777777" w:rsidTr="00143CB3">
        <w:trPr>
          <w:trHeight w:val="300"/>
        </w:trPr>
        <w:tc>
          <w:tcPr>
            <w:tcW w:w="1240" w:type="dxa"/>
            <w:hideMark/>
          </w:tcPr>
          <w:p w14:paraId="02C615C0" w14:textId="77777777" w:rsidR="00143CB3" w:rsidRPr="0012789B" w:rsidRDefault="00143CB3" w:rsidP="00143CB3">
            <w:pPr>
              <w:rPr>
                <w:rFonts w:eastAsia="Times New Roman" w:cstheme="minorHAnsi"/>
                <w:color w:val="000000"/>
                <w:sz w:val="18"/>
                <w:szCs w:val="18"/>
                <w:lang w:val="es-ES" w:eastAsia="es-ES"/>
              </w:rPr>
            </w:pPr>
            <w:r w:rsidRPr="0012789B">
              <w:rPr>
                <w:rFonts w:eastAsia="Times New Roman" w:cstheme="minorHAnsi"/>
                <w:color w:val="000000"/>
                <w:sz w:val="18"/>
                <w:szCs w:val="18"/>
                <w:lang w:val="es-ES" w:eastAsia="es-ES"/>
              </w:rPr>
              <w:t>2003 to 2004</w:t>
            </w:r>
          </w:p>
        </w:tc>
        <w:tc>
          <w:tcPr>
            <w:tcW w:w="1240" w:type="dxa"/>
            <w:noWrap/>
            <w:hideMark/>
          </w:tcPr>
          <w:p w14:paraId="043D0852" w14:textId="77777777" w:rsidR="00143CB3" w:rsidRPr="0012789B" w:rsidRDefault="00143CB3" w:rsidP="00143CB3">
            <w:pPr>
              <w:jc w:val="right"/>
              <w:rPr>
                <w:rFonts w:eastAsia="Times New Roman" w:cstheme="minorHAnsi"/>
                <w:color w:val="000000"/>
                <w:sz w:val="18"/>
                <w:szCs w:val="18"/>
                <w:lang w:val="es-ES" w:eastAsia="es-ES"/>
              </w:rPr>
            </w:pPr>
            <w:r w:rsidRPr="0012789B">
              <w:rPr>
                <w:rFonts w:eastAsia="Times New Roman" w:cstheme="minorHAnsi"/>
                <w:color w:val="000000"/>
                <w:sz w:val="18"/>
                <w:szCs w:val="18"/>
                <w:lang w:val="es-ES" w:eastAsia="es-ES"/>
              </w:rPr>
              <w:t>228,176</w:t>
            </w:r>
          </w:p>
        </w:tc>
      </w:tr>
      <w:tr w:rsidR="00143CB3" w:rsidRPr="0012789B" w14:paraId="0083880B" w14:textId="77777777" w:rsidTr="00143CB3">
        <w:trPr>
          <w:trHeight w:val="300"/>
        </w:trPr>
        <w:tc>
          <w:tcPr>
            <w:tcW w:w="1240" w:type="dxa"/>
            <w:hideMark/>
          </w:tcPr>
          <w:p w14:paraId="05B4318B" w14:textId="77777777" w:rsidR="00143CB3" w:rsidRPr="0012789B" w:rsidRDefault="00143CB3" w:rsidP="00143CB3">
            <w:pPr>
              <w:rPr>
                <w:rFonts w:eastAsia="Times New Roman" w:cstheme="minorHAnsi"/>
                <w:color w:val="000000"/>
                <w:sz w:val="18"/>
                <w:szCs w:val="18"/>
                <w:lang w:val="es-ES" w:eastAsia="es-ES"/>
              </w:rPr>
            </w:pPr>
            <w:r w:rsidRPr="0012789B">
              <w:rPr>
                <w:rFonts w:eastAsia="Times New Roman" w:cstheme="minorHAnsi"/>
                <w:color w:val="000000"/>
                <w:sz w:val="18"/>
                <w:szCs w:val="18"/>
                <w:lang w:val="es-ES" w:eastAsia="es-ES"/>
              </w:rPr>
              <w:t>2004 to 2005</w:t>
            </w:r>
          </w:p>
        </w:tc>
        <w:tc>
          <w:tcPr>
            <w:tcW w:w="1240" w:type="dxa"/>
            <w:noWrap/>
            <w:hideMark/>
          </w:tcPr>
          <w:p w14:paraId="6CDD4A98" w14:textId="77777777" w:rsidR="00143CB3" w:rsidRPr="0012789B" w:rsidRDefault="00143CB3" w:rsidP="00143CB3">
            <w:pPr>
              <w:jc w:val="right"/>
              <w:rPr>
                <w:rFonts w:eastAsia="Times New Roman" w:cstheme="minorHAnsi"/>
                <w:color w:val="000000"/>
                <w:sz w:val="18"/>
                <w:szCs w:val="18"/>
                <w:lang w:val="es-ES" w:eastAsia="es-ES"/>
              </w:rPr>
            </w:pPr>
            <w:r w:rsidRPr="0012789B">
              <w:rPr>
                <w:rFonts w:eastAsia="Times New Roman" w:cstheme="minorHAnsi"/>
                <w:color w:val="000000"/>
                <w:sz w:val="18"/>
                <w:szCs w:val="18"/>
                <w:lang w:val="es-ES" w:eastAsia="es-ES"/>
              </w:rPr>
              <w:t>229,347</w:t>
            </w:r>
          </w:p>
        </w:tc>
      </w:tr>
      <w:tr w:rsidR="00143CB3" w:rsidRPr="0012789B" w14:paraId="22F598CA" w14:textId="77777777" w:rsidTr="00143CB3">
        <w:trPr>
          <w:trHeight w:val="300"/>
        </w:trPr>
        <w:tc>
          <w:tcPr>
            <w:tcW w:w="1240" w:type="dxa"/>
            <w:hideMark/>
          </w:tcPr>
          <w:p w14:paraId="5106CF8F" w14:textId="77777777" w:rsidR="00143CB3" w:rsidRPr="0012789B" w:rsidRDefault="00143CB3" w:rsidP="00143CB3">
            <w:pPr>
              <w:rPr>
                <w:rFonts w:eastAsia="Times New Roman" w:cstheme="minorHAnsi"/>
                <w:color w:val="000000"/>
                <w:sz w:val="18"/>
                <w:szCs w:val="18"/>
                <w:lang w:val="es-ES" w:eastAsia="es-ES"/>
              </w:rPr>
            </w:pPr>
            <w:r w:rsidRPr="0012789B">
              <w:rPr>
                <w:rFonts w:eastAsia="Times New Roman" w:cstheme="minorHAnsi"/>
                <w:color w:val="000000"/>
                <w:sz w:val="18"/>
                <w:szCs w:val="18"/>
                <w:lang w:val="es-ES" w:eastAsia="es-ES"/>
              </w:rPr>
              <w:t>2005 to 2006</w:t>
            </w:r>
          </w:p>
        </w:tc>
        <w:tc>
          <w:tcPr>
            <w:tcW w:w="1240" w:type="dxa"/>
            <w:noWrap/>
            <w:hideMark/>
          </w:tcPr>
          <w:p w14:paraId="0D557852" w14:textId="77777777" w:rsidR="00143CB3" w:rsidRPr="0012789B" w:rsidRDefault="00143CB3" w:rsidP="00143CB3">
            <w:pPr>
              <w:jc w:val="right"/>
              <w:rPr>
                <w:rFonts w:eastAsia="Times New Roman" w:cstheme="minorHAnsi"/>
                <w:color w:val="000000"/>
                <w:sz w:val="18"/>
                <w:szCs w:val="18"/>
                <w:lang w:val="es-ES" w:eastAsia="es-ES"/>
              </w:rPr>
            </w:pPr>
            <w:r w:rsidRPr="0012789B">
              <w:rPr>
                <w:rFonts w:eastAsia="Times New Roman" w:cstheme="minorHAnsi"/>
                <w:color w:val="000000"/>
                <w:sz w:val="18"/>
                <w:szCs w:val="18"/>
                <w:lang w:val="es-ES" w:eastAsia="es-ES"/>
              </w:rPr>
              <w:t>230,793</w:t>
            </w:r>
          </w:p>
        </w:tc>
      </w:tr>
      <w:tr w:rsidR="00143CB3" w:rsidRPr="0012789B" w14:paraId="33A4FF76" w14:textId="77777777" w:rsidTr="00143CB3">
        <w:trPr>
          <w:trHeight w:val="300"/>
        </w:trPr>
        <w:tc>
          <w:tcPr>
            <w:tcW w:w="1240" w:type="dxa"/>
            <w:hideMark/>
          </w:tcPr>
          <w:p w14:paraId="42F33D4C" w14:textId="77777777" w:rsidR="00143CB3" w:rsidRPr="0012789B" w:rsidRDefault="00143CB3" w:rsidP="00143CB3">
            <w:pPr>
              <w:rPr>
                <w:rFonts w:eastAsia="Times New Roman" w:cstheme="minorHAnsi"/>
                <w:color w:val="000000"/>
                <w:sz w:val="18"/>
                <w:szCs w:val="18"/>
                <w:lang w:val="es-ES" w:eastAsia="es-ES"/>
              </w:rPr>
            </w:pPr>
            <w:r w:rsidRPr="0012789B">
              <w:rPr>
                <w:rFonts w:eastAsia="Times New Roman" w:cstheme="minorHAnsi"/>
                <w:color w:val="000000"/>
                <w:sz w:val="18"/>
                <w:szCs w:val="18"/>
                <w:lang w:val="es-ES" w:eastAsia="es-ES"/>
              </w:rPr>
              <w:t>2006 to 2007</w:t>
            </w:r>
          </w:p>
        </w:tc>
        <w:tc>
          <w:tcPr>
            <w:tcW w:w="1240" w:type="dxa"/>
            <w:noWrap/>
            <w:hideMark/>
          </w:tcPr>
          <w:p w14:paraId="08836421" w14:textId="77777777" w:rsidR="00143CB3" w:rsidRPr="0012789B" w:rsidRDefault="00143CB3" w:rsidP="00143CB3">
            <w:pPr>
              <w:jc w:val="right"/>
              <w:rPr>
                <w:rFonts w:eastAsia="Times New Roman" w:cstheme="minorHAnsi"/>
                <w:color w:val="000000"/>
                <w:sz w:val="18"/>
                <w:szCs w:val="18"/>
                <w:lang w:val="es-ES" w:eastAsia="es-ES"/>
              </w:rPr>
            </w:pPr>
            <w:r w:rsidRPr="0012789B">
              <w:rPr>
                <w:rFonts w:eastAsia="Times New Roman" w:cstheme="minorHAnsi"/>
                <w:color w:val="000000"/>
                <w:sz w:val="18"/>
                <w:szCs w:val="18"/>
                <w:lang w:val="es-ES" w:eastAsia="es-ES"/>
              </w:rPr>
              <w:t>232,46</w:t>
            </w:r>
          </w:p>
        </w:tc>
      </w:tr>
      <w:tr w:rsidR="00143CB3" w:rsidRPr="0012789B" w14:paraId="74392325" w14:textId="77777777" w:rsidTr="00143CB3">
        <w:trPr>
          <w:trHeight w:val="300"/>
        </w:trPr>
        <w:tc>
          <w:tcPr>
            <w:tcW w:w="1240" w:type="dxa"/>
            <w:hideMark/>
          </w:tcPr>
          <w:p w14:paraId="5BE9118E" w14:textId="77777777" w:rsidR="00143CB3" w:rsidRPr="0012789B" w:rsidRDefault="00143CB3" w:rsidP="00143CB3">
            <w:pPr>
              <w:rPr>
                <w:rFonts w:eastAsia="Times New Roman" w:cstheme="minorHAnsi"/>
                <w:color w:val="000000"/>
                <w:sz w:val="18"/>
                <w:szCs w:val="18"/>
                <w:lang w:val="es-ES" w:eastAsia="es-ES"/>
              </w:rPr>
            </w:pPr>
            <w:r w:rsidRPr="0012789B">
              <w:rPr>
                <w:rFonts w:eastAsia="Times New Roman" w:cstheme="minorHAnsi"/>
                <w:color w:val="000000"/>
                <w:sz w:val="18"/>
                <w:szCs w:val="18"/>
                <w:lang w:val="es-ES" w:eastAsia="es-ES"/>
              </w:rPr>
              <w:t>2007 to 2008</w:t>
            </w:r>
          </w:p>
        </w:tc>
        <w:tc>
          <w:tcPr>
            <w:tcW w:w="1240" w:type="dxa"/>
            <w:noWrap/>
            <w:hideMark/>
          </w:tcPr>
          <w:p w14:paraId="17535D90" w14:textId="77777777" w:rsidR="00143CB3" w:rsidRPr="0012789B" w:rsidRDefault="00143CB3" w:rsidP="00143CB3">
            <w:pPr>
              <w:jc w:val="right"/>
              <w:rPr>
                <w:rFonts w:eastAsia="Times New Roman" w:cstheme="minorHAnsi"/>
                <w:color w:val="000000"/>
                <w:sz w:val="18"/>
                <w:szCs w:val="18"/>
                <w:lang w:val="es-ES" w:eastAsia="es-ES"/>
              </w:rPr>
            </w:pPr>
            <w:r w:rsidRPr="0012789B">
              <w:rPr>
                <w:rFonts w:eastAsia="Times New Roman" w:cstheme="minorHAnsi"/>
                <w:color w:val="000000"/>
                <w:sz w:val="18"/>
                <w:szCs w:val="18"/>
                <w:lang w:val="es-ES" w:eastAsia="es-ES"/>
              </w:rPr>
              <w:t>234,139</w:t>
            </w:r>
          </w:p>
        </w:tc>
      </w:tr>
      <w:tr w:rsidR="00143CB3" w:rsidRPr="0012789B" w14:paraId="26F20119" w14:textId="77777777" w:rsidTr="00143CB3">
        <w:trPr>
          <w:trHeight w:val="300"/>
        </w:trPr>
        <w:tc>
          <w:tcPr>
            <w:tcW w:w="1240" w:type="dxa"/>
            <w:hideMark/>
          </w:tcPr>
          <w:p w14:paraId="4F06275F" w14:textId="77777777" w:rsidR="00143CB3" w:rsidRPr="0012789B" w:rsidRDefault="00143CB3" w:rsidP="00143CB3">
            <w:pPr>
              <w:rPr>
                <w:rFonts w:eastAsia="Times New Roman" w:cstheme="minorHAnsi"/>
                <w:color w:val="000000"/>
                <w:sz w:val="18"/>
                <w:szCs w:val="18"/>
                <w:lang w:val="es-ES" w:eastAsia="es-ES"/>
              </w:rPr>
            </w:pPr>
            <w:r w:rsidRPr="0012789B">
              <w:rPr>
                <w:rFonts w:eastAsia="Times New Roman" w:cstheme="minorHAnsi"/>
                <w:color w:val="000000"/>
                <w:sz w:val="18"/>
                <w:szCs w:val="18"/>
                <w:lang w:val="es-ES" w:eastAsia="es-ES"/>
              </w:rPr>
              <w:t>2008 to 2009</w:t>
            </w:r>
          </w:p>
        </w:tc>
        <w:tc>
          <w:tcPr>
            <w:tcW w:w="1240" w:type="dxa"/>
            <w:noWrap/>
            <w:hideMark/>
          </w:tcPr>
          <w:p w14:paraId="3A2134C3" w14:textId="77777777" w:rsidR="00143CB3" w:rsidRPr="0012789B" w:rsidRDefault="00143CB3" w:rsidP="00143CB3">
            <w:pPr>
              <w:jc w:val="right"/>
              <w:rPr>
                <w:rFonts w:eastAsia="Times New Roman" w:cstheme="minorHAnsi"/>
                <w:color w:val="000000"/>
                <w:sz w:val="18"/>
                <w:szCs w:val="18"/>
                <w:lang w:val="es-ES" w:eastAsia="es-ES"/>
              </w:rPr>
            </w:pPr>
            <w:r w:rsidRPr="0012789B">
              <w:rPr>
                <w:rFonts w:eastAsia="Times New Roman" w:cstheme="minorHAnsi"/>
                <w:color w:val="000000"/>
                <w:sz w:val="18"/>
                <w:szCs w:val="18"/>
                <w:lang w:val="es-ES" w:eastAsia="es-ES"/>
              </w:rPr>
              <w:t>235,601</w:t>
            </w:r>
          </w:p>
        </w:tc>
      </w:tr>
      <w:tr w:rsidR="00143CB3" w:rsidRPr="0012789B" w14:paraId="6578892E" w14:textId="77777777" w:rsidTr="00143CB3">
        <w:trPr>
          <w:trHeight w:val="300"/>
        </w:trPr>
        <w:tc>
          <w:tcPr>
            <w:tcW w:w="1240" w:type="dxa"/>
            <w:hideMark/>
          </w:tcPr>
          <w:p w14:paraId="2D20D0E8" w14:textId="77777777" w:rsidR="00143CB3" w:rsidRPr="0012789B" w:rsidRDefault="00143CB3" w:rsidP="00143CB3">
            <w:pPr>
              <w:rPr>
                <w:rFonts w:eastAsia="Times New Roman" w:cstheme="minorHAnsi"/>
                <w:color w:val="000000"/>
                <w:sz w:val="18"/>
                <w:szCs w:val="18"/>
                <w:lang w:val="es-ES" w:eastAsia="es-ES"/>
              </w:rPr>
            </w:pPr>
            <w:r w:rsidRPr="0012789B">
              <w:rPr>
                <w:rFonts w:eastAsia="Times New Roman" w:cstheme="minorHAnsi"/>
                <w:color w:val="000000"/>
                <w:sz w:val="18"/>
                <w:szCs w:val="18"/>
                <w:lang w:val="es-ES" w:eastAsia="es-ES"/>
              </w:rPr>
              <w:t>2009 to 2010</w:t>
            </w:r>
          </w:p>
        </w:tc>
        <w:tc>
          <w:tcPr>
            <w:tcW w:w="1240" w:type="dxa"/>
            <w:noWrap/>
            <w:hideMark/>
          </w:tcPr>
          <w:p w14:paraId="5EFB304B" w14:textId="77777777" w:rsidR="00143CB3" w:rsidRPr="0012789B" w:rsidRDefault="00143CB3" w:rsidP="00143CB3">
            <w:pPr>
              <w:jc w:val="right"/>
              <w:rPr>
                <w:rFonts w:eastAsia="Times New Roman" w:cstheme="minorHAnsi"/>
                <w:color w:val="000000"/>
                <w:sz w:val="18"/>
                <w:szCs w:val="18"/>
                <w:lang w:val="es-ES" w:eastAsia="es-ES"/>
              </w:rPr>
            </w:pPr>
            <w:r w:rsidRPr="0012789B">
              <w:rPr>
                <w:rFonts w:eastAsia="Times New Roman" w:cstheme="minorHAnsi"/>
                <w:color w:val="000000"/>
                <w:sz w:val="18"/>
                <w:szCs w:val="18"/>
                <w:lang w:val="es-ES" w:eastAsia="es-ES"/>
              </w:rPr>
              <w:t>237,311</w:t>
            </w:r>
          </w:p>
        </w:tc>
      </w:tr>
      <w:tr w:rsidR="00143CB3" w:rsidRPr="0012789B" w14:paraId="368BD4B5" w14:textId="77777777" w:rsidTr="00143CB3">
        <w:trPr>
          <w:trHeight w:val="300"/>
        </w:trPr>
        <w:tc>
          <w:tcPr>
            <w:tcW w:w="1240" w:type="dxa"/>
            <w:hideMark/>
          </w:tcPr>
          <w:p w14:paraId="5C33A50B" w14:textId="77777777" w:rsidR="00143CB3" w:rsidRPr="0012789B" w:rsidRDefault="00143CB3" w:rsidP="00143CB3">
            <w:pPr>
              <w:rPr>
                <w:rFonts w:eastAsia="Times New Roman" w:cstheme="minorHAnsi"/>
                <w:color w:val="000000"/>
                <w:sz w:val="18"/>
                <w:szCs w:val="18"/>
                <w:lang w:val="es-ES" w:eastAsia="es-ES"/>
              </w:rPr>
            </w:pPr>
            <w:r w:rsidRPr="0012789B">
              <w:rPr>
                <w:rFonts w:eastAsia="Times New Roman" w:cstheme="minorHAnsi"/>
                <w:color w:val="000000"/>
                <w:sz w:val="18"/>
                <w:szCs w:val="18"/>
                <w:lang w:val="es-ES" w:eastAsia="es-ES"/>
              </w:rPr>
              <w:t>2010 to 2011</w:t>
            </w:r>
          </w:p>
        </w:tc>
        <w:tc>
          <w:tcPr>
            <w:tcW w:w="1240" w:type="dxa"/>
            <w:noWrap/>
            <w:hideMark/>
          </w:tcPr>
          <w:p w14:paraId="444F7016" w14:textId="77777777" w:rsidR="00143CB3" w:rsidRPr="0012789B" w:rsidRDefault="00143CB3" w:rsidP="00143CB3">
            <w:pPr>
              <w:jc w:val="right"/>
              <w:rPr>
                <w:rFonts w:eastAsia="Times New Roman" w:cstheme="minorHAnsi"/>
                <w:color w:val="000000"/>
                <w:sz w:val="18"/>
                <w:szCs w:val="18"/>
                <w:lang w:val="es-ES" w:eastAsia="es-ES"/>
              </w:rPr>
            </w:pPr>
            <w:r w:rsidRPr="0012789B">
              <w:rPr>
                <w:rFonts w:eastAsia="Times New Roman" w:cstheme="minorHAnsi"/>
                <w:color w:val="000000"/>
                <w:sz w:val="18"/>
                <w:szCs w:val="18"/>
                <w:lang w:val="es-ES" w:eastAsia="es-ES"/>
              </w:rPr>
              <w:t>238,691</w:t>
            </w:r>
          </w:p>
        </w:tc>
      </w:tr>
      <w:tr w:rsidR="00143CB3" w:rsidRPr="0012789B" w14:paraId="2F0D1DB8" w14:textId="77777777" w:rsidTr="00143CB3">
        <w:trPr>
          <w:trHeight w:val="300"/>
        </w:trPr>
        <w:tc>
          <w:tcPr>
            <w:tcW w:w="1240" w:type="dxa"/>
            <w:hideMark/>
          </w:tcPr>
          <w:p w14:paraId="2D6BFFFE" w14:textId="77777777" w:rsidR="00143CB3" w:rsidRPr="0012789B" w:rsidRDefault="00143CB3" w:rsidP="00143CB3">
            <w:pPr>
              <w:rPr>
                <w:rFonts w:eastAsia="Times New Roman" w:cstheme="minorHAnsi"/>
                <w:color w:val="000000"/>
                <w:sz w:val="18"/>
                <w:szCs w:val="18"/>
                <w:lang w:val="es-ES" w:eastAsia="es-ES"/>
              </w:rPr>
            </w:pPr>
            <w:r w:rsidRPr="0012789B">
              <w:rPr>
                <w:rFonts w:eastAsia="Times New Roman" w:cstheme="minorHAnsi"/>
                <w:color w:val="000000"/>
                <w:sz w:val="18"/>
                <w:szCs w:val="18"/>
                <w:lang w:val="es-ES" w:eastAsia="es-ES"/>
              </w:rPr>
              <w:t>2011 to 2012</w:t>
            </w:r>
          </w:p>
        </w:tc>
        <w:tc>
          <w:tcPr>
            <w:tcW w:w="1240" w:type="dxa"/>
            <w:noWrap/>
            <w:hideMark/>
          </w:tcPr>
          <w:p w14:paraId="23487DC1" w14:textId="77777777" w:rsidR="00143CB3" w:rsidRPr="0012789B" w:rsidRDefault="00143CB3" w:rsidP="00143CB3">
            <w:pPr>
              <w:jc w:val="right"/>
              <w:rPr>
                <w:rFonts w:eastAsia="Times New Roman" w:cstheme="minorHAnsi"/>
                <w:color w:val="000000"/>
                <w:sz w:val="18"/>
                <w:szCs w:val="18"/>
                <w:lang w:val="es-ES" w:eastAsia="es-ES"/>
              </w:rPr>
            </w:pPr>
            <w:r w:rsidRPr="0012789B">
              <w:rPr>
                <w:rFonts w:eastAsia="Times New Roman" w:cstheme="minorHAnsi"/>
                <w:color w:val="000000"/>
                <w:sz w:val="18"/>
                <w:szCs w:val="18"/>
                <w:lang w:val="es-ES" w:eastAsia="es-ES"/>
              </w:rPr>
              <w:t>239,633</w:t>
            </w:r>
          </w:p>
        </w:tc>
      </w:tr>
      <w:tr w:rsidR="00143CB3" w:rsidRPr="0012789B" w14:paraId="3AA9B7BB" w14:textId="77777777" w:rsidTr="00143CB3">
        <w:trPr>
          <w:trHeight w:val="300"/>
        </w:trPr>
        <w:tc>
          <w:tcPr>
            <w:tcW w:w="1240" w:type="dxa"/>
            <w:hideMark/>
          </w:tcPr>
          <w:p w14:paraId="2539F60F" w14:textId="77777777" w:rsidR="00143CB3" w:rsidRPr="0012789B" w:rsidRDefault="00143CB3" w:rsidP="00143CB3">
            <w:pPr>
              <w:rPr>
                <w:rFonts w:eastAsia="Times New Roman" w:cstheme="minorHAnsi"/>
                <w:color w:val="000000"/>
                <w:sz w:val="18"/>
                <w:szCs w:val="18"/>
                <w:lang w:val="es-ES" w:eastAsia="es-ES"/>
              </w:rPr>
            </w:pPr>
            <w:r w:rsidRPr="0012789B">
              <w:rPr>
                <w:rFonts w:eastAsia="Times New Roman" w:cstheme="minorHAnsi"/>
                <w:color w:val="000000"/>
                <w:sz w:val="18"/>
                <w:szCs w:val="18"/>
                <w:lang w:val="es-ES" w:eastAsia="es-ES"/>
              </w:rPr>
              <w:t>2012 to 2013</w:t>
            </w:r>
          </w:p>
        </w:tc>
        <w:tc>
          <w:tcPr>
            <w:tcW w:w="1240" w:type="dxa"/>
            <w:noWrap/>
            <w:hideMark/>
          </w:tcPr>
          <w:p w14:paraId="3BA16B9A" w14:textId="77777777" w:rsidR="00143CB3" w:rsidRPr="0012789B" w:rsidRDefault="00143CB3" w:rsidP="00143CB3">
            <w:pPr>
              <w:jc w:val="right"/>
              <w:rPr>
                <w:rFonts w:eastAsia="Times New Roman" w:cstheme="minorHAnsi"/>
                <w:color w:val="000000"/>
                <w:sz w:val="18"/>
                <w:szCs w:val="18"/>
                <w:lang w:val="es-ES" w:eastAsia="es-ES"/>
              </w:rPr>
            </w:pPr>
            <w:r w:rsidRPr="0012789B">
              <w:rPr>
                <w:rFonts w:eastAsia="Times New Roman" w:cstheme="minorHAnsi"/>
                <w:color w:val="000000"/>
                <w:sz w:val="18"/>
                <w:szCs w:val="18"/>
                <w:lang w:val="es-ES" w:eastAsia="es-ES"/>
              </w:rPr>
              <w:t>240,332</w:t>
            </w:r>
          </w:p>
        </w:tc>
      </w:tr>
      <w:tr w:rsidR="00143CB3" w:rsidRPr="0012789B" w14:paraId="3A623A8D" w14:textId="77777777" w:rsidTr="00143CB3">
        <w:trPr>
          <w:trHeight w:val="300"/>
        </w:trPr>
        <w:tc>
          <w:tcPr>
            <w:tcW w:w="1240" w:type="dxa"/>
            <w:hideMark/>
          </w:tcPr>
          <w:p w14:paraId="1BFA5109" w14:textId="77777777" w:rsidR="00143CB3" w:rsidRPr="0012789B" w:rsidRDefault="00143CB3" w:rsidP="00143CB3">
            <w:pPr>
              <w:rPr>
                <w:rFonts w:eastAsia="Times New Roman" w:cstheme="minorHAnsi"/>
                <w:color w:val="000000"/>
                <w:sz w:val="18"/>
                <w:szCs w:val="18"/>
                <w:lang w:val="es-ES" w:eastAsia="es-ES"/>
              </w:rPr>
            </w:pPr>
            <w:r w:rsidRPr="0012789B">
              <w:rPr>
                <w:rFonts w:eastAsia="Times New Roman" w:cstheme="minorHAnsi"/>
                <w:color w:val="000000"/>
                <w:sz w:val="18"/>
                <w:szCs w:val="18"/>
                <w:lang w:val="es-ES" w:eastAsia="es-ES"/>
              </w:rPr>
              <w:t>2013 to 2014</w:t>
            </w:r>
          </w:p>
        </w:tc>
        <w:tc>
          <w:tcPr>
            <w:tcW w:w="1240" w:type="dxa"/>
            <w:noWrap/>
            <w:hideMark/>
          </w:tcPr>
          <w:p w14:paraId="6D038069" w14:textId="77777777" w:rsidR="00143CB3" w:rsidRPr="0012789B" w:rsidRDefault="00143CB3" w:rsidP="00143CB3">
            <w:pPr>
              <w:jc w:val="right"/>
              <w:rPr>
                <w:rFonts w:eastAsia="Times New Roman" w:cstheme="minorHAnsi"/>
                <w:color w:val="000000"/>
                <w:sz w:val="18"/>
                <w:szCs w:val="18"/>
                <w:lang w:val="es-ES" w:eastAsia="es-ES"/>
              </w:rPr>
            </w:pPr>
            <w:r w:rsidRPr="0012789B">
              <w:rPr>
                <w:rFonts w:eastAsia="Times New Roman" w:cstheme="minorHAnsi"/>
                <w:color w:val="000000"/>
                <w:sz w:val="18"/>
                <w:szCs w:val="18"/>
                <w:lang w:val="es-ES" w:eastAsia="es-ES"/>
              </w:rPr>
              <w:t>241,297</w:t>
            </w:r>
          </w:p>
        </w:tc>
      </w:tr>
      <w:tr w:rsidR="00143CB3" w:rsidRPr="0012789B" w14:paraId="41B7D65D" w14:textId="77777777" w:rsidTr="00143CB3">
        <w:trPr>
          <w:trHeight w:val="300"/>
        </w:trPr>
        <w:tc>
          <w:tcPr>
            <w:tcW w:w="1240" w:type="dxa"/>
            <w:hideMark/>
          </w:tcPr>
          <w:p w14:paraId="656CF72E" w14:textId="77777777" w:rsidR="00143CB3" w:rsidRPr="0012789B" w:rsidRDefault="00143CB3" w:rsidP="00143CB3">
            <w:pPr>
              <w:rPr>
                <w:rFonts w:eastAsia="Times New Roman" w:cstheme="minorHAnsi"/>
                <w:color w:val="000000"/>
                <w:sz w:val="18"/>
                <w:szCs w:val="18"/>
                <w:lang w:val="es-ES" w:eastAsia="es-ES"/>
              </w:rPr>
            </w:pPr>
            <w:r w:rsidRPr="0012789B">
              <w:rPr>
                <w:rFonts w:eastAsia="Times New Roman" w:cstheme="minorHAnsi"/>
                <w:color w:val="000000"/>
                <w:sz w:val="18"/>
                <w:szCs w:val="18"/>
                <w:lang w:val="es-ES" w:eastAsia="es-ES"/>
              </w:rPr>
              <w:t>2014 to 2015</w:t>
            </w:r>
          </w:p>
        </w:tc>
        <w:tc>
          <w:tcPr>
            <w:tcW w:w="1240" w:type="dxa"/>
            <w:noWrap/>
            <w:hideMark/>
          </w:tcPr>
          <w:p w14:paraId="20539640" w14:textId="77777777" w:rsidR="00143CB3" w:rsidRPr="0012789B" w:rsidRDefault="00143CB3" w:rsidP="00143CB3">
            <w:pPr>
              <w:jc w:val="right"/>
              <w:rPr>
                <w:rFonts w:eastAsia="Times New Roman" w:cstheme="minorHAnsi"/>
                <w:color w:val="000000"/>
                <w:sz w:val="18"/>
                <w:szCs w:val="18"/>
                <w:lang w:val="es-ES" w:eastAsia="es-ES"/>
              </w:rPr>
            </w:pPr>
            <w:r w:rsidRPr="0012789B">
              <w:rPr>
                <w:rFonts w:eastAsia="Times New Roman" w:cstheme="minorHAnsi"/>
                <w:color w:val="000000"/>
                <w:sz w:val="18"/>
                <w:szCs w:val="18"/>
                <w:lang w:val="es-ES" w:eastAsia="es-ES"/>
              </w:rPr>
              <w:t>242,382</w:t>
            </w:r>
          </w:p>
        </w:tc>
      </w:tr>
      <w:tr w:rsidR="00143CB3" w:rsidRPr="0012789B" w14:paraId="35247C23" w14:textId="77777777" w:rsidTr="00143CB3">
        <w:trPr>
          <w:trHeight w:val="288"/>
        </w:trPr>
        <w:tc>
          <w:tcPr>
            <w:tcW w:w="1240" w:type="dxa"/>
            <w:hideMark/>
          </w:tcPr>
          <w:p w14:paraId="44A781B4" w14:textId="77777777" w:rsidR="00143CB3" w:rsidRPr="0012789B" w:rsidRDefault="00143CB3" w:rsidP="00143CB3">
            <w:pPr>
              <w:rPr>
                <w:rFonts w:eastAsia="Times New Roman" w:cstheme="minorHAnsi"/>
                <w:color w:val="000000"/>
                <w:sz w:val="18"/>
                <w:szCs w:val="18"/>
                <w:lang w:val="es-ES" w:eastAsia="es-ES"/>
              </w:rPr>
            </w:pPr>
            <w:r w:rsidRPr="0012789B">
              <w:rPr>
                <w:rFonts w:eastAsia="Times New Roman" w:cstheme="minorHAnsi"/>
                <w:color w:val="000000"/>
                <w:sz w:val="18"/>
                <w:szCs w:val="18"/>
                <w:lang w:val="es-ES" w:eastAsia="es-ES"/>
              </w:rPr>
              <w:t>2015 to 2016</w:t>
            </w:r>
          </w:p>
        </w:tc>
        <w:tc>
          <w:tcPr>
            <w:tcW w:w="1240" w:type="dxa"/>
            <w:noWrap/>
            <w:hideMark/>
          </w:tcPr>
          <w:p w14:paraId="6927C103" w14:textId="77777777" w:rsidR="00143CB3" w:rsidRPr="0012789B" w:rsidRDefault="00143CB3" w:rsidP="00143CB3">
            <w:pPr>
              <w:jc w:val="right"/>
              <w:rPr>
                <w:rFonts w:eastAsia="Times New Roman" w:cstheme="minorHAnsi"/>
                <w:color w:val="000000"/>
                <w:sz w:val="18"/>
                <w:szCs w:val="18"/>
                <w:lang w:val="es-ES" w:eastAsia="es-ES"/>
              </w:rPr>
            </w:pPr>
            <w:r w:rsidRPr="0012789B">
              <w:rPr>
                <w:rFonts w:eastAsia="Times New Roman" w:cstheme="minorHAnsi"/>
                <w:color w:val="000000"/>
                <w:sz w:val="18"/>
                <w:szCs w:val="18"/>
                <w:lang w:val="es-ES" w:eastAsia="es-ES"/>
              </w:rPr>
              <w:t>244,513</w:t>
            </w:r>
          </w:p>
        </w:tc>
      </w:tr>
    </w:tbl>
    <w:p w14:paraId="220AEE12" w14:textId="77777777" w:rsidR="00901CEA" w:rsidRDefault="00901CEA" w:rsidP="005A1C83">
      <w:pPr>
        <w:rPr>
          <w:sz w:val="21"/>
          <w:szCs w:val="21"/>
        </w:rPr>
      </w:pPr>
    </w:p>
    <w:p w14:paraId="5CCC6F92" w14:textId="570940D3" w:rsidR="00A9670B" w:rsidRDefault="00A9670B" w:rsidP="005A1C83">
      <w:pPr>
        <w:rPr>
          <w:sz w:val="21"/>
          <w:szCs w:val="21"/>
        </w:rPr>
      </w:pPr>
    </w:p>
    <w:p w14:paraId="29E10A22" w14:textId="0DA4025D" w:rsidR="00A9670B" w:rsidRDefault="00A9670B" w:rsidP="005A1C83">
      <w:pPr>
        <w:rPr>
          <w:sz w:val="21"/>
          <w:szCs w:val="21"/>
        </w:rPr>
      </w:pPr>
    </w:p>
    <w:p w14:paraId="394E88E1" w14:textId="5842CF4A" w:rsidR="00A9670B" w:rsidRDefault="00A9670B" w:rsidP="005A1C83">
      <w:pPr>
        <w:rPr>
          <w:sz w:val="21"/>
          <w:szCs w:val="21"/>
        </w:rPr>
      </w:pPr>
    </w:p>
    <w:p w14:paraId="14E5E101" w14:textId="05773E83" w:rsidR="00A9670B" w:rsidRDefault="00A9670B" w:rsidP="005A1C83">
      <w:pPr>
        <w:rPr>
          <w:sz w:val="21"/>
          <w:szCs w:val="21"/>
        </w:rPr>
      </w:pPr>
    </w:p>
    <w:p w14:paraId="703576C2" w14:textId="06049706" w:rsidR="00A9670B" w:rsidRDefault="00A9670B" w:rsidP="00A9670B">
      <w:pPr>
        <w:rPr>
          <w:sz w:val="21"/>
          <w:szCs w:val="21"/>
        </w:rPr>
      </w:pPr>
    </w:p>
    <w:p w14:paraId="3BFA8357" w14:textId="79226DE9" w:rsidR="00A9670B" w:rsidRDefault="00143CB3" w:rsidP="00A9670B">
      <w:pPr>
        <w:jc w:val="center"/>
        <w:rPr>
          <w:sz w:val="21"/>
          <w:szCs w:val="21"/>
        </w:rPr>
      </w:pPr>
      <w:r>
        <w:rPr>
          <w:noProof/>
          <w:lang w:eastAsia="en-GB"/>
        </w:rPr>
        <w:drawing>
          <wp:anchor distT="0" distB="0" distL="114300" distR="114300" simplePos="0" relativeHeight="251719680" behindDoc="1" locked="0" layoutInCell="1" allowOverlap="1" wp14:anchorId="7ADE7352" wp14:editId="7D7A631D">
            <wp:simplePos x="0" y="0"/>
            <wp:positionH relativeFrom="margin">
              <wp:posOffset>1912620</wp:posOffset>
            </wp:positionH>
            <wp:positionV relativeFrom="paragraph">
              <wp:posOffset>288290</wp:posOffset>
            </wp:positionV>
            <wp:extent cx="4267200" cy="2461260"/>
            <wp:effectExtent l="0" t="0" r="0" b="15240"/>
            <wp:wrapTight wrapText="bothSides">
              <wp:wrapPolygon edited="0">
                <wp:start x="0" y="0"/>
                <wp:lineTo x="0" y="21567"/>
                <wp:lineTo x="21504" y="21567"/>
                <wp:lineTo x="21504" y="0"/>
                <wp:lineTo x="0" y="0"/>
              </wp:wrapPolygon>
            </wp:wrapTight>
            <wp:docPr id="6" name="Gráfico 6"/>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14:sizeRelH relativeFrom="page">
              <wp14:pctWidth>0</wp14:pctWidth>
            </wp14:sizeRelH>
            <wp14:sizeRelV relativeFrom="page">
              <wp14:pctHeight>0</wp14:pctHeight>
            </wp14:sizeRelV>
          </wp:anchor>
        </w:drawing>
      </w:r>
    </w:p>
    <w:p w14:paraId="4B5913B7" w14:textId="77777777" w:rsidR="00143CB3" w:rsidRDefault="00143CB3" w:rsidP="00B9412A">
      <w:r>
        <w:rPr>
          <w:sz w:val="21"/>
          <w:szCs w:val="21"/>
        </w:rPr>
        <w:t xml:space="preserve">        </w:t>
      </w:r>
      <w:r w:rsidRPr="00143CB3">
        <w:rPr>
          <w:b/>
        </w:rPr>
        <w:t xml:space="preserve">Fig 1.3 </w:t>
      </w:r>
      <w:r>
        <w:t xml:space="preserve">Graph showing population trends in Swansea from 1992 to      </w:t>
      </w:r>
    </w:p>
    <w:p w14:paraId="2F4629CF" w14:textId="77777777" w:rsidR="00E67941" w:rsidRPr="00F45CA3" w:rsidRDefault="00143CB3" w:rsidP="00E67941">
      <w:r>
        <w:t xml:space="preserve">       2016</w:t>
      </w:r>
      <w:r w:rsidR="00E67941">
        <w:t>.  Data Source: www.stats.Wales.gov.Wales</w:t>
      </w:r>
    </w:p>
    <w:p w14:paraId="13C6E5BA" w14:textId="019AEB6B" w:rsidR="00B9412A" w:rsidRPr="00143CB3" w:rsidRDefault="00B9412A" w:rsidP="00B9412A"/>
    <w:p w14:paraId="5067BEA7" w14:textId="3B24168B" w:rsidR="00B9412A" w:rsidRDefault="00B9412A" w:rsidP="00B9412A">
      <w:pPr>
        <w:rPr>
          <w:sz w:val="32"/>
          <w:szCs w:val="32"/>
        </w:rPr>
      </w:pPr>
    </w:p>
    <w:p w14:paraId="16A520E1" w14:textId="0F8660CD" w:rsidR="00C75E57" w:rsidRDefault="00C75E57" w:rsidP="005A1C83">
      <w:pPr>
        <w:rPr>
          <w:sz w:val="32"/>
          <w:szCs w:val="32"/>
        </w:rPr>
      </w:pPr>
    </w:p>
    <w:p w14:paraId="57EB2729" w14:textId="2648C049" w:rsidR="00C75E57" w:rsidRDefault="00C75E57" w:rsidP="005A1C83"/>
    <w:p w14:paraId="734A3E69" w14:textId="683E2108" w:rsidR="00C75E57" w:rsidRDefault="00C75E57" w:rsidP="00C75E57"/>
    <w:p w14:paraId="4F0D4775" w14:textId="125B6F7B" w:rsidR="00143CB3" w:rsidRDefault="00143CB3">
      <w:r>
        <w:br w:type="page"/>
      </w:r>
    </w:p>
    <w:p w14:paraId="58D07874" w14:textId="69C1AD72" w:rsidR="00C75E57" w:rsidRPr="00E67941" w:rsidRDefault="00113A70" w:rsidP="00C75E57">
      <w:pPr>
        <w:rPr>
          <w:b/>
        </w:rPr>
      </w:pPr>
      <w:r w:rsidRPr="00E67941">
        <w:rPr>
          <w:b/>
        </w:rPr>
        <w:lastRenderedPageBreak/>
        <w:t>Population in Swansea - Mid-year 2016 by Age and Gender</w:t>
      </w:r>
    </w:p>
    <w:p w14:paraId="4E2021CF" w14:textId="5BE89D61" w:rsidR="008E7BD9" w:rsidRDefault="008E7BD9" w:rsidP="00C75E57"/>
    <w:p w14:paraId="7E879EFB" w14:textId="77777777" w:rsidR="00B16DE3" w:rsidRDefault="00B16DE3" w:rsidP="00C75E57"/>
    <w:tbl>
      <w:tblPr>
        <w:tblStyle w:val="TableGrid"/>
        <w:tblpPr w:leftFromText="141" w:rightFromText="141" w:vertAnchor="text" w:horzAnchor="margin" w:tblpXSpec="right" w:tblpY="488"/>
        <w:tblW w:w="2405" w:type="dxa"/>
        <w:tblLook w:val="04A0" w:firstRow="1" w:lastRow="0" w:firstColumn="1" w:lastColumn="0" w:noHBand="0" w:noVBand="1"/>
      </w:tblPr>
      <w:tblGrid>
        <w:gridCol w:w="988"/>
        <w:gridCol w:w="1417"/>
      </w:tblGrid>
      <w:tr w:rsidR="00E67941" w:rsidRPr="00B16DE3" w14:paraId="5A2CEDE7" w14:textId="77777777" w:rsidTr="00E67941">
        <w:trPr>
          <w:trHeight w:val="288"/>
        </w:trPr>
        <w:tc>
          <w:tcPr>
            <w:tcW w:w="2405" w:type="dxa"/>
            <w:gridSpan w:val="2"/>
            <w:shd w:val="clear" w:color="auto" w:fill="D9D9D9" w:themeFill="background1" w:themeFillShade="D9"/>
            <w:noWrap/>
          </w:tcPr>
          <w:p w14:paraId="0083C519" w14:textId="77777777" w:rsidR="00E67941" w:rsidRDefault="00E67941" w:rsidP="00E67941">
            <w:pPr>
              <w:jc w:val="center"/>
              <w:rPr>
                <w:rFonts w:ascii="Calibri" w:eastAsia="Times New Roman" w:hAnsi="Calibri" w:cs="Calibri"/>
                <w:color w:val="000000"/>
                <w:sz w:val="22"/>
                <w:szCs w:val="22"/>
                <w:lang w:val="es-ES" w:eastAsia="es-ES"/>
              </w:rPr>
            </w:pPr>
            <w:r>
              <w:rPr>
                <w:rFonts w:ascii="Calibri" w:eastAsia="Times New Roman" w:hAnsi="Calibri" w:cs="Calibri"/>
                <w:color w:val="000000"/>
                <w:sz w:val="22"/>
                <w:szCs w:val="22"/>
                <w:lang w:val="es-ES" w:eastAsia="es-ES"/>
              </w:rPr>
              <w:t>MALE POPULATION 2016</w:t>
            </w:r>
          </w:p>
        </w:tc>
      </w:tr>
      <w:tr w:rsidR="00E67941" w:rsidRPr="00B16DE3" w14:paraId="2F444702" w14:textId="77777777" w:rsidTr="00E67941">
        <w:trPr>
          <w:trHeight w:val="288"/>
        </w:trPr>
        <w:tc>
          <w:tcPr>
            <w:tcW w:w="988" w:type="dxa"/>
            <w:noWrap/>
          </w:tcPr>
          <w:p w14:paraId="08AF9C00" w14:textId="77777777" w:rsidR="00E67941" w:rsidRPr="00B16DE3" w:rsidRDefault="00E67941" w:rsidP="00E67941">
            <w:pPr>
              <w:rPr>
                <w:rFonts w:ascii="Calibri" w:eastAsia="Times New Roman" w:hAnsi="Calibri" w:cs="Calibri"/>
                <w:color w:val="000000"/>
                <w:sz w:val="22"/>
                <w:szCs w:val="22"/>
                <w:lang w:val="es-ES" w:eastAsia="es-ES"/>
              </w:rPr>
            </w:pPr>
            <w:r>
              <w:rPr>
                <w:rFonts w:ascii="Calibri" w:eastAsia="Times New Roman" w:hAnsi="Calibri" w:cs="Calibri"/>
                <w:color w:val="000000"/>
                <w:sz w:val="22"/>
                <w:szCs w:val="22"/>
                <w:lang w:val="es-ES" w:eastAsia="es-ES"/>
              </w:rPr>
              <w:t>AGE</w:t>
            </w:r>
          </w:p>
        </w:tc>
        <w:tc>
          <w:tcPr>
            <w:tcW w:w="1417" w:type="dxa"/>
            <w:noWrap/>
          </w:tcPr>
          <w:p w14:paraId="54006C36" w14:textId="77777777" w:rsidR="00E67941" w:rsidRPr="00B16DE3" w:rsidRDefault="00E67941" w:rsidP="00E67941">
            <w:pPr>
              <w:jc w:val="center"/>
              <w:rPr>
                <w:rFonts w:ascii="Calibri" w:eastAsia="Times New Roman" w:hAnsi="Calibri" w:cs="Calibri"/>
                <w:color w:val="000000"/>
                <w:sz w:val="22"/>
                <w:szCs w:val="22"/>
                <w:lang w:val="es-ES" w:eastAsia="es-ES"/>
              </w:rPr>
            </w:pPr>
            <w:r>
              <w:rPr>
                <w:rFonts w:ascii="Calibri" w:eastAsia="Times New Roman" w:hAnsi="Calibri" w:cs="Calibri"/>
                <w:color w:val="000000"/>
                <w:sz w:val="22"/>
                <w:szCs w:val="22"/>
                <w:lang w:val="es-ES" w:eastAsia="es-ES"/>
              </w:rPr>
              <w:t>POPULATION (000s)</w:t>
            </w:r>
          </w:p>
        </w:tc>
      </w:tr>
      <w:tr w:rsidR="00E67941" w:rsidRPr="00B16DE3" w14:paraId="5E1B5C07" w14:textId="77777777" w:rsidTr="00E67941">
        <w:trPr>
          <w:trHeight w:val="288"/>
        </w:trPr>
        <w:tc>
          <w:tcPr>
            <w:tcW w:w="988" w:type="dxa"/>
            <w:noWrap/>
            <w:hideMark/>
          </w:tcPr>
          <w:p w14:paraId="6964E713" w14:textId="77777777" w:rsidR="00E67941" w:rsidRPr="00B16DE3" w:rsidRDefault="00E67941" w:rsidP="00E67941">
            <w:pPr>
              <w:rPr>
                <w:rFonts w:ascii="Calibri" w:eastAsia="Times New Roman" w:hAnsi="Calibri" w:cs="Calibri"/>
                <w:color w:val="000000"/>
                <w:sz w:val="22"/>
                <w:szCs w:val="22"/>
                <w:lang w:val="es-ES" w:eastAsia="es-ES"/>
              </w:rPr>
            </w:pPr>
            <w:r w:rsidRPr="00B16DE3">
              <w:rPr>
                <w:rFonts w:ascii="Calibri" w:eastAsia="Times New Roman" w:hAnsi="Calibri" w:cs="Calibri"/>
                <w:color w:val="000000"/>
                <w:sz w:val="22"/>
                <w:szCs w:val="22"/>
                <w:lang w:val="es-ES" w:eastAsia="es-ES"/>
              </w:rPr>
              <w:t>0-14</w:t>
            </w:r>
          </w:p>
        </w:tc>
        <w:tc>
          <w:tcPr>
            <w:tcW w:w="1417" w:type="dxa"/>
            <w:noWrap/>
            <w:hideMark/>
          </w:tcPr>
          <w:p w14:paraId="5F01AB74" w14:textId="77777777" w:rsidR="00E67941" w:rsidRPr="00B16DE3" w:rsidRDefault="00E67941" w:rsidP="00E67941">
            <w:pPr>
              <w:jc w:val="right"/>
              <w:rPr>
                <w:rFonts w:ascii="Calibri" w:eastAsia="Times New Roman" w:hAnsi="Calibri" w:cs="Calibri"/>
                <w:color w:val="000000"/>
                <w:sz w:val="22"/>
                <w:szCs w:val="22"/>
                <w:lang w:val="es-ES" w:eastAsia="es-ES"/>
              </w:rPr>
            </w:pPr>
            <w:r w:rsidRPr="00B16DE3">
              <w:rPr>
                <w:rFonts w:ascii="Calibri" w:eastAsia="Times New Roman" w:hAnsi="Calibri" w:cs="Calibri"/>
                <w:color w:val="000000"/>
                <w:sz w:val="22"/>
                <w:szCs w:val="22"/>
                <w:lang w:val="es-ES" w:eastAsia="es-ES"/>
              </w:rPr>
              <w:t>16,8</w:t>
            </w:r>
          </w:p>
        </w:tc>
      </w:tr>
      <w:tr w:rsidR="00E67941" w:rsidRPr="00B16DE3" w14:paraId="7AD77D57" w14:textId="77777777" w:rsidTr="00E67941">
        <w:trPr>
          <w:trHeight w:val="300"/>
        </w:trPr>
        <w:tc>
          <w:tcPr>
            <w:tcW w:w="988" w:type="dxa"/>
            <w:noWrap/>
            <w:hideMark/>
          </w:tcPr>
          <w:p w14:paraId="5AA65F0B" w14:textId="77777777" w:rsidR="00E67941" w:rsidRPr="00B16DE3" w:rsidRDefault="00E67941" w:rsidP="00E67941">
            <w:pPr>
              <w:rPr>
                <w:rFonts w:ascii="Calibri" w:eastAsia="Times New Roman" w:hAnsi="Calibri" w:cs="Calibri"/>
                <w:color w:val="000000"/>
                <w:sz w:val="22"/>
                <w:szCs w:val="22"/>
                <w:lang w:val="es-ES" w:eastAsia="es-ES"/>
              </w:rPr>
            </w:pPr>
            <w:r w:rsidRPr="00B16DE3">
              <w:rPr>
                <w:rFonts w:ascii="Calibri" w:eastAsia="Times New Roman" w:hAnsi="Calibri" w:cs="Calibri"/>
                <w:color w:val="000000"/>
                <w:sz w:val="22"/>
                <w:szCs w:val="22"/>
                <w:lang w:val="es-ES" w:eastAsia="es-ES"/>
              </w:rPr>
              <w:t>15-29</w:t>
            </w:r>
          </w:p>
        </w:tc>
        <w:tc>
          <w:tcPr>
            <w:tcW w:w="1417" w:type="dxa"/>
            <w:noWrap/>
            <w:hideMark/>
          </w:tcPr>
          <w:p w14:paraId="3B99156B" w14:textId="77777777" w:rsidR="00E67941" w:rsidRPr="00B16DE3" w:rsidRDefault="00E67941" w:rsidP="00E67941">
            <w:pPr>
              <w:jc w:val="right"/>
              <w:rPr>
                <w:rFonts w:ascii="Calibri" w:eastAsia="Times New Roman" w:hAnsi="Calibri" w:cs="Calibri"/>
                <w:color w:val="000000"/>
                <w:sz w:val="22"/>
                <w:szCs w:val="22"/>
                <w:lang w:val="es-ES" w:eastAsia="es-ES"/>
              </w:rPr>
            </w:pPr>
            <w:r w:rsidRPr="00B16DE3">
              <w:rPr>
                <w:rFonts w:ascii="Calibri" w:eastAsia="Times New Roman" w:hAnsi="Calibri" w:cs="Calibri"/>
                <w:color w:val="000000"/>
                <w:sz w:val="22"/>
                <w:szCs w:val="22"/>
                <w:lang w:val="es-ES" w:eastAsia="es-ES"/>
              </w:rPr>
              <w:t>24</w:t>
            </w:r>
          </w:p>
        </w:tc>
      </w:tr>
      <w:tr w:rsidR="00E67941" w:rsidRPr="00B16DE3" w14:paraId="19F73CCB" w14:textId="77777777" w:rsidTr="00E67941">
        <w:trPr>
          <w:trHeight w:val="288"/>
        </w:trPr>
        <w:tc>
          <w:tcPr>
            <w:tcW w:w="988" w:type="dxa"/>
            <w:noWrap/>
            <w:hideMark/>
          </w:tcPr>
          <w:p w14:paraId="37F059C8" w14:textId="77777777" w:rsidR="00E67941" w:rsidRPr="00B16DE3" w:rsidRDefault="00E67941" w:rsidP="00E67941">
            <w:pPr>
              <w:rPr>
                <w:rFonts w:ascii="Calibri" w:eastAsia="Times New Roman" w:hAnsi="Calibri" w:cs="Calibri"/>
                <w:color w:val="000000"/>
                <w:sz w:val="22"/>
                <w:szCs w:val="22"/>
                <w:lang w:val="es-ES" w:eastAsia="es-ES"/>
              </w:rPr>
            </w:pPr>
            <w:r w:rsidRPr="00B16DE3">
              <w:rPr>
                <w:rFonts w:ascii="Calibri" w:eastAsia="Times New Roman" w:hAnsi="Calibri" w:cs="Calibri"/>
                <w:color w:val="000000"/>
                <w:sz w:val="22"/>
                <w:szCs w:val="22"/>
                <w:lang w:val="es-ES" w:eastAsia="es-ES"/>
              </w:rPr>
              <w:t>30-44</w:t>
            </w:r>
          </w:p>
        </w:tc>
        <w:tc>
          <w:tcPr>
            <w:tcW w:w="1417" w:type="dxa"/>
            <w:noWrap/>
            <w:hideMark/>
          </w:tcPr>
          <w:p w14:paraId="1AB12C25" w14:textId="77777777" w:rsidR="00E67941" w:rsidRPr="00B16DE3" w:rsidRDefault="00E67941" w:rsidP="00E67941">
            <w:pPr>
              <w:jc w:val="right"/>
              <w:rPr>
                <w:rFonts w:ascii="Calibri" w:eastAsia="Times New Roman" w:hAnsi="Calibri" w:cs="Calibri"/>
                <w:color w:val="000000"/>
                <w:sz w:val="22"/>
                <w:szCs w:val="22"/>
                <w:lang w:val="es-ES" w:eastAsia="es-ES"/>
              </w:rPr>
            </w:pPr>
            <w:r w:rsidRPr="00B16DE3">
              <w:rPr>
                <w:rFonts w:ascii="Calibri" w:eastAsia="Times New Roman" w:hAnsi="Calibri" w:cs="Calibri"/>
                <w:color w:val="000000"/>
                <w:sz w:val="22"/>
                <w:szCs w:val="22"/>
                <w:lang w:val="es-ES" w:eastAsia="es-ES"/>
              </w:rPr>
              <w:t>18,1</w:t>
            </w:r>
          </w:p>
        </w:tc>
      </w:tr>
      <w:tr w:rsidR="00E67941" w:rsidRPr="00B16DE3" w14:paraId="642DCF42" w14:textId="77777777" w:rsidTr="00E67941">
        <w:trPr>
          <w:trHeight w:val="288"/>
        </w:trPr>
        <w:tc>
          <w:tcPr>
            <w:tcW w:w="988" w:type="dxa"/>
            <w:noWrap/>
            <w:hideMark/>
          </w:tcPr>
          <w:p w14:paraId="3CE3F7CF" w14:textId="77777777" w:rsidR="00E67941" w:rsidRPr="00B16DE3" w:rsidRDefault="00E67941" w:rsidP="00E67941">
            <w:pPr>
              <w:rPr>
                <w:rFonts w:ascii="Calibri" w:eastAsia="Times New Roman" w:hAnsi="Calibri" w:cs="Calibri"/>
                <w:color w:val="000000"/>
                <w:sz w:val="22"/>
                <w:szCs w:val="22"/>
                <w:lang w:val="es-ES" w:eastAsia="es-ES"/>
              </w:rPr>
            </w:pPr>
            <w:r w:rsidRPr="00B16DE3">
              <w:rPr>
                <w:rFonts w:ascii="Calibri" w:eastAsia="Times New Roman" w:hAnsi="Calibri" w:cs="Calibri"/>
                <w:color w:val="000000"/>
                <w:sz w:val="22"/>
                <w:szCs w:val="22"/>
                <w:lang w:val="es-ES" w:eastAsia="es-ES"/>
              </w:rPr>
              <w:t>45-64</w:t>
            </w:r>
          </w:p>
        </w:tc>
        <w:tc>
          <w:tcPr>
            <w:tcW w:w="1417" w:type="dxa"/>
            <w:noWrap/>
            <w:hideMark/>
          </w:tcPr>
          <w:p w14:paraId="10A6A5A8" w14:textId="77777777" w:rsidR="00E67941" w:rsidRPr="00B16DE3" w:rsidRDefault="00E67941" w:rsidP="00E67941">
            <w:pPr>
              <w:jc w:val="right"/>
              <w:rPr>
                <w:rFonts w:ascii="Calibri" w:eastAsia="Times New Roman" w:hAnsi="Calibri" w:cs="Calibri"/>
                <w:color w:val="000000"/>
                <w:sz w:val="22"/>
                <w:szCs w:val="22"/>
                <w:lang w:val="es-ES" w:eastAsia="es-ES"/>
              </w:rPr>
            </w:pPr>
            <w:r w:rsidRPr="00B16DE3">
              <w:rPr>
                <w:rFonts w:ascii="Calibri" w:eastAsia="Times New Roman" w:hAnsi="Calibri" w:cs="Calibri"/>
                <w:color w:val="000000"/>
                <w:sz w:val="22"/>
                <w:szCs w:val="22"/>
                <w:lang w:val="es-ES" w:eastAsia="es-ES"/>
              </w:rPr>
              <w:t>24</w:t>
            </w:r>
          </w:p>
        </w:tc>
      </w:tr>
      <w:tr w:rsidR="00E67941" w:rsidRPr="00B16DE3" w14:paraId="79F47D0E" w14:textId="77777777" w:rsidTr="00E67941">
        <w:trPr>
          <w:trHeight w:val="300"/>
        </w:trPr>
        <w:tc>
          <w:tcPr>
            <w:tcW w:w="988" w:type="dxa"/>
            <w:noWrap/>
            <w:hideMark/>
          </w:tcPr>
          <w:p w14:paraId="4C74FDC7" w14:textId="77777777" w:rsidR="00E67941" w:rsidRPr="00B16DE3" w:rsidRDefault="00E67941" w:rsidP="00E67941">
            <w:pPr>
              <w:rPr>
                <w:rFonts w:ascii="Calibri" w:eastAsia="Times New Roman" w:hAnsi="Calibri" w:cs="Calibri"/>
                <w:color w:val="000000"/>
                <w:sz w:val="22"/>
                <w:szCs w:val="22"/>
                <w:lang w:val="es-ES" w:eastAsia="es-ES"/>
              </w:rPr>
            </w:pPr>
            <w:r w:rsidRPr="00B16DE3">
              <w:rPr>
                <w:rFonts w:ascii="Calibri" w:eastAsia="Times New Roman" w:hAnsi="Calibri" w:cs="Calibri"/>
                <w:color w:val="000000"/>
                <w:sz w:val="22"/>
                <w:szCs w:val="22"/>
                <w:lang w:val="es-ES" w:eastAsia="es-ES"/>
              </w:rPr>
              <w:t>65-74</w:t>
            </w:r>
          </w:p>
        </w:tc>
        <w:tc>
          <w:tcPr>
            <w:tcW w:w="1417" w:type="dxa"/>
            <w:noWrap/>
            <w:hideMark/>
          </w:tcPr>
          <w:p w14:paraId="3F389D3A" w14:textId="77777777" w:rsidR="00E67941" w:rsidRPr="00B16DE3" w:rsidRDefault="00E67941" w:rsidP="00E67941">
            <w:pPr>
              <w:jc w:val="right"/>
              <w:rPr>
                <w:rFonts w:ascii="Calibri" w:eastAsia="Times New Roman" w:hAnsi="Calibri" w:cs="Calibri"/>
                <w:color w:val="000000"/>
                <w:sz w:val="22"/>
                <w:szCs w:val="22"/>
                <w:lang w:val="es-ES" w:eastAsia="es-ES"/>
              </w:rPr>
            </w:pPr>
            <w:r w:rsidRPr="00B16DE3">
              <w:rPr>
                <w:rFonts w:ascii="Calibri" w:eastAsia="Times New Roman" w:hAnsi="Calibri" w:cs="Calibri"/>
                <w:color w:val="000000"/>
                <w:sz w:val="22"/>
                <w:szCs w:val="22"/>
                <w:lang w:val="es-ES" w:eastAsia="es-ES"/>
              </w:rPr>
              <w:t>9,8</w:t>
            </w:r>
          </w:p>
        </w:tc>
      </w:tr>
      <w:tr w:rsidR="00E67941" w:rsidRPr="00B16DE3" w14:paraId="32A4792E" w14:textId="77777777" w:rsidTr="00E67941">
        <w:trPr>
          <w:trHeight w:val="288"/>
        </w:trPr>
        <w:tc>
          <w:tcPr>
            <w:tcW w:w="988" w:type="dxa"/>
            <w:noWrap/>
            <w:hideMark/>
          </w:tcPr>
          <w:p w14:paraId="336E6AC3" w14:textId="77777777" w:rsidR="00E67941" w:rsidRPr="00B16DE3" w:rsidRDefault="00E67941" w:rsidP="00E67941">
            <w:pPr>
              <w:rPr>
                <w:rFonts w:ascii="Calibri" w:eastAsia="Times New Roman" w:hAnsi="Calibri" w:cs="Calibri"/>
                <w:color w:val="000000"/>
                <w:sz w:val="22"/>
                <w:szCs w:val="22"/>
                <w:lang w:val="es-ES" w:eastAsia="es-ES"/>
              </w:rPr>
            </w:pPr>
            <w:proofErr w:type="spellStart"/>
            <w:r w:rsidRPr="00B16DE3">
              <w:rPr>
                <w:rFonts w:ascii="Calibri" w:eastAsia="Times New Roman" w:hAnsi="Calibri" w:cs="Calibri"/>
                <w:color w:val="000000"/>
                <w:sz w:val="22"/>
                <w:szCs w:val="22"/>
                <w:lang w:val="es-ES" w:eastAsia="es-ES"/>
              </w:rPr>
              <w:t>Over</w:t>
            </w:r>
            <w:proofErr w:type="spellEnd"/>
            <w:r w:rsidRPr="00B16DE3">
              <w:rPr>
                <w:rFonts w:ascii="Calibri" w:eastAsia="Times New Roman" w:hAnsi="Calibri" w:cs="Calibri"/>
                <w:color w:val="000000"/>
                <w:sz w:val="22"/>
                <w:szCs w:val="22"/>
                <w:lang w:val="es-ES" w:eastAsia="es-ES"/>
              </w:rPr>
              <w:t xml:space="preserve"> 75</w:t>
            </w:r>
          </w:p>
        </w:tc>
        <w:tc>
          <w:tcPr>
            <w:tcW w:w="1417" w:type="dxa"/>
            <w:noWrap/>
            <w:hideMark/>
          </w:tcPr>
          <w:p w14:paraId="2E028B3D" w14:textId="77777777" w:rsidR="00E67941" w:rsidRPr="00B16DE3" w:rsidRDefault="00E67941" w:rsidP="00E67941">
            <w:pPr>
              <w:jc w:val="right"/>
              <w:rPr>
                <w:rFonts w:ascii="Calibri" w:eastAsia="Times New Roman" w:hAnsi="Calibri" w:cs="Calibri"/>
                <w:color w:val="000000"/>
                <w:sz w:val="22"/>
                <w:szCs w:val="22"/>
                <w:lang w:val="es-ES" w:eastAsia="es-ES"/>
              </w:rPr>
            </w:pPr>
            <w:r w:rsidRPr="00B16DE3">
              <w:rPr>
                <w:rFonts w:ascii="Calibri" w:eastAsia="Times New Roman" w:hAnsi="Calibri" w:cs="Calibri"/>
                <w:color w:val="000000"/>
                <w:sz w:val="22"/>
                <w:szCs w:val="22"/>
                <w:lang w:val="es-ES" w:eastAsia="es-ES"/>
              </w:rPr>
              <w:t>7,3</w:t>
            </w:r>
          </w:p>
        </w:tc>
      </w:tr>
    </w:tbl>
    <w:p w14:paraId="33EB0230" w14:textId="743CF254" w:rsidR="00B16DE3" w:rsidRDefault="00E67941" w:rsidP="00C75E57">
      <w:r>
        <w:rPr>
          <w:noProof/>
          <w:lang w:eastAsia="en-GB"/>
        </w:rPr>
        <w:drawing>
          <wp:inline distT="0" distB="0" distL="0" distR="0" wp14:anchorId="612967C4" wp14:editId="7328777E">
            <wp:extent cx="4137660" cy="2758440"/>
            <wp:effectExtent l="0" t="0" r="15240" b="3810"/>
            <wp:docPr id="57" name="Gráfico 57"/>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3C85FF9F" w14:textId="77777777" w:rsidR="00E67941" w:rsidRDefault="000A0C34" w:rsidP="00E67941">
      <w:r w:rsidRPr="000A0C34">
        <w:rPr>
          <w:b/>
        </w:rPr>
        <w:t>Graph 1.4</w:t>
      </w:r>
      <w:r w:rsidR="00E67941">
        <w:t xml:space="preserve"> Graph s</w:t>
      </w:r>
      <w:r>
        <w:t>howing Male Population in Swansea by Age</w:t>
      </w:r>
      <w:r w:rsidR="00E67941">
        <w:t xml:space="preserve">. </w:t>
      </w:r>
    </w:p>
    <w:p w14:paraId="7D8D9B26" w14:textId="7BAC4DE6" w:rsidR="00E67941" w:rsidRPr="00F45CA3" w:rsidRDefault="00E67941" w:rsidP="00E67941">
      <w:r>
        <w:t>Data Source: www.stats.Wales.gov.Wales</w:t>
      </w:r>
    </w:p>
    <w:p w14:paraId="7A25C46F" w14:textId="31BEBE0C" w:rsidR="009762FF" w:rsidRDefault="009762FF" w:rsidP="00D6613D"/>
    <w:tbl>
      <w:tblPr>
        <w:tblStyle w:val="TableGrid"/>
        <w:tblpPr w:leftFromText="141" w:rightFromText="141" w:vertAnchor="text" w:horzAnchor="margin" w:tblpXSpec="right" w:tblpY="1026"/>
        <w:tblW w:w="2383" w:type="dxa"/>
        <w:tblLook w:val="04A0" w:firstRow="1" w:lastRow="0" w:firstColumn="1" w:lastColumn="0" w:noHBand="0" w:noVBand="1"/>
      </w:tblPr>
      <w:tblGrid>
        <w:gridCol w:w="982"/>
        <w:gridCol w:w="1401"/>
      </w:tblGrid>
      <w:tr w:rsidR="00E67941" w:rsidRPr="000A0C34" w14:paraId="3BD5F11E" w14:textId="77777777" w:rsidTr="00E67941">
        <w:trPr>
          <w:trHeight w:val="300"/>
        </w:trPr>
        <w:tc>
          <w:tcPr>
            <w:tcW w:w="2383" w:type="dxa"/>
            <w:gridSpan w:val="2"/>
            <w:shd w:val="clear" w:color="auto" w:fill="D9D9D9" w:themeFill="background1" w:themeFillShade="D9"/>
            <w:noWrap/>
          </w:tcPr>
          <w:p w14:paraId="347D092E" w14:textId="77777777" w:rsidR="00E67941" w:rsidRPr="000A0C34" w:rsidRDefault="00E67941" w:rsidP="00E67941">
            <w:pPr>
              <w:jc w:val="center"/>
              <w:rPr>
                <w:rFonts w:ascii="Calibri" w:eastAsia="Times New Roman" w:hAnsi="Calibri" w:cs="Calibri"/>
                <w:color w:val="000000"/>
                <w:sz w:val="22"/>
                <w:szCs w:val="22"/>
                <w:lang w:val="es-ES" w:eastAsia="es-ES"/>
              </w:rPr>
            </w:pPr>
            <w:r>
              <w:rPr>
                <w:rFonts w:ascii="Calibri" w:eastAsia="Times New Roman" w:hAnsi="Calibri" w:cs="Calibri"/>
                <w:color w:val="000000"/>
                <w:sz w:val="22"/>
                <w:szCs w:val="22"/>
                <w:lang w:val="es-ES" w:eastAsia="es-ES"/>
              </w:rPr>
              <w:t>FEMALE POPULATION 2016</w:t>
            </w:r>
          </w:p>
        </w:tc>
      </w:tr>
      <w:tr w:rsidR="00E67941" w:rsidRPr="000A0C34" w14:paraId="1203637A" w14:textId="77777777" w:rsidTr="00E67941">
        <w:trPr>
          <w:trHeight w:val="300"/>
        </w:trPr>
        <w:tc>
          <w:tcPr>
            <w:tcW w:w="982" w:type="dxa"/>
            <w:noWrap/>
          </w:tcPr>
          <w:p w14:paraId="198FE9B6" w14:textId="77777777" w:rsidR="00E67941" w:rsidRPr="000A0C34" w:rsidRDefault="00E67941" w:rsidP="00E67941">
            <w:pPr>
              <w:rPr>
                <w:rFonts w:ascii="Calibri" w:eastAsia="Times New Roman" w:hAnsi="Calibri" w:cs="Calibri"/>
                <w:color w:val="000000"/>
                <w:sz w:val="22"/>
                <w:szCs w:val="22"/>
                <w:lang w:val="es-ES" w:eastAsia="es-ES"/>
              </w:rPr>
            </w:pPr>
            <w:r>
              <w:rPr>
                <w:rFonts w:ascii="Calibri" w:eastAsia="Times New Roman" w:hAnsi="Calibri" w:cs="Calibri"/>
                <w:color w:val="000000"/>
                <w:sz w:val="22"/>
                <w:szCs w:val="22"/>
                <w:lang w:val="es-ES" w:eastAsia="es-ES"/>
              </w:rPr>
              <w:t>AGE</w:t>
            </w:r>
          </w:p>
        </w:tc>
        <w:tc>
          <w:tcPr>
            <w:tcW w:w="1401" w:type="dxa"/>
            <w:noWrap/>
          </w:tcPr>
          <w:p w14:paraId="4105AE7A" w14:textId="77777777" w:rsidR="00E67941" w:rsidRPr="000A0C34" w:rsidRDefault="00E67941" w:rsidP="00E67941">
            <w:pPr>
              <w:jc w:val="center"/>
              <w:rPr>
                <w:rFonts w:ascii="Calibri" w:eastAsia="Times New Roman" w:hAnsi="Calibri" w:cs="Calibri"/>
                <w:color w:val="000000"/>
                <w:sz w:val="22"/>
                <w:szCs w:val="22"/>
                <w:lang w:val="es-ES" w:eastAsia="es-ES"/>
              </w:rPr>
            </w:pPr>
            <w:r>
              <w:rPr>
                <w:rFonts w:ascii="Calibri" w:eastAsia="Times New Roman" w:hAnsi="Calibri" w:cs="Calibri"/>
                <w:color w:val="000000"/>
                <w:sz w:val="22"/>
                <w:szCs w:val="22"/>
                <w:lang w:val="es-ES" w:eastAsia="es-ES"/>
              </w:rPr>
              <w:t>POPULATION (000s)</w:t>
            </w:r>
          </w:p>
        </w:tc>
      </w:tr>
      <w:tr w:rsidR="00E67941" w:rsidRPr="000A0C34" w14:paraId="54EC4B05" w14:textId="77777777" w:rsidTr="00E67941">
        <w:trPr>
          <w:trHeight w:val="300"/>
        </w:trPr>
        <w:tc>
          <w:tcPr>
            <w:tcW w:w="982" w:type="dxa"/>
            <w:noWrap/>
            <w:hideMark/>
          </w:tcPr>
          <w:p w14:paraId="270BFB0A" w14:textId="77777777" w:rsidR="00E67941" w:rsidRPr="000A0C34" w:rsidRDefault="00E67941" w:rsidP="00E67941">
            <w:pPr>
              <w:rPr>
                <w:rFonts w:ascii="Calibri" w:eastAsia="Times New Roman" w:hAnsi="Calibri" w:cs="Calibri"/>
                <w:color w:val="000000"/>
                <w:sz w:val="22"/>
                <w:szCs w:val="22"/>
                <w:lang w:val="es-ES" w:eastAsia="es-ES"/>
              </w:rPr>
            </w:pPr>
            <w:r w:rsidRPr="000A0C34">
              <w:rPr>
                <w:rFonts w:ascii="Calibri" w:eastAsia="Times New Roman" w:hAnsi="Calibri" w:cs="Calibri"/>
                <w:color w:val="000000"/>
                <w:sz w:val="22"/>
                <w:szCs w:val="22"/>
                <w:lang w:val="es-ES" w:eastAsia="es-ES"/>
              </w:rPr>
              <w:t>0-14</w:t>
            </w:r>
          </w:p>
        </w:tc>
        <w:tc>
          <w:tcPr>
            <w:tcW w:w="1401" w:type="dxa"/>
            <w:noWrap/>
            <w:hideMark/>
          </w:tcPr>
          <w:p w14:paraId="11AA7F8F" w14:textId="77777777" w:rsidR="00E67941" w:rsidRPr="000A0C34" w:rsidRDefault="00E67941" w:rsidP="00E67941">
            <w:pPr>
              <w:jc w:val="right"/>
              <w:rPr>
                <w:rFonts w:ascii="Calibri" w:eastAsia="Times New Roman" w:hAnsi="Calibri" w:cs="Calibri"/>
                <w:color w:val="000000"/>
                <w:sz w:val="22"/>
                <w:szCs w:val="22"/>
                <w:lang w:val="es-ES" w:eastAsia="es-ES"/>
              </w:rPr>
            </w:pPr>
            <w:r w:rsidRPr="000A0C34">
              <w:rPr>
                <w:rFonts w:ascii="Calibri" w:eastAsia="Times New Roman" w:hAnsi="Calibri" w:cs="Calibri"/>
                <w:color w:val="000000"/>
                <w:sz w:val="22"/>
                <w:szCs w:val="22"/>
                <w:lang w:val="es-ES" w:eastAsia="es-ES"/>
              </w:rPr>
              <w:t>15,4</w:t>
            </w:r>
          </w:p>
        </w:tc>
      </w:tr>
      <w:tr w:rsidR="00E67941" w:rsidRPr="000A0C34" w14:paraId="38524B93" w14:textId="77777777" w:rsidTr="00E67941">
        <w:trPr>
          <w:trHeight w:val="300"/>
        </w:trPr>
        <w:tc>
          <w:tcPr>
            <w:tcW w:w="982" w:type="dxa"/>
            <w:noWrap/>
            <w:hideMark/>
          </w:tcPr>
          <w:p w14:paraId="0806CFE4" w14:textId="77777777" w:rsidR="00E67941" w:rsidRPr="000A0C34" w:rsidRDefault="00E67941" w:rsidP="00E67941">
            <w:pPr>
              <w:rPr>
                <w:rFonts w:ascii="Calibri" w:eastAsia="Times New Roman" w:hAnsi="Calibri" w:cs="Calibri"/>
                <w:color w:val="000000"/>
                <w:sz w:val="22"/>
                <w:szCs w:val="22"/>
                <w:lang w:val="es-ES" w:eastAsia="es-ES"/>
              </w:rPr>
            </w:pPr>
            <w:r w:rsidRPr="000A0C34">
              <w:rPr>
                <w:rFonts w:ascii="Calibri" w:eastAsia="Times New Roman" w:hAnsi="Calibri" w:cs="Calibri"/>
                <w:color w:val="000000"/>
                <w:sz w:val="22"/>
                <w:szCs w:val="22"/>
                <w:lang w:val="es-ES" w:eastAsia="es-ES"/>
              </w:rPr>
              <w:t>15-29</w:t>
            </w:r>
          </w:p>
        </w:tc>
        <w:tc>
          <w:tcPr>
            <w:tcW w:w="1401" w:type="dxa"/>
            <w:noWrap/>
            <w:hideMark/>
          </w:tcPr>
          <w:p w14:paraId="086225D7" w14:textId="77777777" w:rsidR="00E67941" w:rsidRPr="000A0C34" w:rsidRDefault="00E67941" w:rsidP="00E67941">
            <w:pPr>
              <w:jc w:val="right"/>
              <w:rPr>
                <w:rFonts w:ascii="Calibri" w:eastAsia="Times New Roman" w:hAnsi="Calibri" w:cs="Calibri"/>
                <w:color w:val="000000"/>
                <w:sz w:val="22"/>
                <w:szCs w:val="22"/>
                <w:lang w:val="es-ES" w:eastAsia="es-ES"/>
              </w:rPr>
            </w:pPr>
            <w:r w:rsidRPr="000A0C34">
              <w:rPr>
                <w:rFonts w:ascii="Calibri" w:eastAsia="Times New Roman" w:hAnsi="Calibri" w:cs="Calibri"/>
                <w:color w:val="000000"/>
                <w:sz w:val="22"/>
                <w:szCs w:val="22"/>
                <w:lang w:val="es-ES" w:eastAsia="es-ES"/>
              </w:rPr>
              <w:t>20,3</w:t>
            </w:r>
          </w:p>
        </w:tc>
      </w:tr>
      <w:tr w:rsidR="00E67941" w:rsidRPr="000A0C34" w14:paraId="2641547C" w14:textId="77777777" w:rsidTr="00E67941">
        <w:trPr>
          <w:trHeight w:val="300"/>
        </w:trPr>
        <w:tc>
          <w:tcPr>
            <w:tcW w:w="982" w:type="dxa"/>
            <w:noWrap/>
            <w:hideMark/>
          </w:tcPr>
          <w:p w14:paraId="482A0F28" w14:textId="77777777" w:rsidR="00E67941" w:rsidRPr="000A0C34" w:rsidRDefault="00E67941" w:rsidP="00E67941">
            <w:pPr>
              <w:rPr>
                <w:rFonts w:ascii="Calibri" w:eastAsia="Times New Roman" w:hAnsi="Calibri" w:cs="Calibri"/>
                <w:color w:val="000000"/>
                <w:sz w:val="22"/>
                <w:szCs w:val="22"/>
                <w:lang w:val="es-ES" w:eastAsia="es-ES"/>
              </w:rPr>
            </w:pPr>
            <w:r w:rsidRPr="000A0C34">
              <w:rPr>
                <w:rFonts w:ascii="Calibri" w:eastAsia="Times New Roman" w:hAnsi="Calibri" w:cs="Calibri"/>
                <w:color w:val="000000"/>
                <w:sz w:val="22"/>
                <w:szCs w:val="22"/>
                <w:lang w:val="es-ES" w:eastAsia="es-ES"/>
              </w:rPr>
              <w:t>30-44</w:t>
            </w:r>
          </w:p>
        </w:tc>
        <w:tc>
          <w:tcPr>
            <w:tcW w:w="1401" w:type="dxa"/>
            <w:noWrap/>
            <w:hideMark/>
          </w:tcPr>
          <w:p w14:paraId="109459AF" w14:textId="77777777" w:rsidR="00E67941" w:rsidRPr="000A0C34" w:rsidRDefault="00E67941" w:rsidP="00E67941">
            <w:pPr>
              <w:jc w:val="right"/>
              <w:rPr>
                <w:rFonts w:ascii="Calibri" w:eastAsia="Times New Roman" w:hAnsi="Calibri" w:cs="Calibri"/>
                <w:color w:val="000000"/>
                <w:sz w:val="22"/>
                <w:szCs w:val="22"/>
                <w:lang w:val="es-ES" w:eastAsia="es-ES"/>
              </w:rPr>
            </w:pPr>
            <w:r w:rsidRPr="000A0C34">
              <w:rPr>
                <w:rFonts w:ascii="Calibri" w:eastAsia="Times New Roman" w:hAnsi="Calibri" w:cs="Calibri"/>
                <w:color w:val="000000"/>
                <w:sz w:val="22"/>
                <w:szCs w:val="22"/>
                <w:lang w:val="es-ES" w:eastAsia="es-ES"/>
              </w:rPr>
              <w:t>17,4</w:t>
            </w:r>
          </w:p>
        </w:tc>
      </w:tr>
      <w:tr w:rsidR="00E67941" w:rsidRPr="000A0C34" w14:paraId="4919BFBC" w14:textId="77777777" w:rsidTr="00E67941">
        <w:trPr>
          <w:trHeight w:val="300"/>
        </w:trPr>
        <w:tc>
          <w:tcPr>
            <w:tcW w:w="982" w:type="dxa"/>
            <w:noWrap/>
            <w:hideMark/>
          </w:tcPr>
          <w:p w14:paraId="3352DE95" w14:textId="77777777" w:rsidR="00E67941" w:rsidRPr="000A0C34" w:rsidRDefault="00E67941" w:rsidP="00E67941">
            <w:pPr>
              <w:rPr>
                <w:rFonts w:ascii="Calibri" w:eastAsia="Times New Roman" w:hAnsi="Calibri" w:cs="Calibri"/>
                <w:color w:val="000000"/>
                <w:sz w:val="22"/>
                <w:szCs w:val="22"/>
                <w:lang w:val="es-ES" w:eastAsia="es-ES"/>
              </w:rPr>
            </w:pPr>
            <w:r w:rsidRPr="000A0C34">
              <w:rPr>
                <w:rFonts w:ascii="Calibri" w:eastAsia="Times New Roman" w:hAnsi="Calibri" w:cs="Calibri"/>
                <w:color w:val="000000"/>
                <w:sz w:val="22"/>
                <w:szCs w:val="22"/>
                <w:lang w:val="es-ES" w:eastAsia="es-ES"/>
              </w:rPr>
              <w:t>45-64</w:t>
            </w:r>
          </w:p>
        </w:tc>
        <w:tc>
          <w:tcPr>
            <w:tcW w:w="1401" w:type="dxa"/>
            <w:noWrap/>
            <w:hideMark/>
          </w:tcPr>
          <w:p w14:paraId="0D31C330" w14:textId="77777777" w:rsidR="00E67941" w:rsidRPr="000A0C34" w:rsidRDefault="00E67941" w:rsidP="00E67941">
            <w:pPr>
              <w:jc w:val="right"/>
              <w:rPr>
                <w:rFonts w:ascii="Calibri" w:eastAsia="Times New Roman" w:hAnsi="Calibri" w:cs="Calibri"/>
                <w:color w:val="000000"/>
                <w:sz w:val="22"/>
                <w:szCs w:val="22"/>
                <w:lang w:val="es-ES" w:eastAsia="es-ES"/>
              </w:rPr>
            </w:pPr>
            <w:r w:rsidRPr="000A0C34">
              <w:rPr>
                <w:rFonts w:ascii="Calibri" w:eastAsia="Times New Roman" w:hAnsi="Calibri" w:cs="Calibri"/>
                <w:color w:val="000000"/>
                <w:sz w:val="22"/>
                <w:szCs w:val="22"/>
                <w:lang w:val="es-ES" w:eastAsia="es-ES"/>
              </w:rPr>
              <w:t>25,3</w:t>
            </w:r>
          </w:p>
        </w:tc>
      </w:tr>
      <w:tr w:rsidR="00E67941" w:rsidRPr="000A0C34" w14:paraId="608EB183" w14:textId="77777777" w:rsidTr="00E67941">
        <w:trPr>
          <w:trHeight w:val="300"/>
        </w:trPr>
        <w:tc>
          <w:tcPr>
            <w:tcW w:w="982" w:type="dxa"/>
            <w:noWrap/>
            <w:hideMark/>
          </w:tcPr>
          <w:p w14:paraId="7BDD6B15" w14:textId="77777777" w:rsidR="00E67941" w:rsidRPr="000A0C34" w:rsidRDefault="00E67941" w:rsidP="00E67941">
            <w:pPr>
              <w:rPr>
                <w:rFonts w:ascii="Calibri" w:eastAsia="Times New Roman" w:hAnsi="Calibri" w:cs="Calibri"/>
                <w:color w:val="000000"/>
                <w:sz w:val="22"/>
                <w:szCs w:val="22"/>
                <w:lang w:val="es-ES" w:eastAsia="es-ES"/>
              </w:rPr>
            </w:pPr>
            <w:r w:rsidRPr="000A0C34">
              <w:rPr>
                <w:rFonts w:ascii="Calibri" w:eastAsia="Times New Roman" w:hAnsi="Calibri" w:cs="Calibri"/>
                <w:color w:val="000000"/>
                <w:sz w:val="22"/>
                <w:szCs w:val="22"/>
                <w:lang w:val="es-ES" w:eastAsia="es-ES"/>
              </w:rPr>
              <w:t>65-74</w:t>
            </w:r>
          </w:p>
        </w:tc>
        <w:tc>
          <w:tcPr>
            <w:tcW w:w="1401" w:type="dxa"/>
            <w:noWrap/>
            <w:hideMark/>
          </w:tcPr>
          <w:p w14:paraId="7861F205" w14:textId="77777777" w:rsidR="00E67941" w:rsidRPr="000A0C34" w:rsidRDefault="00E67941" w:rsidP="00E67941">
            <w:pPr>
              <w:jc w:val="right"/>
              <w:rPr>
                <w:rFonts w:ascii="Calibri" w:eastAsia="Times New Roman" w:hAnsi="Calibri" w:cs="Calibri"/>
                <w:color w:val="000000"/>
                <w:sz w:val="22"/>
                <w:szCs w:val="22"/>
                <w:lang w:val="es-ES" w:eastAsia="es-ES"/>
              </w:rPr>
            </w:pPr>
            <w:r w:rsidRPr="000A0C34">
              <w:rPr>
                <w:rFonts w:ascii="Calibri" w:eastAsia="Times New Roman" w:hAnsi="Calibri" w:cs="Calibri"/>
                <w:color w:val="000000"/>
                <w:sz w:val="22"/>
                <w:szCs w:val="22"/>
                <w:lang w:val="es-ES" w:eastAsia="es-ES"/>
              </w:rPr>
              <w:t>11,1</w:t>
            </w:r>
          </w:p>
        </w:tc>
      </w:tr>
      <w:tr w:rsidR="00E67941" w:rsidRPr="000A0C34" w14:paraId="43FF33DD" w14:textId="77777777" w:rsidTr="00E67941">
        <w:trPr>
          <w:trHeight w:val="300"/>
        </w:trPr>
        <w:tc>
          <w:tcPr>
            <w:tcW w:w="982" w:type="dxa"/>
            <w:noWrap/>
            <w:hideMark/>
          </w:tcPr>
          <w:p w14:paraId="5D3CC6A1" w14:textId="77777777" w:rsidR="00E67941" w:rsidRPr="000A0C34" w:rsidRDefault="00E67941" w:rsidP="00E67941">
            <w:pPr>
              <w:rPr>
                <w:rFonts w:ascii="Calibri" w:eastAsia="Times New Roman" w:hAnsi="Calibri" w:cs="Calibri"/>
                <w:color w:val="000000"/>
                <w:sz w:val="22"/>
                <w:szCs w:val="22"/>
                <w:lang w:val="es-ES" w:eastAsia="es-ES"/>
              </w:rPr>
            </w:pPr>
            <w:proofErr w:type="spellStart"/>
            <w:r w:rsidRPr="000A0C34">
              <w:rPr>
                <w:rFonts w:ascii="Calibri" w:eastAsia="Times New Roman" w:hAnsi="Calibri" w:cs="Calibri"/>
                <w:color w:val="000000"/>
                <w:sz w:val="22"/>
                <w:szCs w:val="22"/>
                <w:lang w:val="es-ES" w:eastAsia="es-ES"/>
              </w:rPr>
              <w:t>Over</w:t>
            </w:r>
            <w:proofErr w:type="spellEnd"/>
            <w:r w:rsidRPr="000A0C34">
              <w:rPr>
                <w:rFonts w:ascii="Calibri" w:eastAsia="Times New Roman" w:hAnsi="Calibri" w:cs="Calibri"/>
                <w:color w:val="000000"/>
                <w:sz w:val="22"/>
                <w:szCs w:val="22"/>
                <w:lang w:val="es-ES" w:eastAsia="es-ES"/>
              </w:rPr>
              <w:t xml:space="preserve"> 75</w:t>
            </w:r>
          </w:p>
        </w:tc>
        <w:tc>
          <w:tcPr>
            <w:tcW w:w="1401" w:type="dxa"/>
            <w:noWrap/>
            <w:hideMark/>
          </w:tcPr>
          <w:p w14:paraId="7F9CF8BC" w14:textId="77777777" w:rsidR="00E67941" w:rsidRPr="000A0C34" w:rsidRDefault="00E67941" w:rsidP="00E67941">
            <w:pPr>
              <w:jc w:val="right"/>
              <w:rPr>
                <w:rFonts w:ascii="Calibri" w:eastAsia="Times New Roman" w:hAnsi="Calibri" w:cs="Calibri"/>
                <w:color w:val="000000"/>
                <w:sz w:val="22"/>
                <w:szCs w:val="22"/>
                <w:lang w:val="es-ES" w:eastAsia="es-ES"/>
              </w:rPr>
            </w:pPr>
            <w:r w:rsidRPr="000A0C34">
              <w:rPr>
                <w:rFonts w:ascii="Calibri" w:eastAsia="Times New Roman" w:hAnsi="Calibri" w:cs="Calibri"/>
                <w:color w:val="000000"/>
                <w:sz w:val="22"/>
                <w:szCs w:val="22"/>
                <w:lang w:val="es-ES" w:eastAsia="es-ES"/>
              </w:rPr>
              <w:t>10,4</w:t>
            </w:r>
          </w:p>
        </w:tc>
      </w:tr>
    </w:tbl>
    <w:p w14:paraId="15EDBFAD" w14:textId="4BDFDFA9" w:rsidR="009762FF" w:rsidRDefault="00E67941" w:rsidP="00D6613D">
      <w:r>
        <w:rPr>
          <w:noProof/>
          <w:lang w:eastAsia="en-GB"/>
        </w:rPr>
        <w:drawing>
          <wp:inline distT="0" distB="0" distL="0" distR="0" wp14:anchorId="669421D8" wp14:editId="3BBF4CFA">
            <wp:extent cx="4145280" cy="2735580"/>
            <wp:effectExtent l="0" t="0" r="7620" b="7620"/>
            <wp:docPr id="56" name="Gráfico 56"/>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74CE3EF5" w14:textId="10A7FA83" w:rsidR="009762FF" w:rsidRDefault="000A0C34" w:rsidP="00D6613D">
      <w:r>
        <w:rPr>
          <w:b/>
        </w:rPr>
        <w:t xml:space="preserve">Fig 1.5 </w:t>
      </w:r>
      <w:r w:rsidR="00E67941">
        <w:t>Graph s</w:t>
      </w:r>
      <w:r>
        <w:t>howing Female population in Swansea by Age in 2006</w:t>
      </w:r>
    </w:p>
    <w:p w14:paraId="4AA0A3E0" w14:textId="77777777" w:rsidR="00E67941" w:rsidRPr="00F45CA3" w:rsidRDefault="00E67941" w:rsidP="00E67941">
      <w:r>
        <w:t>Data Source: www.stats.Wales.gov.Wales</w:t>
      </w:r>
    </w:p>
    <w:p w14:paraId="1C357A47" w14:textId="77777777" w:rsidR="00E67941" w:rsidRPr="000A0C34" w:rsidRDefault="00E67941" w:rsidP="00D6613D"/>
    <w:p w14:paraId="562C3C50" w14:textId="30F99092" w:rsidR="008E7BD9" w:rsidRDefault="00E67941" w:rsidP="00D6613D">
      <w:r>
        <w:t>Figure</w:t>
      </w:r>
      <w:r w:rsidR="00F45CA3">
        <w:t xml:space="preserve"> 1.1 shows that the estimated population </w:t>
      </w:r>
      <w:r w:rsidR="0050552B">
        <w:t>in the United Kingdom in 2016 was</w:t>
      </w:r>
      <w:r w:rsidR="00F45CA3">
        <w:t xml:space="preserve"> 67 mi</w:t>
      </w:r>
      <w:r>
        <w:t xml:space="preserve">llion. Figure 1.2 </w:t>
      </w:r>
      <w:r w:rsidR="00DA7B10">
        <w:t>and 1.3</w:t>
      </w:r>
      <w:r>
        <w:t xml:space="preserve"> show that the estimated population data in Swansea is 244, 513.</w:t>
      </w:r>
      <w:r w:rsidR="00F45CA3">
        <w:t xml:space="preserve"> The data indicates that Swansea’s population makes up a small fraction of the overall population in the Uni</w:t>
      </w:r>
      <w:r>
        <w:t>ted Kingdom. However, Figure 1.2</w:t>
      </w:r>
      <w:r w:rsidR="00F45CA3">
        <w:t xml:space="preserve"> shows that out of the 22 regions that </w:t>
      </w:r>
      <w:r w:rsidR="00E15657">
        <w:t>make</w:t>
      </w:r>
      <w:r w:rsidR="00153E04">
        <w:t xml:space="preserve"> up</w:t>
      </w:r>
      <w:r w:rsidR="00E15657">
        <w:t xml:space="preserve"> Wales, Swansea has the second highest population as of 2016. Cardiff is the only region with a larger population. This indicates that Swa</w:t>
      </w:r>
      <w:r w:rsidR="00153E04">
        <w:t xml:space="preserve">nsea is one of the major </w:t>
      </w:r>
      <w:r w:rsidR="004318B4">
        <w:t>cities</w:t>
      </w:r>
      <w:r w:rsidR="00E15657">
        <w:t xml:space="preserve"> within Wales. </w:t>
      </w:r>
      <w:r>
        <w:t xml:space="preserve">Figures </w:t>
      </w:r>
      <w:r w:rsidR="0090147B">
        <w:t>1.</w:t>
      </w:r>
      <w:r>
        <w:t xml:space="preserve">4 and </w:t>
      </w:r>
      <w:r w:rsidR="0090147B">
        <w:t>1.</w:t>
      </w:r>
      <w:r>
        <w:t>5 show the population of Swansea by age and gender. There are no major differences between age groups related to each gender.</w:t>
      </w:r>
    </w:p>
    <w:p w14:paraId="7A129EB4" w14:textId="699AF4B9" w:rsidR="008E7BD9" w:rsidRDefault="008E7BD9" w:rsidP="00D6613D"/>
    <w:p w14:paraId="375F50D5" w14:textId="22720A43" w:rsidR="008E7BD9" w:rsidRDefault="008E7BD9" w:rsidP="00D6613D"/>
    <w:p w14:paraId="5EACD584" w14:textId="41C9E19E" w:rsidR="008E7BD9" w:rsidRDefault="008E7BD9" w:rsidP="00D6613D"/>
    <w:p w14:paraId="27881680" w14:textId="30425CB2" w:rsidR="008E7BD9" w:rsidRDefault="008E7BD9" w:rsidP="00D6613D"/>
    <w:p w14:paraId="2AD3F568" w14:textId="22D714AB" w:rsidR="008E7BD9" w:rsidRDefault="008E7BD9" w:rsidP="00D6613D"/>
    <w:p w14:paraId="2C080F48" w14:textId="74A2BDE6" w:rsidR="004C321D" w:rsidRDefault="004C321D" w:rsidP="00D6613D">
      <w:pPr>
        <w:rPr>
          <w:u w:val="single"/>
        </w:rPr>
      </w:pPr>
    </w:p>
    <w:p w14:paraId="4C3F17D2" w14:textId="662A74C2" w:rsidR="004C321D" w:rsidRDefault="004C321D" w:rsidP="00D6613D">
      <w:pPr>
        <w:rPr>
          <w:u w:val="single"/>
        </w:rPr>
      </w:pPr>
    </w:p>
    <w:p w14:paraId="207A6682" w14:textId="0F45E3E7" w:rsidR="008E7BD9" w:rsidRPr="00F83AAA" w:rsidRDefault="00F83AAA" w:rsidP="007956F7">
      <w:pPr>
        <w:outlineLvl w:val="0"/>
        <w:rPr>
          <w:u w:val="single"/>
        </w:rPr>
      </w:pPr>
      <w:r w:rsidRPr="00F83AAA">
        <w:rPr>
          <w:u w:val="single"/>
        </w:rPr>
        <w:t>Employment rates and Income data</w:t>
      </w:r>
    </w:p>
    <w:p w14:paraId="12BB46E5" w14:textId="364CFDF4" w:rsidR="008E7BD9" w:rsidRDefault="008E7BD9" w:rsidP="00D6613D"/>
    <w:p w14:paraId="359B857A" w14:textId="0629FF58" w:rsidR="008E7BD9" w:rsidRDefault="00F2668F" w:rsidP="00D6613D">
      <w:r>
        <w:rPr>
          <w:noProof/>
          <w:lang w:eastAsia="en-GB"/>
        </w:rPr>
        <w:drawing>
          <wp:inline distT="0" distB="0" distL="0" distR="0" wp14:anchorId="6BEFC0F8" wp14:editId="61F571CB">
            <wp:extent cx="5727700" cy="3703955"/>
            <wp:effectExtent l="0" t="0" r="12700" b="4445"/>
            <wp:docPr id="25" name="Chart 25"/>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r>
        <w:rPr>
          <w:noProof/>
          <w:lang w:eastAsia="en-GB"/>
        </w:rPr>
        <mc:AlternateContent>
          <mc:Choice Requires="wps">
            <w:drawing>
              <wp:anchor distT="0" distB="0" distL="114300" distR="114300" simplePos="0" relativeHeight="251663360" behindDoc="0" locked="0" layoutInCell="1" allowOverlap="1" wp14:anchorId="3026E9EE" wp14:editId="782021A5">
                <wp:simplePos x="0" y="0"/>
                <wp:positionH relativeFrom="column">
                  <wp:posOffset>49530</wp:posOffset>
                </wp:positionH>
                <wp:positionV relativeFrom="paragraph">
                  <wp:posOffset>3798570</wp:posOffset>
                </wp:positionV>
                <wp:extent cx="5600700" cy="800100"/>
                <wp:effectExtent l="0" t="0" r="0" b="12700"/>
                <wp:wrapSquare wrapText="bothSides"/>
                <wp:docPr id="12" name="Text Box 12"/>
                <wp:cNvGraphicFramePr/>
                <a:graphic xmlns:a="http://schemas.openxmlformats.org/drawingml/2006/main">
                  <a:graphicData uri="http://schemas.microsoft.com/office/word/2010/wordprocessingShape">
                    <wps:wsp>
                      <wps:cNvSpPr txBox="1"/>
                      <wps:spPr>
                        <a:xfrm>
                          <a:off x="0" y="0"/>
                          <a:ext cx="5600700" cy="8001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2A76A47C" w14:textId="35DCBE99" w:rsidR="000E1085" w:rsidRPr="00A1217A" w:rsidRDefault="000E1085">
                            <w:r w:rsidRPr="00A1217A">
                              <w:rPr>
                                <w:b/>
                              </w:rPr>
                              <w:t>F</w:t>
                            </w:r>
                            <w:r>
                              <w:rPr>
                                <w:b/>
                              </w:rPr>
                              <w:t>igure 1.4</w:t>
                            </w:r>
                            <w:r w:rsidRPr="00A1217A">
                              <w:rPr>
                                <w:b/>
                              </w:rPr>
                              <w:t xml:space="preserve"> </w:t>
                            </w:r>
                            <w:r>
                              <w:t>shows the employment rates in Wales. Data Source www.gov.wales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026E9EE" id="Text Box 12" o:spid="_x0000_s1028" type="#_x0000_t202" style="position:absolute;margin-left:3.9pt;margin-top:299.1pt;width:441pt;height:63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" filled="f" stroked="f">
                <v:textbox>
                  <w:txbxContent>
                    <w:p w14:paraId="2A76A47C" w14:textId="35DCBE99" w:rsidR="000E1085" w:rsidRPr="00A1217A" w:rsidRDefault="000E1085">
                      <w:r w:rsidRPr="00A1217A">
                        <w:rPr>
                          <w:b/>
                        </w:rPr>
                        <w:t>F</w:t>
                      </w:r>
                      <w:r>
                        <w:rPr>
                          <w:b/>
                        </w:rPr>
                        <w:t>igure 1.4</w:t>
                      </w:r>
                      <w:r w:rsidRPr="00A1217A">
                        <w:rPr>
                          <w:b/>
                        </w:rPr>
                        <w:t xml:space="preserve"> </w:t>
                      </w:r>
                      <w:r>
                        <w:t>shows the employment rates in Wales. Data Source www.gov.wales</w:t>
                      </w:r>
                    </w:p>
                  </w:txbxContent>
                </v:textbox>
                <w10:wrap type="square"/>
              </v:shape>
            </w:pict>
          </mc:Fallback>
        </mc:AlternateContent>
      </w:r>
    </w:p>
    <w:p w14:paraId="2A5C5B55" w14:textId="718B6AC3" w:rsidR="008E7BD9" w:rsidRDefault="008E7BD9" w:rsidP="00D6613D"/>
    <w:p w14:paraId="3428A6B1" w14:textId="095F64D1" w:rsidR="008E7BD9" w:rsidRDefault="008E7BD9" w:rsidP="00D6613D"/>
    <w:p w14:paraId="168FB3D6" w14:textId="53A0AA0D" w:rsidR="008E7BD9" w:rsidRDefault="008E7BD9" w:rsidP="00D6613D"/>
    <w:p w14:paraId="21F2E2EC" w14:textId="0C294696" w:rsidR="00312475" w:rsidRDefault="00312475" w:rsidP="00D6613D"/>
    <w:p w14:paraId="61DA1519" w14:textId="7742BD5E" w:rsidR="006578D6" w:rsidRDefault="006578D6" w:rsidP="00D6613D"/>
    <w:p w14:paraId="06685174" w14:textId="6EF2B375" w:rsidR="006578D6" w:rsidRDefault="006578D6" w:rsidP="00D6613D"/>
    <w:p w14:paraId="6B097BCC" w14:textId="58F0B0F1" w:rsidR="006578D6" w:rsidRDefault="006578D6" w:rsidP="00D6613D"/>
    <w:p w14:paraId="65DF24D6" w14:textId="7B788C85" w:rsidR="006578D6" w:rsidRDefault="006578D6" w:rsidP="00D6613D"/>
    <w:p w14:paraId="3C951CF4" w14:textId="2312EE99" w:rsidR="006578D6" w:rsidRDefault="006578D6" w:rsidP="00D6613D"/>
    <w:p w14:paraId="7DF84AD4" w14:textId="7F78C14F" w:rsidR="00B5169D" w:rsidRDefault="00B5169D" w:rsidP="00D6613D"/>
    <w:p w14:paraId="45F434F4" w14:textId="5CA2A6C3" w:rsidR="00B5169D" w:rsidRPr="00B5169D" w:rsidRDefault="00B5169D" w:rsidP="00B5169D"/>
    <w:p w14:paraId="536E67AF" w14:textId="483AAABF" w:rsidR="00B5169D" w:rsidRPr="00B5169D" w:rsidRDefault="00B5169D" w:rsidP="00B5169D"/>
    <w:p w14:paraId="240DE0D5" w14:textId="279A7379" w:rsidR="00B5169D" w:rsidRPr="00B5169D" w:rsidRDefault="00B5169D" w:rsidP="00B5169D"/>
    <w:p w14:paraId="4C79EB6A" w14:textId="1F46E507" w:rsidR="00B5169D" w:rsidRPr="00B5169D" w:rsidRDefault="00B5169D" w:rsidP="00B5169D"/>
    <w:p w14:paraId="199A0ECD" w14:textId="727472B4" w:rsidR="00B5169D" w:rsidRPr="00B5169D" w:rsidRDefault="00B5169D" w:rsidP="00B5169D"/>
    <w:p w14:paraId="387F66C6" w14:textId="2CC4E81E" w:rsidR="00B5169D" w:rsidRPr="00B5169D" w:rsidRDefault="00B5169D" w:rsidP="00B5169D"/>
    <w:p w14:paraId="49B62C05" w14:textId="50B9E91C" w:rsidR="00B5169D" w:rsidRPr="00B5169D" w:rsidRDefault="00B5169D" w:rsidP="00B5169D"/>
    <w:p w14:paraId="26681EAC" w14:textId="61A61014" w:rsidR="00B5169D" w:rsidRPr="00B5169D" w:rsidRDefault="00B5169D" w:rsidP="00B5169D"/>
    <w:p w14:paraId="16CAA93F" w14:textId="3AC3A6EF" w:rsidR="00B5169D" w:rsidRPr="00B5169D" w:rsidRDefault="002C4EEE" w:rsidP="00B5169D">
      <w:r>
        <w:rPr>
          <w:noProof/>
          <w:sz w:val="32"/>
          <w:szCs w:val="32"/>
          <w:lang w:eastAsia="en-GB"/>
        </w:rPr>
        <mc:AlternateContent>
          <mc:Choice Requires="wps">
            <w:drawing>
              <wp:anchor distT="0" distB="0" distL="114300" distR="114300" simplePos="0" relativeHeight="251707392" behindDoc="0" locked="0" layoutInCell="1" allowOverlap="1" wp14:anchorId="6605C4E3" wp14:editId="01B5D447">
                <wp:simplePos x="0" y="0"/>
                <wp:positionH relativeFrom="column">
                  <wp:posOffset>1083079</wp:posOffset>
                </wp:positionH>
                <wp:positionV relativeFrom="paragraph">
                  <wp:posOffset>129251</wp:posOffset>
                </wp:positionV>
                <wp:extent cx="568325" cy="113665"/>
                <wp:effectExtent l="0" t="0" r="0" b="0"/>
                <wp:wrapSquare wrapText="bothSides"/>
                <wp:docPr id="8" name="Text Box 8"/>
                <wp:cNvGraphicFramePr/>
                <a:graphic xmlns:a="http://schemas.openxmlformats.org/drawingml/2006/main">
                  <a:graphicData uri="http://schemas.microsoft.com/office/word/2010/wordprocessingShape">
                    <wps:wsp>
                      <wps:cNvSpPr txBox="1"/>
                      <wps:spPr>
                        <a:xfrm>
                          <a:off x="0" y="0"/>
                          <a:ext cx="568325" cy="113665"/>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0A47F540" w14:textId="77777777" w:rsidR="000E1085" w:rsidRDefault="000E108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6605C4E3" id="Text Box 8" o:spid="_x0000_s1029" type="#_x0000_t202" style="position:absolute;margin-left:85.3pt;margin-top:10.2pt;width:44.75pt;height:8.95pt;z-index:2517073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" filled="f" stroked="f">
                <v:textbox>
                  <w:txbxContent>
                    <w:p w14:paraId="0A47F540" w14:textId="77777777" w:rsidR="000E1085" w:rsidRDefault="000E1085"/>
                  </w:txbxContent>
                </v:textbox>
                <w10:wrap type="square"/>
              </v:shape>
            </w:pict>
          </mc:Fallback>
        </mc:AlternateContent>
      </w:r>
    </w:p>
    <w:p w14:paraId="5A4F9931" w14:textId="54DEDEBA" w:rsidR="00B5169D" w:rsidRPr="00B5169D" w:rsidRDefault="008607CE" w:rsidP="00B5169D">
      <w:r>
        <w:rPr>
          <w:noProof/>
          <w:lang w:eastAsia="en-GB"/>
        </w:rPr>
        <w:lastRenderedPageBreak/>
        <w:drawing>
          <wp:anchor distT="0" distB="0" distL="114300" distR="114300" simplePos="0" relativeHeight="251671552" behindDoc="0" locked="0" layoutInCell="1" allowOverlap="1" wp14:anchorId="28AEF034" wp14:editId="3D51EB0F">
            <wp:simplePos x="0" y="0"/>
            <wp:positionH relativeFrom="column">
              <wp:posOffset>625879</wp:posOffset>
            </wp:positionH>
            <wp:positionV relativeFrom="paragraph">
              <wp:posOffset>18704</wp:posOffset>
            </wp:positionV>
            <wp:extent cx="4394835" cy="3298190"/>
            <wp:effectExtent l="0" t="0" r="24765" b="3810"/>
            <wp:wrapTight wrapText="bothSides">
              <wp:wrapPolygon edited="0">
                <wp:start x="0" y="0"/>
                <wp:lineTo x="0" y="21459"/>
                <wp:lineTo x="21597" y="21459"/>
                <wp:lineTo x="21597" y="0"/>
                <wp:lineTo x="0" y="0"/>
              </wp:wrapPolygon>
            </wp:wrapTight>
            <wp:docPr id="15" name="Chart 15"/>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14:sizeRelH relativeFrom="page">
              <wp14:pctWidth>0</wp14:pctWidth>
            </wp14:sizeRelH>
            <wp14:sizeRelV relativeFrom="page">
              <wp14:pctHeight>0</wp14:pctHeight>
            </wp14:sizeRelV>
          </wp:anchor>
        </w:drawing>
      </w:r>
    </w:p>
    <w:p w14:paraId="46743962" w14:textId="691FE268" w:rsidR="00B5169D" w:rsidRPr="00B5169D" w:rsidRDefault="00B5169D" w:rsidP="00B5169D"/>
    <w:p w14:paraId="33AFE55C" w14:textId="6C56B15B" w:rsidR="00B5169D" w:rsidRPr="00B5169D" w:rsidRDefault="00B5169D" w:rsidP="00B5169D"/>
    <w:p w14:paraId="2FF4901F" w14:textId="67BCA507" w:rsidR="00B5169D" w:rsidRPr="00B5169D" w:rsidRDefault="00B5169D" w:rsidP="00B5169D"/>
    <w:p w14:paraId="2E55ED39" w14:textId="758F03DB" w:rsidR="00B5169D" w:rsidRPr="00B5169D" w:rsidRDefault="00B5169D" w:rsidP="00B5169D"/>
    <w:p w14:paraId="40B1123E" w14:textId="71540DE5" w:rsidR="00B5169D" w:rsidRPr="00B5169D" w:rsidRDefault="00B5169D" w:rsidP="00B5169D"/>
    <w:p w14:paraId="2DDD8252" w14:textId="5EC6B435" w:rsidR="00B5169D" w:rsidRPr="00B5169D" w:rsidRDefault="00B5169D" w:rsidP="00B5169D"/>
    <w:p w14:paraId="386EFA63" w14:textId="77777777" w:rsidR="00B5169D" w:rsidRPr="00B5169D" w:rsidRDefault="00B5169D" w:rsidP="00B5169D"/>
    <w:p w14:paraId="5022B8F6" w14:textId="77777777" w:rsidR="00B5169D" w:rsidRPr="00B5169D" w:rsidRDefault="00B5169D" w:rsidP="00B5169D"/>
    <w:p w14:paraId="32E1707F" w14:textId="77777777" w:rsidR="00B5169D" w:rsidRPr="00B5169D" w:rsidRDefault="00B5169D" w:rsidP="00B5169D"/>
    <w:p w14:paraId="20DB9827" w14:textId="77777777" w:rsidR="00B5169D" w:rsidRPr="00B5169D" w:rsidRDefault="00B5169D" w:rsidP="00B5169D"/>
    <w:p w14:paraId="099E6F25" w14:textId="77777777" w:rsidR="00B5169D" w:rsidRPr="00B5169D" w:rsidRDefault="00B5169D" w:rsidP="00B5169D"/>
    <w:p w14:paraId="7DB5A685" w14:textId="77777777" w:rsidR="00B5169D" w:rsidRPr="00B5169D" w:rsidRDefault="00B5169D" w:rsidP="00B5169D"/>
    <w:p w14:paraId="0328459A" w14:textId="77777777" w:rsidR="00B5169D" w:rsidRPr="00B5169D" w:rsidRDefault="00B5169D" w:rsidP="00B5169D"/>
    <w:p w14:paraId="760D663A" w14:textId="77777777" w:rsidR="00B5169D" w:rsidRPr="00B5169D" w:rsidRDefault="00B5169D" w:rsidP="00B5169D"/>
    <w:p w14:paraId="57120932" w14:textId="77777777" w:rsidR="00B5169D" w:rsidRPr="00B5169D" w:rsidRDefault="00B5169D" w:rsidP="00B5169D"/>
    <w:p w14:paraId="5CFE2DA3" w14:textId="77777777" w:rsidR="00B5169D" w:rsidRPr="00B5169D" w:rsidRDefault="00B5169D" w:rsidP="00B5169D"/>
    <w:p w14:paraId="3D361309" w14:textId="2971A8A1" w:rsidR="00B5169D" w:rsidRPr="00B5169D" w:rsidRDefault="00435A94" w:rsidP="00B5169D">
      <w:r>
        <w:rPr>
          <w:noProof/>
          <w:lang w:eastAsia="en-GB"/>
        </w:rPr>
        <mc:AlternateContent>
          <mc:Choice Requires="wps">
            <w:drawing>
              <wp:anchor distT="0" distB="0" distL="114300" distR="114300" simplePos="0" relativeHeight="251672576" behindDoc="0" locked="0" layoutInCell="1" allowOverlap="1" wp14:anchorId="6A77E87C" wp14:editId="2A37E4CC">
                <wp:simplePos x="0" y="0"/>
                <wp:positionH relativeFrom="column">
                  <wp:posOffset>623570</wp:posOffset>
                </wp:positionH>
                <wp:positionV relativeFrom="paragraph">
                  <wp:posOffset>166370</wp:posOffset>
                </wp:positionV>
                <wp:extent cx="4343400" cy="457200"/>
                <wp:effectExtent l="0" t="0" r="0" b="0"/>
                <wp:wrapSquare wrapText="bothSides"/>
                <wp:docPr id="16" name="Text Box 16"/>
                <wp:cNvGraphicFramePr/>
                <a:graphic xmlns:a="http://schemas.openxmlformats.org/drawingml/2006/main">
                  <a:graphicData uri="http://schemas.microsoft.com/office/word/2010/wordprocessingShape">
                    <wps:wsp>
                      <wps:cNvSpPr txBox="1"/>
                      <wps:spPr>
                        <a:xfrm>
                          <a:off x="0" y="0"/>
                          <a:ext cx="4343400" cy="4572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57FEA141" w14:textId="4A2FF677" w:rsidR="000E1085" w:rsidRPr="00B5169D" w:rsidRDefault="000E1085">
                            <w:r w:rsidRPr="00B5169D">
                              <w:rPr>
                                <w:b/>
                              </w:rPr>
                              <w:t xml:space="preserve">Figure 1.5 </w:t>
                            </w:r>
                            <w:r>
                              <w:t>shows the employment rates in Wales and Swansea from the year 2001-2013. Data Source: www.gov.wales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A77E87C" id="Text Box 16" o:spid="_x0000_s1030" type="#_x0000_t202" style="position:absolute;margin-left:49.1pt;margin-top:13.1pt;width:342pt;height:36pt;z-index:2516725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" filled="f" stroked="f">
                <v:textbox>
                  <w:txbxContent>
                    <w:p w14:paraId="57FEA141" w14:textId="4A2FF677" w:rsidR="000E1085" w:rsidRPr="00B5169D" w:rsidRDefault="000E1085">
                      <w:r w:rsidRPr="00B5169D">
                        <w:rPr>
                          <w:b/>
                        </w:rPr>
                        <w:t xml:space="preserve">Figure 1.5 </w:t>
                      </w:r>
                      <w:r>
                        <w:t>shows the employment rates in Wales and Swansea from the year 2001-2013. Data Source: www.gov.wales</w:t>
                      </w:r>
                    </w:p>
                  </w:txbxContent>
                </v:textbox>
                <w10:wrap type="square"/>
              </v:shape>
            </w:pict>
          </mc:Fallback>
        </mc:AlternateContent>
      </w:r>
    </w:p>
    <w:p w14:paraId="7FF39160" w14:textId="64BFB438" w:rsidR="00312475" w:rsidRDefault="00312475" w:rsidP="00B5169D"/>
    <w:p w14:paraId="5E8514DD" w14:textId="1B4D8F66" w:rsidR="00B5169D" w:rsidRDefault="00B5169D" w:rsidP="00B5169D"/>
    <w:p w14:paraId="327E3EE6" w14:textId="28CF8A18" w:rsidR="00B5169D" w:rsidRDefault="00B5169D" w:rsidP="00B5169D"/>
    <w:p w14:paraId="303FC483" w14:textId="286B8698" w:rsidR="00B5169D" w:rsidRDefault="00435A94" w:rsidP="00B5169D">
      <w:r>
        <w:rPr>
          <w:noProof/>
          <w:lang w:eastAsia="en-GB"/>
        </w:rPr>
        <mc:AlternateContent>
          <mc:Choice Requires="wps">
            <w:drawing>
              <wp:anchor distT="0" distB="0" distL="114300" distR="114300" simplePos="0" relativeHeight="251675648" behindDoc="0" locked="0" layoutInCell="1" allowOverlap="1" wp14:anchorId="36AFAC6E" wp14:editId="608B8279">
                <wp:simplePos x="0" y="0"/>
                <wp:positionH relativeFrom="column">
                  <wp:posOffset>-293370</wp:posOffset>
                </wp:positionH>
                <wp:positionV relativeFrom="paragraph">
                  <wp:posOffset>3993515</wp:posOffset>
                </wp:positionV>
                <wp:extent cx="5828665" cy="451485"/>
                <wp:effectExtent l="0" t="0" r="0" b="5715"/>
                <wp:wrapSquare wrapText="bothSides"/>
                <wp:docPr id="19" name="Text Box 19"/>
                <wp:cNvGraphicFramePr/>
                <a:graphic xmlns:a="http://schemas.openxmlformats.org/drawingml/2006/main">
                  <a:graphicData uri="http://schemas.microsoft.com/office/word/2010/wordprocessingShape">
                    <wps:wsp>
                      <wps:cNvSpPr txBox="1"/>
                      <wps:spPr>
                        <a:xfrm>
                          <a:off x="0" y="0"/>
                          <a:ext cx="5828665" cy="451485"/>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41E33F1B" w14:textId="03FF7113" w:rsidR="000E1085" w:rsidRPr="00C57412" w:rsidRDefault="000E1085">
                            <w:r w:rsidRPr="00C57412">
                              <w:rPr>
                                <w:b/>
                              </w:rPr>
                              <w:t xml:space="preserve">Figure 1.6 </w:t>
                            </w:r>
                            <w:r>
                              <w:t>Shows the average gross weekly full-time earnings in Wales regions in 2013. Data Source: Office for National Statistics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6AFAC6E" id="Text Box 19" o:spid="_x0000_s1031" type="#_x0000_t202" style="position:absolute;margin-left:-23.1pt;margin-top:314.45pt;width:458.95pt;height:35.5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" filled="f" stroked="f">
                <v:textbox>
                  <w:txbxContent>
                    <w:p w14:paraId="41E33F1B" w14:textId="03FF7113" w:rsidR="000E1085" w:rsidRPr="00C57412" w:rsidRDefault="000E1085">
                      <w:r w:rsidRPr="00C57412">
                        <w:rPr>
                          <w:b/>
                        </w:rPr>
                        <w:t xml:space="preserve">Figure 1.6 </w:t>
                      </w:r>
                      <w:r>
                        <w:t>Shows the average gross weekly full-time earnings in Wales regions in 2013. Data Source: Office for National Statistics</w:t>
                      </w:r>
                    </w:p>
                  </w:txbxContent>
                </v:textbox>
                <w10:wrap type="square"/>
              </v:shape>
            </w:pict>
          </mc:Fallback>
        </mc:AlternateContent>
      </w:r>
      <w:r>
        <w:rPr>
          <w:noProof/>
          <w:lang w:eastAsia="en-GB"/>
        </w:rPr>
        <w:drawing>
          <wp:anchor distT="0" distB="0" distL="114300" distR="114300" simplePos="0" relativeHeight="251676672" behindDoc="0" locked="0" layoutInCell="1" allowOverlap="1" wp14:anchorId="44AEB3B4" wp14:editId="5972459D">
            <wp:simplePos x="0" y="0"/>
            <wp:positionH relativeFrom="column">
              <wp:posOffset>-289156</wp:posOffset>
            </wp:positionH>
            <wp:positionV relativeFrom="paragraph">
              <wp:posOffset>221961</wp:posOffset>
            </wp:positionV>
            <wp:extent cx="6171565" cy="3693160"/>
            <wp:effectExtent l="0" t="0" r="635" b="15240"/>
            <wp:wrapTight wrapText="bothSides">
              <wp:wrapPolygon edited="0">
                <wp:start x="0" y="0"/>
                <wp:lineTo x="0" y="21541"/>
                <wp:lineTo x="21513" y="21541"/>
                <wp:lineTo x="21513" y="0"/>
                <wp:lineTo x="0" y="0"/>
              </wp:wrapPolygon>
            </wp:wrapTight>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14:sizeRelH relativeFrom="page">
              <wp14:pctWidth>0</wp14:pctWidth>
            </wp14:sizeRelH>
            <wp14:sizeRelV relativeFrom="page">
              <wp14:pctHeight>0</wp14:pctHeight>
            </wp14:sizeRelV>
          </wp:anchor>
        </w:drawing>
      </w:r>
    </w:p>
    <w:p w14:paraId="1962AFF5" w14:textId="25116C11" w:rsidR="00B5169D" w:rsidRDefault="00B5169D" w:rsidP="00B5169D"/>
    <w:p w14:paraId="7A04FFB9" w14:textId="0199A993" w:rsidR="00B5169D" w:rsidRDefault="00B5169D" w:rsidP="00B5169D"/>
    <w:p w14:paraId="2CD3657A" w14:textId="68FBC5FE" w:rsidR="000A572C" w:rsidRDefault="004318B4" w:rsidP="00B5169D">
      <w:r>
        <w:rPr>
          <w:noProof/>
          <w:lang w:eastAsia="en-GB"/>
        </w:rPr>
        <w:lastRenderedPageBreak/>
        <mc:AlternateContent>
          <mc:Choice Requires="wps">
            <w:drawing>
              <wp:anchor distT="0" distB="0" distL="114300" distR="114300" simplePos="0" relativeHeight="251678720" behindDoc="0" locked="0" layoutInCell="1" allowOverlap="1" wp14:anchorId="4F880159" wp14:editId="361BF938">
                <wp:simplePos x="0" y="0"/>
                <wp:positionH relativeFrom="column">
                  <wp:posOffset>-750570</wp:posOffset>
                </wp:positionH>
                <wp:positionV relativeFrom="paragraph">
                  <wp:posOffset>5274310</wp:posOffset>
                </wp:positionV>
                <wp:extent cx="7085965" cy="574040"/>
                <wp:effectExtent l="0" t="0" r="0" b="10160"/>
                <wp:wrapSquare wrapText="bothSides"/>
                <wp:docPr id="10" name="Text Box 10"/>
                <wp:cNvGraphicFramePr/>
                <a:graphic xmlns:a="http://schemas.openxmlformats.org/drawingml/2006/main">
                  <a:graphicData uri="http://schemas.microsoft.com/office/word/2010/wordprocessingShape">
                    <wps:wsp>
                      <wps:cNvSpPr txBox="1"/>
                      <wps:spPr>
                        <a:xfrm>
                          <a:off x="0" y="0"/>
                          <a:ext cx="7085965" cy="57404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73E2D89F" w14:textId="4FF784FE" w:rsidR="000E1085" w:rsidRPr="00B81398" w:rsidRDefault="000E1085">
                            <w:r w:rsidRPr="00B81398">
                              <w:rPr>
                                <w:b/>
                              </w:rPr>
                              <w:t xml:space="preserve">Figure 1.7 </w:t>
                            </w:r>
                            <w:r>
                              <w:t>Shows the gross disposable household income per head in Wales regions in 2012. Data source: Office for National Statistics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F880159" id="Text Box 10" o:spid="_x0000_s1032" type="#_x0000_t202" style="position:absolute;margin-left:-59.1pt;margin-top:415.3pt;width:557.95pt;height:45.2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" filled="f" stroked="f">
                <v:textbox>
                  <w:txbxContent>
                    <w:p w14:paraId="73E2D89F" w14:textId="4FF784FE" w:rsidR="000E1085" w:rsidRPr="00B81398" w:rsidRDefault="000E1085">
                      <w:r w:rsidRPr="00B81398">
                        <w:rPr>
                          <w:b/>
                        </w:rPr>
                        <w:t xml:space="preserve">Figure 1.7 </w:t>
                      </w:r>
                      <w:r>
                        <w:t>Shows the gross disposable household income per head in Wales regions in 2012. Data source: Office for National Statistics</w:t>
                      </w:r>
                    </w:p>
                  </w:txbxContent>
                </v:textbox>
                <w10:wrap type="square"/>
              </v:shape>
            </w:pict>
          </mc:Fallback>
        </mc:AlternateContent>
      </w:r>
      <w:r>
        <w:rPr>
          <w:noProof/>
          <w:lang w:eastAsia="en-GB"/>
        </w:rPr>
        <w:drawing>
          <wp:anchor distT="0" distB="0" distL="114300" distR="114300" simplePos="0" relativeHeight="251677696" behindDoc="0" locked="0" layoutInCell="1" allowOverlap="1" wp14:anchorId="03C6AEC0" wp14:editId="4A7542F7">
            <wp:simplePos x="0" y="0"/>
            <wp:positionH relativeFrom="column">
              <wp:posOffset>-864870</wp:posOffset>
            </wp:positionH>
            <wp:positionV relativeFrom="paragraph">
              <wp:posOffset>0</wp:posOffset>
            </wp:positionV>
            <wp:extent cx="7425055" cy="5149215"/>
            <wp:effectExtent l="0" t="0" r="17145" b="6985"/>
            <wp:wrapTight wrapText="bothSides">
              <wp:wrapPolygon edited="0">
                <wp:start x="0" y="0"/>
                <wp:lineTo x="0" y="21523"/>
                <wp:lineTo x="21576" y="21523"/>
                <wp:lineTo x="21576" y="0"/>
                <wp:lineTo x="0" y="0"/>
              </wp:wrapPolygon>
            </wp:wrapTight>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14:sizeRelH relativeFrom="page">
              <wp14:pctWidth>0</wp14:pctWidth>
            </wp14:sizeRelH>
            <wp14:sizeRelV relativeFrom="page">
              <wp14:pctHeight>0</wp14:pctHeight>
            </wp14:sizeRelV>
          </wp:anchor>
        </w:drawing>
      </w:r>
    </w:p>
    <w:p w14:paraId="3CB610CF" w14:textId="2EC57A91" w:rsidR="000A572C" w:rsidRPr="000A572C" w:rsidRDefault="000A572C" w:rsidP="000A572C"/>
    <w:p w14:paraId="0165099C" w14:textId="77E5CB23" w:rsidR="000A572C" w:rsidRPr="000A572C" w:rsidRDefault="000A572C" w:rsidP="000A572C"/>
    <w:p w14:paraId="3B609E7C" w14:textId="54DD74B7" w:rsidR="000A572C" w:rsidRPr="000A572C" w:rsidRDefault="000A572C" w:rsidP="000A572C"/>
    <w:p w14:paraId="1D0FBA89" w14:textId="3ECF7486" w:rsidR="00B5169D" w:rsidRPr="000A572C" w:rsidRDefault="00B5169D" w:rsidP="000A572C"/>
    <w:p w14:paraId="44E8CA2B" w14:textId="7D0F7279" w:rsidR="00DB0F0F" w:rsidRDefault="00DB0F0F" w:rsidP="00B5169D"/>
    <w:p w14:paraId="230C7662" w14:textId="71F749B7" w:rsidR="00DB0F0F" w:rsidRPr="00DB0F0F" w:rsidRDefault="00DB0F0F" w:rsidP="00DB0F0F"/>
    <w:p w14:paraId="48DA5412" w14:textId="60BCA552" w:rsidR="00DB0F0F" w:rsidRPr="00DB0F0F" w:rsidRDefault="00DB0F0F" w:rsidP="00DB0F0F"/>
    <w:p w14:paraId="50DEC98B" w14:textId="19C944F2" w:rsidR="00DB0F0F" w:rsidRPr="00DB0F0F" w:rsidRDefault="00DB0F0F" w:rsidP="00DB0F0F"/>
    <w:p w14:paraId="680D29CE" w14:textId="759C73EA" w:rsidR="00DB0F0F" w:rsidRPr="00DB0F0F" w:rsidRDefault="00DB0F0F" w:rsidP="00DB0F0F"/>
    <w:p w14:paraId="7D67C8AA" w14:textId="2762740A" w:rsidR="00DB0F0F" w:rsidRPr="00DB0F0F" w:rsidRDefault="00DB0F0F" w:rsidP="00DB0F0F"/>
    <w:p w14:paraId="7A03BA98" w14:textId="4203D441" w:rsidR="00DB0F0F" w:rsidRPr="00DB0F0F" w:rsidRDefault="00DB0F0F" w:rsidP="00DB0F0F"/>
    <w:p w14:paraId="1B0D68BD" w14:textId="05822537" w:rsidR="00DB0F0F" w:rsidRPr="00DB0F0F" w:rsidRDefault="00DB0F0F" w:rsidP="00DB0F0F"/>
    <w:p w14:paraId="4CD5533F" w14:textId="51DC2B3D" w:rsidR="00DB0F0F" w:rsidRPr="00DB0F0F" w:rsidRDefault="00DB0F0F" w:rsidP="00DB0F0F"/>
    <w:p w14:paraId="008CB80A" w14:textId="7040C9F7" w:rsidR="00DB0F0F" w:rsidRPr="00DB0F0F" w:rsidRDefault="00DB0F0F" w:rsidP="00DB0F0F"/>
    <w:tbl>
      <w:tblPr>
        <w:tblpPr w:leftFromText="180" w:rightFromText="180" w:vertAnchor="text" w:horzAnchor="margin" w:tblpY="-145"/>
        <w:tblW w:w="5771" w:type="dxa"/>
        <w:tblLook w:val="04A0" w:firstRow="1" w:lastRow="0" w:firstColumn="1" w:lastColumn="0" w:noHBand="0" w:noVBand="1"/>
      </w:tblPr>
      <w:tblGrid>
        <w:gridCol w:w="3437"/>
        <w:gridCol w:w="1517"/>
        <w:gridCol w:w="817"/>
      </w:tblGrid>
      <w:tr w:rsidR="000158F4" w:rsidRPr="009330E4" w14:paraId="3A12DDB2" w14:textId="77777777" w:rsidTr="000158F4">
        <w:trPr>
          <w:trHeight w:val="227"/>
        </w:trPr>
        <w:tc>
          <w:tcPr>
            <w:tcW w:w="3437" w:type="dxa"/>
            <w:tcBorders>
              <w:top w:val="nil"/>
              <w:left w:val="nil"/>
              <w:bottom w:val="single" w:sz="12" w:space="0" w:color="FFFFFF"/>
              <w:right w:val="single" w:sz="4" w:space="0" w:color="FFFFFF"/>
            </w:tcBorders>
            <w:shd w:val="clear" w:color="4472C4" w:fill="4472C4"/>
            <w:noWrap/>
            <w:vAlign w:val="bottom"/>
            <w:hideMark/>
          </w:tcPr>
          <w:p w14:paraId="7B22D52B" w14:textId="77777777" w:rsidR="000158F4" w:rsidRPr="000158F4" w:rsidRDefault="000158F4" w:rsidP="000158F4">
            <w:pPr>
              <w:rPr>
                <w:rFonts w:eastAsia="Times New Roman" w:cstheme="minorHAnsi"/>
                <w:b/>
                <w:bCs/>
                <w:color w:val="333333"/>
                <w:sz w:val="18"/>
                <w:szCs w:val="18"/>
                <w:lang w:eastAsia="en-GB"/>
              </w:rPr>
            </w:pPr>
            <w:r w:rsidRPr="000158F4">
              <w:rPr>
                <w:rFonts w:eastAsia="Times New Roman" w:cstheme="minorHAnsi"/>
                <w:b/>
                <w:bCs/>
                <w:color w:val="333333"/>
                <w:sz w:val="18"/>
                <w:szCs w:val="18"/>
                <w:lang w:eastAsia="en-GB"/>
              </w:rPr>
              <w:lastRenderedPageBreak/>
              <w:t xml:space="preserve">Swansea In Wales </w:t>
            </w:r>
          </w:p>
        </w:tc>
        <w:tc>
          <w:tcPr>
            <w:tcW w:w="1517" w:type="dxa"/>
            <w:tcBorders>
              <w:top w:val="nil"/>
              <w:left w:val="single" w:sz="4" w:space="0" w:color="FFFFFF"/>
              <w:bottom w:val="single" w:sz="12" w:space="0" w:color="FFFFFF"/>
              <w:right w:val="single" w:sz="4" w:space="0" w:color="FFFFFF"/>
            </w:tcBorders>
            <w:shd w:val="clear" w:color="4472C4" w:fill="4472C4"/>
            <w:noWrap/>
            <w:vAlign w:val="bottom"/>
            <w:hideMark/>
          </w:tcPr>
          <w:p w14:paraId="0258B9E0" w14:textId="77777777" w:rsidR="000158F4" w:rsidRPr="000158F4" w:rsidRDefault="000158F4" w:rsidP="000158F4">
            <w:pPr>
              <w:rPr>
                <w:rFonts w:eastAsia="Times New Roman" w:cstheme="minorHAnsi"/>
                <w:b/>
                <w:bCs/>
                <w:color w:val="333333"/>
                <w:sz w:val="18"/>
                <w:szCs w:val="18"/>
                <w:lang w:eastAsia="en-GB"/>
              </w:rPr>
            </w:pPr>
            <w:r w:rsidRPr="000158F4">
              <w:rPr>
                <w:rFonts w:eastAsia="Times New Roman" w:cstheme="minorHAnsi"/>
                <w:b/>
                <w:bCs/>
                <w:color w:val="333333"/>
                <w:sz w:val="18"/>
                <w:szCs w:val="18"/>
                <w:lang w:eastAsia="en-GB"/>
              </w:rPr>
              <w:t>Count</w:t>
            </w:r>
          </w:p>
        </w:tc>
        <w:tc>
          <w:tcPr>
            <w:tcW w:w="817" w:type="dxa"/>
            <w:tcBorders>
              <w:top w:val="nil"/>
              <w:left w:val="single" w:sz="4" w:space="0" w:color="FFFFFF"/>
              <w:bottom w:val="single" w:sz="12" w:space="0" w:color="FFFFFF"/>
              <w:right w:val="nil"/>
            </w:tcBorders>
            <w:shd w:val="clear" w:color="4472C4" w:fill="4472C4"/>
            <w:noWrap/>
            <w:vAlign w:val="bottom"/>
            <w:hideMark/>
          </w:tcPr>
          <w:p w14:paraId="20DF858B" w14:textId="77777777" w:rsidR="000158F4" w:rsidRPr="000158F4" w:rsidRDefault="000158F4" w:rsidP="000158F4">
            <w:pPr>
              <w:rPr>
                <w:rFonts w:eastAsia="Times New Roman" w:cstheme="minorHAnsi"/>
                <w:b/>
                <w:bCs/>
                <w:color w:val="FFFFFF"/>
                <w:sz w:val="18"/>
                <w:szCs w:val="18"/>
                <w:lang w:eastAsia="en-GB"/>
              </w:rPr>
            </w:pPr>
            <w:r w:rsidRPr="000158F4">
              <w:rPr>
                <w:rFonts w:eastAsia="Times New Roman" w:cstheme="minorHAnsi"/>
                <w:b/>
                <w:bCs/>
                <w:color w:val="FFFFFF"/>
                <w:sz w:val="18"/>
                <w:szCs w:val="18"/>
                <w:lang w:eastAsia="en-GB"/>
              </w:rPr>
              <w:t>%</w:t>
            </w:r>
          </w:p>
        </w:tc>
      </w:tr>
      <w:tr w:rsidR="000158F4" w:rsidRPr="009330E4" w14:paraId="28BCDAF2" w14:textId="77777777" w:rsidTr="000158F4">
        <w:trPr>
          <w:trHeight w:val="227"/>
        </w:trPr>
        <w:tc>
          <w:tcPr>
            <w:tcW w:w="3437" w:type="dxa"/>
            <w:tcBorders>
              <w:top w:val="single" w:sz="4" w:space="0" w:color="FFFFFF"/>
              <w:left w:val="nil"/>
              <w:bottom w:val="single" w:sz="4" w:space="0" w:color="FFFFFF"/>
              <w:right w:val="single" w:sz="4" w:space="0" w:color="FFFFFF"/>
            </w:tcBorders>
            <w:shd w:val="clear" w:color="B4C6E7" w:fill="B4C6E7"/>
            <w:noWrap/>
            <w:vAlign w:val="bottom"/>
            <w:hideMark/>
          </w:tcPr>
          <w:p w14:paraId="00CFC8FD" w14:textId="77777777" w:rsidR="000158F4" w:rsidRPr="000158F4" w:rsidRDefault="000158F4" w:rsidP="000158F4">
            <w:pPr>
              <w:rPr>
                <w:rFonts w:eastAsia="Times New Roman" w:cstheme="minorHAnsi"/>
                <w:color w:val="333333"/>
                <w:sz w:val="18"/>
                <w:szCs w:val="18"/>
                <w:lang w:eastAsia="en-GB"/>
              </w:rPr>
            </w:pPr>
            <w:r w:rsidRPr="000158F4">
              <w:rPr>
                <w:rFonts w:eastAsia="Times New Roman" w:cstheme="minorHAnsi"/>
                <w:color w:val="333333"/>
                <w:sz w:val="18"/>
                <w:szCs w:val="18"/>
                <w:lang w:eastAsia="en-GB"/>
              </w:rPr>
              <w:t>All usual residents aged 16 to 74</w:t>
            </w:r>
          </w:p>
        </w:tc>
        <w:tc>
          <w:tcPr>
            <w:tcW w:w="1517" w:type="dxa"/>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3E5E44C9" w14:textId="77777777" w:rsidR="000158F4" w:rsidRPr="000158F4" w:rsidRDefault="000158F4" w:rsidP="000158F4">
            <w:pPr>
              <w:jc w:val="right"/>
              <w:rPr>
                <w:rFonts w:eastAsia="Times New Roman" w:cstheme="minorHAnsi"/>
                <w:color w:val="333333"/>
                <w:sz w:val="18"/>
                <w:szCs w:val="18"/>
                <w:lang w:eastAsia="en-GB"/>
              </w:rPr>
            </w:pPr>
            <w:r w:rsidRPr="000158F4">
              <w:rPr>
                <w:rFonts w:eastAsia="Times New Roman" w:cstheme="minorHAnsi"/>
                <w:color w:val="333333"/>
                <w:sz w:val="18"/>
                <w:szCs w:val="18"/>
                <w:lang w:eastAsia="en-GB"/>
              </w:rPr>
              <w:t>133,925</w:t>
            </w:r>
          </w:p>
        </w:tc>
        <w:tc>
          <w:tcPr>
            <w:tcW w:w="817" w:type="dxa"/>
            <w:tcBorders>
              <w:top w:val="single" w:sz="4" w:space="0" w:color="FFFFFF"/>
              <w:left w:val="single" w:sz="4" w:space="0" w:color="FFFFFF"/>
              <w:bottom w:val="single" w:sz="4" w:space="0" w:color="FFFFFF"/>
              <w:right w:val="nil"/>
            </w:tcBorders>
            <w:shd w:val="clear" w:color="B4C6E7" w:fill="B4C6E7"/>
            <w:noWrap/>
            <w:vAlign w:val="bottom"/>
            <w:hideMark/>
          </w:tcPr>
          <w:p w14:paraId="4181B9AC" w14:textId="77777777" w:rsidR="000158F4" w:rsidRPr="000158F4" w:rsidRDefault="000158F4" w:rsidP="000158F4">
            <w:pPr>
              <w:jc w:val="right"/>
              <w:rPr>
                <w:rFonts w:eastAsia="Times New Roman" w:cstheme="minorHAnsi"/>
                <w:color w:val="333333"/>
                <w:sz w:val="18"/>
                <w:szCs w:val="18"/>
                <w:lang w:eastAsia="en-GB"/>
              </w:rPr>
            </w:pPr>
            <w:r w:rsidRPr="000158F4">
              <w:rPr>
                <w:rFonts w:eastAsia="Times New Roman" w:cstheme="minorHAnsi"/>
                <w:color w:val="333333"/>
                <w:sz w:val="18"/>
                <w:szCs w:val="18"/>
                <w:lang w:eastAsia="en-GB"/>
              </w:rPr>
              <w:t>100</w:t>
            </w:r>
          </w:p>
        </w:tc>
      </w:tr>
      <w:tr w:rsidR="000158F4" w:rsidRPr="009330E4" w14:paraId="6951F522" w14:textId="77777777" w:rsidTr="000158F4">
        <w:trPr>
          <w:trHeight w:val="227"/>
        </w:trPr>
        <w:tc>
          <w:tcPr>
            <w:tcW w:w="3437" w:type="dxa"/>
            <w:tcBorders>
              <w:top w:val="single" w:sz="4" w:space="0" w:color="FFFFFF"/>
              <w:left w:val="nil"/>
              <w:bottom w:val="single" w:sz="4" w:space="0" w:color="FFFFFF"/>
              <w:right w:val="single" w:sz="4" w:space="0" w:color="FFFFFF"/>
            </w:tcBorders>
            <w:shd w:val="clear" w:color="D9E1F2" w:fill="D9E1F2"/>
            <w:noWrap/>
            <w:vAlign w:val="bottom"/>
            <w:hideMark/>
          </w:tcPr>
          <w:p w14:paraId="7028391F" w14:textId="77777777" w:rsidR="000158F4" w:rsidRPr="000158F4" w:rsidRDefault="000158F4" w:rsidP="000158F4">
            <w:pPr>
              <w:rPr>
                <w:rFonts w:eastAsia="Times New Roman" w:cstheme="minorHAnsi"/>
                <w:color w:val="333333"/>
                <w:sz w:val="18"/>
                <w:szCs w:val="18"/>
                <w:lang w:eastAsia="en-GB"/>
              </w:rPr>
            </w:pPr>
            <w:r w:rsidRPr="000158F4">
              <w:rPr>
                <w:rFonts w:eastAsia="Times New Roman" w:cstheme="minorHAnsi"/>
                <w:color w:val="333333"/>
                <w:sz w:val="18"/>
                <w:szCs w:val="18"/>
                <w:lang w:eastAsia="en-GB"/>
              </w:rPr>
              <w:t>Economically active</w:t>
            </w:r>
          </w:p>
        </w:tc>
        <w:tc>
          <w:tcPr>
            <w:tcW w:w="1517" w:type="dxa"/>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522457D7" w14:textId="77777777" w:rsidR="000158F4" w:rsidRPr="000158F4" w:rsidRDefault="000158F4" w:rsidP="000158F4">
            <w:pPr>
              <w:jc w:val="right"/>
              <w:rPr>
                <w:rFonts w:eastAsia="Times New Roman" w:cstheme="minorHAnsi"/>
                <w:color w:val="333333"/>
                <w:sz w:val="18"/>
                <w:szCs w:val="18"/>
                <w:lang w:eastAsia="en-GB"/>
              </w:rPr>
            </w:pPr>
            <w:r w:rsidRPr="000158F4">
              <w:rPr>
                <w:rFonts w:eastAsia="Times New Roman" w:cstheme="minorHAnsi"/>
                <w:color w:val="333333"/>
                <w:sz w:val="18"/>
                <w:szCs w:val="18"/>
                <w:lang w:eastAsia="en-GB"/>
              </w:rPr>
              <w:t>82,416</w:t>
            </w:r>
          </w:p>
        </w:tc>
        <w:tc>
          <w:tcPr>
            <w:tcW w:w="817" w:type="dxa"/>
            <w:tcBorders>
              <w:top w:val="single" w:sz="4" w:space="0" w:color="FFFFFF"/>
              <w:left w:val="single" w:sz="4" w:space="0" w:color="FFFFFF"/>
              <w:bottom w:val="single" w:sz="4" w:space="0" w:color="FFFFFF"/>
              <w:right w:val="nil"/>
            </w:tcBorders>
            <w:shd w:val="clear" w:color="D9E1F2" w:fill="D9E1F2"/>
            <w:noWrap/>
            <w:vAlign w:val="bottom"/>
            <w:hideMark/>
          </w:tcPr>
          <w:p w14:paraId="574ABD6D" w14:textId="77777777" w:rsidR="000158F4" w:rsidRPr="000158F4" w:rsidRDefault="000158F4" w:rsidP="000158F4">
            <w:pPr>
              <w:jc w:val="right"/>
              <w:rPr>
                <w:rFonts w:eastAsia="Times New Roman" w:cstheme="minorHAnsi"/>
                <w:color w:val="333333"/>
                <w:sz w:val="18"/>
                <w:szCs w:val="18"/>
                <w:lang w:eastAsia="en-GB"/>
              </w:rPr>
            </w:pPr>
            <w:r w:rsidRPr="000158F4">
              <w:rPr>
                <w:rFonts w:eastAsia="Times New Roman" w:cstheme="minorHAnsi"/>
                <w:color w:val="333333"/>
                <w:sz w:val="18"/>
                <w:szCs w:val="18"/>
                <w:lang w:eastAsia="en-GB"/>
              </w:rPr>
              <w:t>61.5</w:t>
            </w:r>
          </w:p>
        </w:tc>
      </w:tr>
      <w:tr w:rsidR="000158F4" w:rsidRPr="009330E4" w14:paraId="3ADD4876" w14:textId="77777777" w:rsidTr="000158F4">
        <w:trPr>
          <w:trHeight w:val="227"/>
        </w:trPr>
        <w:tc>
          <w:tcPr>
            <w:tcW w:w="3437" w:type="dxa"/>
            <w:tcBorders>
              <w:top w:val="single" w:sz="4" w:space="0" w:color="FFFFFF"/>
              <w:left w:val="nil"/>
              <w:bottom w:val="single" w:sz="4" w:space="0" w:color="FFFFFF"/>
              <w:right w:val="single" w:sz="4" w:space="0" w:color="FFFFFF"/>
            </w:tcBorders>
            <w:shd w:val="clear" w:color="B4C6E7" w:fill="B4C6E7"/>
            <w:noWrap/>
            <w:vAlign w:val="bottom"/>
            <w:hideMark/>
          </w:tcPr>
          <w:p w14:paraId="083600D5" w14:textId="77777777" w:rsidR="000158F4" w:rsidRPr="000158F4" w:rsidRDefault="000158F4" w:rsidP="000158F4">
            <w:pPr>
              <w:rPr>
                <w:rFonts w:eastAsia="Times New Roman" w:cstheme="minorHAnsi"/>
                <w:color w:val="333333"/>
                <w:sz w:val="18"/>
                <w:szCs w:val="18"/>
                <w:lang w:eastAsia="en-GB"/>
              </w:rPr>
            </w:pPr>
            <w:r w:rsidRPr="000158F4">
              <w:rPr>
                <w:rFonts w:eastAsia="Times New Roman" w:cstheme="minorHAnsi"/>
                <w:color w:val="333333"/>
                <w:sz w:val="18"/>
                <w:szCs w:val="18"/>
                <w:lang w:eastAsia="en-GB"/>
              </w:rPr>
              <w:t>In employment</w:t>
            </w:r>
          </w:p>
        </w:tc>
        <w:tc>
          <w:tcPr>
            <w:tcW w:w="1517" w:type="dxa"/>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1ACA98F0" w14:textId="77777777" w:rsidR="000158F4" w:rsidRPr="000158F4" w:rsidRDefault="000158F4" w:rsidP="000158F4">
            <w:pPr>
              <w:jc w:val="right"/>
              <w:rPr>
                <w:rFonts w:eastAsia="Times New Roman" w:cstheme="minorHAnsi"/>
                <w:color w:val="333333"/>
                <w:sz w:val="18"/>
                <w:szCs w:val="18"/>
                <w:lang w:eastAsia="en-GB"/>
              </w:rPr>
            </w:pPr>
            <w:r w:rsidRPr="000158F4">
              <w:rPr>
                <w:rFonts w:eastAsia="Times New Roman" w:cstheme="minorHAnsi"/>
                <w:color w:val="333333"/>
                <w:sz w:val="18"/>
                <w:szCs w:val="18"/>
                <w:lang w:eastAsia="en-GB"/>
              </w:rPr>
              <w:t>69,811</w:t>
            </w:r>
          </w:p>
        </w:tc>
        <w:tc>
          <w:tcPr>
            <w:tcW w:w="817" w:type="dxa"/>
            <w:tcBorders>
              <w:top w:val="single" w:sz="4" w:space="0" w:color="FFFFFF"/>
              <w:left w:val="single" w:sz="4" w:space="0" w:color="FFFFFF"/>
              <w:bottom w:val="single" w:sz="4" w:space="0" w:color="FFFFFF"/>
              <w:right w:val="nil"/>
            </w:tcBorders>
            <w:shd w:val="clear" w:color="B4C6E7" w:fill="B4C6E7"/>
            <w:noWrap/>
            <w:vAlign w:val="bottom"/>
            <w:hideMark/>
          </w:tcPr>
          <w:p w14:paraId="6959F372" w14:textId="77777777" w:rsidR="000158F4" w:rsidRPr="000158F4" w:rsidRDefault="000158F4" w:rsidP="000158F4">
            <w:pPr>
              <w:jc w:val="right"/>
              <w:rPr>
                <w:rFonts w:eastAsia="Times New Roman" w:cstheme="minorHAnsi"/>
                <w:color w:val="333333"/>
                <w:sz w:val="18"/>
                <w:szCs w:val="18"/>
                <w:lang w:eastAsia="en-GB"/>
              </w:rPr>
            </w:pPr>
            <w:r w:rsidRPr="000158F4">
              <w:rPr>
                <w:rFonts w:eastAsia="Times New Roman" w:cstheme="minorHAnsi"/>
                <w:color w:val="333333"/>
                <w:sz w:val="18"/>
                <w:szCs w:val="18"/>
                <w:lang w:eastAsia="en-GB"/>
              </w:rPr>
              <w:t>52.1</w:t>
            </w:r>
          </w:p>
        </w:tc>
      </w:tr>
      <w:tr w:rsidR="000158F4" w:rsidRPr="009330E4" w14:paraId="7B0E2F6D" w14:textId="77777777" w:rsidTr="000158F4">
        <w:trPr>
          <w:trHeight w:val="227"/>
        </w:trPr>
        <w:tc>
          <w:tcPr>
            <w:tcW w:w="3437" w:type="dxa"/>
            <w:tcBorders>
              <w:top w:val="single" w:sz="4" w:space="0" w:color="FFFFFF"/>
              <w:left w:val="nil"/>
              <w:bottom w:val="single" w:sz="4" w:space="0" w:color="FFFFFF"/>
              <w:right w:val="single" w:sz="4" w:space="0" w:color="FFFFFF"/>
            </w:tcBorders>
            <w:shd w:val="clear" w:color="D9E1F2" w:fill="D9E1F2"/>
            <w:noWrap/>
            <w:vAlign w:val="bottom"/>
            <w:hideMark/>
          </w:tcPr>
          <w:p w14:paraId="5631ADDC" w14:textId="77777777" w:rsidR="000158F4" w:rsidRPr="000158F4" w:rsidRDefault="000158F4" w:rsidP="000158F4">
            <w:pPr>
              <w:rPr>
                <w:rFonts w:eastAsia="Times New Roman" w:cstheme="minorHAnsi"/>
                <w:color w:val="333333"/>
                <w:sz w:val="18"/>
                <w:szCs w:val="18"/>
                <w:lang w:eastAsia="en-GB"/>
              </w:rPr>
            </w:pPr>
            <w:r w:rsidRPr="000158F4">
              <w:rPr>
                <w:rFonts w:eastAsia="Times New Roman" w:cstheme="minorHAnsi"/>
                <w:color w:val="333333"/>
                <w:sz w:val="18"/>
                <w:szCs w:val="18"/>
                <w:lang w:eastAsia="en-GB"/>
              </w:rPr>
              <w:t>Employee: Part-time</w:t>
            </w:r>
          </w:p>
        </w:tc>
        <w:tc>
          <w:tcPr>
            <w:tcW w:w="1517" w:type="dxa"/>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4AE7A657" w14:textId="77777777" w:rsidR="000158F4" w:rsidRPr="000158F4" w:rsidRDefault="000158F4" w:rsidP="000158F4">
            <w:pPr>
              <w:jc w:val="right"/>
              <w:rPr>
                <w:rFonts w:eastAsia="Times New Roman" w:cstheme="minorHAnsi"/>
                <w:color w:val="333333"/>
                <w:sz w:val="18"/>
                <w:szCs w:val="18"/>
                <w:lang w:eastAsia="en-GB"/>
              </w:rPr>
            </w:pPr>
            <w:r w:rsidRPr="000158F4">
              <w:rPr>
                <w:rFonts w:eastAsia="Times New Roman" w:cstheme="minorHAnsi"/>
                <w:color w:val="333333"/>
                <w:sz w:val="18"/>
                <w:szCs w:val="18"/>
                <w:lang w:eastAsia="en-GB"/>
              </w:rPr>
              <w:t>18,578</w:t>
            </w:r>
          </w:p>
        </w:tc>
        <w:tc>
          <w:tcPr>
            <w:tcW w:w="817" w:type="dxa"/>
            <w:tcBorders>
              <w:top w:val="single" w:sz="4" w:space="0" w:color="FFFFFF"/>
              <w:left w:val="single" w:sz="4" w:space="0" w:color="FFFFFF"/>
              <w:bottom w:val="single" w:sz="4" w:space="0" w:color="FFFFFF"/>
              <w:right w:val="nil"/>
            </w:tcBorders>
            <w:shd w:val="clear" w:color="D9E1F2" w:fill="D9E1F2"/>
            <w:noWrap/>
            <w:vAlign w:val="bottom"/>
            <w:hideMark/>
          </w:tcPr>
          <w:p w14:paraId="33E53425" w14:textId="77777777" w:rsidR="000158F4" w:rsidRPr="000158F4" w:rsidRDefault="000158F4" w:rsidP="000158F4">
            <w:pPr>
              <w:jc w:val="right"/>
              <w:rPr>
                <w:rFonts w:eastAsia="Times New Roman" w:cstheme="minorHAnsi"/>
                <w:color w:val="333333"/>
                <w:sz w:val="18"/>
                <w:szCs w:val="18"/>
                <w:lang w:eastAsia="en-GB"/>
              </w:rPr>
            </w:pPr>
            <w:r w:rsidRPr="000158F4">
              <w:rPr>
                <w:rFonts w:eastAsia="Times New Roman" w:cstheme="minorHAnsi"/>
                <w:color w:val="333333"/>
                <w:sz w:val="18"/>
                <w:szCs w:val="18"/>
                <w:lang w:eastAsia="en-GB"/>
              </w:rPr>
              <w:t>13.9</w:t>
            </w:r>
          </w:p>
        </w:tc>
      </w:tr>
      <w:tr w:rsidR="000158F4" w:rsidRPr="009330E4" w14:paraId="62FE4610" w14:textId="77777777" w:rsidTr="000158F4">
        <w:trPr>
          <w:trHeight w:val="227"/>
        </w:trPr>
        <w:tc>
          <w:tcPr>
            <w:tcW w:w="3437" w:type="dxa"/>
            <w:tcBorders>
              <w:top w:val="single" w:sz="4" w:space="0" w:color="FFFFFF"/>
              <w:left w:val="nil"/>
              <w:bottom w:val="single" w:sz="4" w:space="0" w:color="FFFFFF"/>
              <w:right w:val="single" w:sz="4" w:space="0" w:color="FFFFFF"/>
            </w:tcBorders>
            <w:shd w:val="clear" w:color="B4C6E7" w:fill="B4C6E7"/>
            <w:noWrap/>
            <w:vAlign w:val="bottom"/>
            <w:hideMark/>
          </w:tcPr>
          <w:p w14:paraId="6A3E6D71" w14:textId="77777777" w:rsidR="000158F4" w:rsidRPr="000158F4" w:rsidRDefault="000158F4" w:rsidP="000158F4">
            <w:pPr>
              <w:rPr>
                <w:rFonts w:eastAsia="Times New Roman" w:cstheme="minorHAnsi"/>
                <w:color w:val="333333"/>
                <w:sz w:val="18"/>
                <w:szCs w:val="18"/>
                <w:lang w:eastAsia="en-GB"/>
              </w:rPr>
            </w:pPr>
            <w:r w:rsidRPr="000158F4">
              <w:rPr>
                <w:rFonts w:eastAsia="Times New Roman" w:cstheme="minorHAnsi"/>
                <w:color w:val="333333"/>
                <w:sz w:val="18"/>
                <w:szCs w:val="18"/>
                <w:lang w:eastAsia="en-GB"/>
              </w:rPr>
              <w:t>Employee: Full-time</w:t>
            </w:r>
          </w:p>
        </w:tc>
        <w:tc>
          <w:tcPr>
            <w:tcW w:w="1517" w:type="dxa"/>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77F98A33" w14:textId="77777777" w:rsidR="000158F4" w:rsidRPr="000158F4" w:rsidRDefault="000158F4" w:rsidP="000158F4">
            <w:pPr>
              <w:jc w:val="right"/>
              <w:rPr>
                <w:rFonts w:eastAsia="Times New Roman" w:cstheme="minorHAnsi"/>
                <w:color w:val="333333"/>
                <w:sz w:val="18"/>
                <w:szCs w:val="18"/>
                <w:lang w:eastAsia="en-GB"/>
              </w:rPr>
            </w:pPr>
            <w:r w:rsidRPr="000158F4">
              <w:rPr>
                <w:rFonts w:eastAsia="Times New Roman" w:cstheme="minorHAnsi"/>
                <w:color w:val="333333"/>
                <w:sz w:val="18"/>
                <w:szCs w:val="18"/>
                <w:lang w:eastAsia="en-GB"/>
              </w:rPr>
              <w:t>43,304</w:t>
            </w:r>
          </w:p>
        </w:tc>
        <w:tc>
          <w:tcPr>
            <w:tcW w:w="817" w:type="dxa"/>
            <w:tcBorders>
              <w:top w:val="single" w:sz="4" w:space="0" w:color="FFFFFF"/>
              <w:left w:val="single" w:sz="4" w:space="0" w:color="FFFFFF"/>
              <w:bottom w:val="single" w:sz="4" w:space="0" w:color="FFFFFF"/>
              <w:right w:val="nil"/>
            </w:tcBorders>
            <w:shd w:val="clear" w:color="B4C6E7" w:fill="B4C6E7"/>
            <w:noWrap/>
            <w:vAlign w:val="bottom"/>
            <w:hideMark/>
          </w:tcPr>
          <w:p w14:paraId="3B37B3EC" w14:textId="77777777" w:rsidR="000158F4" w:rsidRPr="000158F4" w:rsidRDefault="000158F4" w:rsidP="000158F4">
            <w:pPr>
              <w:jc w:val="right"/>
              <w:rPr>
                <w:rFonts w:eastAsia="Times New Roman" w:cstheme="minorHAnsi"/>
                <w:color w:val="333333"/>
                <w:sz w:val="18"/>
                <w:szCs w:val="18"/>
                <w:lang w:eastAsia="en-GB"/>
              </w:rPr>
            </w:pPr>
            <w:r w:rsidRPr="000158F4">
              <w:rPr>
                <w:rFonts w:eastAsia="Times New Roman" w:cstheme="minorHAnsi"/>
                <w:color w:val="333333"/>
                <w:sz w:val="18"/>
                <w:szCs w:val="18"/>
                <w:lang w:eastAsia="en-GB"/>
              </w:rPr>
              <w:t>32.3</w:t>
            </w:r>
          </w:p>
        </w:tc>
      </w:tr>
      <w:tr w:rsidR="000158F4" w:rsidRPr="009330E4" w14:paraId="37C6AA9C" w14:textId="77777777" w:rsidTr="000158F4">
        <w:trPr>
          <w:trHeight w:val="227"/>
        </w:trPr>
        <w:tc>
          <w:tcPr>
            <w:tcW w:w="3437" w:type="dxa"/>
            <w:tcBorders>
              <w:top w:val="single" w:sz="4" w:space="0" w:color="FFFFFF"/>
              <w:left w:val="nil"/>
              <w:bottom w:val="single" w:sz="4" w:space="0" w:color="FFFFFF"/>
              <w:right w:val="single" w:sz="4" w:space="0" w:color="FFFFFF"/>
            </w:tcBorders>
            <w:shd w:val="clear" w:color="D9E1F2" w:fill="D9E1F2"/>
            <w:noWrap/>
            <w:vAlign w:val="bottom"/>
            <w:hideMark/>
          </w:tcPr>
          <w:p w14:paraId="4FD2D224" w14:textId="77777777" w:rsidR="000158F4" w:rsidRPr="000158F4" w:rsidRDefault="000158F4" w:rsidP="000158F4">
            <w:pPr>
              <w:rPr>
                <w:rFonts w:eastAsia="Times New Roman" w:cstheme="minorHAnsi"/>
                <w:color w:val="333333"/>
                <w:sz w:val="18"/>
                <w:szCs w:val="18"/>
                <w:lang w:eastAsia="en-GB"/>
              </w:rPr>
            </w:pPr>
            <w:r w:rsidRPr="000158F4">
              <w:rPr>
                <w:rFonts w:eastAsia="Times New Roman" w:cstheme="minorHAnsi"/>
                <w:color w:val="333333"/>
                <w:sz w:val="18"/>
                <w:szCs w:val="18"/>
                <w:lang w:eastAsia="en-GB"/>
              </w:rPr>
              <w:t>Self-employed</w:t>
            </w:r>
          </w:p>
        </w:tc>
        <w:tc>
          <w:tcPr>
            <w:tcW w:w="1517" w:type="dxa"/>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65D4925B" w14:textId="77777777" w:rsidR="000158F4" w:rsidRPr="000158F4" w:rsidRDefault="000158F4" w:rsidP="000158F4">
            <w:pPr>
              <w:jc w:val="right"/>
              <w:rPr>
                <w:rFonts w:eastAsia="Times New Roman" w:cstheme="minorHAnsi"/>
                <w:color w:val="333333"/>
                <w:sz w:val="18"/>
                <w:szCs w:val="18"/>
                <w:lang w:eastAsia="en-GB"/>
              </w:rPr>
            </w:pPr>
            <w:r w:rsidRPr="000158F4">
              <w:rPr>
                <w:rFonts w:eastAsia="Times New Roman" w:cstheme="minorHAnsi"/>
                <w:color w:val="333333"/>
                <w:sz w:val="18"/>
                <w:szCs w:val="18"/>
                <w:lang w:eastAsia="en-GB"/>
              </w:rPr>
              <w:t>7,929</w:t>
            </w:r>
          </w:p>
        </w:tc>
        <w:tc>
          <w:tcPr>
            <w:tcW w:w="817" w:type="dxa"/>
            <w:tcBorders>
              <w:top w:val="single" w:sz="4" w:space="0" w:color="FFFFFF"/>
              <w:left w:val="single" w:sz="4" w:space="0" w:color="FFFFFF"/>
              <w:bottom w:val="single" w:sz="4" w:space="0" w:color="FFFFFF"/>
              <w:right w:val="nil"/>
            </w:tcBorders>
            <w:shd w:val="clear" w:color="D9E1F2" w:fill="D9E1F2"/>
            <w:noWrap/>
            <w:vAlign w:val="bottom"/>
            <w:hideMark/>
          </w:tcPr>
          <w:p w14:paraId="26FFA0C0" w14:textId="77777777" w:rsidR="000158F4" w:rsidRPr="000158F4" w:rsidRDefault="000158F4" w:rsidP="000158F4">
            <w:pPr>
              <w:jc w:val="right"/>
              <w:rPr>
                <w:rFonts w:eastAsia="Times New Roman" w:cstheme="minorHAnsi"/>
                <w:color w:val="333333"/>
                <w:sz w:val="18"/>
                <w:szCs w:val="18"/>
                <w:lang w:eastAsia="en-GB"/>
              </w:rPr>
            </w:pPr>
            <w:r w:rsidRPr="000158F4">
              <w:rPr>
                <w:rFonts w:eastAsia="Times New Roman" w:cstheme="minorHAnsi"/>
                <w:color w:val="333333"/>
                <w:sz w:val="18"/>
                <w:szCs w:val="18"/>
                <w:lang w:eastAsia="en-GB"/>
              </w:rPr>
              <w:t>5.9</w:t>
            </w:r>
          </w:p>
        </w:tc>
      </w:tr>
      <w:tr w:rsidR="000158F4" w:rsidRPr="009330E4" w14:paraId="4720EAA8" w14:textId="77777777" w:rsidTr="000158F4">
        <w:trPr>
          <w:trHeight w:val="227"/>
        </w:trPr>
        <w:tc>
          <w:tcPr>
            <w:tcW w:w="3437" w:type="dxa"/>
            <w:tcBorders>
              <w:top w:val="single" w:sz="4" w:space="0" w:color="FFFFFF"/>
              <w:left w:val="nil"/>
              <w:bottom w:val="single" w:sz="4" w:space="0" w:color="FFFFFF"/>
              <w:right w:val="single" w:sz="4" w:space="0" w:color="FFFFFF"/>
            </w:tcBorders>
            <w:shd w:val="clear" w:color="B4C6E7" w:fill="B4C6E7"/>
            <w:noWrap/>
            <w:vAlign w:val="bottom"/>
            <w:hideMark/>
          </w:tcPr>
          <w:p w14:paraId="5B8BF9BD" w14:textId="77777777" w:rsidR="000158F4" w:rsidRPr="000158F4" w:rsidRDefault="000158F4" w:rsidP="000158F4">
            <w:pPr>
              <w:rPr>
                <w:rFonts w:eastAsia="Times New Roman" w:cstheme="minorHAnsi"/>
                <w:color w:val="333333"/>
                <w:sz w:val="18"/>
                <w:szCs w:val="18"/>
                <w:lang w:eastAsia="en-GB"/>
              </w:rPr>
            </w:pPr>
            <w:r w:rsidRPr="000158F4">
              <w:rPr>
                <w:rFonts w:eastAsia="Times New Roman" w:cstheme="minorHAnsi"/>
                <w:color w:val="333333"/>
                <w:sz w:val="18"/>
                <w:szCs w:val="18"/>
                <w:lang w:eastAsia="en-GB"/>
              </w:rPr>
              <w:t>Unemployed</w:t>
            </w:r>
          </w:p>
        </w:tc>
        <w:tc>
          <w:tcPr>
            <w:tcW w:w="1517" w:type="dxa"/>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23F8A40C" w14:textId="77777777" w:rsidR="000158F4" w:rsidRPr="000158F4" w:rsidRDefault="000158F4" w:rsidP="000158F4">
            <w:pPr>
              <w:jc w:val="right"/>
              <w:rPr>
                <w:rFonts w:eastAsia="Times New Roman" w:cstheme="minorHAnsi"/>
                <w:color w:val="333333"/>
                <w:sz w:val="18"/>
                <w:szCs w:val="18"/>
                <w:lang w:eastAsia="en-GB"/>
              </w:rPr>
            </w:pPr>
            <w:r w:rsidRPr="000158F4">
              <w:rPr>
                <w:rFonts w:eastAsia="Times New Roman" w:cstheme="minorHAnsi"/>
                <w:color w:val="333333"/>
                <w:sz w:val="18"/>
                <w:szCs w:val="18"/>
                <w:lang w:eastAsia="en-GB"/>
              </w:rPr>
              <w:t>5,550</w:t>
            </w:r>
          </w:p>
        </w:tc>
        <w:tc>
          <w:tcPr>
            <w:tcW w:w="817" w:type="dxa"/>
            <w:tcBorders>
              <w:top w:val="single" w:sz="4" w:space="0" w:color="FFFFFF"/>
              <w:left w:val="single" w:sz="4" w:space="0" w:color="FFFFFF"/>
              <w:bottom w:val="single" w:sz="4" w:space="0" w:color="FFFFFF"/>
              <w:right w:val="nil"/>
            </w:tcBorders>
            <w:shd w:val="clear" w:color="B4C6E7" w:fill="B4C6E7"/>
            <w:noWrap/>
            <w:vAlign w:val="bottom"/>
            <w:hideMark/>
          </w:tcPr>
          <w:p w14:paraId="14BA38C7" w14:textId="77777777" w:rsidR="000158F4" w:rsidRPr="000158F4" w:rsidRDefault="000158F4" w:rsidP="000158F4">
            <w:pPr>
              <w:jc w:val="right"/>
              <w:rPr>
                <w:rFonts w:eastAsia="Times New Roman" w:cstheme="minorHAnsi"/>
                <w:color w:val="333333"/>
                <w:sz w:val="18"/>
                <w:szCs w:val="18"/>
                <w:lang w:eastAsia="en-GB"/>
              </w:rPr>
            </w:pPr>
            <w:r w:rsidRPr="000158F4">
              <w:rPr>
                <w:rFonts w:eastAsia="Times New Roman" w:cstheme="minorHAnsi"/>
                <w:color w:val="333333"/>
                <w:sz w:val="18"/>
                <w:szCs w:val="18"/>
                <w:lang w:eastAsia="en-GB"/>
              </w:rPr>
              <w:t>4.1</w:t>
            </w:r>
          </w:p>
        </w:tc>
      </w:tr>
      <w:tr w:rsidR="000158F4" w:rsidRPr="009330E4" w14:paraId="729452FF" w14:textId="77777777" w:rsidTr="000158F4">
        <w:trPr>
          <w:trHeight w:val="227"/>
        </w:trPr>
        <w:tc>
          <w:tcPr>
            <w:tcW w:w="3437" w:type="dxa"/>
            <w:tcBorders>
              <w:top w:val="single" w:sz="4" w:space="0" w:color="FFFFFF"/>
              <w:left w:val="nil"/>
              <w:bottom w:val="single" w:sz="4" w:space="0" w:color="FFFFFF"/>
              <w:right w:val="single" w:sz="4" w:space="0" w:color="FFFFFF"/>
            </w:tcBorders>
            <w:shd w:val="clear" w:color="D9E1F2" w:fill="D9E1F2"/>
            <w:noWrap/>
            <w:vAlign w:val="bottom"/>
            <w:hideMark/>
          </w:tcPr>
          <w:p w14:paraId="54D709FE" w14:textId="77777777" w:rsidR="000158F4" w:rsidRPr="000158F4" w:rsidRDefault="000158F4" w:rsidP="000158F4">
            <w:pPr>
              <w:rPr>
                <w:rFonts w:eastAsia="Times New Roman" w:cstheme="minorHAnsi"/>
                <w:color w:val="333333"/>
                <w:sz w:val="18"/>
                <w:szCs w:val="18"/>
                <w:lang w:eastAsia="en-GB"/>
              </w:rPr>
            </w:pPr>
            <w:r w:rsidRPr="000158F4">
              <w:rPr>
                <w:rFonts w:eastAsia="Times New Roman" w:cstheme="minorHAnsi"/>
                <w:color w:val="333333"/>
                <w:sz w:val="18"/>
                <w:szCs w:val="18"/>
                <w:lang w:eastAsia="en-GB"/>
              </w:rPr>
              <w:t>Full-time student</w:t>
            </w:r>
          </w:p>
        </w:tc>
        <w:tc>
          <w:tcPr>
            <w:tcW w:w="1517" w:type="dxa"/>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58A742BE" w14:textId="77777777" w:rsidR="000158F4" w:rsidRPr="000158F4" w:rsidRDefault="000158F4" w:rsidP="000158F4">
            <w:pPr>
              <w:jc w:val="right"/>
              <w:rPr>
                <w:rFonts w:eastAsia="Times New Roman" w:cstheme="minorHAnsi"/>
                <w:color w:val="333333"/>
                <w:sz w:val="18"/>
                <w:szCs w:val="18"/>
                <w:lang w:eastAsia="en-GB"/>
              </w:rPr>
            </w:pPr>
            <w:r w:rsidRPr="000158F4">
              <w:rPr>
                <w:rFonts w:eastAsia="Times New Roman" w:cstheme="minorHAnsi"/>
                <w:color w:val="333333"/>
                <w:sz w:val="18"/>
                <w:szCs w:val="18"/>
                <w:lang w:eastAsia="en-GB"/>
              </w:rPr>
              <w:t>7,055</w:t>
            </w:r>
          </w:p>
        </w:tc>
        <w:tc>
          <w:tcPr>
            <w:tcW w:w="817" w:type="dxa"/>
            <w:tcBorders>
              <w:top w:val="single" w:sz="4" w:space="0" w:color="FFFFFF"/>
              <w:left w:val="single" w:sz="4" w:space="0" w:color="FFFFFF"/>
              <w:bottom w:val="single" w:sz="4" w:space="0" w:color="FFFFFF"/>
              <w:right w:val="nil"/>
            </w:tcBorders>
            <w:shd w:val="clear" w:color="D9E1F2" w:fill="D9E1F2"/>
            <w:noWrap/>
            <w:vAlign w:val="bottom"/>
            <w:hideMark/>
          </w:tcPr>
          <w:p w14:paraId="23B85B53" w14:textId="77777777" w:rsidR="000158F4" w:rsidRPr="000158F4" w:rsidRDefault="000158F4" w:rsidP="000158F4">
            <w:pPr>
              <w:jc w:val="right"/>
              <w:rPr>
                <w:rFonts w:eastAsia="Times New Roman" w:cstheme="minorHAnsi"/>
                <w:color w:val="333333"/>
                <w:sz w:val="18"/>
                <w:szCs w:val="18"/>
                <w:lang w:eastAsia="en-GB"/>
              </w:rPr>
            </w:pPr>
            <w:r w:rsidRPr="000158F4">
              <w:rPr>
                <w:rFonts w:eastAsia="Times New Roman" w:cstheme="minorHAnsi"/>
                <w:color w:val="333333"/>
                <w:sz w:val="18"/>
                <w:szCs w:val="18"/>
                <w:lang w:eastAsia="en-GB"/>
              </w:rPr>
              <w:t>5.3</w:t>
            </w:r>
          </w:p>
        </w:tc>
      </w:tr>
      <w:tr w:rsidR="000158F4" w:rsidRPr="009330E4" w14:paraId="1448AE54" w14:textId="77777777" w:rsidTr="000158F4">
        <w:trPr>
          <w:trHeight w:val="227"/>
        </w:trPr>
        <w:tc>
          <w:tcPr>
            <w:tcW w:w="3437" w:type="dxa"/>
            <w:tcBorders>
              <w:top w:val="single" w:sz="4" w:space="0" w:color="FFFFFF"/>
              <w:left w:val="nil"/>
              <w:bottom w:val="single" w:sz="4" w:space="0" w:color="FFFFFF"/>
              <w:right w:val="single" w:sz="4" w:space="0" w:color="FFFFFF"/>
            </w:tcBorders>
            <w:shd w:val="clear" w:color="B4C6E7" w:fill="B4C6E7"/>
            <w:noWrap/>
            <w:vAlign w:val="bottom"/>
            <w:hideMark/>
          </w:tcPr>
          <w:p w14:paraId="3F40E44B" w14:textId="77777777" w:rsidR="000158F4" w:rsidRPr="000158F4" w:rsidRDefault="000158F4" w:rsidP="000158F4">
            <w:pPr>
              <w:rPr>
                <w:rFonts w:eastAsia="Times New Roman" w:cstheme="minorHAnsi"/>
                <w:color w:val="333333"/>
                <w:sz w:val="18"/>
                <w:szCs w:val="18"/>
                <w:lang w:eastAsia="en-GB"/>
              </w:rPr>
            </w:pPr>
            <w:r w:rsidRPr="000158F4">
              <w:rPr>
                <w:rFonts w:eastAsia="Times New Roman" w:cstheme="minorHAnsi"/>
                <w:color w:val="333333"/>
                <w:sz w:val="18"/>
                <w:szCs w:val="18"/>
                <w:lang w:eastAsia="en-GB"/>
              </w:rPr>
              <w:t>Economically Inactive</w:t>
            </w:r>
          </w:p>
        </w:tc>
        <w:tc>
          <w:tcPr>
            <w:tcW w:w="1517" w:type="dxa"/>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3782DB33" w14:textId="77777777" w:rsidR="000158F4" w:rsidRPr="000158F4" w:rsidRDefault="000158F4" w:rsidP="000158F4">
            <w:pPr>
              <w:jc w:val="right"/>
              <w:rPr>
                <w:rFonts w:eastAsia="Times New Roman" w:cstheme="minorHAnsi"/>
                <w:color w:val="333333"/>
                <w:sz w:val="18"/>
                <w:szCs w:val="18"/>
                <w:lang w:eastAsia="en-GB"/>
              </w:rPr>
            </w:pPr>
            <w:r w:rsidRPr="000158F4">
              <w:rPr>
                <w:rFonts w:eastAsia="Times New Roman" w:cstheme="minorHAnsi"/>
                <w:color w:val="333333"/>
                <w:sz w:val="18"/>
                <w:szCs w:val="18"/>
                <w:lang w:eastAsia="en-GB"/>
              </w:rPr>
              <w:t>51,509</w:t>
            </w:r>
          </w:p>
        </w:tc>
        <w:tc>
          <w:tcPr>
            <w:tcW w:w="817" w:type="dxa"/>
            <w:tcBorders>
              <w:top w:val="single" w:sz="4" w:space="0" w:color="FFFFFF"/>
              <w:left w:val="single" w:sz="4" w:space="0" w:color="FFFFFF"/>
              <w:bottom w:val="single" w:sz="4" w:space="0" w:color="FFFFFF"/>
              <w:right w:val="nil"/>
            </w:tcBorders>
            <w:shd w:val="clear" w:color="B4C6E7" w:fill="B4C6E7"/>
            <w:noWrap/>
            <w:vAlign w:val="bottom"/>
            <w:hideMark/>
          </w:tcPr>
          <w:p w14:paraId="32201815" w14:textId="77777777" w:rsidR="000158F4" w:rsidRPr="000158F4" w:rsidRDefault="000158F4" w:rsidP="000158F4">
            <w:pPr>
              <w:jc w:val="right"/>
              <w:rPr>
                <w:rFonts w:eastAsia="Times New Roman" w:cstheme="minorHAnsi"/>
                <w:color w:val="333333"/>
                <w:sz w:val="18"/>
                <w:szCs w:val="18"/>
                <w:lang w:eastAsia="en-GB"/>
              </w:rPr>
            </w:pPr>
            <w:r w:rsidRPr="000158F4">
              <w:rPr>
                <w:rFonts w:eastAsia="Times New Roman" w:cstheme="minorHAnsi"/>
                <w:color w:val="333333"/>
                <w:sz w:val="18"/>
                <w:szCs w:val="18"/>
                <w:lang w:eastAsia="en-GB"/>
              </w:rPr>
              <w:t>38.5</w:t>
            </w:r>
          </w:p>
        </w:tc>
      </w:tr>
      <w:tr w:rsidR="000158F4" w:rsidRPr="009330E4" w14:paraId="33DCBCA6" w14:textId="77777777" w:rsidTr="000158F4">
        <w:trPr>
          <w:trHeight w:val="227"/>
        </w:trPr>
        <w:tc>
          <w:tcPr>
            <w:tcW w:w="3437" w:type="dxa"/>
            <w:tcBorders>
              <w:top w:val="single" w:sz="4" w:space="0" w:color="FFFFFF"/>
              <w:left w:val="nil"/>
              <w:bottom w:val="single" w:sz="4" w:space="0" w:color="FFFFFF"/>
              <w:right w:val="single" w:sz="4" w:space="0" w:color="FFFFFF"/>
            </w:tcBorders>
            <w:shd w:val="clear" w:color="D9E1F2" w:fill="D9E1F2"/>
            <w:noWrap/>
            <w:vAlign w:val="bottom"/>
            <w:hideMark/>
          </w:tcPr>
          <w:p w14:paraId="4354980B" w14:textId="77777777" w:rsidR="000158F4" w:rsidRPr="000158F4" w:rsidRDefault="000158F4" w:rsidP="000158F4">
            <w:pPr>
              <w:rPr>
                <w:rFonts w:eastAsia="Times New Roman" w:cstheme="minorHAnsi"/>
                <w:color w:val="333333"/>
                <w:sz w:val="18"/>
                <w:szCs w:val="18"/>
                <w:lang w:eastAsia="en-GB"/>
              </w:rPr>
            </w:pPr>
            <w:r w:rsidRPr="000158F4">
              <w:rPr>
                <w:rFonts w:eastAsia="Times New Roman" w:cstheme="minorHAnsi"/>
                <w:color w:val="333333"/>
                <w:sz w:val="18"/>
                <w:szCs w:val="18"/>
                <w:lang w:eastAsia="en-GB"/>
              </w:rPr>
              <w:t>Retired</w:t>
            </w:r>
          </w:p>
        </w:tc>
        <w:tc>
          <w:tcPr>
            <w:tcW w:w="1517" w:type="dxa"/>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1F59BB6F" w14:textId="77777777" w:rsidR="000158F4" w:rsidRPr="000158F4" w:rsidRDefault="000158F4" w:rsidP="000158F4">
            <w:pPr>
              <w:jc w:val="right"/>
              <w:rPr>
                <w:rFonts w:eastAsia="Times New Roman" w:cstheme="minorHAnsi"/>
                <w:color w:val="333333"/>
                <w:sz w:val="18"/>
                <w:szCs w:val="18"/>
                <w:lang w:eastAsia="en-GB"/>
              </w:rPr>
            </w:pPr>
            <w:r w:rsidRPr="000158F4">
              <w:rPr>
                <w:rFonts w:eastAsia="Times New Roman" w:cstheme="minorHAnsi"/>
                <w:color w:val="333333"/>
                <w:sz w:val="18"/>
                <w:szCs w:val="18"/>
                <w:lang w:eastAsia="en-GB"/>
              </w:rPr>
              <w:t>19,666</w:t>
            </w:r>
          </w:p>
        </w:tc>
        <w:tc>
          <w:tcPr>
            <w:tcW w:w="817" w:type="dxa"/>
            <w:tcBorders>
              <w:top w:val="single" w:sz="4" w:space="0" w:color="FFFFFF"/>
              <w:left w:val="single" w:sz="4" w:space="0" w:color="FFFFFF"/>
              <w:bottom w:val="single" w:sz="4" w:space="0" w:color="FFFFFF"/>
              <w:right w:val="nil"/>
            </w:tcBorders>
            <w:shd w:val="clear" w:color="D9E1F2" w:fill="D9E1F2"/>
            <w:noWrap/>
            <w:vAlign w:val="bottom"/>
            <w:hideMark/>
          </w:tcPr>
          <w:p w14:paraId="50785835" w14:textId="77777777" w:rsidR="000158F4" w:rsidRPr="000158F4" w:rsidRDefault="000158F4" w:rsidP="000158F4">
            <w:pPr>
              <w:jc w:val="right"/>
              <w:rPr>
                <w:rFonts w:eastAsia="Times New Roman" w:cstheme="minorHAnsi"/>
                <w:color w:val="333333"/>
                <w:sz w:val="18"/>
                <w:szCs w:val="18"/>
                <w:lang w:eastAsia="en-GB"/>
              </w:rPr>
            </w:pPr>
            <w:r w:rsidRPr="000158F4">
              <w:rPr>
                <w:rFonts w:eastAsia="Times New Roman" w:cstheme="minorHAnsi"/>
                <w:color w:val="333333"/>
                <w:sz w:val="18"/>
                <w:szCs w:val="18"/>
                <w:lang w:eastAsia="en-GB"/>
              </w:rPr>
              <w:t>14.7</w:t>
            </w:r>
          </w:p>
        </w:tc>
      </w:tr>
      <w:tr w:rsidR="000158F4" w:rsidRPr="009330E4" w14:paraId="3F05E38F" w14:textId="77777777" w:rsidTr="000158F4">
        <w:trPr>
          <w:trHeight w:val="227"/>
        </w:trPr>
        <w:tc>
          <w:tcPr>
            <w:tcW w:w="3437" w:type="dxa"/>
            <w:tcBorders>
              <w:top w:val="single" w:sz="4" w:space="0" w:color="FFFFFF"/>
              <w:left w:val="nil"/>
              <w:bottom w:val="single" w:sz="4" w:space="0" w:color="FFFFFF"/>
              <w:right w:val="single" w:sz="4" w:space="0" w:color="FFFFFF"/>
            </w:tcBorders>
            <w:shd w:val="clear" w:color="B4C6E7" w:fill="B4C6E7"/>
            <w:noWrap/>
            <w:vAlign w:val="bottom"/>
            <w:hideMark/>
          </w:tcPr>
          <w:p w14:paraId="363E0C83" w14:textId="77777777" w:rsidR="000158F4" w:rsidRPr="000158F4" w:rsidRDefault="000158F4" w:rsidP="000158F4">
            <w:pPr>
              <w:rPr>
                <w:rFonts w:eastAsia="Times New Roman" w:cstheme="minorHAnsi"/>
                <w:color w:val="333333"/>
                <w:sz w:val="18"/>
                <w:szCs w:val="18"/>
                <w:lang w:eastAsia="en-GB"/>
              </w:rPr>
            </w:pPr>
            <w:r w:rsidRPr="000158F4">
              <w:rPr>
                <w:rFonts w:eastAsia="Times New Roman" w:cstheme="minorHAnsi"/>
                <w:color w:val="333333"/>
                <w:sz w:val="18"/>
                <w:szCs w:val="18"/>
                <w:lang w:eastAsia="en-GB"/>
              </w:rPr>
              <w:t>Student (including full-time students)</w:t>
            </w:r>
          </w:p>
        </w:tc>
        <w:tc>
          <w:tcPr>
            <w:tcW w:w="1517" w:type="dxa"/>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0572E020" w14:textId="77777777" w:rsidR="000158F4" w:rsidRPr="000158F4" w:rsidRDefault="000158F4" w:rsidP="000158F4">
            <w:pPr>
              <w:jc w:val="right"/>
              <w:rPr>
                <w:rFonts w:eastAsia="Times New Roman" w:cstheme="minorHAnsi"/>
                <w:color w:val="333333"/>
                <w:sz w:val="18"/>
                <w:szCs w:val="18"/>
                <w:lang w:eastAsia="en-GB"/>
              </w:rPr>
            </w:pPr>
            <w:r w:rsidRPr="000158F4">
              <w:rPr>
                <w:rFonts w:eastAsia="Times New Roman" w:cstheme="minorHAnsi"/>
                <w:color w:val="333333"/>
                <w:sz w:val="18"/>
                <w:szCs w:val="18"/>
                <w:lang w:eastAsia="en-GB"/>
              </w:rPr>
              <w:t>13,639</w:t>
            </w:r>
          </w:p>
        </w:tc>
        <w:tc>
          <w:tcPr>
            <w:tcW w:w="817" w:type="dxa"/>
            <w:tcBorders>
              <w:top w:val="single" w:sz="4" w:space="0" w:color="FFFFFF"/>
              <w:left w:val="single" w:sz="4" w:space="0" w:color="FFFFFF"/>
              <w:bottom w:val="single" w:sz="4" w:space="0" w:color="FFFFFF"/>
              <w:right w:val="nil"/>
            </w:tcBorders>
            <w:shd w:val="clear" w:color="B4C6E7" w:fill="B4C6E7"/>
            <w:noWrap/>
            <w:vAlign w:val="bottom"/>
            <w:hideMark/>
          </w:tcPr>
          <w:p w14:paraId="230CD9A2" w14:textId="77777777" w:rsidR="000158F4" w:rsidRPr="000158F4" w:rsidRDefault="000158F4" w:rsidP="000158F4">
            <w:pPr>
              <w:jc w:val="right"/>
              <w:rPr>
                <w:rFonts w:eastAsia="Times New Roman" w:cstheme="minorHAnsi"/>
                <w:color w:val="333333"/>
                <w:sz w:val="18"/>
                <w:szCs w:val="18"/>
                <w:lang w:eastAsia="en-GB"/>
              </w:rPr>
            </w:pPr>
            <w:r w:rsidRPr="000158F4">
              <w:rPr>
                <w:rFonts w:eastAsia="Times New Roman" w:cstheme="minorHAnsi"/>
                <w:color w:val="333333"/>
                <w:sz w:val="18"/>
                <w:szCs w:val="18"/>
                <w:lang w:eastAsia="en-GB"/>
              </w:rPr>
              <w:t>10.2</w:t>
            </w:r>
          </w:p>
        </w:tc>
      </w:tr>
      <w:tr w:rsidR="000158F4" w:rsidRPr="009330E4" w14:paraId="5CA083E7" w14:textId="77777777" w:rsidTr="000158F4">
        <w:trPr>
          <w:trHeight w:val="227"/>
        </w:trPr>
        <w:tc>
          <w:tcPr>
            <w:tcW w:w="3437" w:type="dxa"/>
            <w:tcBorders>
              <w:top w:val="single" w:sz="4" w:space="0" w:color="FFFFFF"/>
              <w:left w:val="nil"/>
              <w:bottom w:val="single" w:sz="4" w:space="0" w:color="FFFFFF"/>
              <w:right w:val="single" w:sz="4" w:space="0" w:color="FFFFFF"/>
            </w:tcBorders>
            <w:shd w:val="clear" w:color="D9E1F2" w:fill="D9E1F2"/>
            <w:noWrap/>
            <w:vAlign w:val="bottom"/>
            <w:hideMark/>
          </w:tcPr>
          <w:p w14:paraId="5FF7B845" w14:textId="77777777" w:rsidR="000158F4" w:rsidRPr="000158F4" w:rsidRDefault="000158F4" w:rsidP="000158F4">
            <w:pPr>
              <w:rPr>
                <w:rFonts w:eastAsia="Times New Roman" w:cstheme="minorHAnsi"/>
                <w:color w:val="333333"/>
                <w:sz w:val="18"/>
                <w:szCs w:val="18"/>
                <w:lang w:eastAsia="en-GB"/>
              </w:rPr>
            </w:pPr>
            <w:r w:rsidRPr="000158F4">
              <w:rPr>
                <w:rFonts w:eastAsia="Times New Roman" w:cstheme="minorHAnsi"/>
                <w:color w:val="333333"/>
                <w:sz w:val="18"/>
                <w:szCs w:val="18"/>
                <w:lang w:eastAsia="en-GB"/>
              </w:rPr>
              <w:t>Looking after home or family</w:t>
            </w:r>
          </w:p>
        </w:tc>
        <w:tc>
          <w:tcPr>
            <w:tcW w:w="1517" w:type="dxa"/>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3D65084E" w14:textId="77777777" w:rsidR="000158F4" w:rsidRPr="000158F4" w:rsidRDefault="000158F4" w:rsidP="000158F4">
            <w:pPr>
              <w:jc w:val="right"/>
              <w:rPr>
                <w:rFonts w:eastAsia="Times New Roman" w:cstheme="minorHAnsi"/>
                <w:color w:val="333333"/>
                <w:sz w:val="18"/>
                <w:szCs w:val="18"/>
                <w:lang w:eastAsia="en-GB"/>
              </w:rPr>
            </w:pPr>
            <w:r w:rsidRPr="000158F4">
              <w:rPr>
                <w:rFonts w:eastAsia="Times New Roman" w:cstheme="minorHAnsi"/>
                <w:color w:val="333333"/>
                <w:sz w:val="18"/>
                <w:szCs w:val="18"/>
                <w:lang w:eastAsia="en-GB"/>
              </w:rPr>
              <w:t>5,248</w:t>
            </w:r>
          </w:p>
        </w:tc>
        <w:tc>
          <w:tcPr>
            <w:tcW w:w="817" w:type="dxa"/>
            <w:tcBorders>
              <w:top w:val="single" w:sz="4" w:space="0" w:color="FFFFFF"/>
              <w:left w:val="single" w:sz="4" w:space="0" w:color="FFFFFF"/>
              <w:bottom w:val="single" w:sz="4" w:space="0" w:color="FFFFFF"/>
              <w:right w:val="nil"/>
            </w:tcBorders>
            <w:shd w:val="clear" w:color="D9E1F2" w:fill="D9E1F2"/>
            <w:noWrap/>
            <w:vAlign w:val="bottom"/>
            <w:hideMark/>
          </w:tcPr>
          <w:p w14:paraId="67FC7EFC" w14:textId="77777777" w:rsidR="000158F4" w:rsidRPr="000158F4" w:rsidRDefault="000158F4" w:rsidP="000158F4">
            <w:pPr>
              <w:jc w:val="right"/>
              <w:rPr>
                <w:rFonts w:eastAsia="Times New Roman" w:cstheme="minorHAnsi"/>
                <w:color w:val="333333"/>
                <w:sz w:val="18"/>
                <w:szCs w:val="18"/>
                <w:lang w:eastAsia="en-GB"/>
              </w:rPr>
            </w:pPr>
            <w:r w:rsidRPr="000158F4">
              <w:rPr>
                <w:rFonts w:eastAsia="Times New Roman" w:cstheme="minorHAnsi"/>
                <w:color w:val="333333"/>
                <w:sz w:val="18"/>
                <w:szCs w:val="18"/>
                <w:lang w:eastAsia="en-GB"/>
              </w:rPr>
              <w:t>3.9</w:t>
            </w:r>
          </w:p>
        </w:tc>
      </w:tr>
      <w:tr w:rsidR="000158F4" w:rsidRPr="009330E4" w14:paraId="69CF65AB" w14:textId="77777777" w:rsidTr="000158F4">
        <w:trPr>
          <w:trHeight w:val="227"/>
        </w:trPr>
        <w:tc>
          <w:tcPr>
            <w:tcW w:w="3437" w:type="dxa"/>
            <w:tcBorders>
              <w:top w:val="single" w:sz="4" w:space="0" w:color="FFFFFF"/>
              <w:left w:val="nil"/>
              <w:bottom w:val="single" w:sz="4" w:space="0" w:color="FFFFFF"/>
              <w:right w:val="single" w:sz="4" w:space="0" w:color="FFFFFF"/>
            </w:tcBorders>
            <w:shd w:val="clear" w:color="B4C6E7" w:fill="B4C6E7"/>
            <w:noWrap/>
            <w:vAlign w:val="bottom"/>
            <w:hideMark/>
          </w:tcPr>
          <w:p w14:paraId="14F12683" w14:textId="77777777" w:rsidR="000158F4" w:rsidRPr="000158F4" w:rsidRDefault="000158F4" w:rsidP="000158F4">
            <w:pPr>
              <w:rPr>
                <w:rFonts w:eastAsia="Times New Roman" w:cstheme="minorHAnsi"/>
                <w:color w:val="333333"/>
                <w:sz w:val="18"/>
                <w:szCs w:val="18"/>
                <w:lang w:eastAsia="en-GB"/>
              </w:rPr>
            </w:pPr>
            <w:r w:rsidRPr="000158F4">
              <w:rPr>
                <w:rFonts w:eastAsia="Times New Roman" w:cstheme="minorHAnsi"/>
                <w:color w:val="333333"/>
                <w:sz w:val="18"/>
                <w:szCs w:val="18"/>
                <w:lang w:eastAsia="en-GB"/>
              </w:rPr>
              <w:t>Long-term sick or disabled</w:t>
            </w:r>
          </w:p>
        </w:tc>
        <w:tc>
          <w:tcPr>
            <w:tcW w:w="1517" w:type="dxa"/>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025F3128" w14:textId="77777777" w:rsidR="000158F4" w:rsidRPr="000158F4" w:rsidRDefault="000158F4" w:rsidP="000158F4">
            <w:pPr>
              <w:jc w:val="right"/>
              <w:rPr>
                <w:rFonts w:eastAsia="Times New Roman" w:cstheme="minorHAnsi"/>
                <w:color w:val="333333"/>
                <w:sz w:val="18"/>
                <w:szCs w:val="18"/>
                <w:lang w:eastAsia="en-GB"/>
              </w:rPr>
            </w:pPr>
            <w:r w:rsidRPr="000158F4">
              <w:rPr>
                <w:rFonts w:eastAsia="Times New Roman" w:cstheme="minorHAnsi"/>
                <w:color w:val="333333"/>
                <w:sz w:val="18"/>
                <w:szCs w:val="18"/>
                <w:lang w:eastAsia="en-GB"/>
              </w:rPr>
              <w:t>9,841</w:t>
            </w:r>
          </w:p>
        </w:tc>
        <w:tc>
          <w:tcPr>
            <w:tcW w:w="817" w:type="dxa"/>
            <w:tcBorders>
              <w:top w:val="single" w:sz="4" w:space="0" w:color="FFFFFF"/>
              <w:left w:val="single" w:sz="4" w:space="0" w:color="FFFFFF"/>
              <w:bottom w:val="single" w:sz="4" w:space="0" w:color="FFFFFF"/>
              <w:right w:val="nil"/>
            </w:tcBorders>
            <w:shd w:val="clear" w:color="B4C6E7" w:fill="B4C6E7"/>
            <w:noWrap/>
            <w:vAlign w:val="bottom"/>
            <w:hideMark/>
          </w:tcPr>
          <w:p w14:paraId="18ED7C89" w14:textId="77777777" w:rsidR="000158F4" w:rsidRPr="000158F4" w:rsidRDefault="000158F4" w:rsidP="000158F4">
            <w:pPr>
              <w:jc w:val="right"/>
              <w:rPr>
                <w:rFonts w:eastAsia="Times New Roman" w:cstheme="minorHAnsi"/>
                <w:color w:val="333333"/>
                <w:sz w:val="18"/>
                <w:szCs w:val="18"/>
                <w:lang w:eastAsia="en-GB"/>
              </w:rPr>
            </w:pPr>
            <w:r w:rsidRPr="000158F4">
              <w:rPr>
                <w:rFonts w:eastAsia="Times New Roman" w:cstheme="minorHAnsi"/>
                <w:color w:val="333333"/>
                <w:sz w:val="18"/>
                <w:szCs w:val="18"/>
                <w:lang w:eastAsia="en-GB"/>
              </w:rPr>
              <w:t>7.3</w:t>
            </w:r>
          </w:p>
        </w:tc>
      </w:tr>
      <w:tr w:rsidR="000158F4" w:rsidRPr="009330E4" w14:paraId="4F319031" w14:textId="77777777" w:rsidTr="000158F4">
        <w:trPr>
          <w:trHeight w:val="227"/>
        </w:trPr>
        <w:tc>
          <w:tcPr>
            <w:tcW w:w="3437" w:type="dxa"/>
            <w:tcBorders>
              <w:top w:val="single" w:sz="4" w:space="0" w:color="FFFFFF"/>
              <w:left w:val="nil"/>
              <w:bottom w:val="single" w:sz="4" w:space="0" w:color="FFFFFF"/>
              <w:right w:val="single" w:sz="4" w:space="0" w:color="FFFFFF"/>
            </w:tcBorders>
            <w:shd w:val="clear" w:color="D9E1F2" w:fill="D9E1F2"/>
            <w:noWrap/>
            <w:vAlign w:val="bottom"/>
            <w:hideMark/>
          </w:tcPr>
          <w:p w14:paraId="547C300E" w14:textId="77777777" w:rsidR="000158F4" w:rsidRPr="000158F4" w:rsidRDefault="000158F4" w:rsidP="000158F4">
            <w:pPr>
              <w:rPr>
                <w:rFonts w:eastAsia="Times New Roman" w:cstheme="minorHAnsi"/>
                <w:color w:val="333333"/>
                <w:sz w:val="18"/>
                <w:szCs w:val="18"/>
                <w:lang w:eastAsia="en-GB"/>
              </w:rPr>
            </w:pPr>
            <w:r w:rsidRPr="000158F4">
              <w:rPr>
                <w:rFonts w:eastAsia="Times New Roman" w:cstheme="minorHAnsi"/>
                <w:color w:val="333333"/>
                <w:sz w:val="18"/>
                <w:szCs w:val="18"/>
                <w:lang w:eastAsia="en-GB"/>
              </w:rPr>
              <w:t>Other</w:t>
            </w:r>
          </w:p>
        </w:tc>
        <w:tc>
          <w:tcPr>
            <w:tcW w:w="1517" w:type="dxa"/>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3B4C683F" w14:textId="77777777" w:rsidR="000158F4" w:rsidRPr="000158F4" w:rsidRDefault="000158F4" w:rsidP="000158F4">
            <w:pPr>
              <w:jc w:val="right"/>
              <w:rPr>
                <w:rFonts w:eastAsia="Times New Roman" w:cstheme="minorHAnsi"/>
                <w:color w:val="333333"/>
                <w:sz w:val="18"/>
                <w:szCs w:val="18"/>
                <w:lang w:eastAsia="en-GB"/>
              </w:rPr>
            </w:pPr>
            <w:r w:rsidRPr="000158F4">
              <w:rPr>
                <w:rFonts w:eastAsia="Times New Roman" w:cstheme="minorHAnsi"/>
                <w:color w:val="333333"/>
                <w:sz w:val="18"/>
                <w:szCs w:val="18"/>
                <w:lang w:eastAsia="en-GB"/>
              </w:rPr>
              <w:t>3,115</w:t>
            </w:r>
          </w:p>
        </w:tc>
        <w:tc>
          <w:tcPr>
            <w:tcW w:w="817" w:type="dxa"/>
            <w:tcBorders>
              <w:top w:val="single" w:sz="4" w:space="0" w:color="FFFFFF"/>
              <w:left w:val="single" w:sz="4" w:space="0" w:color="FFFFFF"/>
              <w:bottom w:val="single" w:sz="4" w:space="0" w:color="FFFFFF"/>
              <w:right w:val="nil"/>
            </w:tcBorders>
            <w:shd w:val="clear" w:color="D9E1F2" w:fill="D9E1F2"/>
            <w:noWrap/>
            <w:vAlign w:val="bottom"/>
            <w:hideMark/>
          </w:tcPr>
          <w:p w14:paraId="7D480695" w14:textId="77777777" w:rsidR="000158F4" w:rsidRPr="000158F4" w:rsidRDefault="000158F4" w:rsidP="000158F4">
            <w:pPr>
              <w:jc w:val="right"/>
              <w:rPr>
                <w:rFonts w:eastAsia="Times New Roman" w:cstheme="minorHAnsi"/>
                <w:color w:val="333333"/>
                <w:sz w:val="18"/>
                <w:szCs w:val="18"/>
                <w:lang w:eastAsia="en-GB"/>
              </w:rPr>
            </w:pPr>
            <w:r w:rsidRPr="000158F4">
              <w:rPr>
                <w:rFonts w:eastAsia="Times New Roman" w:cstheme="minorHAnsi"/>
                <w:color w:val="333333"/>
                <w:sz w:val="18"/>
                <w:szCs w:val="18"/>
                <w:lang w:eastAsia="en-GB"/>
              </w:rPr>
              <w:t>2.3</w:t>
            </w:r>
          </w:p>
        </w:tc>
      </w:tr>
      <w:tr w:rsidR="000158F4" w:rsidRPr="009330E4" w14:paraId="6A8B8C5B" w14:textId="77777777" w:rsidTr="000158F4">
        <w:trPr>
          <w:trHeight w:val="227"/>
        </w:trPr>
        <w:tc>
          <w:tcPr>
            <w:tcW w:w="3437" w:type="dxa"/>
            <w:tcBorders>
              <w:top w:val="single" w:sz="4" w:space="0" w:color="FFFFFF"/>
              <w:left w:val="nil"/>
              <w:bottom w:val="single" w:sz="4" w:space="0" w:color="FFFFFF"/>
              <w:right w:val="single" w:sz="4" w:space="0" w:color="FFFFFF"/>
            </w:tcBorders>
            <w:shd w:val="clear" w:color="B4C6E7" w:fill="B4C6E7"/>
            <w:noWrap/>
            <w:vAlign w:val="bottom"/>
            <w:hideMark/>
          </w:tcPr>
          <w:p w14:paraId="3B7590A0" w14:textId="77777777" w:rsidR="000158F4" w:rsidRPr="000158F4" w:rsidRDefault="000158F4" w:rsidP="000158F4">
            <w:pPr>
              <w:rPr>
                <w:rFonts w:eastAsia="Times New Roman" w:cstheme="minorHAnsi"/>
                <w:color w:val="333333"/>
                <w:sz w:val="18"/>
                <w:szCs w:val="18"/>
                <w:lang w:eastAsia="en-GB"/>
              </w:rPr>
            </w:pPr>
            <w:r w:rsidRPr="000158F4">
              <w:rPr>
                <w:rFonts w:eastAsia="Times New Roman" w:cstheme="minorHAnsi"/>
                <w:color w:val="333333"/>
                <w:sz w:val="18"/>
                <w:szCs w:val="18"/>
                <w:lang w:eastAsia="en-GB"/>
              </w:rPr>
              <w:t>Unemployed: Age 16 to 24</w:t>
            </w:r>
          </w:p>
        </w:tc>
        <w:tc>
          <w:tcPr>
            <w:tcW w:w="1517" w:type="dxa"/>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283A2863" w14:textId="77777777" w:rsidR="000158F4" w:rsidRPr="000158F4" w:rsidRDefault="000158F4" w:rsidP="000158F4">
            <w:pPr>
              <w:jc w:val="right"/>
              <w:rPr>
                <w:rFonts w:eastAsia="Times New Roman" w:cstheme="minorHAnsi"/>
                <w:color w:val="333333"/>
                <w:sz w:val="18"/>
                <w:szCs w:val="18"/>
                <w:lang w:eastAsia="en-GB"/>
              </w:rPr>
            </w:pPr>
            <w:r w:rsidRPr="000158F4">
              <w:rPr>
                <w:rFonts w:eastAsia="Times New Roman" w:cstheme="minorHAnsi"/>
                <w:color w:val="333333"/>
                <w:sz w:val="18"/>
                <w:szCs w:val="18"/>
                <w:lang w:eastAsia="en-GB"/>
              </w:rPr>
              <w:t>1,658</w:t>
            </w:r>
          </w:p>
        </w:tc>
        <w:tc>
          <w:tcPr>
            <w:tcW w:w="817" w:type="dxa"/>
            <w:tcBorders>
              <w:top w:val="single" w:sz="4" w:space="0" w:color="FFFFFF"/>
              <w:left w:val="single" w:sz="4" w:space="0" w:color="FFFFFF"/>
              <w:bottom w:val="single" w:sz="4" w:space="0" w:color="FFFFFF"/>
              <w:right w:val="nil"/>
            </w:tcBorders>
            <w:shd w:val="clear" w:color="B4C6E7" w:fill="B4C6E7"/>
            <w:noWrap/>
            <w:vAlign w:val="bottom"/>
            <w:hideMark/>
          </w:tcPr>
          <w:p w14:paraId="5A2C24C5" w14:textId="77777777" w:rsidR="000158F4" w:rsidRPr="000158F4" w:rsidRDefault="000158F4" w:rsidP="000158F4">
            <w:pPr>
              <w:jc w:val="right"/>
              <w:rPr>
                <w:rFonts w:eastAsia="Times New Roman" w:cstheme="minorHAnsi"/>
                <w:color w:val="333333"/>
                <w:sz w:val="18"/>
                <w:szCs w:val="18"/>
                <w:lang w:eastAsia="en-GB"/>
              </w:rPr>
            </w:pPr>
            <w:r w:rsidRPr="000158F4">
              <w:rPr>
                <w:rFonts w:eastAsia="Times New Roman" w:cstheme="minorHAnsi"/>
                <w:color w:val="333333"/>
                <w:sz w:val="18"/>
                <w:szCs w:val="18"/>
                <w:lang w:eastAsia="en-GB"/>
              </w:rPr>
              <w:t>1.2</w:t>
            </w:r>
          </w:p>
        </w:tc>
      </w:tr>
      <w:tr w:rsidR="000158F4" w:rsidRPr="009330E4" w14:paraId="37D4847B" w14:textId="77777777" w:rsidTr="000158F4">
        <w:trPr>
          <w:trHeight w:val="227"/>
        </w:trPr>
        <w:tc>
          <w:tcPr>
            <w:tcW w:w="3437" w:type="dxa"/>
            <w:tcBorders>
              <w:top w:val="single" w:sz="4" w:space="0" w:color="FFFFFF"/>
              <w:left w:val="nil"/>
              <w:bottom w:val="single" w:sz="4" w:space="0" w:color="FFFFFF"/>
              <w:right w:val="single" w:sz="4" w:space="0" w:color="FFFFFF"/>
            </w:tcBorders>
            <w:shd w:val="clear" w:color="D9E1F2" w:fill="D9E1F2"/>
            <w:noWrap/>
            <w:vAlign w:val="bottom"/>
            <w:hideMark/>
          </w:tcPr>
          <w:p w14:paraId="06946364" w14:textId="77777777" w:rsidR="000158F4" w:rsidRPr="000158F4" w:rsidRDefault="000158F4" w:rsidP="000158F4">
            <w:pPr>
              <w:rPr>
                <w:rFonts w:eastAsia="Times New Roman" w:cstheme="minorHAnsi"/>
                <w:color w:val="333333"/>
                <w:sz w:val="18"/>
                <w:szCs w:val="18"/>
                <w:lang w:eastAsia="en-GB"/>
              </w:rPr>
            </w:pPr>
            <w:r w:rsidRPr="000158F4">
              <w:rPr>
                <w:rFonts w:eastAsia="Times New Roman" w:cstheme="minorHAnsi"/>
                <w:color w:val="333333"/>
                <w:sz w:val="18"/>
                <w:szCs w:val="18"/>
                <w:lang w:eastAsia="en-GB"/>
              </w:rPr>
              <w:t>Unemployed: Age 50 to 74</w:t>
            </w:r>
          </w:p>
        </w:tc>
        <w:tc>
          <w:tcPr>
            <w:tcW w:w="1517" w:type="dxa"/>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05B5AF20" w14:textId="77777777" w:rsidR="000158F4" w:rsidRPr="000158F4" w:rsidRDefault="000158F4" w:rsidP="000158F4">
            <w:pPr>
              <w:jc w:val="right"/>
              <w:rPr>
                <w:rFonts w:eastAsia="Times New Roman" w:cstheme="minorHAnsi"/>
                <w:color w:val="333333"/>
                <w:sz w:val="18"/>
                <w:szCs w:val="18"/>
                <w:lang w:eastAsia="en-GB"/>
              </w:rPr>
            </w:pPr>
            <w:r w:rsidRPr="000158F4">
              <w:rPr>
                <w:rFonts w:eastAsia="Times New Roman" w:cstheme="minorHAnsi"/>
                <w:color w:val="333333"/>
                <w:sz w:val="18"/>
                <w:szCs w:val="18"/>
                <w:lang w:eastAsia="en-GB"/>
              </w:rPr>
              <w:t>868</w:t>
            </w:r>
          </w:p>
        </w:tc>
        <w:tc>
          <w:tcPr>
            <w:tcW w:w="817" w:type="dxa"/>
            <w:tcBorders>
              <w:top w:val="single" w:sz="4" w:space="0" w:color="FFFFFF"/>
              <w:left w:val="single" w:sz="4" w:space="0" w:color="FFFFFF"/>
              <w:bottom w:val="single" w:sz="4" w:space="0" w:color="FFFFFF"/>
              <w:right w:val="nil"/>
            </w:tcBorders>
            <w:shd w:val="clear" w:color="D9E1F2" w:fill="D9E1F2"/>
            <w:noWrap/>
            <w:vAlign w:val="bottom"/>
            <w:hideMark/>
          </w:tcPr>
          <w:p w14:paraId="260C1028" w14:textId="77777777" w:rsidR="000158F4" w:rsidRPr="000158F4" w:rsidRDefault="000158F4" w:rsidP="000158F4">
            <w:pPr>
              <w:jc w:val="right"/>
              <w:rPr>
                <w:rFonts w:eastAsia="Times New Roman" w:cstheme="minorHAnsi"/>
                <w:color w:val="333333"/>
                <w:sz w:val="18"/>
                <w:szCs w:val="18"/>
                <w:lang w:eastAsia="en-GB"/>
              </w:rPr>
            </w:pPr>
            <w:r w:rsidRPr="000158F4">
              <w:rPr>
                <w:rFonts w:eastAsia="Times New Roman" w:cstheme="minorHAnsi"/>
                <w:color w:val="333333"/>
                <w:sz w:val="18"/>
                <w:szCs w:val="18"/>
                <w:lang w:eastAsia="en-GB"/>
              </w:rPr>
              <w:t>0.6</w:t>
            </w:r>
          </w:p>
        </w:tc>
      </w:tr>
      <w:tr w:rsidR="000158F4" w:rsidRPr="009330E4" w14:paraId="0122C341" w14:textId="77777777" w:rsidTr="000158F4">
        <w:trPr>
          <w:trHeight w:val="227"/>
        </w:trPr>
        <w:tc>
          <w:tcPr>
            <w:tcW w:w="3437" w:type="dxa"/>
            <w:tcBorders>
              <w:top w:val="single" w:sz="4" w:space="0" w:color="FFFFFF"/>
              <w:left w:val="nil"/>
              <w:bottom w:val="single" w:sz="4" w:space="0" w:color="FFFFFF"/>
              <w:right w:val="single" w:sz="4" w:space="0" w:color="FFFFFF"/>
            </w:tcBorders>
            <w:shd w:val="clear" w:color="B4C6E7" w:fill="B4C6E7"/>
            <w:noWrap/>
            <w:vAlign w:val="bottom"/>
            <w:hideMark/>
          </w:tcPr>
          <w:p w14:paraId="6EEB3421" w14:textId="77777777" w:rsidR="000158F4" w:rsidRPr="000158F4" w:rsidRDefault="000158F4" w:rsidP="000158F4">
            <w:pPr>
              <w:rPr>
                <w:rFonts w:eastAsia="Times New Roman" w:cstheme="minorHAnsi"/>
                <w:color w:val="333333"/>
                <w:sz w:val="18"/>
                <w:szCs w:val="18"/>
                <w:lang w:eastAsia="en-GB"/>
              </w:rPr>
            </w:pPr>
            <w:r w:rsidRPr="000158F4">
              <w:rPr>
                <w:rFonts w:eastAsia="Times New Roman" w:cstheme="minorHAnsi"/>
                <w:color w:val="333333"/>
                <w:sz w:val="18"/>
                <w:szCs w:val="18"/>
                <w:lang w:eastAsia="en-GB"/>
              </w:rPr>
              <w:t>Unemployed: Never worked</w:t>
            </w:r>
          </w:p>
        </w:tc>
        <w:tc>
          <w:tcPr>
            <w:tcW w:w="1517" w:type="dxa"/>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503BC0D6" w14:textId="77777777" w:rsidR="000158F4" w:rsidRPr="000158F4" w:rsidRDefault="000158F4" w:rsidP="000158F4">
            <w:pPr>
              <w:jc w:val="right"/>
              <w:rPr>
                <w:rFonts w:eastAsia="Times New Roman" w:cstheme="minorHAnsi"/>
                <w:color w:val="333333"/>
                <w:sz w:val="18"/>
                <w:szCs w:val="18"/>
                <w:lang w:eastAsia="en-GB"/>
              </w:rPr>
            </w:pPr>
            <w:r w:rsidRPr="000158F4">
              <w:rPr>
                <w:rFonts w:eastAsia="Times New Roman" w:cstheme="minorHAnsi"/>
                <w:color w:val="333333"/>
                <w:sz w:val="18"/>
                <w:szCs w:val="18"/>
                <w:lang w:eastAsia="en-GB"/>
              </w:rPr>
              <w:t>835</w:t>
            </w:r>
          </w:p>
        </w:tc>
        <w:tc>
          <w:tcPr>
            <w:tcW w:w="817" w:type="dxa"/>
            <w:tcBorders>
              <w:top w:val="single" w:sz="4" w:space="0" w:color="FFFFFF"/>
              <w:left w:val="single" w:sz="4" w:space="0" w:color="FFFFFF"/>
              <w:bottom w:val="single" w:sz="4" w:space="0" w:color="FFFFFF"/>
              <w:right w:val="nil"/>
            </w:tcBorders>
            <w:shd w:val="clear" w:color="B4C6E7" w:fill="B4C6E7"/>
            <w:noWrap/>
            <w:vAlign w:val="bottom"/>
            <w:hideMark/>
          </w:tcPr>
          <w:p w14:paraId="1F61AC7C" w14:textId="77777777" w:rsidR="000158F4" w:rsidRPr="000158F4" w:rsidRDefault="000158F4" w:rsidP="000158F4">
            <w:pPr>
              <w:jc w:val="right"/>
              <w:rPr>
                <w:rFonts w:eastAsia="Times New Roman" w:cstheme="minorHAnsi"/>
                <w:color w:val="333333"/>
                <w:sz w:val="18"/>
                <w:szCs w:val="18"/>
                <w:lang w:eastAsia="en-GB"/>
              </w:rPr>
            </w:pPr>
            <w:r w:rsidRPr="000158F4">
              <w:rPr>
                <w:rFonts w:eastAsia="Times New Roman" w:cstheme="minorHAnsi"/>
                <w:color w:val="333333"/>
                <w:sz w:val="18"/>
                <w:szCs w:val="18"/>
                <w:lang w:eastAsia="en-GB"/>
              </w:rPr>
              <w:t>0.6</w:t>
            </w:r>
          </w:p>
        </w:tc>
      </w:tr>
      <w:tr w:rsidR="000158F4" w:rsidRPr="009330E4" w14:paraId="7F939901" w14:textId="77777777" w:rsidTr="000158F4">
        <w:trPr>
          <w:trHeight w:val="227"/>
        </w:trPr>
        <w:tc>
          <w:tcPr>
            <w:tcW w:w="3437" w:type="dxa"/>
            <w:tcBorders>
              <w:top w:val="single" w:sz="4" w:space="0" w:color="FFFFFF"/>
              <w:left w:val="nil"/>
              <w:bottom w:val="nil"/>
              <w:right w:val="single" w:sz="4" w:space="0" w:color="FFFFFF"/>
            </w:tcBorders>
            <w:shd w:val="clear" w:color="D9E1F2" w:fill="D9E1F2"/>
            <w:noWrap/>
            <w:vAlign w:val="bottom"/>
            <w:hideMark/>
          </w:tcPr>
          <w:p w14:paraId="2DA93C8D" w14:textId="77777777" w:rsidR="000158F4" w:rsidRPr="000158F4" w:rsidRDefault="000158F4" w:rsidP="000158F4">
            <w:pPr>
              <w:rPr>
                <w:rFonts w:eastAsia="Times New Roman" w:cstheme="minorHAnsi"/>
                <w:color w:val="333333"/>
                <w:sz w:val="18"/>
                <w:szCs w:val="18"/>
                <w:lang w:eastAsia="en-GB"/>
              </w:rPr>
            </w:pPr>
            <w:r w:rsidRPr="000158F4">
              <w:rPr>
                <w:rFonts w:eastAsia="Times New Roman" w:cstheme="minorHAnsi"/>
                <w:color w:val="333333"/>
                <w:sz w:val="18"/>
                <w:szCs w:val="18"/>
                <w:lang w:eastAsia="en-GB"/>
              </w:rPr>
              <w:t>Long-term unemployed</w:t>
            </w:r>
          </w:p>
        </w:tc>
        <w:tc>
          <w:tcPr>
            <w:tcW w:w="1517" w:type="dxa"/>
            <w:tcBorders>
              <w:top w:val="single" w:sz="4" w:space="0" w:color="FFFFFF"/>
              <w:left w:val="single" w:sz="4" w:space="0" w:color="FFFFFF"/>
              <w:bottom w:val="nil"/>
              <w:right w:val="single" w:sz="4" w:space="0" w:color="FFFFFF"/>
            </w:tcBorders>
            <w:shd w:val="clear" w:color="D9E1F2" w:fill="D9E1F2"/>
            <w:noWrap/>
            <w:vAlign w:val="bottom"/>
            <w:hideMark/>
          </w:tcPr>
          <w:p w14:paraId="5084BFF2" w14:textId="77777777" w:rsidR="000158F4" w:rsidRPr="000158F4" w:rsidRDefault="000158F4" w:rsidP="000158F4">
            <w:pPr>
              <w:jc w:val="right"/>
              <w:rPr>
                <w:rFonts w:eastAsia="Times New Roman" w:cstheme="minorHAnsi"/>
                <w:color w:val="333333"/>
                <w:sz w:val="18"/>
                <w:szCs w:val="18"/>
                <w:lang w:eastAsia="en-GB"/>
              </w:rPr>
            </w:pPr>
            <w:r w:rsidRPr="000158F4">
              <w:rPr>
                <w:rFonts w:eastAsia="Times New Roman" w:cstheme="minorHAnsi"/>
                <w:color w:val="333333"/>
                <w:sz w:val="18"/>
                <w:szCs w:val="18"/>
                <w:lang w:eastAsia="en-GB"/>
              </w:rPr>
              <w:t>2,038</w:t>
            </w:r>
          </w:p>
        </w:tc>
        <w:tc>
          <w:tcPr>
            <w:tcW w:w="817" w:type="dxa"/>
            <w:tcBorders>
              <w:top w:val="single" w:sz="4" w:space="0" w:color="FFFFFF"/>
              <w:left w:val="single" w:sz="4" w:space="0" w:color="FFFFFF"/>
              <w:bottom w:val="nil"/>
              <w:right w:val="nil"/>
            </w:tcBorders>
            <w:shd w:val="clear" w:color="D9E1F2" w:fill="D9E1F2"/>
            <w:noWrap/>
            <w:vAlign w:val="bottom"/>
            <w:hideMark/>
          </w:tcPr>
          <w:p w14:paraId="0FC47A46" w14:textId="77777777" w:rsidR="000158F4" w:rsidRPr="000158F4" w:rsidRDefault="000158F4" w:rsidP="000158F4">
            <w:pPr>
              <w:jc w:val="right"/>
              <w:rPr>
                <w:rFonts w:eastAsia="Times New Roman" w:cstheme="minorHAnsi"/>
                <w:color w:val="333333"/>
                <w:sz w:val="18"/>
                <w:szCs w:val="18"/>
                <w:lang w:eastAsia="en-GB"/>
              </w:rPr>
            </w:pPr>
            <w:r w:rsidRPr="000158F4">
              <w:rPr>
                <w:rFonts w:eastAsia="Times New Roman" w:cstheme="minorHAnsi"/>
                <w:color w:val="333333"/>
                <w:sz w:val="18"/>
                <w:szCs w:val="18"/>
                <w:lang w:eastAsia="en-GB"/>
              </w:rPr>
              <w:t>1.5</w:t>
            </w:r>
          </w:p>
        </w:tc>
      </w:tr>
    </w:tbl>
    <w:p w14:paraId="2428CDF8" w14:textId="4D2BDEC7" w:rsidR="00DB0F0F" w:rsidRPr="00DB0F0F" w:rsidRDefault="00DB0F0F" w:rsidP="00DB0F0F"/>
    <w:p w14:paraId="5C769DDB" w14:textId="4B1B5811" w:rsidR="00DB0F0F" w:rsidRPr="00DB0F0F" w:rsidRDefault="00DB0F0F" w:rsidP="00DB0F0F"/>
    <w:p w14:paraId="1335FB2A" w14:textId="6CCDFCDA" w:rsidR="00DB0F0F" w:rsidRPr="00DB0F0F" w:rsidRDefault="00DB0F0F" w:rsidP="00DB0F0F"/>
    <w:p w14:paraId="7A06995A" w14:textId="53389890" w:rsidR="00DB0F0F" w:rsidRPr="00DB0F0F" w:rsidRDefault="00DB0F0F" w:rsidP="00DB0F0F"/>
    <w:p w14:paraId="33D5BEDB" w14:textId="1AAF0EEB" w:rsidR="00DB0F0F" w:rsidRPr="00DB0F0F" w:rsidRDefault="00DB0F0F" w:rsidP="00DB0F0F"/>
    <w:p w14:paraId="04080969" w14:textId="251EC89C" w:rsidR="00DB0F0F" w:rsidRPr="00DB0F0F" w:rsidRDefault="000158F4" w:rsidP="00DB0F0F">
      <w:r>
        <w:rPr>
          <w:noProof/>
          <w:lang w:eastAsia="en-GB"/>
        </w:rPr>
        <mc:AlternateContent>
          <mc:Choice Requires="wps">
            <w:drawing>
              <wp:anchor distT="0" distB="0" distL="114300" distR="114300" simplePos="0" relativeHeight="251723776" behindDoc="0" locked="0" layoutInCell="1" allowOverlap="1" wp14:anchorId="2867174A" wp14:editId="3C53C457">
                <wp:simplePos x="0" y="0"/>
                <wp:positionH relativeFrom="margin">
                  <wp:posOffset>3848100</wp:posOffset>
                </wp:positionH>
                <wp:positionV relativeFrom="paragraph">
                  <wp:posOffset>195580</wp:posOffset>
                </wp:positionV>
                <wp:extent cx="2407920" cy="1074420"/>
                <wp:effectExtent l="0" t="0" r="0" b="0"/>
                <wp:wrapSquare wrapText="bothSides"/>
                <wp:docPr id="17" name="Text Box 17"/>
                <wp:cNvGraphicFramePr/>
                <a:graphic xmlns:a="http://schemas.openxmlformats.org/drawingml/2006/main">
                  <a:graphicData uri="http://schemas.microsoft.com/office/word/2010/wordprocessingShape">
                    <wps:wsp>
                      <wps:cNvSpPr txBox="1"/>
                      <wps:spPr>
                        <a:xfrm>
                          <a:off x="0" y="0"/>
                          <a:ext cx="2407920" cy="107442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74A01ABD" w14:textId="77777777" w:rsidR="000E1085" w:rsidRDefault="000E1085" w:rsidP="000158F4">
                            <w:r w:rsidRPr="00087725">
                              <w:rPr>
                                <w:b/>
                              </w:rPr>
                              <w:t>Figure 1.8</w:t>
                            </w:r>
                            <w:r>
                              <w:t xml:space="preserve"> Table showing the employment of Swansea residents between the ages of 16-74, as of the 2011 census. </w:t>
                            </w:r>
                          </w:p>
                          <w:p w14:paraId="244C69E2" w14:textId="3D2EBC65" w:rsidR="000E1085" w:rsidRDefault="000E1085" w:rsidP="000158F4">
                            <w:r>
                              <w:t>Data source: www.nomisweb.co.uk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867174A" id="Text Box 17" o:spid="_x0000_s1033" type="#_x0000_t202" style="position:absolute;margin-left:303pt;margin-top:15.4pt;width:189.6pt;height:84.6pt;z-index:2517237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" filled="f" stroked="f">
                <v:textbox>
                  <w:txbxContent>
                    <w:p w14:paraId="74A01ABD" w14:textId="77777777" w:rsidR="000E1085" w:rsidRDefault="000E1085" w:rsidP="000158F4">
                      <w:r w:rsidRPr="00087725">
                        <w:rPr>
                          <w:b/>
                        </w:rPr>
                        <w:t>Figure 1.8</w:t>
                      </w:r>
                      <w:r>
                        <w:t xml:space="preserve"> Table showing the employment of Swansea residents between the ages of 16-74, as of the 2011 census. </w:t>
                      </w:r>
                    </w:p>
                    <w:p w14:paraId="244C69E2" w14:textId="3D2EBC65" w:rsidR="000E1085" w:rsidRDefault="000E1085" w:rsidP="000158F4">
                      <w:r>
                        <w:t>Data source: www.nomisweb.co.uk</w:t>
                      </w:r>
                    </w:p>
                  </w:txbxContent>
                </v:textbox>
                <w10:wrap type="square" anchorx="margin"/>
              </v:shape>
            </w:pict>
          </mc:Fallback>
        </mc:AlternateContent>
      </w:r>
    </w:p>
    <w:p w14:paraId="7F1D4FF4" w14:textId="3F36671E" w:rsidR="00DB0F0F" w:rsidRPr="00DB0F0F" w:rsidRDefault="00DB0F0F" w:rsidP="00DB0F0F"/>
    <w:p w14:paraId="38E4B2CD" w14:textId="38244082" w:rsidR="00DB0F0F" w:rsidRPr="00DB0F0F" w:rsidRDefault="00DB0F0F" w:rsidP="00DB0F0F"/>
    <w:p w14:paraId="00D868A3" w14:textId="5D3DBF75" w:rsidR="00B5169D" w:rsidRDefault="00B5169D" w:rsidP="00DB0F0F">
      <w:pPr>
        <w:jc w:val="center"/>
      </w:pPr>
    </w:p>
    <w:tbl>
      <w:tblPr>
        <w:tblpPr w:leftFromText="180" w:rightFromText="180" w:vertAnchor="text" w:horzAnchor="margin" w:tblpY="179"/>
        <w:tblW w:w="5876" w:type="dxa"/>
        <w:tblLook w:val="04A0" w:firstRow="1" w:lastRow="0" w:firstColumn="1" w:lastColumn="0" w:noHBand="0" w:noVBand="1"/>
      </w:tblPr>
      <w:tblGrid>
        <w:gridCol w:w="3882"/>
        <w:gridCol w:w="1172"/>
        <w:gridCol w:w="822"/>
      </w:tblGrid>
      <w:tr w:rsidR="000158F4" w:rsidRPr="000158F4" w14:paraId="53AEFCB2" w14:textId="77777777" w:rsidTr="000158F4">
        <w:trPr>
          <w:trHeight w:val="164"/>
        </w:trPr>
        <w:tc>
          <w:tcPr>
            <w:tcW w:w="3882" w:type="dxa"/>
            <w:tcBorders>
              <w:top w:val="nil"/>
              <w:left w:val="nil"/>
              <w:bottom w:val="single" w:sz="12" w:space="0" w:color="FFFFFF"/>
              <w:right w:val="single" w:sz="4" w:space="0" w:color="FFFFFF"/>
            </w:tcBorders>
            <w:shd w:val="clear" w:color="4472C4" w:fill="4472C4"/>
            <w:noWrap/>
            <w:vAlign w:val="bottom"/>
            <w:hideMark/>
          </w:tcPr>
          <w:p w14:paraId="6F668F6D" w14:textId="77777777" w:rsidR="000158F4" w:rsidRPr="000158F4" w:rsidRDefault="000158F4" w:rsidP="000158F4">
            <w:pPr>
              <w:rPr>
                <w:rFonts w:eastAsia="Times New Roman" w:cstheme="minorHAnsi"/>
                <w:b/>
                <w:bCs/>
                <w:color w:val="FFFFFF"/>
                <w:sz w:val="18"/>
                <w:szCs w:val="18"/>
                <w:lang w:eastAsia="en-GB"/>
              </w:rPr>
            </w:pPr>
            <w:r w:rsidRPr="000158F4">
              <w:rPr>
                <w:rFonts w:eastAsia="Times New Roman" w:cstheme="minorHAnsi"/>
                <w:b/>
                <w:bCs/>
                <w:color w:val="FFFFFF"/>
                <w:sz w:val="18"/>
                <w:szCs w:val="18"/>
                <w:lang w:eastAsia="en-GB"/>
              </w:rPr>
              <w:t xml:space="preserve">Males in Swansea </w:t>
            </w:r>
          </w:p>
        </w:tc>
        <w:tc>
          <w:tcPr>
            <w:tcW w:w="1172" w:type="dxa"/>
            <w:tcBorders>
              <w:top w:val="nil"/>
              <w:left w:val="single" w:sz="4" w:space="0" w:color="FFFFFF"/>
              <w:bottom w:val="single" w:sz="12" w:space="0" w:color="FFFFFF"/>
              <w:right w:val="single" w:sz="4" w:space="0" w:color="FFFFFF"/>
            </w:tcBorders>
            <w:shd w:val="clear" w:color="4472C4" w:fill="4472C4"/>
            <w:noWrap/>
            <w:vAlign w:val="bottom"/>
            <w:hideMark/>
          </w:tcPr>
          <w:p w14:paraId="4C993F35" w14:textId="77777777" w:rsidR="000158F4" w:rsidRPr="000158F4" w:rsidRDefault="000158F4" w:rsidP="000158F4">
            <w:pPr>
              <w:rPr>
                <w:rFonts w:eastAsia="Times New Roman" w:cstheme="minorHAnsi"/>
                <w:b/>
                <w:bCs/>
                <w:color w:val="FFFFFF"/>
                <w:sz w:val="18"/>
                <w:szCs w:val="18"/>
                <w:lang w:eastAsia="en-GB"/>
              </w:rPr>
            </w:pPr>
            <w:r w:rsidRPr="000158F4">
              <w:rPr>
                <w:rFonts w:eastAsia="Times New Roman" w:cstheme="minorHAnsi"/>
                <w:b/>
                <w:bCs/>
                <w:color w:val="FFFFFF"/>
                <w:sz w:val="18"/>
                <w:szCs w:val="18"/>
                <w:lang w:eastAsia="en-GB"/>
              </w:rPr>
              <w:t>Count</w:t>
            </w:r>
          </w:p>
        </w:tc>
        <w:tc>
          <w:tcPr>
            <w:tcW w:w="822" w:type="dxa"/>
            <w:tcBorders>
              <w:top w:val="nil"/>
              <w:left w:val="single" w:sz="4" w:space="0" w:color="FFFFFF"/>
              <w:bottom w:val="single" w:sz="12" w:space="0" w:color="FFFFFF"/>
              <w:right w:val="nil"/>
            </w:tcBorders>
            <w:shd w:val="clear" w:color="4472C4" w:fill="4472C4"/>
            <w:noWrap/>
            <w:vAlign w:val="bottom"/>
            <w:hideMark/>
          </w:tcPr>
          <w:p w14:paraId="2E1AC2C6" w14:textId="77777777" w:rsidR="000158F4" w:rsidRPr="000158F4" w:rsidRDefault="000158F4" w:rsidP="000158F4">
            <w:pPr>
              <w:rPr>
                <w:rFonts w:eastAsia="Times New Roman" w:cstheme="minorHAnsi"/>
                <w:b/>
                <w:bCs/>
                <w:color w:val="FFFFFF"/>
                <w:sz w:val="18"/>
                <w:szCs w:val="18"/>
                <w:lang w:eastAsia="en-GB"/>
              </w:rPr>
            </w:pPr>
            <w:r w:rsidRPr="000158F4">
              <w:rPr>
                <w:rFonts w:eastAsia="Times New Roman" w:cstheme="minorHAnsi"/>
                <w:b/>
                <w:bCs/>
                <w:color w:val="FFFFFF"/>
                <w:sz w:val="18"/>
                <w:szCs w:val="18"/>
                <w:lang w:eastAsia="en-GB"/>
              </w:rPr>
              <w:t>%</w:t>
            </w:r>
          </w:p>
        </w:tc>
      </w:tr>
      <w:tr w:rsidR="000158F4" w:rsidRPr="000158F4" w14:paraId="1E78E367" w14:textId="77777777" w:rsidTr="000158F4">
        <w:trPr>
          <w:trHeight w:val="164"/>
        </w:trPr>
        <w:tc>
          <w:tcPr>
            <w:tcW w:w="3882" w:type="dxa"/>
            <w:tcBorders>
              <w:top w:val="single" w:sz="4" w:space="0" w:color="FFFFFF"/>
              <w:left w:val="nil"/>
              <w:bottom w:val="single" w:sz="4" w:space="0" w:color="FFFFFF"/>
              <w:right w:val="single" w:sz="4" w:space="0" w:color="FFFFFF"/>
            </w:tcBorders>
            <w:shd w:val="clear" w:color="B4C6E7" w:fill="B4C6E7"/>
            <w:noWrap/>
            <w:vAlign w:val="bottom"/>
            <w:hideMark/>
          </w:tcPr>
          <w:p w14:paraId="7B211F8A" w14:textId="77777777" w:rsidR="000158F4" w:rsidRPr="000158F4" w:rsidRDefault="000158F4" w:rsidP="000158F4">
            <w:pPr>
              <w:rPr>
                <w:rFonts w:eastAsia="Times New Roman" w:cstheme="minorHAnsi"/>
                <w:color w:val="333333"/>
                <w:sz w:val="18"/>
                <w:szCs w:val="18"/>
                <w:lang w:eastAsia="en-GB"/>
              </w:rPr>
            </w:pPr>
            <w:r w:rsidRPr="000158F4">
              <w:rPr>
                <w:rFonts w:eastAsia="Times New Roman" w:cstheme="minorHAnsi"/>
                <w:color w:val="333333"/>
                <w:sz w:val="18"/>
                <w:szCs w:val="18"/>
                <w:lang w:eastAsia="en-GB"/>
              </w:rPr>
              <w:t>All usual residents aged 16 to 74</w:t>
            </w:r>
          </w:p>
        </w:tc>
        <w:tc>
          <w:tcPr>
            <w:tcW w:w="1172" w:type="dxa"/>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40C3DA08" w14:textId="77777777" w:rsidR="000158F4" w:rsidRPr="000158F4" w:rsidRDefault="000158F4" w:rsidP="000158F4">
            <w:pPr>
              <w:jc w:val="right"/>
              <w:rPr>
                <w:rFonts w:eastAsia="Times New Roman" w:cstheme="minorHAnsi"/>
                <w:color w:val="333333"/>
                <w:sz w:val="18"/>
                <w:szCs w:val="18"/>
                <w:lang w:eastAsia="en-GB"/>
              </w:rPr>
            </w:pPr>
            <w:r w:rsidRPr="000158F4">
              <w:rPr>
                <w:rFonts w:eastAsia="Times New Roman" w:cstheme="minorHAnsi"/>
                <w:color w:val="333333"/>
                <w:sz w:val="18"/>
                <w:szCs w:val="18"/>
                <w:lang w:eastAsia="en-GB"/>
              </w:rPr>
              <w:t>67,297</w:t>
            </w:r>
          </w:p>
        </w:tc>
        <w:tc>
          <w:tcPr>
            <w:tcW w:w="822" w:type="dxa"/>
            <w:tcBorders>
              <w:top w:val="single" w:sz="4" w:space="0" w:color="FFFFFF"/>
              <w:left w:val="single" w:sz="4" w:space="0" w:color="FFFFFF"/>
              <w:bottom w:val="single" w:sz="4" w:space="0" w:color="FFFFFF"/>
              <w:right w:val="nil"/>
            </w:tcBorders>
            <w:shd w:val="clear" w:color="B4C6E7" w:fill="B4C6E7"/>
            <w:noWrap/>
            <w:vAlign w:val="bottom"/>
            <w:hideMark/>
          </w:tcPr>
          <w:p w14:paraId="34904A23" w14:textId="77777777" w:rsidR="000158F4" w:rsidRPr="000158F4" w:rsidRDefault="000158F4" w:rsidP="000158F4">
            <w:pPr>
              <w:jc w:val="right"/>
              <w:rPr>
                <w:rFonts w:eastAsia="Times New Roman" w:cstheme="minorHAnsi"/>
                <w:color w:val="333333"/>
                <w:sz w:val="18"/>
                <w:szCs w:val="18"/>
                <w:lang w:eastAsia="en-GB"/>
              </w:rPr>
            </w:pPr>
            <w:r w:rsidRPr="000158F4">
              <w:rPr>
                <w:rFonts w:eastAsia="Times New Roman" w:cstheme="minorHAnsi"/>
                <w:color w:val="333333"/>
                <w:sz w:val="18"/>
                <w:szCs w:val="18"/>
                <w:lang w:eastAsia="en-GB"/>
              </w:rPr>
              <w:t>100</w:t>
            </w:r>
          </w:p>
        </w:tc>
      </w:tr>
      <w:tr w:rsidR="000158F4" w:rsidRPr="000158F4" w14:paraId="1684099C" w14:textId="77777777" w:rsidTr="000158F4">
        <w:trPr>
          <w:trHeight w:val="164"/>
        </w:trPr>
        <w:tc>
          <w:tcPr>
            <w:tcW w:w="3882" w:type="dxa"/>
            <w:tcBorders>
              <w:top w:val="single" w:sz="4" w:space="0" w:color="FFFFFF"/>
              <w:left w:val="nil"/>
              <w:bottom w:val="single" w:sz="4" w:space="0" w:color="FFFFFF"/>
              <w:right w:val="single" w:sz="4" w:space="0" w:color="FFFFFF"/>
            </w:tcBorders>
            <w:shd w:val="clear" w:color="D9E1F2" w:fill="D9E1F2"/>
            <w:noWrap/>
            <w:vAlign w:val="bottom"/>
            <w:hideMark/>
          </w:tcPr>
          <w:p w14:paraId="1EB8B339" w14:textId="77777777" w:rsidR="000158F4" w:rsidRPr="000158F4" w:rsidRDefault="000158F4" w:rsidP="000158F4">
            <w:pPr>
              <w:rPr>
                <w:rFonts w:eastAsia="Times New Roman" w:cstheme="minorHAnsi"/>
                <w:color w:val="333333"/>
                <w:sz w:val="18"/>
                <w:szCs w:val="18"/>
                <w:lang w:eastAsia="en-GB"/>
              </w:rPr>
            </w:pPr>
            <w:r w:rsidRPr="000158F4">
              <w:rPr>
                <w:rFonts w:eastAsia="Times New Roman" w:cstheme="minorHAnsi"/>
                <w:color w:val="333333"/>
                <w:sz w:val="18"/>
                <w:szCs w:val="18"/>
                <w:lang w:eastAsia="en-GB"/>
              </w:rPr>
              <w:t>Economically active</w:t>
            </w:r>
          </w:p>
        </w:tc>
        <w:tc>
          <w:tcPr>
            <w:tcW w:w="1172" w:type="dxa"/>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2EC04C27" w14:textId="77777777" w:rsidR="000158F4" w:rsidRPr="000158F4" w:rsidRDefault="000158F4" w:rsidP="000158F4">
            <w:pPr>
              <w:jc w:val="right"/>
              <w:rPr>
                <w:rFonts w:eastAsia="Times New Roman" w:cstheme="minorHAnsi"/>
                <w:color w:val="333333"/>
                <w:sz w:val="18"/>
                <w:szCs w:val="18"/>
                <w:lang w:eastAsia="en-GB"/>
              </w:rPr>
            </w:pPr>
            <w:r w:rsidRPr="000158F4">
              <w:rPr>
                <w:rFonts w:eastAsia="Times New Roman" w:cstheme="minorHAnsi"/>
                <w:color w:val="333333"/>
                <w:sz w:val="18"/>
                <w:szCs w:val="18"/>
                <w:lang w:eastAsia="en-GB"/>
              </w:rPr>
              <w:t>43,804</w:t>
            </w:r>
          </w:p>
        </w:tc>
        <w:tc>
          <w:tcPr>
            <w:tcW w:w="822" w:type="dxa"/>
            <w:tcBorders>
              <w:top w:val="single" w:sz="4" w:space="0" w:color="FFFFFF"/>
              <w:left w:val="single" w:sz="4" w:space="0" w:color="FFFFFF"/>
              <w:bottom w:val="single" w:sz="4" w:space="0" w:color="FFFFFF"/>
              <w:right w:val="nil"/>
            </w:tcBorders>
            <w:shd w:val="clear" w:color="D9E1F2" w:fill="D9E1F2"/>
            <w:noWrap/>
            <w:vAlign w:val="bottom"/>
            <w:hideMark/>
          </w:tcPr>
          <w:p w14:paraId="223641B9" w14:textId="77777777" w:rsidR="000158F4" w:rsidRPr="000158F4" w:rsidRDefault="000158F4" w:rsidP="000158F4">
            <w:pPr>
              <w:jc w:val="right"/>
              <w:rPr>
                <w:rFonts w:eastAsia="Times New Roman" w:cstheme="minorHAnsi"/>
                <w:color w:val="333333"/>
                <w:sz w:val="18"/>
                <w:szCs w:val="18"/>
                <w:lang w:eastAsia="en-GB"/>
              </w:rPr>
            </w:pPr>
            <w:r w:rsidRPr="000158F4">
              <w:rPr>
                <w:rFonts w:eastAsia="Times New Roman" w:cstheme="minorHAnsi"/>
                <w:color w:val="333333"/>
                <w:sz w:val="18"/>
                <w:szCs w:val="18"/>
                <w:lang w:eastAsia="en-GB"/>
              </w:rPr>
              <w:t>65.1</w:t>
            </w:r>
          </w:p>
        </w:tc>
      </w:tr>
      <w:tr w:rsidR="000158F4" w:rsidRPr="000158F4" w14:paraId="10C4C834" w14:textId="77777777" w:rsidTr="000158F4">
        <w:trPr>
          <w:trHeight w:val="164"/>
        </w:trPr>
        <w:tc>
          <w:tcPr>
            <w:tcW w:w="3882" w:type="dxa"/>
            <w:tcBorders>
              <w:top w:val="single" w:sz="4" w:space="0" w:color="FFFFFF"/>
              <w:left w:val="nil"/>
              <w:bottom w:val="single" w:sz="4" w:space="0" w:color="FFFFFF"/>
              <w:right w:val="single" w:sz="4" w:space="0" w:color="FFFFFF"/>
            </w:tcBorders>
            <w:shd w:val="clear" w:color="B4C6E7" w:fill="B4C6E7"/>
            <w:noWrap/>
            <w:vAlign w:val="bottom"/>
            <w:hideMark/>
          </w:tcPr>
          <w:p w14:paraId="62717060" w14:textId="77777777" w:rsidR="000158F4" w:rsidRPr="000158F4" w:rsidRDefault="000158F4" w:rsidP="000158F4">
            <w:pPr>
              <w:rPr>
                <w:rFonts w:eastAsia="Times New Roman" w:cstheme="minorHAnsi"/>
                <w:color w:val="333333"/>
                <w:sz w:val="18"/>
                <w:szCs w:val="18"/>
                <w:lang w:eastAsia="en-GB"/>
              </w:rPr>
            </w:pPr>
            <w:r w:rsidRPr="000158F4">
              <w:rPr>
                <w:rFonts w:eastAsia="Times New Roman" w:cstheme="minorHAnsi"/>
                <w:color w:val="333333"/>
                <w:sz w:val="18"/>
                <w:szCs w:val="18"/>
                <w:lang w:eastAsia="en-GB"/>
              </w:rPr>
              <w:t>In employment</w:t>
            </w:r>
          </w:p>
        </w:tc>
        <w:tc>
          <w:tcPr>
            <w:tcW w:w="1172" w:type="dxa"/>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34F0F063" w14:textId="77777777" w:rsidR="000158F4" w:rsidRPr="000158F4" w:rsidRDefault="000158F4" w:rsidP="000158F4">
            <w:pPr>
              <w:jc w:val="right"/>
              <w:rPr>
                <w:rFonts w:eastAsia="Times New Roman" w:cstheme="minorHAnsi"/>
                <w:color w:val="333333"/>
                <w:sz w:val="18"/>
                <w:szCs w:val="18"/>
                <w:lang w:eastAsia="en-GB"/>
              </w:rPr>
            </w:pPr>
            <w:r w:rsidRPr="000158F4">
              <w:rPr>
                <w:rFonts w:eastAsia="Times New Roman" w:cstheme="minorHAnsi"/>
                <w:color w:val="333333"/>
                <w:sz w:val="18"/>
                <w:szCs w:val="18"/>
                <w:lang w:eastAsia="en-GB"/>
              </w:rPr>
              <w:t>36,926</w:t>
            </w:r>
          </w:p>
        </w:tc>
        <w:tc>
          <w:tcPr>
            <w:tcW w:w="822" w:type="dxa"/>
            <w:tcBorders>
              <w:top w:val="single" w:sz="4" w:space="0" w:color="FFFFFF"/>
              <w:left w:val="single" w:sz="4" w:space="0" w:color="FFFFFF"/>
              <w:bottom w:val="single" w:sz="4" w:space="0" w:color="FFFFFF"/>
              <w:right w:val="nil"/>
            </w:tcBorders>
            <w:shd w:val="clear" w:color="B4C6E7" w:fill="B4C6E7"/>
            <w:noWrap/>
            <w:vAlign w:val="bottom"/>
            <w:hideMark/>
          </w:tcPr>
          <w:p w14:paraId="1A42D3D1" w14:textId="77777777" w:rsidR="000158F4" w:rsidRPr="000158F4" w:rsidRDefault="000158F4" w:rsidP="000158F4">
            <w:pPr>
              <w:jc w:val="right"/>
              <w:rPr>
                <w:rFonts w:eastAsia="Times New Roman" w:cstheme="minorHAnsi"/>
                <w:color w:val="333333"/>
                <w:sz w:val="18"/>
                <w:szCs w:val="18"/>
                <w:lang w:eastAsia="en-GB"/>
              </w:rPr>
            </w:pPr>
            <w:r w:rsidRPr="000158F4">
              <w:rPr>
                <w:rFonts w:eastAsia="Times New Roman" w:cstheme="minorHAnsi"/>
                <w:color w:val="333333"/>
                <w:sz w:val="18"/>
                <w:szCs w:val="18"/>
                <w:lang w:eastAsia="en-GB"/>
              </w:rPr>
              <w:t>54.9</w:t>
            </w:r>
          </w:p>
        </w:tc>
      </w:tr>
      <w:tr w:rsidR="000158F4" w:rsidRPr="000158F4" w14:paraId="75BA9DAF" w14:textId="77777777" w:rsidTr="000158F4">
        <w:trPr>
          <w:trHeight w:val="164"/>
        </w:trPr>
        <w:tc>
          <w:tcPr>
            <w:tcW w:w="3882" w:type="dxa"/>
            <w:tcBorders>
              <w:top w:val="single" w:sz="4" w:space="0" w:color="FFFFFF"/>
              <w:left w:val="nil"/>
              <w:bottom w:val="single" w:sz="4" w:space="0" w:color="FFFFFF"/>
              <w:right w:val="single" w:sz="4" w:space="0" w:color="FFFFFF"/>
            </w:tcBorders>
            <w:shd w:val="clear" w:color="D9E1F2" w:fill="D9E1F2"/>
            <w:noWrap/>
            <w:vAlign w:val="bottom"/>
            <w:hideMark/>
          </w:tcPr>
          <w:p w14:paraId="68412D1C" w14:textId="77777777" w:rsidR="000158F4" w:rsidRPr="000158F4" w:rsidRDefault="000158F4" w:rsidP="000158F4">
            <w:pPr>
              <w:rPr>
                <w:rFonts w:eastAsia="Times New Roman" w:cstheme="minorHAnsi"/>
                <w:color w:val="333333"/>
                <w:sz w:val="18"/>
                <w:szCs w:val="18"/>
                <w:lang w:eastAsia="en-GB"/>
              </w:rPr>
            </w:pPr>
            <w:r w:rsidRPr="000158F4">
              <w:rPr>
                <w:rFonts w:eastAsia="Times New Roman" w:cstheme="minorHAnsi"/>
                <w:color w:val="333333"/>
                <w:sz w:val="18"/>
                <w:szCs w:val="18"/>
                <w:lang w:eastAsia="en-GB"/>
              </w:rPr>
              <w:t>Employee: Part-time</w:t>
            </w:r>
          </w:p>
        </w:tc>
        <w:tc>
          <w:tcPr>
            <w:tcW w:w="1172" w:type="dxa"/>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276C6A2F" w14:textId="77777777" w:rsidR="000158F4" w:rsidRPr="000158F4" w:rsidRDefault="000158F4" w:rsidP="000158F4">
            <w:pPr>
              <w:jc w:val="right"/>
              <w:rPr>
                <w:rFonts w:eastAsia="Times New Roman" w:cstheme="minorHAnsi"/>
                <w:color w:val="333333"/>
                <w:sz w:val="18"/>
                <w:szCs w:val="18"/>
                <w:lang w:eastAsia="en-GB"/>
              </w:rPr>
            </w:pPr>
            <w:r w:rsidRPr="000158F4">
              <w:rPr>
                <w:rFonts w:eastAsia="Times New Roman" w:cstheme="minorHAnsi"/>
                <w:color w:val="333333"/>
                <w:sz w:val="18"/>
                <w:szCs w:val="18"/>
                <w:lang w:eastAsia="en-GB"/>
              </w:rPr>
              <w:t>4,621</w:t>
            </w:r>
          </w:p>
        </w:tc>
        <w:tc>
          <w:tcPr>
            <w:tcW w:w="822" w:type="dxa"/>
            <w:tcBorders>
              <w:top w:val="single" w:sz="4" w:space="0" w:color="FFFFFF"/>
              <w:left w:val="single" w:sz="4" w:space="0" w:color="FFFFFF"/>
              <w:bottom w:val="single" w:sz="4" w:space="0" w:color="FFFFFF"/>
              <w:right w:val="nil"/>
            </w:tcBorders>
            <w:shd w:val="clear" w:color="D9E1F2" w:fill="D9E1F2"/>
            <w:noWrap/>
            <w:vAlign w:val="bottom"/>
            <w:hideMark/>
          </w:tcPr>
          <w:p w14:paraId="05324CD8" w14:textId="77777777" w:rsidR="000158F4" w:rsidRPr="000158F4" w:rsidRDefault="000158F4" w:rsidP="000158F4">
            <w:pPr>
              <w:jc w:val="right"/>
              <w:rPr>
                <w:rFonts w:eastAsia="Times New Roman" w:cstheme="minorHAnsi"/>
                <w:color w:val="333333"/>
                <w:sz w:val="18"/>
                <w:szCs w:val="18"/>
                <w:lang w:eastAsia="en-GB"/>
              </w:rPr>
            </w:pPr>
            <w:r w:rsidRPr="000158F4">
              <w:rPr>
                <w:rFonts w:eastAsia="Times New Roman" w:cstheme="minorHAnsi"/>
                <w:color w:val="333333"/>
                <w:sz w:val="18"/>
                <w:szCs w:val="18"/>
                <w:lang w:eastAsia="en-GB"/>
              </w:rPr>
              <w:t>6.9</w:t>
            </w:r>
          </w:p>
        </w:tc>
      </w:tr>
      <w:tr w:rsidR="000158F4" w:rsidRPr="000158F4" w14:paraId="10E88A17" w14:textId="77777777" w:rsidTr="000158F4">
        <w:trPr>
          <w:trHeight w:val="164"/>
        </w:trPr>
        <w:tc>
          <w:tcPr>
            <w:tcW w:w="3882" w:type="dxa"/>
            <w:tcBorders>
              <w:top w:val="single" w:sz="4" w:space="0" w:color="FFFFFF"/>
              <w:left w:val="nil"/>
              <w:bottom w:val="single" w:sz="4" w:space="0" w:color="FFFFFF"/>
              <w:right w:val="single" w:sz="4" w:space="0" w:color="FFFFFF"/>
            </w:tcBorders>
            <w:shd w:val="clear" w:color="B4C6E7" w:fill="B4C6E7"/>
            <w:noWrap/>
            <w:vAlign w:val="bottom"/>
            <w:hideMark/>
          </w:tcPr>
          <w:p w14:paraId="13402AA7" w14:textId="77777777" w:rsidR="000158F4" w:rsidRPr="000158F4" w:rsidRDefault="000158F4" w:rsidP="000158F4">
            <w:pPr>
              <w:rPr>
                <w:rFonts w:eastAsia="Times New Roman" w:cstheme="minorHAnsi"/>
                <w:color w:val="333333"/>
                <w:sz w:val="18"/>
                <w:szCs w:val="18"/>
                <w:lang w:eastAsia="en-GB"/>
              </w:rPr>
            </w:pPr>
            <w:r w:rsidRPr="000158F4">
              <w:rPr>
                <w:rFonts w:eastAsia="Times New Roman" w:cstheme="minorHAnsi"/>
                <w:color w:val="333333"/>
                <w:sz w:val="18"/>
                <w:szCs w:val="18"/>
                <w:lang w:eastAsia="en-GB"/>
              </w:rPr>
              <w:t>Employee: Full-time</w:t>
            </w:r>
          </w:p>
        </w:tc>
        <w:tc>
          <w:tcPr>
            <w:tcW w:w="1172" w:type="dxa"/>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1FB107AF" w14:textId="77777777" w:rsidR="000158F4" w:rsidRPr="000158F4" w:rsidRDefault="000158F4" w:rsidP="000158F4">
            <w:pPr>
              <w:jc w:val="right"/>
              <w:rPr>
                <w:rFonts w:eastAsia="Times New Roman" w:cstheme="minorHAnsi"/>
                <w:color w:val="333333"/>
                <w:sz w:val="18"/>
                <w:szCs w:val="18"/>
                <w:lang w:eastAsia="en-GB"/>
              </w:rPr>
            </w:pPr>
            <w:r w:rsidRPr="000158F4">
              <w:rPr>
                <w:rFonts w:eastAsia="Times New Roman" w:cstheme="minorHAnsi"/>
                <w:color w:val="333333"/>
                <w:sz w:val="18"/>
                <w:szCs w:val="18"/>
                <w:lang w:eastAsia="en-GB"/>
              </w:rPr>
              <w:t>26,459</w:t>
            </w:r>
          </w:p>
        </w:tc>
        <w:tc>
          <w:tcPr>
            <w:tcW w:w="822" w:type="dxa"/>
            <w:tcBorders>
              <w:top w:val="single" w:sz="4" w:space="0" w:color="FFFFFF"/>
              <w:left w:val="single" w:sz="4" w:space="0" w:color="FFFFFF"/>
              <w:bottom w:val="single" w:sz="4" w:space="0" w:color="FFFFFF"/>
              <w:right w:val="nil"/>
            </w:tcBorders>
            <w:shd w:val="clear" w:color="B4C6E7" w:fill="B4C6E7"/>
            <w:noWrap/>
            <w:vAlign w:val="bottom"/>
            <w:hideMark/>
          </w:tcPr>
          <w:p w14:paraId="65809532" w14:textId="77777777" w:rsidR="000158F4" w:rsidRPr="000158F4" w:rsidRDefault="000158F4" w:rsidP="000158F4">
            <w:pPr>
              <w:jc w:val="right"/>
              <w:rPr>
                <w:rFonts w:eastAsia="Times New Roman" w:cstheme="minorHAnsi"/>
                <w:color w:val="333333"/>
                <w:sz w:val="18"/>
                <w:szCs w:val="18"/>
                <w:lang w:eastAsia="en-GB"/>
              </w:rPr>
            </w:pPr>
            <w:r w:rsidRPr="000158F4">
              <w:rPr>
                <w:rFonts w:eastAsia="Times New Roman" w:cstheme="minorHAnsi"/>
                <w:color w:val="333333"/>
                <w:sz w:val="18"/>
                <w:szCs w:val="18"/>
                <w:lang w:eastAsia="en-GB"/>
              </w:rPr>
              <w:t>39.3</w:t>
            </w:r>
          </w:p>
        </w:tc>
      </w:tr>
      <w:tr w:rsidR="000158F4" w:rsidRPr="000158F4" w14:paraId="16AE4FA6" w14:textId="77777777" w:rsidTr="000158F4">
        <w:trPr>
          <w:trHeight w:val="164"/>
        </w:trPr>
        <w:tc>
          <w:tcPr>
            <w:tcW w:w="3882" w:type="dxa"/>
            <w:tcBorders>
              <w:top w:val="single" w:sz="4" w:space="0" w:color="FFFFFF"/>
              <w:left w:val="nil"/>
              <w:bottom w:val="single" w:sz="4" w:space="0" w:color="FFFFFF"/>
              <w:right w:val="single" w:sz="4" w:space="0" w:color="FFFFFF"/>
            </w:tcBorders>
            <w:shd w:val="clear" w:color="D9E1F2" w:fill="D9E1F2"/>
            <w:noWrap/>
            <w:vAlign w:val="bottom"/>
            <w:hideMark/>
          </w:tcPr>
          <w:p w14:paraId="44064F8D" w14:textId="77777777" w:rsidR="000158F4" w:rsidRPr="000158F4" w:rsidRDefault="000158F4" w:rsidP="000158F4">
            <w:pPr>
              <w:rPr>
                <w:rFonts w:eastAsia="Times New Roman" w:cstheme="minorHAnsi"/>
                <w:color w:val="333333"/>
                <w:sz w:val="18"/>
                <w:szCs w:val="18"/>
                <w:lang w:eastAsia="en-GB"/>
              </w:rPr>
            </w:pPr>
            <w:r w:rsidRPr="000158F4">
              <w:rPr>
                <w:rFonts w:eastAsia="Times New Roman" w:cstheme="minorHAnsi"/>
                <w:color w:val="333333"/>
                <w:sz w:val="18"/>
                <w:szCs w:val="18"/>
                <w:lang w:eastAsia="en-GB"/>
              </w:rPr>
              <w:t>Self-employed</w:t>
            </w:r>
          </w:p>
        </w:tc>
        <w:tc>
          <w:tcPr>
            <w:tcW w:w="1172" w:type="dxa"/>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41269ABB" w14:textId="77777777" w:rsidR="000158F4" w:rsidRPr="000158F4" w:rsidRDefault="000158F4" w:rsidP="000158F4">
            <w:pPr>
              <w:jc w:val="right"/>
              <w:rPr>
                <w:rFonts w:eastAsia="Times New Roman" w:cstheme="minorHAnsi"/>
                <w:color w:val="333333"/>
                <w:sz w:val="18"/>
                <w:szCs w:val="18"/>
                <w:lang w:eastAsia="en-GB"/>
              </w:rPr>
            </w:pPr>
            <w:r w:rsidRPr="000158F4">
              <w:rPr>
                <w:rFonts w:eastAsia="Times New Roman" w:cstheme="minorHAnsi"/>
                <w:color w:val="333333"/>
                <w:sz w:val="18"/>
                <w:szCs w:val="18"/>
                <w:lang w:eastAsia="en-GB"/>
              </w:rPr>
              <w:t>5,846</w:t>
            </w:r>
          </w:p>
        </w:tc>
        <w:tc>
          <w:tcPr>
            <w:tcW w:w="822" w:type="dxa"/>
            <w:tcBorders>
              <w:top w:val="single" w:sz="4" w:space="0" w:color="FFFFFF"/>
              <w:left w:val="single" w:sz="4" w:space="0" w:color="FFFFFF"/>
              <w:bottom w:val="single" w:sz="4" w:space="0" w:color="FFFFFF"/>
              <w:right w:val="nil"/>
            </w:tcBorders>
            <w:shd w:val="clear" w:color="D9E1F2" w:fill="D9E1F2"/>
            <w:noWrap/>
            <w:vAlign w:val="bottom"/>
            <w:hideMark/>
          </w:tcPr>
          <w:p w14:paraId="010ACEDB" w14:textId="77777777" w:rsidR="000158F4" w:rsidRPr="000158F4" w:rsidRDefault="000158F4" w:rsidP="000158F4">
            <w:pPr>
              <w:jc w:val="right"/>
              <w:rPr>
                <w:rFonts w:eastAsia="Times New Roman" w:cstheme="minorHAnsi"/>
                <w:color w:val="333333"/>
                <w:sz w:val="18"/>
                <w:szCs w:val="18"/>
                <w:lang w:eastAsia="en-GB"/>
              </w:rPr>
            </w:pPr>
            <w:r w:rsidRPr="000158F4">
              <w:rPr>
                <w:rFonts w:eastAsia="Times New Roman" w:cstheme="minorHAnsi"/>
                <w:color w:val="333333"/>
                <w:sz w:val="18"/>
                <w:szCs w:val="18"/>
                <w:lang w:eastAsia="en-GB"/>
              </w:rPr>
              <w:t>8.7</w:t>
            </w:r>
          </w:p>
        </w:tc>
      </w:tr>
      <w:tr w:rsidR="000158F4" w:rsidRPr="000158F4" w14:paraId="38A74E1C" w14:textId="77777777" w:rsidTr="000158F4">
        <w:trPr>
          <w:trHeight w:val="164"/>
        </w:trPr>
        <w:tc>
          <w:tcPr>
            <w:tcW w:w="3882" w:type="dxa"/>
            <w:tcBorders>
              <w:top w:val="single" w:sz="4" w:space="0" w:color="FFFFFF"/>
              <w:left w:val="nil"/>
              <w:bottom w:val="single" w:sz="4" w:space="0" w:color="FFFFFF"/>
              <w:right w:val="single" w:sz="4" w:space="0" w:color="FFFFFF"/>
            </w:tcBorders>
            <w:shd w:val="clear" w:color="B4C6E7" w:fill="B4C6E7"/>
            <w:noWrap/>
            <w:vAlign w:val="bottom"/>
            <w:hideMark/>
          </w:tcPr>
          <w:p w14:paraId="38324D9A" w14:textId="77777777" w:rsidR="000158F4" w:rsidRPr="000158F4" w:rsidRDefault="000158F4" w:rsidP="000158F4">
            <w:pPr>
              <w:rPr>
                <w:rFonts w:eastAsia="Times New Roman" w:cstheme="minorHAnsi"/>
                <w:color w:val="333333"/>
                <w:sz w:val="18"/>
                <w:szCs w:val="18"/>
                <w:lang w:eastAsia="en-GB"/>
              </w:rPr>
            </w:pPr>
            <w:r w:rsidRPr="000158F4">
              <w:rPr>
                <w:rFonts w:eastAsia="Times New Roman" w:cstheme="minorHAnsi"/>
                <w:color w:val="333333"/>
                <w:sz w:val="18"/>
                <w:szCs w:val="18"/>
                <w:lang w:eastAsia="en-GB"/>
              </w:rPr>
              <w:t>Unemployed</w:t>
            </w:r>
          </w:p>
        </w:tc>
        <w:tc>
          <w:tcPr>
            <w:tcW w:w="1172" w:type="dxa"/>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7CD7D80F" w14:textId="77777777" w:rsidR="000158F4" w:rsidRPr="000158F4" w:rsidRDefault="000158F4" w:rsidP="000158F4">
            <w:pPr>
              <w:jc w:val="right"/>
              <w:rPr>
                <w:rFonts w:eastAsia="Times New Roman" w:cstheme="minorHAnsi"/>
                <w:color w:val="333333"/>
                <w:sz w:val="18"/>
                <w:szCs w:val="18"/>
                <w:lang w:eastAsia="en-GB"/>
              </w:rPr>
            </w:pPr>
            <w:r w:rsidRPr="000158F4">
              <w:rPr>
                <w:rFonts w:eastAsia="Times New Roman" w:cstheme="minorHAnsi"/>
                <w:color w:val="333333"/>
                <w:sz w:val="18"/>
                <w:szCs w:val="18"/>
                <w:lang w:eastAsia="en-GB"/>
              </w:rPr>
              <w:t>3,595</w:t>
            </w:r>
          </w:p>
        </w:tc>
        <w:tc>
          <w:tcPr>
            <w:tcW w:w="822" w:type="dxa"/>
            <w:tcBorders>
              <w:top w:val="single" w:sz="4" w:space="0" w:color="FFFFFF"/>
              <w:left w:val="single" w:sz="4" w:space="0" w:color="FFFFFF"/>
              <w:bottom w:val="single" w:sz="4" w:space="0" w:color="FFFFFF"/>
              <w:right w:val="nil"/>
            </w:tcBorders>
            <w:shd w:val="clear" w:color="B4C6E7" w:fill="B4C6E7"/>
            <w:noWrap/>
            <w:vAlign w:val="bottom"/>
            <w:hideMark/>
          </w:tcPr>
          <w:p w14:paraId="7F88A823" w14:textId="77777777" w:rsidR="000158F4" w:rsidRPr="000158F4" w:rsidRDefault="000158F4" w:rsidP="000158F4">
            <w:pPr>
              <w:jc w:val="right"/>
              <w:rPr>
                <w:rFonts w:eastAsia="Times New Roman" w:cstheme="minorHAnsi"/>
                <w:color w:val="333333"/>
                <w:sz w:val="18"/>
                <w:szCs w:val="18"/>
                <w:lang w:eastAsia="en-GB"/>
              </w:rPr>
            </w:pPr>
            <w:r w:rsidRPr="000158F4">
              <w:rPr>
                <w:rFonts w:eastAsia="Times New Roman" w:cstheme="minorHAnsi"/>
                <w:color w:val="333333"/>
                <w:sz w:val="18"/>
                <w:szCs w:val="18"/>
                <w:lang w:eastAsia="en-GB"/>
              </w:rPr>
              <w:t>5.3</w:t>
            </w:r>
          </w:p>
        </w:tc>
      </w:tr>
      <w:tr w:rsidR="000158F4" w:rsidRPr="000158F4" w14:paraId="08EAD52F" w14:textId="77777777" w:rsidTr="000158F4">
        <w:trPr>
          <w:trHeight w:val="164"/>
        </w:trPr>
        <w:tc>
          <w:tcPr>
            <w:tcW w:w="3882" w:type="dxa"/>
            <w:tcBorders>
              <w:top w:val="single" w:sz="4" w:space="0" w:color="FFFFFF"/>
              <w:left w:val="nil"/>
              <w:bottom w:val="single" w:sz="4" w:space="0" w:color="FFFFFF"/>
              <w:right w:val="single" w:sz="4" w:space="0" w:color="FFFFFF"/>
            </w:tcBorders>
            <w:shd w:val="clear" w:color="D9E1F2" w:fill="D9E1F2"/>
            <w:noWrap/>
            <w:vAlign w:val="bottom"/>
            <w:hideMark/>
          </w:tcPr>
          <w:p w14:paraId="056C6AB5" w14:textId="77777777" w:rsidR="000158F4" w:rsidRPr="000158F4" w:rsidRDefault="000158F4" w:rsidP="000158F4">
            <w:pPr>
              <w:rPr>
                <w:rFonts w:eastAsia="Times New Roman" w:cstheme="minorHAnsi"/>
                <w:color w:val="333333"/>
                <w:sz w:val="18"/>
                <w:szCs w:val="18"/>
                <w:lang w:eastAsia="en-GB"/>
              </w:rPr>
            </w:pPr>
            <w:r w:rsidRPr="000158F4">
              <w:rPr>
                <w:rFonts w:eastAsia="Times New Roman" w:cstheme="minorHAnsi"/>
                <w:color w:val="333333"/>
                <w:sz w:val="18"/>
                <w:szCs w:val="18"/>
                <w:lang w:eastAsia="en-GB"/>
              </w:rPr>
              <w:t>Full-time student</w:t>
            </w:r>
          </w:p>
        </w:tc>
        <w:tc>
          <w:tcPr>
            <w:tcW w:w="1172" w:type="dxa"/>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2B464FC3" w14:textId="77777777" w:rsidR="000158F4" w:rsidRPr="000158F4" w:rsidRDefault="000158F4" w:rsidP="000158F4">
            <w:pPr>
              <w:jc w:val="right"/>
              <w:rPr>
                <w:rFonts w:eastAsia="Times New Roman" w:cstheme="minorHAnsi"/>
                <w:color w:val="333333"/>
                <w:sz w:val="18"/>
                <w:szCs w:val="18"/>
                <w:lang w:eastAsia="en-GB"/>
              </w:rPr>
            </w:pPr>
            <w:r w:rsidRPr="000158F4">
              <w:rPr>
                <w:rFonts w:eastAsia="Times New Roman" w:cstheme="minorHAnsi"/>
                <w:color w:val="333333"/>
                <w:sz w:val="18"/>
                <w:szCs w:val="18"/>
                <w:lang w:eastAsia="en-GB"/>
              </w:rPr>
              <w:t>3,283</w:t>
            </w:r>
          </w:p>
        </w:tc>
        <w:tc>
          <w:tcPr>
            <w:tcW w:w="822" w:type="dxa"/>
            <w:tcBorders>
              <w:top w:val="single" w:sz="4" w:space="0" w:color="FFFFFF"/>
              <w:left w:val="single" w:sz="4" w:space="0" w:color="FFFFFF"/>
              <w:bottom w:val="single" w:sz="4" w:space="0" w:color="FFFFFF"/>
              <w:right w:val="nil"/>
            </w:tcBorders>
            <w:shd w:val="clear" w:color="D9E1F2" w:fill="D9E1F2"/>
            <w:noWrap/>
            <w:vAlign w:val="bottom"/>
            <w:hideMark/>
          </w:tcPr>
          <w:p w14:paraId="436EB38C" w14:textId="77777777" w:rsidR="000158F4" w:rsidRPr="000158F4" w:rsidRDefault="000158F4" w:rsidP="000158F4">
            <w:pPr>
              <w:jc w:val="right"/>
              <w:rPr>
                <w:rFonts w:eastAsia="Times New Roman" w:cstheme="minorHAnsi"/>
                <w:color w:val="333333"/>
                <w:sz w:val="18"/>
                <w:szCs w:val="18"/>
                <w:lang w:eastAsia="en-GB"/>
              </w:rPr>
            </w:pPr>
            <w:r w:rsidRPr="000158F4">
              <w:rPr>
                <w:rFonts w:eastAsia="Times New Roman" w:cstheme="minorHAnsi"/>
                <w:color w:val="333333"/>
                <w:sz w:val="18"/>
                <w:szCs w:val="18"/>
                <w:lang w:eastAsia="en-GB"/>
              </w:rPr>
              <w:t>4.9</w:t>
            </w:r>
          </w:p>
        </w:tc>
      </w:tr>
      <w:tr w:rsidR="000158F4" w:rsidRPr="000158F4" w14:paraId="3DAD7FBB" w14:textId="77777777" w:rsidTr="000158F4">
        <w:trPr>
          <w:trHeight w:val="164"/>
        </w:trPr>
        <w:tc>
          <w:tcPr>
            <w:tcW w:w="3882" w:type="dxa"/>
            <w:tcBorders>
              <w:top w:val="single" w:sz="4" w:space="0" w:color="FFFFFF"/>
              <w:left w:val="nil"/>
              <w:bottom w:val="single" w:sz="4" w:space="0" w:color="FFFFFF"/>
              <w:right w:val="single" w:sz="4" w:space="0" w:color="FFFFFF"/>
            </w:tcBorders>
            <w:shd w:val="clear" w:color="B4C6E7" w:fill="B4C6E7"/>
            <w:noWrap/>
            <w:vAlign w:val="bottom"/>
            <w:hideMark/>
          </w:tcPr>
          <w:p w14:paraId="34011EF4" w14:textId="77777777" w:rsidR="000158F4" w:rsidRPr="000158F4" w:rsidRDefault="000158F4" w:rsidP="000158F4">
            <w:pPr>
              <w:rPr>
                <w:rFonts w:eastAsia="Times New Roman" w:cstheme="minorHAnsi"/>
                <w:color w:val="333333"/>
                <w:sz w:val="18"/>
                <w:szCs w:val="18"/>
                <w:lang w:eastAsia="en-GB"/>
              </w:rPr>
            </w:pPr>
            <w:r w:rsidRPr="000158F4">
              <w:rPr>
                <w:rFonts w:eastAsia="Times New Roman" w:cstheme="minorHAnsi"/>
                <w:color w:val="333333"/>
                <w:sz w:val="18"/>
                <w:szCs w:val="18"/>
                <w:lang w:eastAsia="en-GB"/>
              </w:rPr>
              <w:t>Economically Inactive</w:t>
            </w:r>
          </w:p>
        </w:tc>
        <w:tc>
          <w:tcPr>
            <w:tcW w:w="1172" w:type="dxa"/>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2A0D36EE" w14:textId="77777777" w:rsidR="000158F4" w:rsidRPr="000158F4" w:rsidRDefault="000158F4" w:rsidP="000158F4">
            <w:pPr>
              <w:jc w:val="right"/>
              <w:rPr>
                <w:rFonts w:eastAsia="Times New Roman" w:cstheme="minorHAnsi"/>
                <w:color w:val="333333"/>
                <w:sz w:val="18"/>
                <w:szCs w:val="18"/>
                <w:lang w:eastAsia="en-GB"/>
              </w:rPr>
            </w:pPr>
            <w:r w:rsidRPr="000158F4">
              <w:rPr>
                <w:rFonts w:eastAsia="Times New Roman" w:cstheme="minorHAnsi"/>
                <w:color w:val="333333"/>
                <w:sz w:val="18"/>
                <w:szCs w:val="18"/>
                <w:lang w:eastAsia="en-GB"/>
              </w:rPr>
              <w:t>23,493</w:t>
            </w:r>
          </w:p>
        </w:tc>
        <w:tc>
          <w:tcPr>
            <w:tcW w:w="822" w:type="dxa"/>
            <w:tcBorders>
              <w:top w:val="single" w:sz="4" w:space="0" w:color="FFFFFF"/>
              <w:left w:val="single" w:sz="4" w:space="0" w:color="FFFFFF"/>
              <w:bottom w:val="single" w:sz="4" w:space="0" w:color="FFFFFF"/>
              <w:right w:val="nil"/>
            </w:tcBorders>
            <w:shd w:val="clear" w:color="B4C6E7" w:fill="B4C6E7"/>
            <w:noWrap/>
            <w:vAlign w:val="bottom"/>
            <w:hideMark/>
          </w:tcPr>
          <w:p w14:paraId="58011C74" w14:textId="77777777" w:rsidR="000158F4" w:rsidRPr="000158F4" w:rsidRDefault="000158F4" w:rsidP="000158F4">
            <w:pPr>
              <w:jc w:val="right"/>
              <w:rPr>
                <w:rFonts w:eastAsia="Times New Roman" w:cstheme="minorHAnsi"/>
                <w:color w:val="333333"/>
                <w:sz w:val="18"/>
                <w:szCs w:val="18"/>
                <w:lang w:eastAsia="en-GB"/>
              </w:rPr>
            </w:pPr>
            <w:r w:rsidRPr="000158F4">
              <w:rPr>
                <w:rFonts w:eastAsia="Times New Roman" w:cstheme="minorHAnsi"/>
                <w:color w:val="333333"/>
                <w:sz w:val="18"/>
                <w:szCs w:val="18"/>
                <w:lang w:eastAsia="en-GB"/>
              </w:rPr>
              <w:t>34.9</w:t>
            </w:r>
          </w:p>
        </w:tc>
      </w:tr>
      <w:tr w:rsidR="000158F4" w:rsidRPr="000158F4" w14:paraId="79C6DF96" w14:textId="77777777" w:rsidTr="000158F4">
        <w:trPr>
          <w:trHeight w:val="164"/>
        </w:trPr>
        <w:tc>
          <w:tcPr>
            <w:tcW w:w="3882" w:type="dxa"/>
            <w:tcBorders>
              <w:top w:val="single" w:sz="4" w:space="0" w:color="FFFFFF"/>
              <w:left w:val="nil"/>
              <w:bottom w:val="single" w:sz="4" w:space="0" w:color="FFFFFF"/>
              <w:right w:val="single" w:sz="4" w:space="0" w:color="FFFFFF"/>
            </w:tcBorders>
            <w:shd w:val="clear" w:color="D9E1F2" w:fill="D9E1F2"/>
            <w:noWrap/>
            <w:vAlign w:val="bottom"/>
            <w:hideMark/>
          </w:tcPr>
          <w:p w14:paraId="440A10DC" w14:textId="77777777" w:rsidR="000158F4" w:rsidRPr="000158F4" w:rsidRDefault="000158F4" w:rsidP="000158F4">
            <w:pPr>
              <w:rPr>
                <w:rFonts w:eastAsia="Times New Roman" w:cstheme="minorHAnsi"/>
                <w:color w:val="333333"/>
                <w:sz w:val="18"/>
                <w:szCs w:val="18"/>
                <w:lang w:eastAsia="en-GB"/>
              </w:rPr>
            </w:pPr>
            <w:r w:rsidRPr="000158F4">
              <w:rPr>
                <w:rFonts w:eastAsia="Times New Roman" w:cstheme="minorHAnsi"/>
                <w:color w:val="333333"/>
                <w:sz w:val="18"/>
                <w:szCs w:val="18"/>
                <w:lang w:eastAsia="en-GB"/>
              </w:rPr>
              <w:t>Retired</w:t>
            </w:r>
          </w:p>
        </w:tc>
        <w:tc>
          <w:tcPr>
            <w:tcW w:w="1172" w:type="dxa"/>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51359F4A" w14:textId="77777777" w:rsidR="000158F4" w:rsidRPr="000158F4" w:rsidRDefault="000158F4" w:rsidP="000158F4">
            <w:pPr>
              <w:jc w:val="right"/>
              <w:rPr>
                <w:rFonts w:eastAsia="Times New Roman" w:cstheme="minorHAnsi"/>
                <w:color w:val="333333"/>
                <w:sz w:val="18"/>
                <w:szCs w:val="18"/>
                <w:lang w:eastAsia="en-GB"/>
              </w:rPr>
            </w:pPr>
            <w:r w:rsidRPr="000158F4">
              <w:rPr>
                <w:rFonts w:eastAsia="Times New Roman" w:cstheme="minorHAnsi"/>
                <w:color w:val="333333"/>
                <w:sz w:val="18"/>
                <w:szCs w:val="18"/>
                <w:lang w:eastAsia="en-GB"/>
              </w:rPr>
              <w:t>8,314</w:t>
            </w:r>
          </w:p>
        </w:tc>
        <w:tc>
          <w:tcPr>
            <w:tcW w:w="822" w:type="dxa"/>
            <w:tcBorders>
              <w:top w:val="single" w:sz="4" w:space="0" w:color="FFFFFF"/>
              <w:left w:val="single" w:sz="4" w:space="0" w:color="FFFFFF"/>
              <w:bottom w:val="single" w:sz="4" w:space="0" w:color="FFFFFF"/>
              <w:right w:val="nil"/>
            </w:tcBorders>
            <w:shd w:val="clear" w:color="D9E1F2" w:fill="D9E1F2"/>
            <w:noWrap/>
            <w:vAlign w:val="bottom"/>
            <w:hideMark/>
          </w:tcPr>
          <w:p w14:paraId="112CABC8" w14:textId="77777777" w:rsidR="000158F4" w:rsidRPr="000158F4" w:rsidRDefault="000158F4" w:rsidP="000158F4">
            <w:pPr>
              <w:jc w:val="right"/>
              <w:rPr>
                <w:rFonts w:eastAsia="Times New Roman" w:cstheme="minorHAnsi"/>
                <w:color w:val="333333"/>
                <w:sz w:val="18"/>
                <w:szCs w:val="18"/>
                <w:lang w:eastAsia="en-GB"/>
              </w:rPr>
            </w:pPr>
            <w:r w:rsidRPr="000158F4">
              <w:rPr>
                <w:rFonts w:eastAsia="Times New Roman" w:cstheme="minorHAnsi"/>
                <w:color w:val="333333"/>
                <w:sz w:val="18"/>
                <w:szCs w:val="18"/>
                <w:lang w:eastAsia="en-GB"/>
              </w:rPr>
              <w:t>12.4</w:t>
            </w:r>
          </w:p>
        </w:tc>
      </w:tr>
      <w:tr w:rsidR="000158F4" w:rsidRPr="000158F4" w14:paraId="2C66E915" w14:textId="77777777" w:rsidTr="000158F4">
        <w:trPr>
          <w:trHeight w:val="164"/>
        </w:trPr>
        <w:tc>
          <w:tcPr>
            <w:tcW w:w="3882" w:type="dxa"/>
            <w:tcBorders>
              <w:top w:val="single" w:sz="4" w:space="0" w:color="FFFFFF"/>
              <w:left w:val="nil"/>
              <w:bottom w:val="single" w:sz="4" w:space="0" w:color="FFFFFF"/>
              <w:right w:val="single" w:sz="4" w:space="0" w:color="FFFFFF"/>
            </w:tcBorders>
            <w:shd w:val="clear" w:color="B4C6E7" w:fill="B4C6E7"/>
            <w:noWrap/>
            <w:vAlign w:val="bottom"/>
            <w:hideMark/>
          </w:tcPr>
          <w:p w14:paraId="5D7C65B7" w14:textId="77777777" w:rsidR="000158F4" w:rsidRPr="000158F4" w:rsidRDefault="000158F4" w:rsidP="000158F4">
            <w:pPr>
              <w:rPr>
                <w:rFonts w:eastAsia="Times New Roman" w:cstheme="minorHAnsi"/>
                <w:color w:val="333333"/>
                <w:sz w:val="18"/>
                <w:szCs w:val="18"/>
                <w:lang w:eastAsia="en-GB"/>
              </w:rPr>
            </w:pPr>
            <w:r w:rsidRPr="000158F4">
              <w:rPr>
                <w:rFonts w:eastAsia="Times New Roman" w:cstheme="minorHAnsi"/>
                <w:color w:val="333333"/>
                <w:sz w:val="18"/>
                <w:szCs w:val="18"/>
                <w:lang w:eastAsia="en-GB"/>
              </w:rPr>
              <w:t>Student (including full-time students)</w:t>
            </w:r>
          </w:p>
        </w:tc>
        <w:tc>
          <w:tcPr>
            <w:tcW w:w="1172" w:type="dxa"/>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085710CD" w14:textId="77777777" w:rsidR="000158F4" w:rsidRPr="000158F4" w:rsidRDefault="000158F4" w:rsidP="000158F4">
            <w:pPr>
              <w:jc w:val="right"/>
              <w:rPr>
                <w:rFonts w:eastAsia="Times New Roman" w:cstheme="minorHAnsi"/>
                <w:color w:val="333333"/>
                <w:sz w:val="18"/>
                <w:szCs w:val="18"/>
                <w:lang w:eastAsia="en-GB"/>
              </w:rPr>
            </w:pPr>
            <w:r w:rsidRPr="000158F4">
              <w:rPr>
                <w:rFonts w:eastAsia="Times New Roman" w:cstheme="minorHAnsi"/>
                <w:color w:val="333333"/>
                <w:sz w:val="18"/>
                <w:szCs w:val="18"/>
                <w:lang w:eastAsia="en-GB"/>
              </w:rPr>
              <w:t>7,901</w:t>
            </w:r>
          </w:p>
        </w:tc>
        <w:tc>
          <w:tcPr>
            <w:tcW w:w="822" w:type="dxa"/>
            <w:tcBorders>
              <w:top w:val="single" w:sz="4" w:space="0" w:color="FFFFFF"/>
              <w:left w:val="single" w:sz="4" w:space="0" w:color="FFFFFF"/>
              <w:bottom w:val="single" w:sz="4" w:space="0" w:color="FFFFFF"/>
              <w:right w:val="nil"/>
            </w:tcBorders>
            <w:shd w:val="clear" w:color="B4C6E7" w:fill="B4C6E7"/>
            <w:noWrap/>
            <w:vAlign w:val="bottom"/>
            <w:hideMark/>
          </w:tcPr>
          <w:p w14:paraId="0F2C2A7E" w14:textId="77777777" w:rsidR="000158F4" w:rsidRPr="000158F4" w:rsidRDefault="000158F4" w:rsidP="000158F4">
            <w:pPr>
              <w:jc w:val="right"/>
              <w:rPr>
                <w:rFonts w:eastAsia="Times New Roman" w:cstheme="minorHAnsi"/>
                <w:color w:val="333333"/>
                <w:sz w:val="18"/>
                <w:szCs w:val="18"/>
                <w:lang w:eastAsia="en-GB"/>
              </w:rPr>
            </w:pPr>
            <w:r w:rsidRPr="000158F4">
              <w:rPr>
                <w:rFonts w:eastAsia="Times New Roman" w:cstheme="minorHAnsi"/>
                <w:color w:val="333333"/>
                <w:sz w:val="18"/>
                <w:szCs w:val="18"/>
                <w:lang w:eastAsia="en-GB"/>
              </w:rPr>
              <w:t>11.7</w:t>
            </w:r>
          </w:p>
        </w:tc>
      </w:tr>
      <w:tr w:rsidR="000158F4" w:rsidRPr="000158F4" w14:paraId="726D1AD8" w14:textId="77777777" w:rsidTr="000158F4">
        <w:trPr>
          <w:trHeight w:val="164"/>
        </w:trPr>
        <w:tc>
          <w:tcPr>
            <w:tcW w:w="3882" w:type="dxa"/>
            <w:tcBorders>
              <w:top w:val="single" w:sz="4" w:space="0" w:color="FFFFFF"/>
              <w:left w:val="nil"/>
              <w:bottom w:val="single" w:sz="4" w:space="0" w:color="FFFFFF"/>
              <w:right w:val="single" w:sz="4" w:space="0" w:color="FFFFFF"/>
            </w:tcBorders>
            <w:shd w:val="clear" w:color="D9E1F2" w:fill="D9E1F2"/>
            <w:noWrap/>
            <w:vAlign w:val="bottom"/>
            <w:hideMark/>
          </w:tcPr>
          <w:p w14:paraId="0308A525" w14:textId="77777777" w:rsidR="000158F4" w:rsidRPr="000158F4" w:rsidRDefault="000158F4" w:rsidP="000158F4">
            <w:pPr>
              <w:rPr>
                <w:rFonts w:eastAsia="Times New Roman" w:cstheme="minorHAnsi"/>
                <w:color w:val="333333"/>
                <w:sz w:val="18"/>
                <w:szCs w:val="18"/>
                <w:lang w:eastAsia="en-GB"/>
              </w:rPr>
            </w:pPr>
            <w:r w:rsidRPr="000158F4">
              <w:rPr>
                <w:rFonts w:eastAsia="Times New Roman" w:cstheme="minorHAnsi"/>
                <w:color w:val="333333"/>
                <w:sz w:val="18"/>
                <w:szCs w:val="18"/>
                <w:lang w:eastAsia="en-GB"/>
              </w:rPr>
              <w:t>Looking after home or family</w:t>
            </w:r>
          </w:p>
        </w:tc>
        <w:tc>
          <w:tcPr>
            <w:tcW w:w="1172" w:type="dxa"/>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7DB44019" w14:textId="77777777" w:rsidR="000158F4" w:rsidRPr="000158F4" w:rsidRDefault="000158F4" w:rsidP="000158F4">
            <w:pPr>
              <w:jc w:val="right"/>
              <w:rPr>
                <w:rFonts w:eastAsia="Times New Roman" w:cstheme="minorHAnsi"/>
                <w:color w:val="333333"/>
                <w:sz w:val="18"/>
                <w:szCs w:val="18"/>
                <w:lang w:eastAsia="en-GB"/>
              </w:rPr>
            </w:pPr>
            <w:r w:rsidRPr="000158F4">
              <w:rPr>
                <w:rFonts w:eastAsia="Times New Roman" w:cstheme="minorHAnsi"/>
                <w:color w:val="333333"/>
                <w:sz w:val="18"/>
                <w:szCs w:val="18"/>
                <w:lang w:eastAsia="en-GB"/>
              </w:rPr>
              <w:t>657</w:t>
            </w:r>
          </w:p>
        </w:tc>
        <w:tc>
          <w:tcPr>
            <w:tcW w:w="822" w:type="dxa"/>
            <w:tcBorders>
              <w:top w:val="single" w:sz="4" w:space="0" w:color="FFFFFF"/>
              <w:left w:val="single" w:sz="4" w:space="0" w:color="FFFFFF"/>
              <w:bottom w:val="single" w:sz="4" w:space="0" w:color="FFFFFF"/>
              <w:right w:val="nil"/>
            </w:tcBorders>
            <w:shd w:val="clear" w:color="D9E1F2" w:fill="D9E1F2"/>
            <w:noWrap/>
            <w:vAlign w:val="bottom"/>
            <w:hideMark/>
          </w:tcPr>
          <w:p w14:paraId="070C001D" w14:textId="77777777" w:rsidR="000158F4" w:rsidRPr="000158F4" w:rsidRDefault="000158F4" w:rsidP="000158F4">
            <w:pPr>
              <w:jc w:val="right"/>
              <w:rPr>
                <w:rFonts w:eastAsia="Times New Roman" w:cstheme="minorHAnsi"/>
                <w:color w:val="333333"/>
                <w:sz w:val="18"/>
                <w:szCs w:val="18"/>
                <w:lang w:eastAsia="en-GB"/>
              </w:rPr>
            </w:pPr>
            <w:r w:rsidRPr="000158F4">
              <w:rPr>
                <w:rFonts w:eastAsia="Times New Roman" w:cstheme="minorHAnsi"/>
                <w:color w:val="333333"/>
                <w:sz w:val="18"/>
                <w:szCs w:val="18"/>
                <w:lang w:eastAsia="en-GB"/>
              </w:rPr>
              <w:t>1</w:t>
            </w:r>
          </w:p>
        </w:tc>
      </w:tr>
      <w:tr w:rsidR="000158F4" w:rsidRPr="000158F4" w14:paraId="5576E55B" w14:textId="77777777" w:rsidTr="000158F4">
        <w:trPr>
          <w:trHeight w:val="164"/>
        </w:trPr>
        <w:tc>
          <w:tcPr>
            <w:tcW w:w="3882" w:type="dxa"/>
            <w:tcBorders>
              <w:top w:val="single" w:sz="4" w:space="0" w:color="FFFFFF"/>
              <w:left w:val="nil"/>
              <w:bottom w:val="single" w:sz="4" w:space="0" w:color="FFFFFF"/>
              <w:right w:val="single" w:sz="4" w:space="0" w:color="FFFFFF"/>
            </w:tcBorders>
            <w:shd w:val="clear" w:color="B4C6E7" w:fill="B4C6E7"/>
            <w:noWrap/>
            <w:vAlign w:val="bottom"/>
            <w:hideMark/>
          </w:tcPr>
          <w:p w14:paraId="5EABC727" w14:textId="77777777" w:rsidR="000158F4" w:rsidRPr="000158F4" w:rsidRDefault="000158F4" w:rsidP="000158F4">
            <w:pPr>
              <w:rPr>
                <w:rFonts w:eastAsia="Times New Roman" w:cstheme="minorHAnsi"/>
                <w:color w:val="333333"/>
                <w:sz w:val="18"/>
                <w:szCs w:val="18"/>
                <w:lang w:eastAsia="en-GB"/>
              </w:rPr>
            </w:pPr>
            <w:r w:rsidRPr="000158F4">
              <w:rPr>
                <w:rFonts w:eastAsia="Times New Roman" w:cstheme="minorHAnsi"/>
                <w:color w:val="333333"/>
                <w:sz w:val="18"/>
                <w:szCs w:val="18"/>
                <w:lang w:eastAsia="en-GB"/>
              </w:rPr>
              <w:t>Long-term sick or disabled</w:t>
            </w:r>
          </w:p>
        </w:tc>
        <w:tc>
          <w:tcPr>
            <w:tcW w:w="1172" w:type="dxa"/>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7F041894" w14:textId="77777777" w:rsidR="000158F4" w:rsidRPr="000158F4" w:rsidRDefault="000158F4" w:rsidP="000158F4">
            <w:pPr>
              <w:jc w:val="right"/>
              <w:rPr>
                <w:rFonts w:eastAsia="Times New Roman" w:cstheme="minorHAnsi"/>
                <w:color w:val="333333"/>
                <w:sz w:val="18"/>
                <w:szCs w:val="18"/>
                <w:lang w:eastAsia="en-GB"/>
              </w:rPr>
            </w:pPr>
            <w:r w:rsidRPr="000158F4">
              <w:rPr>
                <w:rFonts w:eastAsia="Times New Roman" w:cstheme="minorHAnsi"/>
                <w:color w:val="333333"/>
                <w:sz w:val="18"/>
                <w:szCs w:val="18"/>
                <w:lang w:eastAsia="en-GB"/>
              </w:rPr>
              <w:t>5,140</w:t>
            </w:r>
          </w:p>
        </w:tc>
        <w:tc>
          <w:tcPr>
            <w:tcW w:w="822" w:type="dxa"/>
            <w:tcBorders>
              <w:top w:val="single" w:sz="4" w:space="0" w:color="FFFFFF"/>
              <w:left w:val="single" w:sz="4" w:space="0" w:color="FFFFFF"/>
              <w:bottom w:val="single" w:sz="4" w:space="0" w:color="FFFFFF"/>
              <w:right w:val="nil"/>
            </w:tcBorders>
            <w:shd w:val="clear" w:color="B4C6E7" w:fill="B4C6E7"/>
            <w:noWrap/>
            <w:vAlign w:val="bottom"/>
            <w:hideMark/>
          </w:tcPr>
          <w:p w14:paraId="5B2FD7CE" w14:textId="77777777" w:rsidR="000158F4" w:rsidRPr="000158F4" w:rsidRDefault="000158F4" w:rsidP="000158F4">
            <w:pPr>
              <w:jc w:val="right"/>
              <w:rPr>
                <w:rFonts w:eastAsia="Times New Roman" w:cstheme="minorHAnsi"/>
                <w:color w:val="333333"/>
                <w:sz w:val="18"/>
                <w:szCs w:val="18"/>
                <w:lang w:eastAsia="en-GB"/>
              </w:rPr>
            </w:pPr>
            <w:r w:rsidRPr="000158F4">
              <w:rPr>
                <w:rFonts w:eastAsia="Times New Roman" w:cstheme="minorHAnsi"/>
                <w:color w:val="333333"/>
                <w:sz w:val="18"/>
                <w:szCs w:val="18"/>
                <w:lang w:eastAsia="en-GB"/>
              </w:rPr>
              <w:t>7.6</w:t>
            </w:r>
          </w:p>
        </w:tc>
      </w:tr>
      <w:tr w:rsidR="000158F4" w:rsidRPr="000158F4" w14:paraId="55E84505" w14:textId="77777777" w:rsidTr="000158F4">
        <w:trPr>
          <w:trHeight w:val="164"/>
        </w:trPr>
        <w:tc>
          <w:tcPr>
            <w:tcW w:w="3882" w:type="dxa"/>
            <w:tcBorders>
              <w:top w:val="single" w:sz="4" w:space="0" w:color="FFFFFF"/>
              <w:left w:val="nil"/>
              <w:bottom w:val="single" w:sz="4" w:space="0" w:color="FFFFFF"/>
              <w:right w:val="single" w:sz="4" w:space="0" w:color="FFFFFF"/>
            </w:tcBorders>
            <w:shd w:val="clear" w:color="D9E1F2" w:fill="D9E1F2"/>
            <w:noWrap/>
            <w:vAlign w:val="bottom"/>
            <w:hideMark/>
          </w:tcPr>
          <w:p w14:paraId="4D49C700" w14:textId="77777777" w:rsidR="000158F4" w:rsidRPr="000158F4" w:rsidRDefault="000158F4" w:rsidP="000158F4">
            <w:pPr>
              <w:rPr>
                <w:rFonts w:eastAsia="Times New Roman" w:cstheme="minorHAnsi"/>
                <w:color w:val="333333"/>
                <w:sz w:val="18"/>
                <w:szCs w:val="18"/>
                <w:lang w:eastAsia="en-GB"/>
              </w:rPr>
            </w:pPr>
            <w:r w:rsidRPr="000158F4">
              <w:rPr>
                <w:rFonts w:eastAsia="Times New Roman" w:cstheme="minorHAnsi"/>
                <w:color w:val="333333"/>
                <w:sz w:val="18"/>
                <w:szCs w:val="18"/>
                <w:lang w:eastAsia="en-GB"/>
              </w:rPr>
              <w:t>Other</w:t>
            </w:r>
          </w:p>
        </w:tc>
        <w:tc>
          <w:tcPr>
            <w:tcW w:w="1172" w:type="dxa"/>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226416E8" w14:textId="77777777" w:rsidR="000158F4" w:rsidRPr="000158F4" w:rsidRDefault="000158F4" w:rsidP="000158F4">
            <w:pPr>
              <w:jc w:val="right"/>
              <w:rPr>
                <w:rFonts w:eastAsia="Times New Roman" w:cstheme="minorHAnsi"/>
                <w:color w:val="333333"/>
                <w:sz w:val="18"/>
                <w:szCs w:val="18"/>
                <w:lang w:eastAsia="en-GB"/>
              </w:rPr>
            </w:pPr>
            <w:r w:rsidRPr="000158F4">
              <w:rPr>
                <w:rFonts w:eastAsia="Times New Roman" w:cstheme="minorHAnsi"/>
                <w:color w:val="333333"/>
                <w:sz w:val="18"/>
                <w:szCs w:val="18"/>
                <w:lang w:eastAsia="en-GB"/>
              </w:rPr>
              <w:t>1,481</w:t>
            </w:r>
          </w:p>
        </w:tc>
        <w:tc>
          <w:tcPr>
            <w:tcW w:w="822" w:type="dxa"/>
            <w:tcBorders>
              <w:top w:val="single" w:sz="4" w:space="0" w:color="FFFFFF"/>
              <w:left w:val="single" w:sz="4" w:space="0" w:color="FFFFFF"/>
              <w:bottom w:val="single" w:sz="4" w:space="0" w:color="FFFFFF"/>
              <w:right w:val="nil"/>
            </w:tcBorders>
            <w:shd w:val="clear" w:color="D9E1F2" w:fill="D9E1F2"/>
            <w:noWrap/>
            <w:vAlign w:val="bottom"/>
            <w:hideMark/>
          </w:tcPr>
          <w:p w14:paraId="74CF75D4" w14:textId="77777777" w:rsidR="000158F4" w:rsidRPr="000158F4" w:rsidRDefault="000158F4" w:rsidP="000158F4">
            <w:pPr>
              <w:jc w:val="right"/>
              <w:rPr>
                <w:rFonts w:eastAsia="Times New Roman" w:cstheme="minorHAnsi"/>
                <w:color w:val="333333"/>
                <w:sz w:val="18"/>
                <w:szCs w:val="18"/>
                <w:lang w:eastAsia="en-GB"/>
              </w:rPr>
            </w:pPr>
            <w:r w:rsidRPr="000158F4">
              <w:rPr>
                <w:rFonts w:eastAsia="Times New Roman" w:cstheme="minorHAnsi"/>
                <w:color w:val="333333"/>
                <w:sz w:val="18"/>
                <w:szCs w:val="18"/>
                <w:lang w:eastAsia="en-GB"/>
              </w:rPr>
              <w:t>2.2</w:t>
            </w:r>
          </w:p>
        </w:tc>
      </w:tr>
      <w:tr w:rsidR="000158F4" w:rsidRPr="000158F4" w14:paraId="737504B6" w14:textId="77777777" w:rsidTr="000158F4">
        <w:trPr>
          <w:trHeight w:val="164"/>
        </w:trPr>
        <w:tc>
          <w:tcPr>
            <w:tcW w:w="3882" w:type="dxa"/>
            <w:tcBorders>
              <w:top w:val="single" w:sz="4" w:space="0" w:color="FFFFFF"/>
              <w:left w:val="nil"/>
              <w:bottom w:val="single" w:sz="4" w:space="0" w:color="FFFFFF"/>
              <w:right w:val="single" w:sz="4" w:space="0" w:color="FFFFFF"/>
            </w:tcBorders>
            <w:shd w:val="clear" w:color="B4C6E7" w:fill="B4C6E7"/>
            <w:noWrap/>
            <w:vAlign w:val="bottom"/>
            <w:hideMark/>
          </w:tcPr>
          <w:p w14:paraId="4AACA629" w14:textId="77777777" w:rsidR="000158F4" w:rsidRPr="000158F4" w:rsidRDefault="000158F4" w:rsidP="000158F4">
            <w:pPr>
              <w:rPr>
                <w:rFonts w:eastAsia="Times New Roman" w:cstheme="minorHAnsi"/>
                <w:color w:val="333333"/>
                <w:sz w:val="18"/>
                <w:szCs w:val="18"/>
                <w:lang w:eastAsia="en-GB"/>
              </w:rPr>
            </w:pPr>
            <w:r w:rsidRPr="000158F4">
              <w:rPr>
                <w:rFonts w:eastAsia="Times New Roman" w:cstheme="minorHAnsi"/>
                <w:color w:val="333333"/>
                <w:sz w:val="18"/>
                <w:szCs w:val="18"/>
                <w:lang w:eastAsia="en-GB"/>
              </w:rPr>
              <w:t>Unemployed: Age 16 to 24</w:t>
            </w:r>
          </w:p>
        </w:tc>
        <w:tc>
          <w:tcPr>
            <w:tcW w:w="1172" w:type="dxa"/>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5C6F4876" w14:textId="77777777" w:rsidR="000158F4" w:rsidRPr="000158F4" w:rsidRDefault="000158F4" w:rsidP="000158F4">
            <w:pPr>
              <w:jc w:val="right"/>
              <w:rPr>
                <w:rFonts w:eastAsia="Times New Roman" w:cstheme="minorHAnsi"/>
                <w:color w:val="333333"/>
                <w:sz w:val="18"/>
                <w:szCs w:val="18"/>
                <w:lang w:eastAsia="en-GB"/>
              </w:rPr>
            </w:pPr>
            <w:r w:rsidRPr="000158F4">
              <w:rPr>
                <w:rFonts w:eastAsia="Times New Roman" w:cstheme="minorHAnsi"/>
                <w:color w:val="333333"/>
                <w:sz w:val="18"/>
                <w:szCs w:val="18"/>
                <w:lang w:eastAsia="en-GB"/>
              </w:rPr>
              <w:t>1,038</w:t>
            </w:r>
          </w:p>
        </w:tc>
        <w:tc>
          <w:tcPr>
            <w:tcW w:w="822" w:type="dxa"/>
            <w:tcBorders>
              <w:top w:val="single" w:sz="4" w:space="0" w:color="FFFFFF"/>
              <w:left w:val="single" w:sz="4" w:space="0" w:color="FFFFFF"/>
              <w:bottom w:val="single" w:sz="4" w:space="0" w:color="FFFFFF"/>
              <w:right w:val="nil"/>
            </w:tcBorders>
            <w:shd w:val="clear" w:color="B4C6E7" w:fill="B4C6E7"/>
            <w:noWrap/>
            <w:vAlign w:val="bottom"/>
            <w:hideMark/>
          </w:tcPr>
          <w:p w14:paraId="343BC157" w14:textId="77777777" w:rsidR="000158F4" w:rsidRPr="000158F4" w:rsidRDefault="000158F4" w:rsidP="000158F4">
            <w:pPr>
              <w:jc w:val="right"/>
              <w:rPr>
                <w:rFonts w:eastAsia="Times New Roman" w:cstheme="minorHAnsi"/>
                <w:color w:val="333333"/>
                <w:sz w:val="18"/>
                <w:szCs w:val="18"/>
                <w:lang w:eastAsia="en-GB"/>
              </w:rPr>
            </w:pPr>
            <w:r w:rsidRPr="000158F4">
              <w:rPr>
                <w:rFonts w:eastAsia="Times New Roman" w:cstheme="minorHAnsi"/>
                <w:color w:val="333333"/>
                <w:sz w:val="18"/>
                <w:szCs w:val="18"/>
                <w:lang w:eastAsia="en-GB"/>
              </w:rPr>
              <w:t>1.5</w:t>
            </w:r>
          </w:p>
        </w:tc>
      </w:tr>
      <w:tr w:rsidR="000158F4" w:rsidRPr="000158F4" w14:paraId="5560C7A3" w14:textId="77777777" w:rsidTr="000158F4">
        <w:trPr>
          <w:trHeight w:val="164"/>
        </w:trPr>
        <w:tc>
          <w:tcPr>
            <w:tcW w:w="3882" w:type="dxa"/>
            <w:tcBorders>
              <w:top w:val="single" w:sz="4" w:space="0" w:color="FFFFFF"/>
              <w:left w:val="nil"/>
              <w:bottom w:val="single" w:sz="4" w:space="0" w:color="FFFFFF"/>
              <w:right w:val="single" w:sz="4" w:space="0" w:color="FFFFFF"/>
            </w:tcBorders>
            <w:shd w:val="clear" w:color="D9E1F2" w:fill="D9E1F2"/>
            <w:noWrap/>
            <w:vAlign w:val="bottom"/>
            <w:hideMark/>
          </w:tcPr>
          <w:p w14:paraId="6B42BFB6" w14:textId="77777777" w:rsidR="000158F4" w:rsidRPr="000158F4" w:rsidRDefault="000158F4" w:rsidP="000158F4">
            <w:pPr>
              <w:rPr>
                <w:rFonts w:eastAsia="Times New Roman" w:cstheme="minorHAnsi"/>
                <w:color w:val="333333"/>
                <w:sz w:val="18"/>
                <w:szCs w:val="18"/>
                <w:lang w:eastAsia="en-GB"/>
              </w:rPr>
            </w:pPr>
            <w:r w:rsidRPr="000158F4">
              <w:rPr>
                <w:rFonts w:eastAsia="Times New Roman" w:cstheme="minorHAnsi"/>
                <w:color w:val="333333"/>
                <w:sz w:val="18"/>
                <w:szCs w:val="18"/>
                <w:lang w:eastAsia="en-GB"/>
              </w:rPr>
              <w:t>Unemployed: Age 50 to 74</w:t>
            </w:r>
          </w:p>
        </w:tc>
        <w:tc>
          <w:tcPr>
            <w:tcW w:w="1172" w:type="dxa"/>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7AC1A439" w14:textId="77777777" w:rsidR="000158F4" w:rsidRPr="000158F4" w:rsidRDefault="000158F4" w:rsidP="000158F4">
            <w:pPr>
              <w:jc w:val="right"/>
              <w:rPr>
                <w:rFonts w:eastAsia="Times New Roman" w:cstheme="minorHAnsi"/>
                <w:color w:val="333333"/>
                <w:sz w:val="18"/>
                <w:szCs w:val="18"/>
                <w:lang w:eastAsia="en-GB"/>
              </w:rPr>
            </w:pPr>
            <w:r w:rsidRPr="000158F4">
              <w:rPr>
                <w:rFonts w:eastAsia="Times New Roman" w:cstheme="minorHAnsi"/>
                <w:color w:val="333333"/>
                <w:sz w:val="18"/>
                <w:szCs w:val="18"/>
                <w:lang w:eastAsia="en-GB"/>
              </w:rPr>
              <w:t>638</w:t>
            </w:r>
          </w:p>
        </w:tc>
        <w:tc>
          <w:tcPr>
            <w:tcW w:w="822" w:type="dxa"/>
            <w:tcBorders>
              <w:top w:val="single" w:sz="4" w:space="0" w:color="FFFFFF"/>
              <w:left w:val="single" w:sz="4" w:space="0" w:color="FFFFFF"/>
              <w:bottom w:val="single" w:sz="4" w:space="0" w:color="FFFFFF"/>
              <w:right w:val="nil"/>
            </w:tcBorders>
            <w:shd w:val="clear" w:color="D9E1F2" w:fill="D9E1F2"/>
            <w:noWrap/>
            <w:vAlign w:val="bottom"/>
            <w:hideMark/>
          </w:tcPr>
          <w:p w14:paraId="71C60954" w14:textId="77777777" w:rsidR="000158F4" w:rsidRPr="000158F4" w:rsidRDefault="000158F4" w:rsidP="000158F4">
            <w:pPr>
              <w:jc w:val="right"/>
              <w:rPr>
                <w:rFonts w:eastAsia="Times New Roman" w:cstheme="minorHAnsi"/>
                <w:color w:val="333333"/>
                <w:sz w:val="18"/>
                <w:szCs w:val="18"/>
                <w:lang w:eastAsia="en-GB"/>
              </w:rPr>
            </w:pPr>
            <w:r w:rsidRPr="000158F4">
              <w:rPr>
                <w:rFonts w:eastAsia="Times New Roman" w:cstheme="minorHAnsi"/>
                <w:color w:val="333333"/>
                <w:sz w:val="18"/>
                <w:szCs w:val="18"/>
                <w:lang w:eastAsia="en-GB"/>
              </w:rPr>
              <w:t>0.9</w:t>
            </w:r>
          </w:p>
        </w:tc>
      </w:tr>
      <w:tr w:rsidR="000158F4" w:rsidRPr="000158F4" w14:paraId="72BF510B" w14:textId="77777777" w:rsidTr="000158F4">
        <w:trPr>
          <w:trHeight w:val="164"/>
        </w:trPr>
        <w:tc>
          <w:tcPr>
            <w:tcW w:w="3882" w:type="dxa"/>
            <w:tcBorders>
              <w:top w:val="single" w:sz="4" w:space="0" w:color="FFFFFF"/>
              <w:left w:val="nil"/>
              <w:bottom w:val="single" w:sz="4" w:space="0" w:color="FFFFFF"/>
              <w:right w:val="single" w:sz="4" w:space="0" w:color="FFFFFF"/>
            </w:tcBorders>
            <w:shd w:val="clear" w:color="B4C6E7" w:fill="B4C6E7"/>
            <w:noWrap/>
            <w:vAlign w:val="bottom"/>
            <w:hideMark/>
          </w:tcPr>
          <w:p w14:paraId="7CD7963F" w14:textId="77777777" w:rsidR="000158F4" w:rsidRPr="000158F4" w:rsidRDefault="000158F4" w:rsidP="000158F4">
            <w:pPr>
              <w:rPr>
                <w:rFonts w:eastAsia="Times New Roman" w:cstheme="minorHAnsi"/>
                <w:color w:val="333333"/>
                <w:sz w:val="18"/>
                <w:szCs w:val="18"/>
                <w:lang w:eastAsia="en-GB"/>
              </w:rPr>
            </w:pPr>
            <w:r w:rsidRPr="000158F4">
              <w:rPr>
                <w:rFonts w:eastAsia="Times New Roman" w:cstheme="minorHAnsi"/>
                <w:color w:val="333333"/>
                <w:sz w:val="18"/>
                <w:szCs w:val="18"/>
                <w:lang w:eastAsia="en-GB"/>
              </w:rPr>
              <w:t>Unemployed: Never worked</w:t>
            </w:r>
          </w:p>
        </w:tc>
        <w:tc>
          <w:tcPr>
            <w:tcW w:w="1172" w:type="dxa"/>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75ABED83" w14:textId="77777777" w:rsidR="000158F4" w:rsidRPr="000158F4" w:rsidRDefault="000158F4" w:rsidP="000158F4">
            <w:pPr>
              <w:jc w:val="right"/>
              <w:rPr>
                <w:rFonts w:eastAsia="Times New Roman" w:cstheme="minorHAnsi"/>
                <w:color w:val="333333"/>
                <w:sz w:val="18"/>
                <w:szCs w:val="18"/>
                <w:lang w:eastAsia="en-GB"/>
              </w:rPr>
            </w:pPr>
            <w:r w:rsidRPr="000158F4">
              <w:rPr>
                <w:rFonts w:eastAsia="Times New Roman" w:cstheme="minorHAnsi"/>
                <w:color w:val="333333"/>
                <w:sz w:val="18"/>
                <w:szCs w:val="18"/>
                <w:lang w:eastAsia="en-GB"/>
              </w:rPr>
              <w:t>491</w:t>
            </w:r>
          </w:p>
        </w:tc>
        <w:tc>
          <w:tcPr>
            <w:tcW w:w="822" w:type="dxa"/>
            <w:tcBorders>
              <w:top w:val="single" w:sz="4" w:space="0" w:color="FFFFFF"/>
              <w:left w:val="single" w:sz="4" w:space="0" w:color="FFFFFF"/>
              <w:bottom w:val="single" w:sz="4" w:space="0" w:color="FFFFFF"/>
              <w:right w:val="nil"/>
            </w:tcBorders>
            <w:shd w:val="clear" w:color="B4C6E7" w:fill="B4C6E7"/>
            <w:noWrap/>
            <w:vAlign w:val="bottom"/>
            <w:hideMark/>
          </w:tcPr>
          <w:p w14:paraId="5FC3B9E4" w14:textId="77777777" w:rsidR="000158F4" w:rsidRPr="000158F4" w:rsidRDefault="000158F4" w:rsidP="000158F4">
            <w:pPr>
              <w:jc w:val="right"/>
              <w:rPr>
                <w:rFonts w:eastAsia="Times New Roman" w:cstheme="minorHAnsi"/>
                <w:color w:val="333333"/>
                <w:sz w:val="18"/>
                <w:szCs w:val="18"/>
                <w:lang w:eastAsia="en-GB"/>
              </w:rPr>
            </w:pPr>
            <w:r w:rsidRPr="000158F4">
              <w:rPr>
                <w:rFonts w:eastAsia="Times New Roman" w:cstheme="minorHAnsi"/>
                <w:color w:val="333333"/>
                <w:sz w:val="18"/>
                <w:szCs w:val="18"/>
                <w:lang w:eastAsia="en-GB"/>
              </w:rPr>
              <w:t>0.7</w:t>
            </w:r>
          </w:p>
        </w:tc>
      </w:tr>
      <w:tr w:rsidR="000158F4" w:rsidRPr="000158F4" w14:paraId="42197F36" w14:textId="77777777" w:rsidTr="000158F4">
        <w:trPr>
          <w:trHeight w:val="164"/>
        </w:trPr>
        <w:tc>
          <w:tcPr>
            <w:tcW w:w="3882" w:type="dxa"/>
            <w:tcBorders>
              <w:top w:val="single" w:sz="4" w:space="0" w:color="FFFFFF"/>
              <w:left w:val="nil"/>
              <w:bottom w:val="nil"/>
              <w:right w:val="single" w:sz="4" w:space="0" w:color="FFFFFF"/>
            </w:tcBorders>
            <w:shd w:val="clear" w:color="D9E1F2" w:fill="D9E1F2"/>
            <w:noWrap/>
            <w:vAlign w:val="bottom"/>
            <w:hideMark/>
          </w:tcPr>
          <w:p w14:paraId="3094FE72" w14:textId="77777777" w:rsidR="000158F4" w:rsidRPr="000158F4" w:rsidRDefault="000158F4" w:rsidP="000158F4">
            <w:pPr>
              <w:rPr>
                <w:rFonts w:eastAsia="Times New Roman" w:cstheme="minorHAnsi"/>
                <w:color w:val="333333"/>
                <w:sz w:val="18"/>
                <w:szCs w:val="18"/>
                <w:lang w:eastAsia="en-GB"/>
              </w:rPr>
            </w:pPr>
            <w:r w:rsidRPr="000158F4">
              <w:rPr>
                <w:rFonts w:eastAsia="Times New Roman" w:cstheme="minorHAnsi"/>
                <w:color w:val="333333"/>
                <w:sz w:val="18"/>
                <w:szCs w:val="18"/>
                <w:lang w:eastAsia="en-GB"/>
              </w:rPr>
              <w:t>Long-term unemployed</w:t>
            </w:r>
          </w:p>
        </w:tc>
        <w:tc>
          <w:tcPr>
            <w:tcW w:w="1172" w:type="dxa"/>
            <w:tcBorders>
              <w:top w:val="single" w:sz="4" w:space="0" w:color="FFFFFF"/>
              <w:left w:val="single" w:sz="4" w:space="0" w:color="FFFFFF"/>
              <w:bottom w:val="nil"/>
              <w:right w:val="single" w:sz="4" w:space="0" w:color="FFFFFF"/>
            </w:tcBorders>
            <w:shd w:val="clear" w:color="D9E1F2" w:fill="D9E1F2"/>
            <w:noWrap/>
            <w:vAlign w:val="bottom"/>
            <w:hideMark/>
          </w:tcPr>
          <w:p w14:paraId="5EF2212C" w14:textId="77777777" w:rsidR="000158F4" w:rsidRPr="000158F4" w:rsidRDefault="000158F4" w:rsidP="000158F4">
            <w:pPr>
              <w:jc w:val="right"/>
              <w:rPr>
                <w:rFonts w:eastAsia="Times New Roman" w:cstheme="minorHAnsi"/>
                <w:color w:val="333333"/>
                <w:sz w:val="18"/>
                <w:szCs w:val="18"/>
                <w:lang w:eastAsia="en-GB"/>
              </w:rPr>
            </w:pPr>
            <w:r w:rsidRPr="000158F4">
              <w:rPr>
                <w:rFonts w:eastAsia="Times New Roman" w:cstheme="minorHAnsi"/>
                <w:color w:val="333333"/>
                <w:sz w:val="18"/>
                <w:szCs w:val="18"/>
                <w:lang w:eastAsia="en-GB"/>
              </w:rPr>
              <w:t>1,233</w:t>
            </w:r>
          </w:p>
        </w:tc>
        <w:tc>
          <w:tcPr>
            <w:tcW w:w="822" w:type="dxa"/>
            <w:tcBorders>
              <w:top w:val="single" w:sz="4" w:space="0" w:color="FFFFFF"/>
              <w:left w:val="single" w:sz="4" w:space="0" w:color="FFFFFF"/>
              <w:bottom w:val="nil"/>
              <w:right w:val="nil"/>
            </w:tcBorders>
            <w:shd w:val="clear" w:color="D9E1F2" w:fill="D9E1F2"/>
            <w:noWrap/>
            <w:vAlign w:val="bottom"/>
            <w:hideMark/>
          </w:tcPr>
          <w:p w14:paraId="09EF72F3" w14:textId="77777777" w:rsidR="000158F4" w:rsidRPr="000158F4" w:rsidRDefault="000158F4" w:rsidP="000158F4">
            <w:pPr>
              <w:jc w:val="right"/>
              <w:rPr>
                <w:rFonts w:eastAsia="Times New Roman" w:cstheme="minorHAnsi"/>
                <w:color w:val="333333"/>
                <w:sz w:val="18"/>
                <w:szCs w:val="18"/>
                <w:lang w:eastAsia="en-GB"/>
              </w:rPr>
            </w:pPr>
            <w:r w:rsidRPr="000158F4">
              <w:rPr>
                <w:rFonts w:eastAsia="Times New Roman" w:cstheme="minorHAnsi"/>
                <w:color w:val="333333"/>
                <w:sz w:val="18"/>
                <w:szCs w:val="18"/>
                <w:lang w:eastAsia="en-GB"/>
              </w:rPr>
              <w:t>1.8</w:t>
            </w:r>
          </w:p>
        </w:tc>
      </w:tr>
    </w:tbl>
    <w:p w14:paraId="38AC38F1" w14:textId="16CBE113" w:rsidR="00DB0F0F" w:rsidRDefault="00DB0F0F" w:rsidP="00DB0F0F">
      <w:pPr>
        <w:jc w:val="center"/>
      </w:pPr>
    </w:p>
    <w:p w14:paraId="4211408E" w14:textId="79DBBF17" w:rsidR="00DB0F0F" w:rsidRDefault="00DB0F0F" w:rsidP="00DB0F0F"/>
    <w:p w14:paraId="622ED009" w14:textId="7462A40D" w:rsidR="00DB0F0F" w:rsidRDefault="00DB0F0F" w:rsidP="00DB0F0F"/>
    <w:p w14:paraId="38EFE068" w14:textId="59ABFFD5" w:rsidR="00DB0F0F" w:rsidRDefault="00DB0F0F" w:rsidP="00DB0F0F"/>
    <w:p w14:paraId="6580C846" w14:textId="2997E437" w:rsidR="00DB0F0F" w:rsidRDefault="00DB0F0F" w:rsidP="00DB0F0F"/>
    <w:p w14:paraId="2AE65A9C" w14:textId="431AD172" w:rsidR="00DB0F0F" w:rsidRDefault="000158F4" w:rsidP="00DB0F0F">
      <w:pPr>
        <w:jc w:val="center"/>
      </w:pPr>
      <w:r w:rsidRPr="000158F4">
        <w:rPr>
          <w:rFonts w:cstheme="minorHAnsi"/>
          <w:noProof/>
          <w:lang w:eastAsia="en-GB"/>
        </w:rPr>
        <mc:AlternateContent>
          <mc:Choice Requires="wps">
            <w:drawing>
              <wp:anchor distT="0" distB="0" distL="114300" distR="114300" simplePos="0" relativeHeight="251725824" behindDoc="0" locked="0" layoutInCell="1" allowOverlap="1" wp14:anchorId="58692700" wp14:editId="5EB8FBA6">
                <wp:simplePos x="0" y="0"/>
                <wp:positionH relativeFrom="margin">
                  <wp:posOffset>3970020</wp:posOffset>
                </wp:positionH>
                <wp:positionV relativeFrom="paragraph">
                  <wp:posOffset>378460</wp:posOffset>
                </wp:positionV>
                <wp:extent cx="2247900" cy="1280160"/>
                <wp:effectExtent l="0" t="0" r="0" b="0"/>
                <wp:wrapSquare wrapText="bothSides"/>
                <wp:docPr id="23" name="Text Box 23"/>
                <wp:cNvGraphicFramePr/>
                <a:graphic xmlns:a="http://schemas.openxmlformats.org/drawingml/2006/main">
                  <a:graphicData uri="http://schemas.microsoft.com/office/word/2010/wordprocessingShape">
                    <wps:wsp>
                      <wps:cNvSpPr txBox="1"/>
                      <wps:spPr>
                        <a:xfrm>
                          <a:off x="0" y="0"/>
                          <a:ext cx="2247900" cy="128016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5016726C" w14:textId="77777777" w:rsidR="000E1085" w:rsidRDefault="000E1085" w:rsidP="000158F4">
                            <w:r w:rsidRPr="0086251B">
                              <w:rPr>
                                <w:b/>
                              </w:rPr>
                              <w:t>Figure 1.9</w:t>
                            </w:r>
                            <w:r>
                              <w:rPr>
                                <w:b/>
                              </w:rPr>
                              <w:t xml:space="preserve"> </w:t>
                            </w:r>
                            <w:r>
                              <w:t xml:space="preserve">Table showing employment of Males in Swansea from ages 16-74 as of the 2011 census. </w:t>
                            </w:r>
                          </w:p>
                          <w:p w14:paraId="786771D5" w14:textId="08306C1C" w:rsidR="000E1085" w:rsidRPr="0086251B" w:rsidRDefault="000E1085" w:rsidP="000158F4">
                            <w:r>
                              <w:t>Data Source: www.nomisweb.co.uk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8692700" id="Text Box 23" o:spid="_x0000_s1034" type="#_x0000_t202" style="position:absolute;left:0;text-align:left;margin-left:312.6pt;margin-top:29.8pt;width:177pt;height:100.8pt;z-index:2517258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" filled="f" stroked="f">
                <v:textbox>
                  <w:txbxContent>
                    <w:p w14:paraId="5016726C" w14:textId="77777777" w:rsidR="000E1085" w:rsidRDefault="000E1085" w:rsidP="000158F4">
                      <w:r w:rsidRPr="0086251B">
                        <w:rPr>
                          <w:b/>
                        </w:rPr>
                        <w:t>Figure 1.9</w:t>
                      </w:r>
                      <w:r>
                        <w:rPr>
                          <w:b/>
                        </w:rPr>
                        <w:t xml:space="preserve"> </w:t>
                      </w:r>
                      <w:r>
                        <w:t xml:space="preserve">Table showing employment of Males in Swansea from ages 16-74 as of the 2011 census. </w:t>
                      </w:r>
                    </w:p>
                    <w:p w14:paraId="786771D5" w14:textId="08306C1C" w:rsidR="000E1085" w:rsidRPr="0086251B" w:rsidRDefault="000E1085" w:rsidP="000158F4">
                      <w:r>
                        <w:t>Data Source: www.nomisweb.co.uk</w:t>
                      </w:r>
                    </w:p>
                  </w:txbxContent>
                </v:textbox>
                <w10:wrap type="square" anchorx="margin"/>
              </v:shape>
            </w:pict>
          </mc:Fallback>
        </mc:AlternateContent>
      </w:r>
    </w:p>
    <w:p w14:paraId="319BDA72" w14:textId="01CCCA0C" w:rsidR="00DB0F0F" w:rsidRPr="00DB0F0F" w:rsidRDefault="00DB0F0F" w:rsidP="00DB0F0F"/>
    <w:p w14:paraId="0E47FD3B" w14:textId="7F3082C4" w:rsidR="00DB0F0F" w:rsidRPr="00DB0F0F" w:rsidRDefault="00DB0F0F" w:rsidP="00DB0F0F"/>
    <w:p w14:paraId="44269F4F" w14:textId="1950F70D" w:rsidR="00DB0F0F" w:rsidRPr="00DB0F0F" w:rsidRDefault="00DB0F0F" w:rsidP="00DB0F0F"/>
    <w:tbl>
      <w:tblPr>
        <w:tblpPr w:leftFromText="141" w:rightFromText="141" w:vertAnchor="text" w:tblpY="1"/>
        <w:tblOverlap w:val="never"/>
        <w:tblW w:w="5865" w:type="dxa"/>
        <w:tblLook w:val="04A0" w:firstRow="1" w:lastRow="0" w:firstColumn="1" w:lastColumn="0" w:noHBand="0" w:noVBand="1"/>
      </w:tblPr>
      <w:tblGrid>
        <w:gridCol w:w="3855"/>
        <w:gridCol w:w="1005"/>
        <w:gridCol w:w="1005"/>
      </w:tblGrid>
      <w:tr w:rsidR="00F1184B" w:rsidRPr="000158F4" w14:paraId="31903D9A" w14:textId="77777777" w:rsidTr="00F1184B">
        <w:trPr>
          <w:trHeight w:val="253"/>
        </w:trPr>
        <w:tc>
          <w:tcPr>
            <w:tcW w:w="3855" w:type="dxa"/>
            <w:tcBorders>
              <w:top w:val="nil"/>
              <w:left w:val="nil"/>
              <w:bottom w:val="single" w:sz="12" w:space="0" w:color="FFFFFF"/>
              <w:right w:val="single" w:sz="4" w:space="0" w:color="FFFFFF"/>
            </w:tcBorders>
            <w:shd w:val="clear" w:color="4472C4" w:fill="4472C4"/>
            <w:noWrap/>
            <w:vAlign w:val="bottom"/>
            <w:hideMark/>
          </w:tcPr>
          <w:p w14:paraId="63FE091B" w14:textId="77777777" w:rsidR="000158F4" w:rsidRPr="000158F4" w:rsidRDefault="000158F4" w:rsidP="00F1184B">
            <w:pPr>
              <w:rPr>
                <w:rFonts w:eastAsia="Times New Roman" w:cstheme="minorHAnsi"/>
                <w:b/>
                <w:bCs/>
                <w:color w:val="FFFFFF"/>
                <w:sz w:val="18"/>
                <w:szCs w:val="18"/>
                <w:lang w:eastAsia="en-GB"/>
              </w:rPr>
            </w:pPr>
            <w:r w:rsidRPr="000158F4">
              <w:rPr>
                <w:rFonts w:eastAsia="Times New Roman" w:cstheme="minorHAnsi"/>
                <w:b/>
                <w:bCs/>
                <w:color w:val="FFFFFF"/>
                <w:sz w:val="18"/>
                <w:szCs w:val="18"/>
                <w:lang w:eastAsia="en-GB"/>
              </w:rPr>
              <w:t>Swansea Female population</w:t>
            </w:r>
          </w:p>
        </w:tc>
        <w:tc>
          <w:tcPr>
            <w:tcW w:w="1005" w:type="dxa"/>
            <w:tcBorders>
              <w:top w:val="nil"/>
              <w:left w:val="single" w:sz="4" w:space="0" w:color="FFFFFF"/>
              <w:bottom w:val="single" w:sz="12" w:space="0" w:color="FFFFFF"/>
              <w:right w:val="single" w:sz="4" w:space="0" w:color="FFFFFF"/>
            </w:tcBorders>
            <w:shd w:val="clear" w:color="4472C4" w:fill="4472C4"/>
            <w:noWrap/>
            <w:vAlign w:val="bottom"/>
            <w:hideMark/>
          </w:tcPr>
          <w:p w14:paraId="23B02D1F" w14:textId="77777777" w:rsidR="000158F4" w:rsidRPr="000158F4" w:rsidRDefault="000158F4" w:rsidP="00F1184B">
            <w:pPr>
              <w:rPr>
                <w:rFonts w:eastAsia="Times New Roman" w:cstheme="minorHAnsi"/>
                <w:b/>
                <w:bCs/>
                <w:color w:val="FFFFFF"/>
                <w:sz w:val="18"/>
                <w:szCs w:val="18"/>
                <w:lang w:eastAsia="en-GB"/>
              </w:rPr>
            </w:pPr>
            <w:r w:rsidRPr="000158F4">
              <w:rPr>
                <w:rFonts w:eastAsia="Times New Roman" w:cstheme="minorHAnsi"/>
                <w:b/>
                <w:bCs/>
                <w:color w:val="FFFFFF"/>
                <w:sz w:val="18"/>
                <w:szCs w:val="18"/>
                <w:lang w:eastAsia="en-GB"/>
              </w:rPr>
              <w:t>Count</w:t>
            </w:r>
          </w:p>
        </w:tc>
        <w:tc>
          <w:tcPr>
            <w:tcW w:w="1005" w:type="dxa"/>
            <w:tcBorders>
              <w:top w:val="nil"/>
              <w:left w:val="single" w:sz="4" w:space="0" w:color="FFFFFF"/>
              <w:bottom w:val="single" w:sz="12" w:space="0" w:color="FFFFFF"/>
              <w:right w:val="nil"/>
            </w:tcBorders>
            <w:shd w:val="clear" w:color="4472C4" w:fill="4472C4"/>
            <w:noWrap/>
            <w:vAlign w:val="bottom"/>
            <w:hideMark/>
          </w:tcPr>
          <w:p w14:paraId="38BFCFB6" w14:textId="77777777" w:rsidR="000158F4" w:rsidRPr="000158F4" w:rsidRDefault="000158F4" w:rsidP="00F1184B">
            <w:pPr>
              <w:rPr>
                <w:rFonts w:eastAsia="Times New Roman" w:cstheme="minorHAnsi"/>
                <w:b/>
                <w:bCs/>
                <w:color w:val="FFFFFF"/>
                <w:sz w:val="18"/>
                <w:szCs w:val="18"/>
                <w:lang w:eastAsia="en-GB"/>
              </w:rPr>
            </w:pPr>
            <w:r w:rsidRPr="000158F4">
              <w:rPr>
                <w:rFonts w:eastAsia="Times New Roman" w:cstheme="minorHAnsi"/>
                <w:b/>
                <w:bCs/>
                <w:color w:val="FFFFFF"/>
                <w:sz w:val="18"/>
                <w:szCs w:val="18"/>
                <w:lang w:eastAsia="en-GB"/>
              </w:rPr>
              <w:t>%</w:t>
            </w:r>
          </w:p>
        </w:tc>
      </w:tr>
      <w:tr w:rsidR="00F1184B" w:rsidRPr="000158F4" w14:paraId="1898D78E" w14:textId="77777777" w:rsidTr="00F1184B">
        <w:trPr>
          <w:trHeight w:val="253"/>
        </w:trPr>
        <w:tc>
          <w:tcPr>
            <w:tcW w:w="3855" w:type="dxa"/>
            <w:tcBorders>
              <w:top w:val="single" w:sz="4" w:space="0" w:color="FFFFFF"/>
              <w:left w:val="nil"/>
              <w:bottom w:val="single" w:sz="4" w:space="0" w:color="FFFFFF"/>
              <w:right w:val="single" w:sz="4" w:space="0" w:color="FFFFFF"/>
            </w:tcBorders>
            <w:shd w:val="clear" w:color="B4C6E7" w:fill="B4C6E7"/>
            <w:noWrap/>
            <w:vAlign w:val="bottom"/>
            <w:hideMark/>
          </w:tcPr>
          <w:p w14:paraId="0598178A" w14:textId="77777777" w:rsidR="000158F4" w:rsidRPr="000158F4" w:rsidRDefault="000158F4" w:rsidP="00F1184B">
            <w:pPr>
              <w:rPr>
                <w:rFonts w:eastAsia="Times New Roman" w:cstheme="minorHAnsi"/>
                <w:color w:val="333333"/>
                <w:sz w:val="18"/>
                <w:szCs w:val="18"/>
                <w:lang w:eastAsia="en-GB"/>
              </w:rPr>
            </w:pPr>
            <w:r w:rsidRPr="000158F4">
              <w:rPr>
                <w:rFonts w:eastAsia="Times New Roman" w:cstheme="minorHAnsi"/>
                <w:color w:val="333333"/>
                <w:sz w:val="18"/>
                <w:szCs w:val="18"/>
                <w:lang w:eastAsia="en-GB"/>
              </w:rPr>
              <w:t>All usual residents aged 16 to 74</w:t>
            </w:r>
          </w:p>
        </w:tc>
        <w:tc>
          <w:tcPr>
            <w:tcW w:w="1005" w:type="dxa"/>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36CBAD66" w14:textId="77777777" w:rsidR="000158F4" w:rsidRPr="000158F4" w:rsidRDefault="000158F4" w:rsidP="00F1184B">
            <w:pPr>
              <w:jc w:val="right"/>
              <w:rPr>
                <w:rFonts w:eastAsia="Times New Roman" w:cstheme="minorHAnsi"/>
                <w:color w:val="333333"/>
                <w:sz w:val="18"/>
                <w:szCs w:val="18"/>
                <w:lang w:eastAsia="en-GB"/>
              </w:rPr>
            </w:pPr>
            <w:r w:rsidRPr="000158F4">
              <w:rPr>
                <w:rFonts w:eastAsia="Times New Roman" w:cstheme="minorHAnsi"/>
                <w:color w:val="333333"/>
                <w:sz w:val="18"/>
                <w:szCs w:val="18"/>
                <w:lang w:eastAsia="en-GB"/>
              </w:rPr>
              <w:t>66,628</w:t>
            </w:r>
          </w:p>
        </w:tc>
        <w:tc>
          <w:tcPr>
            <w:tcW w:w="1005" w:type="dxa"/>
            <w:tcBorders>
              <w:top w:val="single" w:sz="4" w:space="0" w:color="FFFFFF"/>
              <w:left w:val="single" w:sz="4" w:space="0" w:color="FFFFFF"/>
              <w:bottom w:val="single" w:sz="4" w:space="0" w:color="FFFFFF"/>
              <w:right w:val="nil"/>
            </w:tcBorders>
            <w:shd w:val="clear" w:color="B4C6E7" w:fill="B4C6E7"/>
            <w:noWrap/>
            <w:vAlign w:val="bottom"/>
            <w:hideMark/>
          </w:tcPr>
          <w:p w14:paraId="3EC7F899" w14:textId="77777777" w:rsidR="000158F4" w:rsidRPr="000158F4" w:rsidRDefault="000158F4" w:rsidP="00F1184B">
            <w:pPr>
              <w:jc w:val="right"/>
              <w:rPr>
                <w:rFonts w:eastAsia="Times New Roman" w:cstheme="minorHAnsi"/>
                <w:color w:val="333333"/>
                <w:sz w:val="18"/>
                <w:szCs w:val="18"/>
                <w:lang w:eastAsia="en-GB"/>
              </w:rPr>
            </w:pPr>
            <w:r w:rsidRPr="000158F4">
              <w:rPr>
                <w:rFonts w:eastAsia="Times New Roman" w:cstheme="minorHAnsi"/>
                <w:color w:val="333333"/>
                <w:sz w:val="18"/>
                <w:szCs w:val="18"/>
                <w:lang w:eastAsia="en-GB"/>
              </w:rPr>
              <w:t>100</w:t>
            </w:r>
          </w:p>
        </w:tc>
      </w:tr>
      <w:tr w:rsidR="00F1184B" w:rsidRPr="000158F4" w14:paraId="428ED420" w14:textId="77777777" w:rsidTr="00F1184B">
        <w:trPr>
          <w:trHeight w:val="253"/>
        </w:trPr>
        <w:tc>
          <w:tcPr>
            <w:tcW w:w="3855" w:type="dxa"/>
            <w:tcBorders>
              <w:top w:val="single" w:sz="4" w:space="0" w:color="FFFFFF"/>
              <w:left w:val="nil"/>
              <w:bottom w:val="single" w:sz="4" w:space="0" w:color="FFFFFF"/>
              <w:right w:val="single" w:sz="4" w:space="0" w:color="FFFFFF"/>
            </w:tcBorders>
            <w:shd w:val="clear" w:color="D9E1F2" w:fill="D9E1F2"/>
            <w:noWrap/>
            <w:vAlign w:val="bottom"/>
            <w:hideMark/>
          </w:tcPr>
          <w:p w14:paraId="3A92317C" w14:textId="77777777" w:rsidR="000158F4" w:rsidRPr="000158F4" w:rsidRDefault="000158F4" w:rsidP="00F1184B">
            <w:pPr>
              <w:rPr>
                <w:rFonts w:eastAsia="Times New Roman" w:cstheme="minorHAnsi"/>
                <w:color w:val="333333"/>
                <w:sz w:val="18"/>
                <w:szCs w:val="18"/>
                <w:lang w:eastAsia="en-GB"/>
              </w:rPr>
            </w:pPr>
            <w:r w:rsidRPr="000158F4">
              <w:rPr>
                <w:rFonts w:eastAsia="Times New Roman" w:cstheme="minorHAnsi"/>
                <w:color w:val="333333"/>
                <w:sz w:val="18"/>
                <w:szCs w:val="18"/>
                <w:lang w:eastAsia="en-GB"/>
              </w:rPr>
              <w:t>Economically active</w:t>
            </w:r>
          </w:p>
        </w:tc>
        <w:tc>
          <w:tcPr>
            <w:tcW w:w="1005" w:type="dxa"/>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15814627" w14:textId="77777777" w:rsidR="000158F4" w:rsidRPr="000158F4" w:rsidRDefault="000158F4" w:rsidP="00F1184B">
            <w:pPr>
              <w:jc w:val="right"/>
              <w:rPr>
                <w:rFonts w:eastAsia="Times New Roman" w:cstheme="minorHAnsi"/>
                <w:color w:val="333333"/>
                <w:sz w:val="18"/>
                <w:szCs w:val="18"/>
                <w:lang w:eastAsia="en-GB"/>
              </w:rPr>
            </w:pPr>
            <w:r w:rsidRPr="000158F4">
              <w:rPr>
                <w:rFonts w:eastAsia="Times New Roman" w:cstheme="minorHAnsi"/>
                <w:color w:val="333333"/>
                <w:sz w:val="18"/>
                <w:szCs w:val="18"/>
                <w:lang w:eastAsia="en-GB"/>
              </w:rPr>
              <w:t>38,612</w:t>
            </w:r>
          </w:p>
        </w:tc>
        <w:tc>
          <w:tcPr>
            <w:tcW w:w="1005" w:type="dxa"/>
            <w:tcBorders>
              <w:top w:val="single" w:sz="4" w:space="0" w:color="FFFFFF"/>
              <w:left w:val="single" w:sz="4" w:space="0" w:color="FFFFFF"/>
              <w:bottom w:val="single" w:sz="4" w:space="0" w:color="FFFFFF"/>
              <w:right w:val="nil"/>
            </w:tcBorders>
            <w:shd w:val="clear" w:color="D9E1F2" w:fill="D9E1F2"/>
            <w:noWrap/>
            <w:vAlign w:val="bottom"/>
            <w:hideMark/>
          </w:tcPr>
          <w:p w14:paraId="1B6D136C" w14:textId="77777777" w:rsidR="000158F4" w:rsidRPr="000158F4" w:rsidRDefault="000158F4" w:rsidP="00F1184B">
            <w:pPr>
              <w:jc w:val="right"/>
              <w:rPr>
                <w:rFonts w:eastAsia="Times New Roman" w:cstheme="minorHAnsi"/>
                <w:color w:val="333333"/>
                <w:sz w:val="18"/>
                <w:szCs w:val="18"/>
                <w:lang w:eastAsia="en-GB"/>
              </w:rPr>
            </w:pPr>
            <w:r w:rsidRPr="000158F4">
              <w:rPr>
                <w:rFonts w:eastAsia="Times New Roman" w:cstheme="minorHAnsi"/>
                <w:color w:val="333333"/>
                <w:sz w:val="18"/>
                <w:szCs w:val="18"/>
                <w:lang w:eastAsia="en-GB"/>
              </w:rPr>
              <w:t>58</w:t>
            </w:r>
          </w:p>
        </w:tc>
      </w:tr>
      <w:tr w:rsidR="00F1184B" w:rsidRPr="000158F4" w14:paraId="252426A7" w14:textId="77777777" w:rsidTr="00F1184B">
        <w:trPr>
          <w:trHeight w:val="253"/>
        </w:trPr>
        <w:tc>
          <w:tcPr>
            <w:tcW w:w="3855" w:type="dxa"/>
            <w:tcBorders>
              <w:top w:val="single" w:sz="4" w:space="0" w:color="FFFFFF"/>
              <w:left w:val="nil"/>
              <w:bottom w:val="single" w:sz="4" w:space="0" w:color="FFFFFF"/>
              <w:right w:val="single" w:sz="4" w:space="0" w:color="FFFFFF"/>
            </w:tcBorders>
            <w:shd w:val="clear" w:color="B4C6E7" w:fill="B4C6E7"/>
            <w:noWrap/>
            <w:vAlign w:val="bottom"/>
            <w:hideMark/>
          </w:tcPr>
          <w:p w14:paraId="7C6CAACF" w14:textId="77777777" w:rsidR="000158F4" w:rsidRPr="000158F4" w:rsidRDefault="000158F4" w:rsidP="00F1184B">
            <w:pPr>
              <w:rPr>
                <w:rFonts w:eastAsia="Times New Roman" w:cstheme="minorHAnsi"/>
                <w:color w:val="333333"/>
                <w:sz w:val="18"/>
                <w:szCs w:val="18"/>
                <w:lang w:eastAsia="en-GB"/>
              </w:rPr>
            </w:pPr>
            <w:r w:rsidRPr="000158F4">
              <w:rPr>
                <w:rFonts w:eastAsia="Times New Roman" w:cstheme="minorHAnsi"/>
                <w:color w:val="333333"/>
                <w:sz w:val="18"/>
                <w:szCs w:val="18"/>
                <w:lang w:eastAsia="en-GB"/>
              </w:rPr>
              <w:t>In employment</w:t>
            </w:r>
          </w:p>
        </w:tc>
        <w:tc>
          <w:tcPr>
            <w:tcW w:w="1005" w:type="dxa"/>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6FE1C992" w14:textId="77777777" w:rsidR="000158F4" w:rsidRPr="000158F4" w:rsidRDefault="000158F4" w:rsidP="00F1184B">
            <w:pPr>
              <w:jc w:val="right"/>
              <w:rPr>
                <w:rFonts w:eastAsia="Times New Roman" w:cstheme="minorHAnsi"/>
                <w:color w:val="333333"/>
                <w:sz w:val="18"/>
                <w:szCs w:val="18"/>
                <w:lang w:eastAsia="en-GB"/>
              </w:rPr>
            </w:pPr>
            <w:r w:rsidRPr="000158F4">
              <w:rPr>
                <w:rFonts w:eastAsia="Times New Roman" w:cstheme="minorHAnsi"/>
                <w:color w:val="333333"/>
                <w:sz w:val="18"/>
                <w:szCs w:val="18"/>
                <w:lang w:eastAsia="en-GB"/>
              </w:rPr>
              <w:t>32,885</w:t>
            </w:r>
          </w:p>
        </w:tc>
        <w:tc>
          <w:tcPr>
            <w:tcW w:w="1005" w:type="dxa"/>
            <w:tcBorders>
              <w:top w:val="single" w:sz="4" w:space="0" w:color="FFFFFF"/>
              <w:left w:val="single" w:sz="4" w:space="0" w:color="FFFFFF"/>
              <w:bottom w:val="single" w:sz="4" w:space="0" w:color="FFFFFF"/>
              <w:right w:val="nil"/>
            </w:tcBorders>
            <w:shd w:val="clear" w:color="B4C6E7" w:fill="B4C6E7"/>
            <w:noWrap/>
            <w:vAlign w:val="bottom"/>
            <w:hideMark/>
          </w:tcPr>
          <w:p w14:paraId="43FEE857" w14:textId="77777777" w:rsidR="000158F4" w:rsidRPr="000158F4" w:rsidRDefault="000158F4" w:rsidP="00F1184B">
            <w:pPr>
              <w:jc w:val="right"/>
              <w:rPr>
                <w:rFonts w:eastAsia="Times New Roman" w:cstheme="minorHAnsi"/>
                <w:color w:val="333333"/>
                <w:sz w:val="18"/>
                <w:szCs w:val="18"/>
                <w:lang w:eastAsia="en-GB"/>
              </w:rPr>
            </w:pPr>
            <w:r w:rsidRPr="000158F4">
              <w:rPr>
                <w:rFonts w:eastAsia="Times New Roman" w:cstheme="minorHAnsi"/>
                <w:color w:val="333333"/>
                <w:sz w:val="18"/>
                <w:szCs w:val="18"/>
                <w:lang w:eastAsia="en-GB"/>
              </w:rPr>
              <w:t>49.4</w:t>
            </w:r>
          </w:p>
        </w:tc>
      </w:tr>
      <w:tr w:rsidR="00F1184B" w:rsidRPr="000158F4" w14:paraId="2F63AD06" w14:textId="77777777" w:rsidTr="00F1184B">
        <w:trPr>
          <w:trHeight w:val="253"/>
        </w:trPr>
        <w:tc>
          <w:tcPr>
            <w:tcW w:w="3855" w:type="dxa"/>
            <w:tcBorders>
              <w:top w:val="single" w:sz="4" w:space="0" w:color="FFFFFF"/>
              <w:left w:val="nil"/>
              <w:bottom w:val="single" w:sz="4" w:space="0" w:color="FFFFFF"/>
              <w:right w:val="single" w:sz="4" w:space="0" w:color="FFFFFF"/>
            </w:tcBorders>
            <w:shd w:val="clear" w:color="D9E1F2" w:fill="D9E1F2"/>
            <w:noWrap/>
            <w:vAlign w:val="bottom"/>
            <w:hideMark/>
          </w:tcPr>
          <w:p w14:paraId="76EB8E5C" w14:textId="77777777" w:rsidR="000158F4" w:rsidRPr="000158F4" w:rsidRDefault="000158F4" w:rsidP="00F1184B">
            <w:pPr>
              <w:rPr>
                <w:rFonts w:eastAsia="Times New Roman" w:cstheme="minorHAnsi"/>
                <w:color w:val="333333"/>
                <w:sz w:val="18"/>
                <w:szCs w:val="18"/>
                <w:lang w:eastAsia="en-GB"/>
              </w:rPr>
            </w:pPr>
            <w:r w:rsidRPr="000158F4">
              <w:rPr>
                <w:rFonts w:eastAsia="Times New Roman" w:cstheme="minorHAnsi"/>
                <w:color w:val="333333"/>
                <w:sz w:val="18"/>
                <w:szCs w:val="18"/>
                <w:lang w:eastAsia="en-GB"/>
              </w:rPr>
              <w:t>Employee: Part-time</w:t>
            </w:r>
          </w:p>
        </w:tc>
        <w:tc>
          <w:tcPr>
            <w:tcW w:w="1005" w:type="dxa"/>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45C15A61" w14:textId="77777777" w:rsidR="000158F4" w:rsidRPr="000158F4" w:rsidRDefault="000158F4" w:rsidP="00F1184B">
            <w:pPr>
              <w:jc w:val="right"/>
              <w:rPr>
                <w:rFonts w:eastAsia="Times New Roman" w:cstheme="minorHAnsi"/>
                <w:color w:val="333333"/>
                <w:sz w:val="18"/>
                <w:szCs w:val="18"/>
                <w:lang w:eastAsia="en-GB"/>
              </w:rPr>
            </w:pPr>
            <w:r w:rsidRPr="000158F4">
              <w:rPr>
                <w:rFonts w:eastAsia="Times New Roman" w:cstheme="minorHAnsi"/>
                <w:color w:val="333333"/>
                <w:sz w:val="18"/>
                <w:szCs w:val="18"/>
                <w:lang w:eastAsia="en-GB"/>
              </w:rPr>
              <w:t>13,957</w:t>
            </w:r>
          </w:p>
        </w:tc>
        <w:tc>
          <w:tcPr>
            <w:tcW w:w="1005" w:type="dxa"/>
            <w:tcBorders>
              <w:top w:val="single" w:sz="4" w:space="0" w:color="FFFFFF"/>
              <w:left w:val="single" w:sz="4" w:space="0" w:color="FFFFFF"/>
              <w:bottom w:val="single" w:sz="4" w:space="0" w:color="FFFFFF"/>
              <w:right w:val="nil"/>
            </w:tcBorders>
            <w:shd w:val="clear" w:color="D9E1F2" w:fill="D9E1F2"/>
            <w:noWrap/>
            <w:vAlign w:val="bottom"/>
            <w:hideMark/>
          </w:tcPr>
          <w:p w14:paraId="25B517ED" w14:textId="77777777" w:rsidR="000158F4" w:rsidRPr="000158F4" w:rsidRDefault="000158F4" w:rsidP="00F1184B">
            <w:pPr>
              <w:jc w:val="right"/>
              <w:rPr>
                <w:rFonts w:eastAsia="Times New Roman" w:cstheme="minorHAnsi"/>
                <w:color w:val="333333"/>
                <w:sz w:val="18"/>
                <w:szCs w:val="18"/>
                <w:lang w:eastAsia="en-GB"/>
              </w:rPr>
            </w:pPr>
            <w:r w:rsidRPr="000158F4">
              <w:rPr>
                <w:rFonts w:eastAsia="Times New Roman" w:cstheme="minorHAnsi"/>
                <w:color w:val="333333"/>
                <w:sz w:val="18"/>
                <w:szCs w:val="18"/>
                <w:lang w:eastAsia="en-GB"/>
              </w:rPr>
              <w:t>20.9</w:t>
            </w:r>
          </w:p>
        </w:tc>
      </w:tr>
      <w:tr w:rsidR="00F1184B" w:rsidRPr="000158F4" w14:paraId="684116F6" w14:textId="77777777" w:rsidTr="00F1184B">
        <w:trPr>
          <w:trHeight w:val="253"/>
        </w:trPr>
        <w:tc>
          <w:tcPr>
            <w:tcW w:w="3855" w:type="dxa"/>
            <w:tcBorders>
              <w:top w:val="single" w:sz="4" w:space="0" w:color="FFFFFF"/>
              <w:left w:val="nil"/>
              <w:bottom w:val="single" w:sz="4" w:space="0" w:color="FFFFFF"/>
              <w:right w:val="single" w:sz="4" w:space="0" w:color="FFFFFF"/>
            </w:tcBorders>
            <w:shd w:val="clear" w:color="B4C6E7" w:fill="B4C6E7"/>
            <w:noWrap/>
            <w:vAlign w:val="bottom"/>
            <w:hideMark/>
          </w:tcPr>
          <w:p w14:paraId="1DF1956D" w14:textId="77777777" w:rsidR="000158F4" w:rsidRPr="000158F4" w:rsidRDefault="000158F4" w:rsidP="00F1184B">
            <w:pPr>
              <w:rPr>
                <w:rFonts w:eastAsia="Times New Roman" w:cstheme="minorHAnsi"/>
                <w:color w:val="333333"/>
                <w:sz w:val="18"/>
                <w:szCs w:val="18"/>
                <w:lang w:eastAsia="en-GB"/>
              </w:rPr>
            </w:pPr>
            <w:r w:rsidRPr="000158F4">
              <w:rPr>
                <w:rFonts w:eastAsia="Times New Roman" w:cstheme="minorHAnsi"/>
                <w:color w:val="333333"/>
                <w:sz w:val="18"/>
                <w:szCs w:val="18"/>
                <w:lang w:eastAsia="en-GB"/>
              </w:rPr>
              <w:t>Employee: Full-time</w:t>
            </w:r>
          </w:p>
        </w:tc>
        <w:tc>
          <w:tcPr>
            <w:tcW w:w="1005" w:type="dxa"/>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57FE2CB2" w14:textId="77777777" w:rsidR="000158F4" w:rsidRPr="000158F4" w:rsidRDefault="000158F4" w:rsidP="00F1184B">
            <w:pPr>
              <w:jc w:val="right"/>
              <w:rPr>
                <w:rFonts w:eastAsia="Times New Roman" w:cstheme="minorHAnsi"/>
                <w:color w:val="333333"/>
                <w:sz w:val="18"/>
                <w:szCs w:val="18"/>
                <w:lang w:eastAsia="en-GB"/>
              </w:rPr>
            </w:pPr>
            <w:r w:rsidRPr="000158F4">
              <w:rPr>
                <w:rFonts w:eastAsia="Times New Roman" w:cstheme="minorHAnsi"/>
                <w:color w:val="333333"/>
                <w:sz w:val="18"/>
                <w:szCs w:val="18"/>
                <w:lang w:eastAsia="en-GB"/>
              </w:rPr>
              <w:t>16,845</w:t>
            </w:r>
          </w:p>
        </w:tc>
        <w:tc>
          <w:tcPr>
            <w:tcW w:w="1005" w:type="dxa"/>
            <w:tcBorders>
              <w:top w:val="single" w:sz="4" w:space="0" w:color="FFFFFF"/>
              <w:left w:val="single" w:sz="4" w:space="0" w:color="FFFFFF"/>
              <w:bottom w:val="single" w:sz="4" w:space="0" w:color="FFFFFF"/>
              <w:right w:val="nil"/>
            </w:tcBorders>
            <w:shd w:val="clear" w:color="B4C6E7" w:fill="B4C6E7"/>
            <w:noWrap/>
            <w:vAlign w:val="bottom"/>
            <w:hideMark/>
          </w:tcPr>
          <w:p w14:paraId="4D05880C" w14:textId="77777777" w:rsidR="000158F4" w:rsidRPr="000158F4" w:rsidRDefault="000158F4" w:rsidP="00F1184B">
            <w:pPr>
              <w:jc w:val="right"/>
              <w:rPr>
                <w:rFonts w:eastAsia="Times New Roman" w:cstheme="minorHAnsi"/>
                <w:color w:val="333333"/>
                <w:sz w:val="18"/>
                <w:szCs w:val="18"/>
                <w:lang w:eastAsia="en-GB"/>
              </w:rPr>
            </w:pPr>
            <w:r w:rsidRPr="000158F4">
              <w:rPr>
                <w:rFonts w:eastAsia="Times New Roman" w:cstheme="minorHAnsi"/>
                <w:color w:val="333333"/>
                <w:sz w:val="18"/>
                <w:szCs w:val="18"/>
                <w:lang w:eastAsia="en-GB"/>
              </w:rPr>
              <w:t>25.3</w:t>
            </w:r>
          </w:p>
        </w:tc>
      </w:tr>
      <w:tr w:rsidR="00F1184B" w:rsidRPr="000158F4" w14:paraId="1989D982" w14:textId="77777777" w:rsidTr="00F1184B">
        <w:trPr>
          <w:trHeight w:val="253"/>
        </w:trPr>
        <w:tc>
          <w:tcPr>
            <w:tcW w:w="3855" w:type="dxa"/>
            <w:tcBorders>
              <w:top w:val="single" w:sz="4" w:space="0" w:color="FFFFFF"/>
              <w:left w:val="nil"/>
              <w:bottom w:val="single" w:sz="4" w:space="0" w:color="FFFFFF"/>
              <w:right w:val="single" w:sz="4" w:space="0" w:color="FFFFFF"/>
            </w:tcBorders>
            <w:shd w:val="clear" w:color="D9E1F2" w:fill="D9E1F2"/>
            <w:noWrap/>
            <w:vAlign w:val="bottom"/>
            <w:hideMark/>
          </w:tcPr>
          <w:p w14:paraId="241ADD12" w14:textId="77777777" w:rsidR="000158F4" w:rsidRPr="000158F4" w:rsidRDefault="000158F4" w:rsidP="00F1184B">
            <w:pPr>
              <w:rPr>
                <w:rFonts w:eastAsia="Times New Roman" w:cstheme="minorHAnsi"/>
                <w:color w:val="333333"/>
                <w:sz w:val="18"/>
                <w:szCs w:val="18"/>
                <w:lang w:eastAsia="en-GB"/>
              </w:rPr>
            </w:pPr>
            <w:r w:rsidRPr="000158F4">
              <w:rPr>
                <w:rFonts w:eastAsia="Times New Roman" w:cstheme="minorHAnsi"/>
                <w:color w:val="333333"/>
                <w:sz w:val="18"/>
                <w:szCs w:val="18"/>
                <w:lang w:eastAsia="en-GB"/>
              </w:rPr>
              <w:t>Self-employed</w:t>
            </w:r>
          </w:p>
        </w:tc>
        <w:tc>
          <w:tcPr>
            <w:tcW w:w="1005" w:type="dxa"/>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359FBF20" w14:textId="77777777" w:rsidR="000158F4" w:rsidRPr="000158F4" w:rsidRDefault="000158F4" w:rsidP="00F1184B">
            <w:pPr>
              <w:jc w:val="right"/>
              <w:rPr>
                <w:rFonts w:eastAsia="Times New Roman" w:cstheme="minorHAnsi"/>
                <w:color w:val="333333"/>
                <w:sz w:val="18"/>
                <w:szCs w:val="18"/>
                <w:lang w:eastAsia="en-GB"/>
              </w:rPr>
            </w:pPr>
            <w:r w:rsidRPr="000158F4">
              <w:rPr>
                <w:rFonts w:eastAsia="Times New Roman" w:cstheme="minorHAnsi"/>
                <w:color w:val="333333"/>
                <w:sz w:val="18"/>
                <w:szCs w:val="18"/>
                <w:lang w:eastAsia="en-GB"/>
              </w:rPr>
              <w:t>2,083</w:t>
            </w:r>
          </w:p>
        </w:tc>
        <w:tc>
          <w:tcPr>
            <w:tcW w:w="1005" w:type="dxa"/>
            <w:tcBorders>
              <w:top w:val="single" w:sz="4" w:space="0" w:color="FFFFFF"/>
              <w:left w:val="single" w:sz="4" w:space="0" w:color="FFFFFF"/>
              <w:bottom w:val="single" w:sz="4" w:space="0" w:color="FFFFFF"/>
              <w:right w:val="nil"/>
            </w:tcBorders>
            <w:shd w:val="clear" w:color="D9E1F2" w:fill="D9E1F2"/>
            <w:noWrap/>
            <w:vAlign w:val="bottom"/>
            <w:hideMark/>
          </w:tcPr>
          <w:p w14:paraId="4C740252" w14:textId="77777777" w:rsidR="000158F4" w:rsidRPr="000158F4" w:rsidRDefault="000158F4" w:rsidP="00F1184B">
            <w:pPr>
              <w:jc w:val="right"/>
              <w:rPr>
                <w:rFonts w:eastAsia="Times New Roman" w:cstheme="minorHAnsi"/>
                <w:color w:val="333333"/>
                <w:sz w:val="18"/>
                <w:szCs w:val="18"/>
                <w:lang w:eastAsia="en-GB"/>
              </w:rPr>
            </w:pPr>
            <w:r w:rsidRPr="000158F4">
              <w:rPr>
                <w:rFonts w:eastAsia="Times New Roman" w:cstheme="minorHAnsi"/>
                <w:color w:val="333333"/>
                <w:sz w:val="18"/>
                <w:szCs w:val="18"/>
                <w:lang w:eastAsia="en-GB"/>
              </w:rPr>
              <w:t>3.1</w:t>
            </w:r>
          </w:p>
        </w:tc>
      </w:tr>
      <w:tr w:rsidR="00F1184B" w:rsidRPr="000158F4" w14:paraId="221FC0EC" w14:textId="77777777" w:rsidTr="00F1184B">
        <w:trPr>
          <w:trHeight w:val="253"/>
        </w:trPr>
        <w:tc>
          <w:tcPr>
            <w:tcW w:w="3855" w:type="dxa"/>
            <w:tcBorders>
              <w:top w:val="single" w:sz="4" w:space="0" w:color="FFFFFF"/>
              <w:left w:val="nil"/>
              <w:bottom w:val="single" w:sz="4" w:space="0" w:color="FFFFFF"/>
              <w:right w:val="single" w:sz="4" w:space="0" w:color="FFFFFF"/>
            </w:tcBorders>
            <w:shd w:val="clear" w:color="B4C6E7" w:fill="B4C6E7"/>
            <w:noWrap/>
            <w:vAlign w:val="bottom"/>
            <w:hideMark/>
          </w:tcPr>
          <w:p w14:paraId="586A2246" w14:textId="77777777" w:rsidR="000158F4" w:rsidRPr="000158F4" w:rsidRDefault="000158F4" w:rsidP="00F1184B">
            <w:pPr>
              <w:rPr>
                <w:rFonts w:eastAsia="Times New Roman" w:cstheme="minorHAnsi"/>
                <w:color w:val="333333"/>
                <w:sz w:val="18"/>
                <w:szCs w:val="18"/>
                <w:lang w:eastAsia="en-GB"/>
              </w:rPr>
            </w:pPr>
            <w:r w:rsidRPr="000158F4">
              <w:rPr>
                <w:rFonts w:eastAsia="Times New Roman" w:cstheme="minorHAnsi"/>
                <w:color w:val="333333"/>
                <w:sz w:val="18"/>
                <w:szCs w:val="18"/>
                <w:lang w:eastAsia="en-GB"/>
              </w:rPr>
              <w:t>Unemployed</w:t>
            </w:r>
          </w:p>
        </w:tc>
        <w:tc>
          <w:tcPr>
            <w:tcW w:w="1005" w:type="dxa"/>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7AB1AD4B" w14:textId="77777777" w:rsidR="000158F4" w:rsidRPr="000158F4" w:rsidRDefault="000158F4" w:rsidP="00F1184B">
            <w:pPr>
              <w:jc w:val="right"/>
              <w:rPr>
                <w:rFonts w:eastAsia="Times New Roman" w:cstheme="minorHAnsi"/>
                <w:color w:val="333333"/>
                <w:sz w:val="18"/>
                <w:szCs w:val="18"/>
                <w:lang w:eastAsia="en-GB"/>
              </w:rPr>
            </w:pPr>
            <w:r w:rsidRPr="000158F4">
              <w:rPr>
                <w:rFonts w:eastAsia="Times New Roman" w:cstheme="minorHAnsi"/>
                <w:color w:val="333333"/>
                <w:sz w:val="18"/>
                <w:szCs w:val="18"/>
                <w:lang w:eastAsia="en-GB"/>
              </w:rPr>
              <w:t>1,955</w:t>
            </w:r>
          </w:p>
        </w:tc>
        <w:tc>
          <w:tcPr>
            <w:tcW w:w="1005" w:type="dxa"/>
            <w:tcBorders>
              <w:top w:val="single" w:sz="4" w:space="0" w:color="FFFFFF"/>
              <w:left w:val="single" w:sz="4" w:space="0" w:color="FFFFFF"/>
              <w:bottom w:val="single" w:sz="4" w:space="0" w:color="FFFFFF"/>
              <w:right w:val="nil"/>
            </w:tcBorders>
            <w:shd w:val="clear" w:color="B4C6E7" w:fill="B4C6E7"/>
            <w:noWrap/>
            <w:vAlign w:val="bottom"/>
            <w:hideMark/>
          </w:tcPr>
          <w:p w14:paraId="0D521C99" w14:textId="77777777" w:rsidR="000158F4" w:rsidRPr="000158F4" w:rsidRDefault="000158F4" w:rsidP="00F1184B">
            <w:pPr>
              <w:jc w:val="right"/>
              <w:rPr>
                <w:rFonts w:eastAsia="Times New Roman" w:cstheme="minorHAnsi"/>
                <w:color w:val="333333"/>
                <w:sz w:val="18"/>
                <w:szCs w:val="18"/>
                <w:lang w:eastAsia="en-GB"/>
              </w:rPr>
            </w:pPr>
            <w:r w:rsidRPr="000158F4">
              <w:rPr>
                <w:rFonts w:eastAsia="Times New Roman" w:cstheme="minorHAnsi"/>
                <w:color w:val="333333"/>
                <w:sz w:val="18"/>
                <w:szCs w:val="18"/>
                <w:lang w:eastAsia="en-GB"/>
              </w:rPr>
              <w:t>2.9</w:t>
            </w:r>
          </w:p>
        </w:tc>
      </w:tr>
      <w:tr w:rsidR="00F1184B" w:rsidRPr="000158F4" w14:paraId="2763772B" w14:textId="77777777" w:rsidTr="00F1184B">
        <w:trPr>
          <w:trHeight w:val="253"/>
        </w:trPr>
        <w:tc>
          <w:tcPr>
            <w:tcW w:w="3855" w:type="dxa"/>
            <w:tcBorders>
              <w:top w:val="single" w:sz="4" w:space="0" w:color="FFFFFF"/>
              <w:left w:val="nil"/>
              <w:bottom w:val="single" w:sz="4" w:space="0" w:color="FFFFFF"/>
              <w:right w:val="single" w:sz="4" w:space="0" w:color="FFFFFF"/>
            </w:tcBorders>
            <w:shd w:val="clear" w:color="D9E1F2" w:fill="D9E1F2"/>
            <w:noWrap/>
            <w:vAlign w:val="bottom"/>
            <w:hideMark/>
          </w:tcPr>
          <w:p w14:paraId="3738DF13" w14:textId="77777777" w:rsidR="000158F4" w:rsidRPr="000158F4" w:rsidRDefault="000158F4" w:rsidP="00F1184B">
            <w:pPr>
              <w:rPr>
                <w:rFonts w:eastAsia="Times New Roman" w:cstheme="minorHAnsi"/>
                <w:color w:val="333333"/>
                <w:sz w:val="18"/>
                <w:szCs w:val="18"/>
                <w:lang w:eastAsia="en-GB"/>
              </w:rPr>
            </w:pPr>
            <w:r w:rsidRPr="000158F4">
              <w:rPr>
                <w:rFonts w:eastAsia="Times New Roman" w:cstheme="minorHAnsi"/>
                <w:color w:val="333333"/>
                <w:sz w:val="18"/>
                <w:szCs w:val="18"/>
                <w:lang w:eastAsia="en-GB"/>
              </w:rPr>
              <w:t>Full-time student</w:t>
            </w:r>
          </w:p>
        </w:tc>
        <w:tc>
          <w:tcPr>
            <w:tcW w:w="1005" w:type="dxa"/>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1BD29E5E" w14:textId="77777777" w:rsidR="000158F4" w:rsidRPr="000158F4" w:rsidRDefault="000158F4" w:rsidP="00F1184B">
            <w:pPr>
              <w:jc w:val="right"/>
              <w:rPr>
                <w:rFonts w:eastAsia="Times New Roman" w:cstheme="minorHAnsi"/>
                <w:color w:val="333333"/>
                <w:sz w:val="18"/>
                <w:szCs w:val="18"/>
                <w:lang w:eastAsia="en-GB"/>
              </w:rPr>
            </w:pPr>
            <w:r w:rsidRPr="000158F4">
              <w:rPr>
                <w:rFonts w:eastAsia="Times New Roman" w:cstheme="minorHAnsi"/>
                <w:color w:val="333333"/>
                <w:sz w:val="18"/>
                <w:szCs w:val="18"/>
                <w:lang w:eastAsia="en-GB"/>
              </w:rPr>
              <w:t>3,772</w:t>
            </w:r>
          </w:p>
        </w:tc>
        <w:tc>
          <w:tcPr>
            <w:tcW w:w="1005" w:type="dxa"/>
            <w:tcBorders>
              <w:top w:val="single" w:sz="4" w:space="0" w:color="FFFFFF"/>
              <w:left w:val="single" w:sz="4" w:space="0" w:color="FFFFFF"/>
              <w:bottom w:val="single" w:sz="4" w:space="0" w:color="FFFFFF"/>
              <w:right w:val="nil"/>
            </w:tcBorders>
            <w:shd w:val="clear" w:color="D9E1F2" w:fill="D9E1F2"/>
            <w:noWrap/>
            <w:vAlign w:val="bottom"/>
            <w:hideMark/>
          </w:tcPr>
          <w:p w14:paraId="7A12340B" w14:textId="77777777" w:rsidR="000158F4" w:rsidRPr="000158F4" w:rsidRDefault="000158F4" w:rsidP="00F1184B">
            <w:pPr>
              <w:jc w:val="right"/>
              <w:rPr>
                <w:rFonts w:eastAsia="Times New Roman" w:cstheme="minorHAnsi"/>
                <w:color w:val="333333"/>
                <w:sz w:val="18"/>
                <w:szCs w:val="18"/>
                <w:lang w:eastAsia="en-GB"/>
              </w:rPr>
            </w:pPr>
            <w:r w:rsidRPr="000158F4">
              <w:rPr>
                <w:rFonts w:eastAsia="Times New Roman" w:cstheme="minorHAnsi"/>
                <w:color w:val="333333"/>
                <w:sz w:val="18"/>
                <w:szCs w:val="18"/>
                <w:lang w:eastAsia="en-GB"/>
              </w:rPr>
              <w:t>5.7</w:t>
            </w:r>
          </w:p>
        </w:tc>
      </w:tr>
      <w:tr w:rsidR="00F1184B" w:rsidRPr="000158F4" w14:paraId="6CC947E3" w14:textId="77777777" w:rsidTr="00F1184B">
        <w:trPr>
          <w:trHeight w:val="253"/>
        </w:trPr>
        <w:tc>
          <w:tcPr>
            <w:tcW w:w="3855" w:type="dxa"/>
            <w:tcBorders>
              <w:top w:val="single" w:sz="4" w:space="0" w:color="FFFFFF"/>
              <w:left w:val="nil"/>
              <w:bottom w:val="single" w:sz="4" w:space="0" w:color="FFFFFF"/>
              <w:right w:val="single" w:sz="4" w:space="0" w:color="FFFFFF"/>
            </w:tcBorders>
            <w:shd w:val="clear" w:color="B4C6E7" w:fill="B4C6E7"/>
            <w:noWrap/>
            <w:vAlign w:val="bottom"/>
            <w:hideMark/>
          </w:tcPr>
          <w:p w14:paraId="2DDF7920" w14:textId="77777777" w:rsidR="000158F4" w:rsidRPr="000158F4" w:rsidRDefault="000158F4" w:rsidP="00F1184B">
            <w:pPr>
              <w:rPr>
                <w:rFonts w:eastAsia="Times New Roman" w:cstheme="minorHAnsi"/>
                <w:color w:val="333333"/>
                <w:sz w:val="18"/>
                <w:szCs w:val="18"/>
                <w:lang w:eastAsia="en-GB"/>
              </w:rPr>
            </w:pPr>
            <w:r w:rsidRPr="000158F4">
              <w:rPr>
                <w:rFonts w:eastAsia="Times New Roman" w:cstheme="minorHAnsi"/>
                <w:color w:val="333333"/>
                <w:sz w:val="18"/>
                <w:szCs w:val="18"/>
                <w:lang w:eastAsia="en-GB"/>
              </w:rPr>
              <w:t>Economically Inactive</w:t>
            </w:r>
          </w:p>
        </w:tc>
        <w:tc>
          <w:tcPr>
            <w:tcW w:w="1005" w:type="dxa"/>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7136858E" w14:textId="77777777" w:rsidR="000158F4" w:rsidRPr="000158F4" w:rsidRDefault="000158F4" w:rsidP="00F1184B">
            <w:pPr>
              <w:jc w:val="right"/>
              <w:rPr>
                <w:rFonts w:eastAsia="Times New Roman" w:cstheme="minorHAnsi"/>
                <w:color w:val="333333"/>
                <w:sz w:val="18"/>
                <w:szCs w:val="18"/>
                <w:lang w:eastAsia="en-GB"/>
              </w:rPr>
            </w:pPr>
            <w:r w:rsidRPr="000158F4">
              <w:rPr>
                <w:rFonts w:eastAsia="Times New Roman" w:cstheme="minorHAnsi"/>
                <w:color w:val="333333"/>
                <w:sz w:val="18"/>
                <w:szCs w:val="18"/>
                <w:lang w:eastAsia="en-GB"/>
              </w:rPr>
              <w:t>28,016</w:t>
            </w:r>
          </w:p>
        </w:tc>
        <w:tc>
          <w:tcPr>
            <w:tcW w:w="1005" w:type="dxa"/>
            <w:tcBorders>
              <w:top w:val="single" w:sz="4" w:space="0" w:color="FFFFFF"/>
              <w:left w:val="single" w:sz="4" w:space="0" w:color="FFFFFF"/>
              <w:bottom w:val="single" w:sz="4" w:space="0" w:color="FFFFFF"/>
              <w:right w:val="nil"/>
            </w:tcBorders>
            <w:shd w:val="clear" w:color="B4C6E7" w:fill="B4C6E7"/>
            <w:noWrap/>
            <w:vAlign w:val="bottom"/>
            <w:hideMark/>
          </w:tcPr>
          <w:p w14:paraId="53AE9CFC" w14:textId="77777777" w:rsidR="000158F4" w:rsidRPr="000158F4" w:rsidRDefault="000158F4" w:rsidP="00F1184B">
            <w:pPr>
              <w:jc w:val="right"/>
              <w:rPr>
                <w:rFonts w:eastAsia="Times New Roman" w:cstheme="minorHAnsi"/>
                <w:color w:val="333333"/>
                <w:sz w:val="18"/>
                <w:szCs w:val="18"/>
                <w:lang w:eastAsia="en-GB"/>
              </w:rPr>
            </w:pPr>
            <w:r w:rsidRPr="000158F4">
              <w:rPr>
                <w:rFonts w:eastAsia="Times New Roman" w:cstheme="minorHAnsi"/>
                <w:color w:val="333333"/>
                <w:sz w:val="18"/>
                <w:szCs w:val="18"/>
                <w:lang w:eastAsia="en-GB"/>
              </w:rPr>
              <w:t>42</w:t>
            </w:r>
          </w:p>
        </w:tc>
      </w:tr>
      <w:tr w:rsidR="00F1184B" w:rsidRPr="000158F4" w14:paraId="6B0C1976" w14:textId="77777777" w:rsidTr="00F1184B">
        <w:trPr>
          <w:trHeight w:val="253"/>
        </w:trPr>
        <w:tc>
          <w:tcPr>
            <w:tcW w:w="3855" w:type="dxa"/>
            <w:tcBorders>
              <w:top w:val="single" w:sz="4" w:space="0" w:color="FFFFFF"/>
              <w:left w:val="nil"/>
              <w:bottom w:val="single" w:sz="4" w:space="0" w:color="FFFFFF"/>
              <w:right w:val="single" w:sz="4" w:space="0" w:color="FFFFFF"/>
            </w:tcBorders>
            <w:shd w:val="clear" w:color="D9E1F2" w:fill="D9E1F2"/>
            <w:noWrap/>
            <w:vAlign w:val="bottom"/>
            <w:hideMark/>
          </w:tcPr>
          <w:p w14:paraId="00D7AF3A" w14:textId="4FA01F3C" w:rsidR="000158F4" w:rsidRPr="000158F4" w:rsidRDefault="00F1184B" w:rsidP="00F1184B">
            <w:pPr>
              <w:rPr>
                <w:rFonts w:eastAsia="Times New Roman" w:cstheme="minorHAnsi"/>
                <w:color w:val="333333"/>
                <w:sz w:val="18"/>
                <w:szCs w:val="18"/>
                <w:lang w:eastAsia="en-GB"/>
              </w:rPr>
            </w:pPr>
            <w:proofErr w:type="spellStart"/>
            <w:r>
              <w:rPr>
                <w:rFonts w:eastAsia="Times New Roman" w:cstheme="minorHAnsi"/>
                <w:color w:val="333333"/>
                <w:sz w:val="18"/>
                <w:szCs w:val="18"/>
                <w:lang w:eastAsia="en-GB"/>
              </w:rPr>
              <w:t>Fi</w:t>
            </w:r>
            <w:r w:rsidR="000158F4" w:rsidRPr="000158F4">
              <w:rPr>
                <w:rFonts w:eastAsia="Times New Roman" w:cstheme="minorHAnsi"/>
                <w:color w:val="333333"/>
                <w:sz w:val="18"/>
                <w:szCs w:val="18"/>
                <w:lang w:eastAsia="en-GB"/>
              </w:rPr>
              <w:t>Retired</w:t>
            </w:r>
            <w:proofErr w:type="spellEnd"/>
          </w:p>
        </w:tc>
        <w:tc>
          <w:tcPr>
            <w:tcW w:w="1005" w:type="dxa"/>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6D69FCF0" w14:textId="77777777" w:rsidR="000158F4" w:rsidRPr="000158F4" w:rsidRDefault="000158F4" w:rsidP="00F1184B">
            <w:pPr>
              <w:jc w:val="right"/>
              <w:rPr>
                <w:rFonts w:eastAsia="Times New Roman" w:cstheme="minorHAnsi"/>
                <w:color w:val="333333"/>
                <w:sz w:val="18"/>
                <w:szCs w:val="18"/>
                <w:lang w:eastAsia="en-GB"/>
              </w:rPr>
            </w:pPr>
            <w:r w:rsidRPr="000158F4">
              <w:rPr>
                <w:rFonts w:eastAsia="Times New Roman" w:cstheme="minorHAnsi"/>
                <w:color w:val="333333"/>
                <w:sz w:val="18"/>
                <w:szCs w:val="18"/>
                <w:lang w:eastAsia="en-GB"/>
              </w:rPr>
              <w:t>11,352</w:t>
            </w:r>
          </w:p>
        </w:tc>
        <w:tc>
          <w:tcPr>
            <w:tcW w:w="1005" w:type="dxa"/>
            <w:tcBorders>
              <w:top w:val="single" w:sz="4" w:space="0" w:color="FFFFFF"/>
              <w:left w:val="single" w:sz="4" w:space="0" w:color="FFFFFF"/>
              <w:bottom w:val="single" w:sz="4" w:space="0" w:color="FFFFFF"/>
              <w:right w:val="nil"/>
            </w:tcBorders>
            <w:shd w:val="clear" w:color="D9E1F2" w:fill="D9E1F2"/>
            <w:noWrap/>
            <w:vAlign w:val="bottom"/>
            <w:hideMark/>
          </w:tcPr>
          <w:p w14:paraId="16197E39" w14:textId="77777777" w:rsidR="000158F4" w:rsidRPr="000158F4" w:rsidRDefault="000158F4" w:rsidP="00F1184B">
            <w:pPr>
              <w:jc w:val="right"/>
              <w:rPr>
                <w:rFonts w:eastAsia="Times New Roman" w:cstheme="minorHAnsi"/>
                <w:color w:val="333333"/>
                <w:sz w:val="18"/>
                <w:szCs w:val="18"/>
                <w:lang w:eastAsia="en-GB"/>
              </w:rPr>
            </w:pPr>
            <w:r w:rsidRPr="000158F4">
              <w:rPr>
                <w:rFonts w:eastAsia="Times New Roman" w:cstheme="minorHAnsi"/>
                <w:color w:val="333333"/>
                <w:sz w:val="18"/>
                <w:szCs w:val="18"/>
                <w:lang w:eastAsia="en-GB"/>
              </w:rPr>
              <w:t>17</w:t>
            </w:r>
          </w:p>
        </w:tc>
      </w:tr>
      <w:tr w:rsidR="00F1184B" w:rsidRPr="000158F4" w14:paraId="172E62A6" w14:textId="77777777" w:rsidTr="00F1184B">
        <w:trPr>
          <w:trHeight w:val="253"/>
        </w:trPr>
        <w:tc>
          <w:tcPr>
            <w:tcW w:w="3855" w:type="dxa"/>
            <w:tcBorders>
              <w:top w:val="single" w:sz="4" w:space="0" w:color="FFFFFF"/>
              <w:left w:val="nil"/>
              <w:bottom w:val="single" w:sz="4" w:space="0" w:color="FFFFFF"/>
              <w:right w:val="single" w:sz="4" w:space="0" w:color="FFFFFF"/>
            </w:tcBorders>
            <w:shd w:val="clear" w:color="B4C6E7" w:fill="B4C6E7"/>
            <w:noWrap/>
            <w:vAlign w:val="bottom"/>
            <w:hideMark/>
          </w:tcPr>
          <w:p w14:paraId="4A39AC04" w14:textId="77777777" w:rsidR="000158F4" w:rsidRPr="000158F4" w:rsidRDefault="000158F4" w:rsidP="00F1184B">
            <w:pPr>
              <w:rPr>
                <w:rFonts w:eastAsia="Times New Roman" w:cstheme="minorHAnsi"/>
                <w:color w:val="333333"/>
                <w:sz w:val="18"/>
                <w:szCs w:val="18"/>
                <w:lang w:eastAsia="en-GB"/>
              </w:rPr>
            </w:pPr>
            <w:r w:rsidRPr="000158F4">
              <w:rPr>
                <w:rFonts w:eastAsia="Times New Roman" w:cstheme="minorHAnsi"/>
                <w:color w:val="333333"/>
                <w:sz w:val="18"/>
                <w:szCs w:val="18"/>
                <w:lang w:eastAsia="en-GB"/>
              </w:rPr>
              <w:t>Student (including full-time students)</w:t>
            </w:r>
          </w:p>
        </w:tc>
        <w:tc>
          <w:tcPr>
            <w:tcW w:w="1005" w:type="dxa"/>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218901E0" w14:textId="77777777" w:rsidR="000158F4" w:rsidRPr="000158F4" w:rsidRDefault="000158F4" w:rsidP="00F1184B">
            <w:pPr>
              <w:jc w:val="right"/>
              <w:rPr>
                <w:rFonts w:eastAsia="Times New Roman" w:cstheme="minorHAnsi"/>
                <w:color w:val="333333"/>
                <w:sz w:val="18"/>
                <w:szCs w:val="18"/>
                <w:lang w:eastAsia="en-GB"/>
              </w:rPr>
            </w:pPr>
            <w:r w:rsidRPr="000158F4">
              <w:rPr>
                <w:rFonts w:eastAsia="Times New Roman" w:cstheme="minorHAnsi"/>
                <w:color w:val="333333"/>
                <w:sz w:val="18"/>
                <w:szCs w:val="18"/>
                <w:lang w:eastAsia="en-GB"/>
              </w:rPr>
              <w:t>5,738</w:t>
            </w:r>
          </w:p>
        </w:tc>
        <w:tc>
          <w:tcPr>
            <w:tcW w:w="1005" w:type="dxa"/>
            <w:tcBorders>
              <w:top w:val="single" w:sz="4" w:space="0" w:color="FFFFFF"/>
              <w:left w:val="single" w:sz="4" w:space="0" w:color="FFFFFF"/>
              <w:bottom w:val="single" w:sz="4" w:space="0" w:color="FFFFFF"/>
              <w:right w:val="nil"/>
            </w:tcBorders>
            <w:shd w:val="clear" w:color="B4C6E7" w:fill="B4C6E7"/>
            <w:noWrap/>
            <w:vAlign w:val="bottom"/>
            <w:hideMark/>
          </w:tcPr>
          <w:p w14:paraId="2019C1D9" w14:textId="77777777" w:rsidR="000158F4" w:rsidRPr="000158F4" w:rsidRDefault="000158F4" w:rsidP="00F1184B">
            <w:pPr>
              <w:jc w:val="right"/>
              <w:rPr>
                <w:rFonts w:eastAsia="Times New Roman" w:cstheme="minorHAnsi"/>
                <w:color w:val="333333"/>
                <w:sz w:val="18"/>
                <w:szCs w:val="18"/>
                <w:lang w:eastAsia="en-GB"/>
              </w:rPr>
            </w:pPr>
            <w:r w:rsidRPr="000158F4">
              <w:rPr>
                <w:rFonts w:eastAsia="Times New Roman" w:cstheme="minorHAnsi"/>
                <w:color w:val="333333"/>
                <w:sz w:val="18"/>
                <w:szCs w:val="18"/>
                <w:lang w:eastAsia="en-GB"/>
              </w:rPr>
              <w:t>8.6</w:t>
            </w:r>
          </w:p>
        </w:tc>
      </w:tr>
      <w:tr w:rsidR="00F1184B" w:rsidRPr="000158F4" w14:paraId="06B07CE1" w14:textId="77777777" w:rsidTr="00F1184B">
        <w:trPr>
          <w:trHeight w:val="253"/>
        </w:trPr>
        <w:tc>
          <w:tcPr>
            <w:tcW w:w="3855" w:type="dxa"/>
            <w:tcBorders>
              <w:top w:val="single" w:sz="4" w:space="0" w:color="FFFFFF"/>
              <w:left w:val="nil"/>
              <w:bottom w:val="single" w:sz="4" w:space="0" w:color="FFFFFF"/>
              <w:right w:val="single" w:sz="4" w:space="0" w:color="FFFFFF"/>
            </w:tcBorders>
            <w:shd w:val="clear" w:color="D9E1F2" w:fill="D9E1F2"/>
            <w:noWrap/>
            <w:vAlign w:val="bottom"/>
            <w:hideMark/>
          </w:tcPr>
          <w:p w14:paraId="698B3259" w14:textId="4CDB2EDE" w:rsidR="000158F4" w:rsidRPr="000158F4" w:rsidRDefault="000158F4" w:rsidP="00F1184B">
            <w:pPr>
              <w:rPr>
                <w:rFonts w:eastAsia="Times New Roman" w:cstheme="minorHAnsi"/>
                <w:color w:val="333333"/>
                <w:sz w:val="18"/>
                <w:szCs w:val="18"/>
                <w:lang w:eastAsia="en-GB"/>
              </w:rPr>
            </w:pPr>
            <w:r w:rsidRPr="000158F4">
              <w:rPr>
                <w:rFonts w:eastAsia="Times New Roman" w:cstheme="minorHAnsi"/>
                <w:color w:val="333333"/>
                <w:sz w:val="18"/>
                <w:szCs w:val="18"/>
                <w:lang w:eastAsia="en-GB"/>
              </w:rPr>
              <w:t>Looking after home or family</w:t>
            </w:r>
          </w:p>
        </w:tc>
        <w:tc>
          <w:tcPr>
            <w:tcW w:w="1005" w:type="dxa"/>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1C177B71" w14:textId="77777777" w:rsidR="000158F4" w:rsidRPr="000158F4" w:rsidRDefault="000158F4" w:rsidP="00F1184B">
            <w:pPr>
              <w:jc w:val="right"/>
              <w:rPr>
                <w:rFonts w:eastAsia="Times New Roman" w:cstheme="minorHAnsi"/>
                <w:color w:val="333333"/>
                <w:sz w:val="18"/>
                <w:szCs w:val="18"/>
                <w:lang w:eastAsia="en-GB"/>
              </w:rPr>
            </w:pPr>
            <w:r w:rsidRPr="000158F4">
              <w:rPr>
                <w:rFonts w:eastAsia="Times New Roman" w:cstheme="minorHAnsi"/>
                <w:color w:val="333333"/>
                <w:sz w:val="18"/>
                <w:szCs w:val="18"/>
                <w:lang w:eastAsia="en-GB"/>
              </w:rPr>
              <w:t>4,591</w:t>
            </w:r>
          </w:p>
        </w:tc>
        <w:tc>
          <w:tcPr>
            <w:tcW w:w="1005" w:type="dxa"/>
            <w:tcBorders>
              <w:top w:val="single" w:sz="4" w:space="0" w:color="FFFFFF"/>
              <w:left w:val="single" w:sz="4" w:space="0" w:color="FFFFFF"/>
              <w:bottom w:val="single" w:sz="4" w:space="0" w:color="FFFFFF"/>
              <w:right w:val="nil"/>
            </w:tcBorders>
            <w:shd w:val="clear" w:color="D9E1F2" w:fill="D9E1F2"/>
            <w:noWrap/>
            <w:vAlign w:val="bottom"/>
            <w:hideMark/>
          </w:tcPr>
          <w:p w14:paraId="4BE7623C" w14:textId="77777777" w:rsidR="000158F4" w:rsidRPr="000158F4" w:rsidRDefault="000158F4" w:rsidP="00F1184B">
            <w:pPr>
              <w:jc w:val="right"/>
              <w:rPr>
                <w:rFonts w:eastAsia="Times New Roman" w:cstheme="minorHAnsi"/>
                <w:color w:val="333333"/>
                <w:sz w:val="18"/>
                <w:szCs w:val="18"/>
                <w:lang w:eastAsia="en-GB"/>
              </w:rPr>
            </w:pPr>
            <w:r w:rsidRPr="000158F4">
              <w:rPr>
                <w:rFonts w:eastAsia="Times New Roman" w:cstheme="minorHAnsi"/>
                <w:color w:val="333333"/>
                <w:sz w:val="18"/>
                <w:szCs w:val="18"/>
                <w:lang w:eastAsia="en-GB"/>
              </w:rPr>
              <w:t>6.9</w:t>
            </w:r>
          </w:p>
        </w:tc>
      </w:tr>
      <w:tr w:rsidR="00F1184B" w:rsidRPr="000158F4" w14:paraId="4437DB45" w14:textId="77777777" w:rsidTr="00F1184B">
        <w:trPr>
          <w:trHeight w:val="253"/>
        </w:trPr>
        <w:tc>
          <w:tcPr>
            <w:tcW w:w="3855" w:type="dxa"/>
            <w:tcBorders>
              <w:top w:val="single" w:sz="4" w:space="0" w:color="FFFFFF"/>
              <w:left w:val="nil"/>
              <w:bottom w:val="single" w:sz="4" w:space="0" w:color="FFFFFF"/>
              <w:right w:val="single" w:sz="4" w:space="0" w:color="FFFFFF"/>
            </w:tcBorders>
            <w:shd w:val="clear" w:color="B4C6E7" w:fill="B4C6E7"/>
            <w:noWrap/>
            <w:vAlign w:val="bottom"/>
            <w:hideMark/>
          </w:tcPr>
          <w:p w14:paraId="3BB3787D" w14:textId="77777777" w:rsidR="000158F4" w:rsidRPr="000158F4" w:rsidRDefault="000158F4" w:rsidP="00F1184B">
            <w:pPr>
              <w:rPr>
                <w:rFonts w:eastAsia="Times New Roman" w:cstheme="minorHAnsi"/>
                <w:color w:val="333333"/>
                <w:sz w:val="18"/>
                <w:szCs w:val="18"/>
                <w:lang w:eastAsia="en-GB"/>
              </w:rPr>
            </w:pPr>
            <w:r w:rsidRPr="000158F4">
              <w:rPr>
                <w:rFonts w:eastAsia="Times New Roman" w:cstheme="minorHAnsi"/>
                <w:color w:val="333333"/>
                <w:sz w:val="18"/>
                <w:szCs w:val="18"/>
                <w:lang w:eastAsia="en-GB"/>
              </w:rPr>
              <w:t>Long-term sick or disabled</w:t>
            </w:r>
          </w:p>
        </w:tc>
        <w:tc>
          <w:tcPr>
            <w:tcW w:w="1005" w:type="dxa"/>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6F222874" w14:textId="77777777" w:rsidR="000158F4" w:rsidRPr="000158F4" w:rsidRDefault="000158F4" w:rsidP="00F1184B">
            <w:pPr>
              <w:jc w:val="right"/>
              <w:rPr>
                <w:rFonts w:eastAsia="Times New Roman" w:cstheme="minorHAnsi"/>
                <w:color w:val="333333"/>
                <w:sz w:val="18"/>
                <w:szCs w:val="18"/>
                <w:lang w:eastAsia="en-GB"/>
              </w:rPr>
            </w:pPr>
            <w:r w:rsidRPr="000158F4">
              <w:rPr>
                <w:rFonts w:eastAsia="Times New Roman" w:cstheme="minorHAnsi"/>
                <w:color w:val="333333"/>
                <w:sz w:val="18"/>
                <w:szCs w:val="18"/>
                <w:lang w:eastAsia="en-GB"/>
              </w:rPr>
              <w:t>4,701</w:t>
            </w:r>
          </w:p>
        </w:tc>
        <w:tc>
          <w:tcPr>
            <w:tcW w:w="1005" w:type="dxa"/>
            <w:tcBorders>
              <w:top w:val="single" w:sz="4" w:space="0" w:color="FFFFFF"/>
              <w:left w:val="single" w:sz="4" w:space="0" w:color="FFFFFF"/>
              <w:bottom w:val="single" w:sz="4" w:space="0" w:color="FFFFFF"/>
              <w:right w:val="nil"/>
            </w:tcBorders>
            <w:shd w:val="clear" w:color="B4C6E7" w:fill="B4C6E7"/>
            <w:noWrap/>
            <w:vAlign w:val="bottom"/>
            <w:hideMark/>
          </w:tcPr>
          <w:p w14:paraId="0C76CA34" w14:textId="77777777" w:rsidR="000158F4" w:rsidRPr="000158F4" w:rsidRDefault="000158F4" w:rsidP="00F1184B">
            <w:pPr>
              <w:jc w:val="right"/>
              <w:rPr>
                <w:rFonts w:eastAsia="Times New Roman" w:cstheme="minorHAnsi"/>
                <w:color w:val="333333"/>
                <w:sz w:val="18"/>
                <w:szCs w:val="18"/>
                <w:lang w:eastAsia="en-GB"/>
              </w:rPr>
            </w:pPr>
            <w:r w:rsidRPr="000158F4">
              <w:rPr>
                <w:rFonts w:eastAsia="Times New Roman" w:cstheme="minorHAnsi"/>
                <w:color w:val="333333"/>
                <w:sz w:val="18"/>
                <w:szCs w:val="18"/>
                <w:lang w:eastAsia="en-GB"/>
              </w:rPr>
              <w:t>7.1</w:t>
            </w:r>
          </w:p>
        </w:tc>
      </w:tr>
      <w:tr w:rsidR="00F1184B" w:rsidRPr="000158F4" w14:paraId="153F185A" w14:textId="77777777" w:rsidTr="00F1184B">
        <w:trPr>
          <w:trHeight w:val="253"/>
        </w:trPr>
        <w:tc>
          <w:tcPr>
            <w:tcW w:w="3855" w:type="dxa"/>
            <w:tcBorders>
              <w:top w:val="single" w:sz="4" w:space="0" w:color="FFFFFF"/>
              <w:left w:val="nil"/>
              <w:bottom w:val="single" w:sz="4" w:space="0" w:color="FFFFFF"/>
              <w:right w:val="single" w:sz="4" w:space="0" w:color="FFFFFF"/>
            </w:tcBorders>
            <w:shd w:val="clear" w:color="D9E1F2" w:fill="D9E1F2"/>
            <w:noWrap/>
            <w:vAlign w:val="bottom"/>
            <w:hideMark/>
          </w:tcPr>
          <w:p w14:paraId="2DE3D09E" w14:textId="77777777" w:rsidR="000158F4" w:rsidRPr="000158F4" w:rsidRDefault="000158F4" w:rsidP="00F1184B">
            <w:pPr>
              <w:rPr>
                <w:rFonts w:eastAsia="Times New Roman" w:cstheme="minorHAnsi"/>
                <w:color w:val="333333"/>
                <w:sz w:val="18"/>
                <w:szCs w:val="18"/>
                <w:lang w:eastAsia="en-GB"/>
              </w:rPr>
            </w:pPr>
            <w:r w:rsidRPr="000158F4">
              <w:rPr>
                <w:rFonts w:eastAsia="Times New Roman" w:cstheme="minorHAnsi"/>
                <w:color w:val="333333"/>
                <w:sz w:val="18"/>
                <w:szCs w:val="18"/>
                <w:lang w:eastAsia="en-GB"/>
              </w:rPr>
              <w:t>Other</w:t>
            </w:r>
          </w:p>
        </w:tc>
        <w:tc>
          <w:tcPr>
            <w:tcW w:w="1005" w:type="dxa"/>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17C6FC1E" w14:textId="77777777" w:rsidR="000158F4" w:rsidRPr="000158F4" w:rsidRDefault="000158F4" w:rsidP="00F1184B">
            <w:pPr>
              <w:jc w:val="right"/>
              <w:rPr>
                <w:rFonts w:eastAsia="Times New Roman" w:cstheme="minorHAnsi"/>
                <w:color w:val="333333"/>
                <w:sz w:val="18"/>
                <w:szCs w:val="18"/>
                <w:lang w:eastAsia="en-GB"/>
              </w:rPr>
            </w:pPr>
            <w:r w:rsidRPr="000158F4">
              <w:rPr>
                <w:rFonts w:eastAsia="Times New Roman" w:cstheme="minorHAnsi"/>
                <w:color w:val="333333"/>
                <w:sz w:val="18"/>
                <w:szCs w:val="18"/>
                <w:lang w:eastAsia="en-GB"/>
              </w:rPr>
              <w:t>1,634</w:t>
            </w:r>
          </w:p>
        </w:tc>
        <w:tc>
          <w:tcPr>
            <w:tcW w:w="1005" w:type="dxa"/>
            <w:tcBorders>
              <w:top w:val="single" w:sz="4" w:space="0" w:color="FFFFFF"/>
              <w:left w:val="single" w:sz="4" w:space="0" w:color="FFFFFF"/>
              <w:bottom w:val="single" w:sz="4" w:space="0" w:color="FFFFFF"/>
              <w:right w:val="nil"/>
            </w:tcBorders>
            <w:shd w:val="clear" w:color="D9E1F2" w:fill="D9E1F2"/>
            <w:noWrap/>
            <w:vAlign w:val="bottom"/>
            <w:hideMark/>
          </w:tcPr>
          <w:p w14:paraId="47C2BFA6" w14:textId="77777777" w:rsidR="000158F4" w:rsidRPr="000158F4" w:rsidRDefault="000158F4" w:rsidP="00F1184B">
            <w:pPr>
              <w:jc w:val="right"/>
              <w:rPr>
                <w:rFonts w:eastAsia="Times New Roman" w:cstheme="minorHAnsi"/>
                <w:color w:val="333333"/>
                <w:sz w:val="18"/>
                <w:szCs w:val="18"/>
                <w:lang w:eastAsia="en-GB"/>
              </w:rPr>
            </w:pPr>
            <w:r w:rsidRPr="000158F4">
              <w:rPr>
                <w:rFonts w:eastAsia="Times New Roman" w:cstheme="minorHAnsi"/>
                <w:color w:val="333333"/>
                <w:sz w:val="18"/>
                <w:szCs w:val="18"/>
                <w:lang w:eastAsia="en-GB"/>
              </w:rPr>
              <w:t>2.5</w:t>
            </w:r>
          </w:p>
        </w:tc>
      </w:tr>
      <w:tr w:rsidR="00F1184B" w:rsidRPr="000158F4" w14:paraId="647F254A" w14:textId="77777777" w:rsidTr="00F1184B">
        <w:trPr>
          <w:trHeight w:val="253"/>
        </w:trPr>
        <w:tc>
          <w:tcPr>
            <w:tcW w:w="3855" w:type="dxa"/>
            <w:tcBorders>
              <w:top w:val="single" w:sz="4" w:space="0" w:color="FFFFFF"/>
              <w:left w:val="nil"/>
              <w:bottom w:val="single" w:sz="4" w:space="0" w:color="FFFFFF"/>
              <w:right w:val="single" w:sz="4" w:space="0" w:color="FFFFFF"/>
            </w:tcBorders>
            <w:shd w:val="clear" w:color="B4C6E7" w:fill="B4C6E7"/>
            <w:noWrap/>
            <w:vAlign w:val="bottom"/>
            <w:hideMark/>
          </w:tcPr>
          <w:p w14:paraId="3095EE64" w14:textId="77777777" w:rsidR="000158F4" w:rsidRPr="000158F4" w:rsidRDefault="000158F4" w:rsidP="00F1184B">
            <w:pPr>
              <w:rPr>
                <w:rFonts w:eastAsia="Times New Roman" w:cstheme="minorHAnsi"/>
                <w:color w:val="333333"/>
                <w:sz w:val="18"/>
                <w:szCs w:val="18"/>
                <w:lang w:eastAsia="en-GB"/>
              </w:rPr>
            </w:pPr>
            <w:r w:rsidRPr="000158F4">
              <w:rPr>
                <w:rFonts w:eastAsia="Times New Roman" w:cstheme="minorHAnsi"/>
                <w:color w:val="333333"/>
                <w:sz w:val="18"/>
                <w:szCs w:val="18"/>
                <w:lang w:eastAsia="en-GB"/>
              </w:rPr>
              <w:t>Unemployed: Age 16 to 24</w:t>
            </w:r>
          </w:p>
        </w:tc>
        <w:tc>
          <w:tcPr>
            <w:tcW w:w="1005" w:type="dxa"/>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02E746ED" w14:textId="77777777" w:rsidR="000158F4" w:rsidRPr="000158F4" w:rsidRDefault="000158F4" w:rsidP="00F1184B">
            <w:pPr>
              <w:jc w:val="right"/>
              <w:rPr>
                <w:rFonts w:eastAsia="Times New Roman" w:cstheme="minorHAnsi"/>
                <w:color w:val="333333"/>
                <w:sz w:val="18"/>
                <w:szCs w:val="18"/>
                <w:lang w:eastAsia="en-GB"/>
              </w:rPr>
            </w:pPr>
            <w:r w:rsidRPr="000158F4">
              <w:rPr>
                <w:rFonts w:eastAsia="Times New Roman" w:cstheme="minorHAnsi"/>
                <w:color w:val="333333"/>
                <w:sz w:val="18"/>
                <w:szCs w:val="18"/>
                <w:lang w:eastAsia="en-GB"/>
              </w:rPr>
              <w:t>620</w:t>
            </w:r>
          </w:p>
        </w:tc>
        <w:tc>
          <w:tcPr>
            <w:tcW w:w="1005" w:type="dxa"/>
            <w:tcBorders>
              <w:top w:val="single" w:sz="4" w:space="0" w:color="FFFFFF"/>
              <w:left w:val="single" w:sz="4" w:space="0" w:color="FFFFFF"/>
              <w:bottom w:val="single" w:sz="4" w:space="0" w:color="FFFFFF"/>
              <w:right w:val="nil"/>
            </w:tcBorders>
            <w:shd w:val="clear" w:color="B4C6E7" w:fill="B4C6E7"/>
            <w:noWrap/>
            <w:vAlign w:val="bottom"/>
            <w:hideMark/>
          </w:tcPr>
          <w:p w14:paraId="7D98A858" w14:textId="77777777" w:rsidR="000158F4" w:rsidRPr="000158F4" w:rsidRDefault="000158F4" w:rsidP="00F1184B">
            <w:pPr>
              <w:jc w:val="right"/>
              <w:rPr>
                <w:rFonts w:eastAsia="Times New Roman" w:cstheme="minorHAnsi"/>
                <w:color w:val="333333"/>
                <w:sz w:val="18"/>
                <w:szCs w:val="18"/>
                <w:lang w:eastAsia="en-GB"/>
              </w:rPr>
            </w:pPr>
            <w:r w:rsidRPr="000158F4">
              <w:rPr>
                <w:rFonts w:eastAsia="Times New Roman" w:cstheme="minorHAnsi"/>
                <w:color w:val="333333"/>
                <w:sz w:val="18"/>
                <w:szCs w:val="18"/>
                <w:lang w:eastAsia="en-GB"/>
              </w:rPr>
              <w:t>0.9</w:t>
            </w:r>
          </w:p>
        </w:tc>
      </w:tr>
      <w:tr w:rsidR="00F1184B" w:rsidRPr="000158F4" w14:paraId="057B0BE3" w14:textId="77777777" w:rsidTr="00F1184B">
        <w:trPr>
          <w:trHeight w:val="253"/>
        </w:trPr>
        <w:tc>
          <w:tcPr>
            <w:tcW w:w="3855" w:type="dxa"/>
            <w:tcBorders>
              <w:top w:val="single" w:sz="4" w:space="0" w:color="FFFFFF"/>
              <w:left w:val="nil"/>
              <w:bottom w:val="single" w:sz="4" w:space="0" w:color="FFFFFF"/>
              <w:right w:val="single" w:sz="4" w:space="0" w:color="FFFFFF"/>
            </w:tcBorders>
            <w:shd w:val="clear" w:color="D9E1F2" w:fill="D9E1F2"/>
            <w:noWrap/>
            <w:vAlign w:val="bottom"/>
            <w:hideMark/>
          </w:tcPr>
          <w:p w14:paraId="7CC6793F" w14:textId="77777777" w:rsidR="000158F4" w:rsidRPr="000158F4" w:rsidRDefault="000158F4" w:rsidP="00F1184B">
            <w:pPr>
              <w:rPr>
                <w:rFonts w:eastAsia="Times New Roman" w:cstheme="minorHAnsi"/>
                <w:color w:val="333333"/>
                <w:sz w:val="18"/>
                <w:szCs w:val="18"/>
                <w:lang w:eastAsia="en-GB"/>
              </w:rPr>
            </w:pPr>
            <w:r w:rsidRPr="000158F4">
              <w:rPr>
                <w:rFonts w:eastAsia="Times New Roman" w:cstheme="minorHAnsi"/>
                <w:color w:val="333333"/>
                <w:sz w:val="18"/>
                <w:szCs w:val="18"/>
                <w:lang w:eastAsia="en-GB"/>
              </w:rPr>
              <w:t>Unemployed: Age 50 to 74</w:t>
            </w:r>
          </w:p>
        </w:tc>
        <w:tc>
          <w:tcPr>
            <w:tcW w:w="1005" w:type="dxa"/>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65265F45" w14:textId="77777777" w:rsidR="000158F4" w:rsidRPr="000158F4" w:rsidRDefault="000158F4" w:rsidP="00F1184B">
            <w:pPr>
              <w:jc w:val="right"/>
              <w:rPr>
                <w:rFonts w:eastAsia="Times New Roman" w:cstheme="minorHAnsi"/>
                <w:color w:val="333333"/>
                <w:sz w:val="18"/>
                <w:szCs w:val="18"/>
                <w:lang w:eastAsia="en-GB"/>
              </w:rPr>
            </w:pPr>
            <w:r w:rsidRPr="000158F4">
              <w:rPr>
                <w:rFonts w:eastAsia="Times New Roman" w:cstheme="minorHAnsi"/>
                <w:color w:val="333333"/>
                <w:sz w:val="18"/>
                <w:szCs w:val="18"/>
                <w:lang w:eastAsia="en-GB"/>
              </w:rPr>
              <w:t>230</w:t>
            </w:r>
          </w:p>
        </w:tc>
        <w:tc>
          <w:tcPr>
            <w:tcW w:w="1005" w:type="dxa"/>
            <w:tcBorders>
              <w:top w:val="single" w:sz="4" w:space="0" w:color="FFFFFF"/>
              <w:left w:val="single" w:sz="4" w:space="0" w:color="FFFFFF"/>
              <w:bottom w:val="single" w:sz="4" w:space="0" w:color="FFFFFF"/>
              <w:right w:val="nil"/>
            </w:tcBorders>
            <w:shd w:val="clear" w:color="D9E1F2" w:fill="D9E1F2"/>
            <w:noWrap/>
            <w:vAlign w:val="bottom"/>
            <w:hideMark/>
          </w:tcPr>
          <w:p w14:paraId="0C21BDCD" w14:textId="77777777" w:rsidR="000158F4" w:rsidRPr="000158F4" w:rsidRDefault="000158F4" w:rsidP="00F1184B">
            <w:pPr>
              <w:jc w:val="right"/>
              <w:rPr>
                <w:rFonts w:eastAsia="Times New Roman" w:cstheme="minorHAnsi"/>
                <w:color w:val="333333"/>
                <w:sz w:val="18"/>
                <w:szCs w:val="18"/>
                <w:lang w:eastAsia="en-GB"/>
              </w:rPr>
            </w:pPr>
            <w:r w:rsidRPr="000158F4">
              <w:rPr>
                <w:rFonts w:eastAsia="Times New Roman" w:cstheme="minorHAnsi"/>
                <w:color w:val="333333"/>
                <w:sz w:val="18"/>
                <w:szCs w:val="18"/>
                <w:lang w:eastAsia="en-GB"/>
              </w:rPr>
              <w:t>0.3</w:t>
            </w:r>
          </w:p>
        </w:tc>
      </w:tr>
      <w:tr w:rsidR="00F1184B" w:rsidRPr="000158F4" w14:paraId="5D18626F" w14:textId="77777777" w:rsidTr="00F1184B">
        <w:trPr>
          <w:trHeight w:val="253"/>
        </w:trPr>
        <w:tc>
          <w:tcPr>
            <w:tcW w:w="3855" w:type="dxa"/>
            <w:tcBorders>
              <w:top w:val="single" w:sz="4" w:space="0" w:color="FFFFFF"/>
              <w:left w:val="nil"/>
              <w:bottom w:val="single" w:sz="4" w:space="0" w:color="FFFFFF"/>
              <w:right w:val="single" w:sz="4" w:space="0" w:color="FFFFFF"/>
            </w:tcBorders>
            <w:shd w:val="clear" w:color="B4C6E7" w:fill="B4C6E7"/>
            <w:noWrap/>
            <w:vAlign w:val="bottom"/>
            <w:hideMark/>
          </w:tcPr>
          <w:p w14:paraId="5C83AF99" w14:textId="77777777" w:rsidR="000158F4" w:rsidRPr="000158F4" w:rsidRDefault="000158F4" w:rsidP="00F1184B">
            <w:pPr>
              <w:rPr>
                <w:rFonts w:eastAsia="Times New Roman" w:cstheme="minorHAnsi"/>
                <w:color w:val="333333"/>
                <w:sz w:val="18"/>
                <w:szCs w:val="18"/>
                <w:lang w:eastAsia="en-GB"/>
              </w:rPr>
            </w:pPr>
            <w:r w:rsidRPr="000158F4">
              <w:rPr>
                <w:rFonts w:eastAsia="Times New Roman" w:cstheme="minorHAnsi"/>
                <w:color w:val="333333"/>
                <w:sz w:val="18"/>
                <w:szCs w:val="18"/>
                <w:lang w:eastAsia="en-GB"/>
              </w:rPr>
              <w:t>Unemployed: Never worked</w:t>
            </w:r>
          </w:p>
        </w:tc>
        <w:tc>
          <w:tcPr>
            <w:tcW w:w="1005" w:type="dxa"/>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42F459E6" w14:textId="77777777" w:rsidR="000158F4" w:rsidRPr="000158F4" w:rsidRDefault="000158F4" w:rsidP="00F1184B">
            <w:pPr>
              <w:jc w:val="right"/>
              <w:rPr>
                <w:rFonts w:eastAsia="Times New Roman" w:cstheme="minorHAnsi"/>
                <w:color w:val="333333"/>
                <w:sz w:val="18"/>
                <w:szCs w:val="18"/>
                <w:lang w:eastAsia="en-GB"/>
              </w:rPr>
            </w:pPr>
            <w:r w:rsidRPr="000158F4">
              <w:rPr>
                <w:rFonts w:eastAsia="Times New Roman" w:cstheme="minorHAnsi"/>
                <w:color w:val="333333"/>
                <w:sz w:val="18"/>
                <w:szCs w:val="18"/>
                <w:lang w:eastAsia="en-GB"/>
              </w:rPr>
              <w:t>344</w:t>
            </w:r>
          </w:p>
        </w:tc>
        <w:tc>
          <w:tcPr>
            <w:tcW w:w="1005" w:type="dxa"/>
            <w:tcBorders>
              <w:top w:val="single" w:sz="4" w:space="0" w:color="FFFFFF"/>
              <w:left w:val="single" w:sz="4" w:space="0" w:color="FFFFFF"/>
              <w:bottom w:val="single" w:sz="4" w:space="0" w:color="FFFFFF"/>
              <w:right w:val="nil"/>
            </w:tcBorders>
            <w:shd w:val="clear" w:color="B4C6E7" w:fill="B4C6E7"/>
            <w:noWrap/>
            <w:vAlign w:val="bottom"/>
            <w:hideMark/>
          </w:tcPr>
          <w:p w14:paraId="332993D0" w14:textId="77777777" w:rsidR="000158F4" w:rsidRPr="000158F4" w:rsidRDefault="000158F4" w:rsidP="00F1184B">
            <w:pPr>
              <w:jc w:val="right"/>
              <w:rPr>
                <w:rFonts w:eastAsia="Times New Roman" w:cstheme="minorHAnsi"/>
                <w:color w:val="333333"/>
                <w:sz w:val="18"/>
                <w:szCs w:val="18"/>
                <w:lang w:eastAsia="en-GB"/>
              </w:rPr>
            </w:pPr>
            <w:r w:rsidRPr="000158F4">
              <w:rPr>
                <w:rFonts w:eastAsia="Times New Roman" w:cstheme="minorHAnsi"/>
                <w:color w:val="333333"/>
                <w:sz w:val="18"/>
                <w:szCs w:val="18"/>
                <w:lang w:eastAsia="en-GB"/>
              </w:rPr>
              <w:t>0.5</w:t>
            </w:r>
          </w:p>
        </w:tc>
      </w:tr>
      <w:tr w:rsidR="00F1184B" w:rsidRPr="000158F4" w14:paraId="6BB25BB5" w14:textId="77777777" w:rsidTr="00F1184B">
        <w:trPr>
          <w:trHeight w:val="253"/>
        </w:trPr>
        <w:tc>
          <w:tcPr>
            <w:tcW w:w="3855" w:type="dxa"/>
            <w:tcBorders>
              <w:top w:val="single" w:sz="4" w:space="0" w:color="FFFFFF"/>
              <w:left w:val="nil"/>
              <w:bottom w:val="nil"/>
              <w:right w:val="single" w:sz="4" w:space="0" w:color="FFFFFF"/>
            </w:tcBorders>
            <w:shd w:val="clear" w:color="D9E1F2" w:fill="D9E1F2"/>
            <w:noWrap/>
            <w:vAlign w:val="bottom"/>
            <w:hideMark/>
          </w:tcPr>
          <w:p w14:paraId="0B852E4B" w14:textId="77777777" w:rsidR="000158F4" w:rsidRPr="000158F4" w:rsidRDefault="000158F4" w:rsidP="00F1184B">
            <w:pPr>
              <w:rPr>
                <w:rFonts w:eastAsia="Times New Roman" w:cstheme="minorHAnsi"/>
                <w:color w:val="333333"/>
                <w:sz w:val="18"/>
                <w:szCs w:val="18"/>
                <w:lang w:eastAsia="en-GB"/>
              </w:rPr>
            </w:pPr>
            <w:r w:rsidRPr="000158F4">
              <w:rPr>
                <w:rFonts w:eastAsia="Times New Roman" w:cstheme="minorHAnsi"/>
                <w:color w:val="333333"/>
                <w:sz w:val="18"/>
                <w:szCs w:val="18"/>
                <w:lang w:eastAsia="en-GB"/>
              </w:rPr>
              <w:t>Long-term unemployed</w:t>
            </w:r>
          </w:p>
        </w:tc>
        <w:tc>
          <w:tcPr>
            <w:tcW w:w="1005" w:type="dxa"/>
            <w:tcBorders>
              <w:top w:val="single" w:sz="4" w:space="0" w:color="FFFFFF"/>
              <w:left w:val="single" w:sz="4" w:space="0" w:color="FFFFFF"/>
              <w:bottom w:val="nil"/>
              <w:right w:val="single" w:sz="4" w:space="0" w:color="FFFFFF"/>
            </w:tcBorders>
            <w:shd w:val="clear" w:color="D9E1F2" w:fill="D9E1F2"/>
            <w:noWrap/>
            <w:vAlign w:val="bottom"/>
            <w:hideMark/>
          </w:tcPr>
          <w:p w14:paraId="0F4DB14A" w14:textId="77777777" w:rsidR="000158F4" w:rsidRPr="000158F4" w:rsidRDefault="000158F4" w:rsidP="00F1184B">
            <w:pPr>
              <w:jc w:val="right"/>
              <w:rPr>
                <w:rFonts w:eastAsia="Times New Roman" w:cstheme="minorHAnsi"/>
                <w:color w:val="333333"/>
                <w:sz w:val="18"/>
                <w:szCs w:val="18"/>
                <w:lang w:eastAsia="en-GB"/>
              </w:rPr>
            </w:pPr>
            <w:r w:rsidRPr="000158F4">
              <w:rPr>
                <w:rFonts w:eastAsia="Times New Roman" w:cstheme="minorHAnsi"/>
                <w:color w:val="333333"/>
                <w:sz w:val="18"/>
                <w:szCs w:val="18"/>
                <w:lang w:eastAsia="en-GB"/>
              </w:rPr>
              <w:t>805</w:t>
            </w:r>
          </w:p>
        </w:tc>
        <w:tc>
          <w:tcPr>
            <w:tcW w:w="1005" w:type="dxa"/>
            <w:tcBorders>
              <w:top w:val="single" w:sz="4" w:space="0" w:color="FFFFFF"/>
              <w:left w:val="single" w:sz="4" w:space="0" w:color="FFFFFF"/>
              <w:bottom w:val="nil"/>
              <w:right w:val="nil"/>
            </w:tcBorders>
            <w:shd w:val="clear" w:color="D9E1F2" w:fill="D9E1F2"/>
            <w:noWrap/>
            <w:vAlign w:val="bottom"/>
            <w:hideMark/>
          </w:tcPr>
          <w:p w14:paraId="329726A5" w14:textId="77777777" w:rsidR="000158F4" w:rsidRPr="000158F4" w:rsidRDefault="000158F4" w:rsidP="00F1184B">
            <w:pPr>
              <w:jc w:val="right"/>
              <w:rPr>
                <w:rFonts w:eastAsia="Times New Roman" w:cstheme="minorHAnsi"/>
                <w:color w:val="333333"/>
                <w:sz w:val="18"/>
                <w:szCs w:val="18"/>
                <w:lang w:eastAsia="en-GB"/>
              </w:rPr>
            </w:pPr>
            <w:r w:rsidRPr="000158F4">
              <w:rPr>
                <w:rFonts w:eastAsia="Times New Roman" w:cstheme="minorHAnsi"/>
                <w:color w:val="333333"/>
                <w:sz w:val="18"/>
                <w:szCs w:val="18"/>
                <w:lang w:eastAsia="en-GB"/>
              </w:rPr>
              <w:t>1.2</w:t>
            </w:r>
          </w:p>
        </w:tc>
      </w:tr>
    </w:tbl>
    <w:p w14:paraId="70F4CA03" w14:textId="07B94084" w:rsidR="00DB0F0F" w:rsidRPr="000158F4" w:rsidRDefault="00DB0F0F" w:rsidP="00DB0F0F">
      <w:pPr>
        <w:rPr>
          <w:rFonts w:cstheme="minorHAnsi"/>
        </w:rPr>
      </w:pPr>
    </w:p>
    <w:p w14:paraId="0B1CCA1F" w14:textId="1C797995" w:rsidR="00DB0F0F" w:rsidRPr="000158F4" w:rsidRDefault="00DB0F0F" w:rsidP="00DB0F0F">
      <w:pPr>
        <w:rPr>
          <w:rFonts w:cstheme="minorHAnsi"/>
        </w:rPr>
      </w:pPr>
    </w:p>
    <w:p w14:paraId="3384FEDE" w14:textId="18CE815C" w:rsidR="00DB0F0F" w:rsidRPr="000158F4" w:rsidRDefault="00DB0F0F" w:rsidP="00DB0F0F">
      <w:pPr>
        <w:rPr>
          <w:rFonts w:cstheme="minorHAnsi"/>
        </w:rPr>
      </w:pPr>
    </w:p>
    <w:p w14:paraId="78B8DBE8" w14:textId="1B6DE51D" w:rsidR="00DB0F0F" w:rsidRPr="000158F4" w:rsidRDefault="00DB0F0F" w:rsidP="00DB0F0F">
      <w:pPr>
        <w:rPr>
          <w:rFonts w:cstheme="minorHAnsi"/>
        </w:rPr>
      </w:pPr>
    </w:p>
    <w:p w14:paraId="389E623A" w14:textId="605BC2C9" w:rsidR="00DB0F0F" w:rsidRPr="000158F4" w:rsidRDefault="00DB0F0F" w:rsidP="00DB0F0F">
      <w:pPr>
        <w:rPr>
          <w:rFonts w:cstheme="minorHAnsi"/>
        </w:rPr>
      </w:pPr>
    </w:p>
    <w:p w14:paraId="2605A6E1" w14:textId="6A4C8136" w:rsidR="00DB0F0F" w:rsidRPr="000158F4" w:rsidRDefault="00F1184B" w:rsidP="00DB0F0F">
      <w:pPr>
        <w:rPr>
          <w:rFonts w:cstheme="minorHAnsi"/>
        </w:rPr>
      </w:pPr>
      <w:r>
        <w:rPr>
          <w:noProof/>
          <w:lang w:eastAsia="en-GB"/>
        </w:rPr>
        <mc:AlternateContent>
          <mc:Choice Requires="wps">
            <w:drawing>
              <wp:anchor distT="0" distB="0" distL="114300" distR="114300" simplePos="0" relativeHeight="251727872" behindDoc="0" locked="0" layoutInCell="1" allowOverlap="1" wp14:anchorId="1405F2B9" wp14:editId="6A768A17">
                <wp:simplePos x="0" y="0"/>
                <wp:positionH relativeFrom="column">
                  <wp:posOffset>4202430</wp:posOffset>
                </wp:positionH>
                <wp:positionV relativeFrom="paragraph">
                  <wp:posOffset>24130</wp:posOffset>
                </wp:positionV>
                <wp:extent cx="1562100" cy="1508760"/>
                <wp:effectExtent l="0" t="0" r="0" b="0"/>
                <wp:wrapSquare wrapText="bothSides"/>
                <wp:docPr id="24" name="Text Box 24"/>
                <wp:cNvGraphicFramePr/>
                <a:graphic xmlns:a="http://schemas.openxmlformats.org/drawingml/2006/main">
                  <a:graphicData uri="http://schemas.microsoft.com/office/word/2010/wordprocessingShape">
                    <wps:wsp>
                      <wps:cNvSpPr txBox="1"/>
                      <wps:spPr>
                        <a:xfrm>
                          <a:off x="0" y="0"/>
                          <a:ext cx="1562100" cy="150876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270E4A7E" w14:textId="77777777" w:rsidR="000E1085" w:rsidRPr="002851DB" w:rsidRDefault="000E1085" w:rsidP="00F1184B">
                            <w:r w:rsidRPr="002851DB">
                              <w:rPr>
                                <w:b/>
                              </w:rPr>
                              <w:t>Figure 2.0</w:t>
                            </w:r>
                            <w:r>
                              <w:rPr>
                                <w:b/>
                              </w:rPr>
                              <w:t xml:space="preserve"> </w:t>
                            </w:r>
                            <w:r>
                              <w:t>Table showing employment of females in Swansea from ages 16-74 as of the 2011 census. Data Source: www.nomisweb.co.uk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405F2B9" id="Text Box 24" o:spid="_x0000_s1035" type="#_x0000_t202" style="position:absolute;margin-left:330.9pt;margin-top:1.9pt;width:123pt;height:118.8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" filled="f" stroked="f">
                <v:textbox>
                  <w:txbxContent>
                    <w:p w14:paraId="270E4A7E" w14:textId="77777777" w:rsidR="000E1085" w:rsidRPr="002851DB" w:rsidRDefault="000E1085" w:rsidP="00F1184B">
                      <w:r w:rsidRPr="002851DB">
                        <w:rPr>
                          <w:b/>
                        </w:rPr>
                        <w:t>Figure 2.0</w:t>
                      </w:r>
                      <w:r>
                        <w:rPr>
                          <w:b/>
                        </w:rPr>
                        <w:t xml:space="preserve"> </w:t>
                      </w:r>
                      <w:r>
                        <w:t>Table showing employment of females in Swansea from ages 16-74 as of the 2011 census. Data Source: www.nomisweb.co.uk</w:t>
                      </w:r>
                    </w:p>
                  </w:txbxContent>
                </v:textbox>
                <w10:wrap type="square"/>
              </v:shape>
            </w:pict>
          </mc:Fallback>
        </mc:AlternateContent>
      </w:r>
    </w:p>
    <w:p w14:paraId="3FA8DAF4" w14:textId="4C991839" w:rsidR="00DB0F0F" w:rsidRPr="000158F4" w:rsidRDefault="00DB0F0F" w:rsidP="00DB0F0F">
      <w:pPr>
        <w:rPr>
          <w:rFonts w:cstheme="minorHAnsi"/>
        </w:rPr>
      </w:pPr>
    </w:p>
    <w:p w14:paraId="1BEF50E2" w14:textId="4C9452A8" w:rsidR="00DB0F0F" w:rsidRPr="000158F4" w:rsidRDefault="00DB0F0F" w:rsidP="00DB0F0F">
      <w:pPr>
        <w:rPr>
          <w:rFonts w:cstheme="minorHAnsi"/>
        </w:rPr>
      </w:pPr>
    </w:p>
    <w:p w14:paraId="14DBC5BF" w14:textId="2FDD603E" w:rsidR="00DB0F0F" w:rsidRDefault="00DB0F0F" w:rsidP="00DB0F0F"/>
    <w:p w14:paraId="35D66AE8" w14:textId="26BCECF6" w:rsidR="00DB0F0F" w:rsidRDefault="00DB0F0F" w:rsidP="00DB0F0F">
      <w:pPr>
        <w:tabs>
          <w:tab w:val="left" w:pos="2138"/>
        </w:tabs>
      </w:pPr>
      <w:r>
        <w:tab/>
      </w:r>
      <w:r>
        <w:tab/>
      </w:r>
      <w:r>
        <w:tab/>
      </w:r>
    </w:p>
    <w:p w14:paraId="2C18B62B" w14:textId="77777777" w:rsidR="00F1184B" w:rsidRDefault="0086251B" w:rsidP="00F1184B">
      <w:r>
        <w:rPr>
          <w:noProof/>
          <w:lang w:eastAsia="en-GB"/>
        </w:rPr>
        <mc:AlternateContent>
          <mc:Choice Requires="wps">
            <w:drawing>
              <wp:anchor distT="0" distB="0" distL="114300" distR="114300" simplePos="0" relativeHeight="251680768" behindDoc="0" locked="0" layoutInCell="1" allowOverlap="1" wp14:anchorId="4568485A" wp14:editId="0D669AB5">
                <wp:simplePos x="0" y="0"/>
                <wp:positionH relativeFrom="column">
                  <wp:posOffset>-405765</wp:posOffset>
                </wp:positionH>
                <wp:positionV relativeFrom="paragraph">
                  <wp:posOffset>147320</wp:posOffset>
                </wp:positionV>
                <wp:extent cx="571500" cy="228600"/>
                <wp:effectExtent l="0" t="0" r="0" b="0"/>
                <wp:wrapSquare wrapText="bothSides"/>
                <wp:docPr id="22" name="Text Box 22"/>
                <wp:cNvGraphicFramePr/>
                <a:graphic xmlns:a="http://schemas.openxmlformats.org/drawingml/2006/main">
                  <a:graphicData uri="http://schemas.microsoft.com/office/word/2010/wordprocessingShape">
                    <wps:wsp>
                      <wps:cNvSpPr txBox="1"/>
                      <wps:spPr>
                        <a:xfrm>
                          <a:off x="0" y="0"/>
                          <a:ext cx="571500" cy="2286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0F684BFD" w14:textId="77777777" w:rsidR="000E1085" w:rsidRDefault="000E108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568485A" id="Text Box 22" o:spid="_x0000_s1036" type="#_x0000_t202" style="position:absolute;margin-left:-31.95pt;margin-top:11.6pt;width:45pt;height:18pt;z-index:2516807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" filled="f" stroked="f">
                <v:textbox>
                  <w:txbxContent>
                    <w:p w14:paraId="0F684BFD" w14:textId="77777777" w:rsidR="000E1085" w:rsidRDefault="000E1085"/>
                  </w:txbxContent>
                </v:textbox>
                <w10:wrap type="square"/>
              </v:shape>
            </w:pict>
          </mc:Fallback>
        </mc:AlternateContent>
      </w:r>
    </w:p>
    <w:p w14:paraId="74C2D426" w14:textId="77777777" w:rsidR="00F1184B" w:rsidRDefault="00F1184B" w:rsidP="00F1184B"/>
    <w:p w14:paraId="7151BAE0" w14:textId="111AB8D3" w:rsidR="00F1184B" w:rsidRDefault="00F1184B" w:rsidP="00F1184B"/>
    <w:p w14:paraId="677B13FD" w14:textId="77777777" w:rsidR="00F1184B" w:rsidRDefault="00F1184B" w:rsidP="00F1184B"/>
    <w:p w14:paraId="77BAD169" w14:textId="77777777" w:rsidR="00F1184B" w:rsidRDefault="00F1184B" w:rsidP="00F1184B"/>
    <w:p w14:paraId="550096B0" w14:textId="77777777" w:rsidR="00F1184B" w:rsidRDefault="00F1184B" w:rsidP="00F1184B"/>
    <w:p w14:paraId="6F00D4E5" w14:textId="4B1160FE" w:rsidR="002851DB" w:rsidRDefault="00F1184B" w:rsidP="00F1184B">
      <w:r>
        <w:t>F</w:t>
      </w:r>
      <w:r w:rsidR="00811280">
        <w:t xml:space="preserve">igure 1.4 gives the employment rate in all Welsh regions in 2013. The data indicates that Swansea had the fifth worst </w:t>
      </w:r>
      <w:r w:rsidR="00314552">
        <w:t>employment rate</w:t>
      </w:r>
      <w:r w:rsidR="00CC4C6A">
        <w:t xml:space="preserve"> in</w:t>
      </w:r>
      <w:r w:rsidR="00314552">
        <w:t xml:space="preserve"> Wales. Furthermore figure 1.5 indicates that Swansea’s employment rate has fallen below the Welsh average from the year 2007 to 2013. When comparing the employment rate in Swansea to Cardiff and Rhondda Cynon Taff, which are the areas that’s population is most similar, Swansea’s employment rate was worse than both regions. Figure 1.6 gives the gross weekly earnings of all 22 of the Welsh regions in 2013. Swansea’s gross weekly earnings were the eighth worst </w:t>
      </w:r>
      <w:r w:rsidR="00087725">
        <w:t>in</w:t>
      </w:r>
      <w:r w:rsidR="00314552">
        <w:t xml:space="preserve"> 2013 and again fell below both Cardiff and the Rhondda Cynon Taff. </w:t>
      </w:r>
      <w:r w:rsidR="00087725">
        <w:t xml:space="preserve">Figure 1.7 shows the gross disposable income in Wales’ 22 regions in 2012. The data indicates that Swansea were the seventh worst region in Wales. </w:t>
      </w:r>
      <w:r w:rsidR="00153E04">
        <w:t>Cardiff had the third highest gross disposable income</w:t>
      </w:r>
      <w:r w:rsidR="00087725">
        <w:t>. This indicates that Swansea needs eco</w:t>
      </w:r>
      <w:r w:rsidR="001C4079">
        <w:t>nomic</w:t>
      </w:r>
      <w:r w:rsidR="00087725">
        <w:t xml:space="preserve"> investment, especially in the job sector as employment rates and income are at low levels when compared to other regions with similar populations. </w:t>
      </w:r>
    </w:p>
    <w:p w14:paraId="299ABCE9" w14:textId="7D835C94" w:rsidR="00087725" w:rsidRDefault="00087725" w:rsidP="002851DB">
      <w:r>
        <w:t>Figures 1.8, 1.9 and 2.0 break down the employment statistics in Swansea of people aged between 16 to 74. Fig</w:t>
      </w:r>
      <w:r w:rsidR="001C4079">
        <w:t>ure 1.8 shows that 4.1% of Swansea’s</w:t>
      </w:r>
      <w:r>
        <w:t xml:space="preserve"> </w:t>
      </w:r>
      <w:r w:rsidR="001C4079">
        <w:t>population</w:t>
      </w:r>
      <w:r>
        <w:t xml:space="preserve"> were unemployed. Furthermore Figures 1.9 </w:t>
      </w:r>
      <w:r w:rsidR="001C4079">
        <w:t xml:space="preserve">and 2.0 indicate that there was a higher percentage of males that were unemployed than </w:t>
      </w:r>
      <w:r w:rsidR="00153E04">
        <w:t>fe</w:t>
      </w:r>
      <w:r w:rsidR="001C4079">
        <w:t>males</w:t>
      </w:r>
      <w:r>
        <w:t xml:space="preserve">. </w:t>
      </w:r>
      <w:r w:rsidR="0088652F">
        <w:t xml:space="preserve">This data further indicates the need for more job opportunities and investment in Swansea. </w:t>
      </w:r>
      <w:r w:rsidR="007F4564">
        <w:t xml:space="preserve">An article by the BBC </w:t>
      </w:r>
      <w:r w:rsidR="00220D43">
        <w:t>(2012) suggests that a few of the possible reasons that Swansea’s unemployment statistics are high is because of an overreliance on the public sector for jobs and a large number of unskilled and unqualified people.</w:t>
      </w:r>
      <w:r w:rsidR="00AF5815">
        <w:t xml:space="preserve"> The data indicates that unemployment is a key issue within Swansea. </w:t>
      </w:r>
    </w:p>
    <w:p w14:paraId="79605F32" w14:textId="77777777" w:rsidR="007677BE" w:rsidRPr="002851DB" w:rsidRDefault="007677BE" w:rsidP="002851DB"/>
    <w:p w14:paraId="0E8C7B8B" w14:textId="77777777" w:rsidR="001A7C58" w:rsidRDefault="001A7C58" w:rsidP="002851DB"/>
    <w:p w14:paraId="5D3F9D6D" w14:textId="77777777" w:rsidR="00FE40B7" w:rsidRDefault="00FE40B7" w:rsidP="002851DB">
      <w:pPr>
        <w:rPr>
          <w:u w:val="single"/>
        </w:rPr>
      </w:pPr>
    </w:p>
    <w:p w14:paraId="6C87512A" w14:textId="77777777" w:rsidR="00FE40B7" w:rsidRDefault="00FE40B7" w:rsidP="002851DB">
      <w:pPr>
        <w:rPr>
          <w:u w:val="single"/>
        </w:rPr>
      </w:pPr>
    </w:p>
    <w:p w14:paraId="1E419EB0" w14:textId="77777777" w:rsidR="00FE40B7" w:rsidRDefault="00FE40B7" w:rsidP="002851DB">
      <w:pPr>
        <w:rPr>
          <w:u w:val="single"/>
        </w:rPr>
      </w:pPr>
    </w:p>
    <w:p w14:paraId="3E23BF58" w14:textId="77777777" w:rsidR="00B96A2F" w:rsidRDefault="00B96A2F" w:rsidP="002851DB">
      <w:pPr>
        <w:rPr>
          <w:u w:val="single"/>
        </w:rPr>
      </w:pPr>
    </w:p>
    <w:p w14:paraId="457E5E9F" w14:textId="77777777" w:rsidR="001C5CAF" w:rsidRPr="001C5CAF" w:rsidRDefault="001C5CAF" w:rsidP="002851DB">
      <w:pPr>
        <w:rPr>
          <w:u w:val="single"/>
        </w:rPr>
      </w:pPr>
    </w:p>
    <w:p w14:paraId="50EF4B20" w14:textId="2CCE559B" w:rsidR="002851DB" w:rsidRPr="002851DB" w:rsidRDefault="002851DB" w:rsidP="002851DB"/>
    <w:p w14:paraId="38AB6D66" w14:textId="77777777" w:rsidR="002851DB" w:rsidRDefault="002851DB" w:rsidP="002851DB"/>
    <w:p w14:paraId="74848E48" w14:textId="77777777" w:rsidR="00B96A2F" w:rsidRDefault="00B96A2F" w:rsidP="002851DB"/>
    <w:p w14:paraId="40D5FF6D" w14:textId="77777777" w:rsidR="00B96A2F" w:rsidRDefault="00B96A2F" w:rsidP="002851DB"/>
    <w:p w14:paraId="6CB4D8E1" w14:textId="77777777" w:rsidR="00B96A2F" w:rsidRDefault="00B96A2F" w:rsidP="002851DB"/>
    <w:p w14:paraId="70F1193C" w14:textId="77777777" w:rsidR="00B96A2F" w:rsidRDefault="00B96A2F" w:rsidP="002851DB"/>
    <w:p w14:paraId="6C620968" w14:textId="77777777" w:rsidR="00B96A2F" w:rsidRDefault="00B96A2F" w:rsidP="002851DB"/>
    <w:p w14:paraId="080FC94E" w14:textId="77777777" w:rsidR="00B96A2F" w:rsidRDefault="00B96A2F" w:rsidP="002851DB"/>
    <w:p w14:paraId="60AA65D0" w14:textId="77777777" w:rsidR="00B96A2F" w:rsidRDefault="00B96A2F" w:rsidP="002851DB"/>
    <w:p w14:paraId="0410CA69" w14:textId="77777777" w:rsidR="00B96A2F" w:rsidRDefault="00B96A2F" w:rsidP="002851DB"/>
    <w:p w14:paraId="1331DC90" w14:textId="77777777" w:rsidR="00B96A2F" w:rsidRDefault="00B96A2F" w:rsidP="002851DB"/>
    <w:p w14:paraId="7AE73F8C" w14:textId="77777777" w:rsidR="00B96A2F" w:rsidRDefault="00B96A2F" w:rsidP="002851DB"/>
    <w:p w14:paraId="147DE9C1" w14:textId="77777777" w:rsidR="00B96A2F" w:rsidRDefault="00B96A2F" w:rsidP="002851DB"/>
    <w:p w14:paraId="3D7D4963" w14:textId="77777777" w:rsidR="00B96A2F" w:rsidRDefault="00B96A2F" w:rsidP="002851DB"/>
    <w:p w14:paraId="0A751E41" w14:textId="77777777" w:rsidR="00B96A2F" w:rsidRDefault="00B96A2F" w:rsidP="002851DB"/>
    <w:p w14:paraId="4A165B6F" w14:textId="77777777" w:rsidR="00B96A2F" w:rsidRDefault="00B96A2F" w:rsidP="002851DB"/>
    <w:p w14:paraId="56BE9786" w14:textId="18561F48" w:rsidR="00B96A2F" w:rsidRDefault="00B96A2F" w:rsidP="002851DB"/>
    <w:p w14:paraId="68C7E697" w14:textId="30BE1E1C" w:rsidR="00B96A2F" w:rsidRDefault="00B96A2F" w:rsidP="002851DB"/>
    <w:p w14:paraId="57E612CF" w14:textId="668C1BE0" w:rsidR="00B96A2F" w:rsidRDefault="00B96A2F" w:rsidP="002851DB"/>
    <w:p w14:paraId="352175BE" w14:textId="5AE65CAA" w:rsidR="00B96A2F" w:rsidRPr="00FE40B7" w:rsidRDefault="00F1184B" w:rsidP="007956F7">
      <w:pPr>
        <w:outlineLvl w:val="0"/>
        <w:rPr>
          <w:u w:val="single"/>
        </w:rPr>
      </w:pPr>
      <w:r>
        <w:rPr>
          <w:u w:val="single"/>
        </w:rPr>
        <w:lastRenderedPageBreak/>
        <w:t>A</w:t>
      </w:r>
      <w:r w:rsidRPr="00FE40B7">
        <w:rPr>
          <w:u w:val="single"/>
        </w:rPr>
        <w:t>GE AND WELLBEING</w:t>
      </w:r>
    </w:p>
    <w:p w14:paraId="5FAEC5ED" w14:textId="710243E5" w:rsidR="00B96A2F" w:rsidRDefault="00B96A2F" w:rsidP="002851DB"/>
    <w:tbl>
      <w:tblPr>
        <w:tblpPr w:leftFromText="180" w:rightFromText="180" w:vertAnchor="text" w:horzAnchor="margin" w:tblpY="49"/>
        <w:tblW w:w="4961" w:type="dxa"/>
        <w:tblLook w:val="04A0" w:firstRow="1" w:lastRow="0" w:firstColumn="1" w:lastColumn="0" w:noHBand="0" w:noVBand="1"/>
        <w:tblDescription w:val="Age structure"/>
      </w:tblPr>
      <w:tblGrid>
        <w:gridCol w:w="2797"/>
        <w:gridCol w:w="1082"/>
        <w:gridCol w:w="1082"/>
      </w:tblGrid>
      <w:tr w:rsidR="004A023B" w:rsidRPr="004A023B" w14:paraId="39FB2F26" w14:textId="77777777" w:rsidTr="004A023B">
        <w:trPr>
          <w:trHeight w:val="255"/>
        </w:trPr>
        <w:tc>
          <w:tcPr>
            <w:tcW w:w="2797" w:type="dxa"/>
            <w:tcBorders>
              <w:top w:val="nil"/>
              <w:left w:val="nil"/>
              <w:bottom w:val="single" w:sz="12" w:space="0" w:color="FFFFFF"/>
              <w:right w:val="single" w:sz="4" w:space="0" w:color="FFFFFF"/>
            </w:tcBorders>
            <w:shd w:val="clear" w:color="4472C4" w:fill="4472C4"/>
            <w:noWrap/>
            <w:vAlign w:val="bottom"/>
            <w:hideMark/>
          </w:tcPr>
          <w:p w14:paraId="203EF688" w14:textId="77777777" w:rsidR="004A023B" w:rsidRPr="004A023B" w:rsidRDefault="004A023B" w:rsidP="004A023B">
            <w:pPr>
              <w:rPr>
                <w:rFonts w:eastAsia="Times New Roman" w:cstheme="minorHAnsi"/>
                <w:b/>
                <w:bCs/>
                <w:color w:val="333333"/>
                <w:sz w:val="18"/>
                <w:szCs w:val="18"/>
                <w:lang w:eastAsia="en-GB"/>
              </w:rPr>
            </w:pPr>
            <w:r w:rsidRPr="004A023B">
              <w:rPr>
                <w:rFonts w:eastAsia="Times New Roman" w:cstheme="minorHAnsi"/>
                <w:b/>
                <w:bCs/>
                <w:color w:val="333333"/>
                <w:sz w:val="18"/>
                <w:szCs w:val="18"/>
                <w:lang w:eastAsia="en-GB"/>
              </w:rPr>
              <w:t xml:space="preserve">Swansea </w:t>
            </w:r>
          </w:p>
        </w:tc>
        <w:tc>
          <w:tcPr>
            <w:tcW w:w="1082" w:type="dxa"/>
            <w:tcBorders>
              <w:top w:val="nil"/>
              <w:left w:val="single" w:sz="4" w:space="0" w:color="FFFFFF"/>
              <w:bottom w:val="single" w:sz="12" w:space="0" w:color="FFFFFF"/>
              <w:right w:val="single" w:sz="4" w:space="0" w:color="FFFFFF"/>
            </w:tcBorders>
            <w:shd w:val="clear" w:color="4472C4" w:fill="4472C4"/>
            <w:noWrap/>
            <w:vAlign w:val="bottom"/>
            <w:hideMark/>
          </w:tcPr>
          <w:p w14:paraId="2A8495F3" w14:textId="77777777" w:rsidR="004A023B" w:rsidRPr="004A023B" w:rsidRDefault="004A023B" w:rsidP="004A023B">
            <w:pPr>
              <w:rPr>
                <w:rFonts w:eastAsia="Times New Roman" w:cstheme="minorHAnsi"/>
                <w:b/>
                <w:bCs/>
                <w:color w:val="FFFFFF"/>
                <w:sz w:val="18"/>
                <w:szCs w:val="18"/>
                <w:lang w:eastAsia="en-GB"/>
              </w:rPr>
            </w:pPr>
            <w:r w:rsidRPr="004A023B">
              <w:rPr>
                <w:rFonts w:eastAsia="Times New Roman" w:cstheme="minorHAnsi"/>
                <w:b/>
                <w:bCs/>
                <w:color w:val="FFFFFF"/>
                <w:sz w:val="18"/>
                <w:szCs w:val="18"/>
                <w:lang w:eastAsia="en-GB"/>
              </w:rPr>
              <w:t>Count</w:t>
            </w:r>
          </w:p>
        </w:tc>
        <w:tc>
          <w:tcPr>
            <w:tcW w:w="1082" w:type="dxa"/>
            <w:tcBorders>
              <w:top w:val="nil"/>
              <w:left w:val="single" w:sz="4" w:space="0" w:color="FFFFFF"/>
              <w:bottom w:val="single" w:sz="12" w:space="0" w:color="FFFFFF"/>
              <w:right w:val="nil"/>
            </w:tcBorders>
            <w:shd w:val="clear" w:color="4472C4" w:fill="4472C4"/>
            <w:noWrap/>
            <w:vAlign w:val="bottom"/>
            <w:hideMark/>
          </w:tcPr>
          <w:p w14:paraId="3B795D40" w14:textId="77777777" w:rsidR="004A023B" w:rsidRPr="004A023B" w:rsidRDefault="004A023B" w:rsidP="004A023B">
            <w:pPr>
              <w:rPr>
                <w:rFonts w:eastAsia="Times New Roman" w:cstheme="minorHAnsi"/>
                <w:b/>
                <w:bCs/>
                <w:color w:val="FFFFFF"/>
                <w:sz w:val="18"/>
                <w:szCs w:val="18"/>
                <w:lang w:eastAsia="en-GB"/>
              </w:rPr>
            </w:pPr>
            <w:r w:rsidRPr="004A023B">
              <w:rPr>
                <w:rFonts w:eastAsia="Times New Roman" w:cstheme="minorHAnsi"/>
                <w:b/>
                <w:bCs/>
                <w:color w:val="FFFFFF"/>
                <w:sz w:val="18"/>
                <w:szCs w:val="18"/>
                <w:lang w:eastAsia="en-GB"/>
              </w:rPr>
              <w:t>%</w:t>
            </w:r>
          </w:p>
        </w:tc>
      </w:tr>
      <w:tr w:rsidR="004A023B" w:rsidRPr="004A023B" w14:paraId="39760879" w14:textId="77777777" w:rsidTr="004A023B">
        <w:trPr>
          <w:trHeight w:val="255"/>
        </w:trPr>
        <w:tc>
          <w:tcPr>
            <w:tcW w:w="2797" w:type="dxa"/>
            <w:tcBorders>
              <w:top w:val="single" w:sz="4" w:space="0" w:color="FFFFFF"/>
              <w:left w:val="nil"/>
              <w:bottom w:val="single" w:sz="4" w:space="0" w:color="FFFFFF"/>
              <w:right w:val="single" w:sz="4" w:space="0" w:color="FFFFFF"/>
            </w:tcBorders>
            <w:shd w:val="clear" w:color="B4C6E7" w:fill="B4C6E7"/>
            <w:noWrap/>
            <w:vAlign w:val="bottom"/>
            <w:hideMark/>
          </w:tcPr>
          <w:p w14:paraId="744CA8E8" w14:textId="77777777" w:rsidR="004A023B" w:rsidRPr="004A023B" w:rsidRDefault="004A023B" w:rsidP="004A023B">
            <w:pPr>
              <w:rPr>
                <w:rFonts w:eastAsia="Times New Roman" w:cstheme="minorHAnsi"/>
                <w:color w:val="333333"/>
                <w:sz w:val="18"/>
                <w:szCs w:val="18"/>
                <w:lang w:eastAsia="en-GB"/>
              </w:rPr>
            </w:pPr>
            <w:r w:rsidRPr="004A023B">
              <w:rPr>
                <w:rFonts w:eastAsia="Times New Roman" w:cstheme="minorHAnsi"/>
                <w:color w:val="333333"/>
                <w:sz w:val="18"/>
                <w:szCs w:val="18"/>
                <w:lang w:eastAsia="en-GB"/>
              </w:rPr>
              <w:t>All usual residents</w:t>
            </w:r>
          </w:p>
        </w:tc>
        <w:tc>
          <w:tcPr>
            <w:tcW w:w="1082" w:type="dxa"/>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3BF8BFE5" w14:textId="77777777" w:rsidR="004A023B" w:rsidRPr="004A023B" w:rsidRDefault="004A023B" w:rsidP="004A023B">
            <w:pPr>
              <w:jc w:val="right"/>
              <w:rPr>
                <w:rFonts w:eastAsia="Times New Roman" w:cstheme="minorHAnsi"/>
                <w:color w:val="333333"/>
                <w:sz w:val="18"/>
                <w:szCs w:val="18"/>
                <w:lang w:eastAsia="en-GB"/>
              </w:rPr>
            </w:pPr>
            <w:r w:rsidRPr="004A023B">
              <w:rPr>
                <w:rFonts w:eastAsia="Times New Roman" w:cstheme="minorHAnsi"/>
                <w:color w:val="333333"/>
                <w:sz w:val="18"/>
                <w:szCs w:val="18"/>
                <w:lang w:eastAsia="en-GB"/>
              </w:rPr>
              <w:t>244,531</w:t>
            </w:r>
          </w:p>
        </w:tc>
        <w:tc>
          <w:tcPr>
            <w:tcW w:w="1082" w:type="dxa"/>
            <w:tcBorders>
              <w:top w:val="single" w:sz="4" w:space="0" w:color="FFFFFF"/>
              <w:left w:val="single" w:sz="4" w:space="0" w:color="FFFFFF"/>
              <w:bottom w:val="single" w:sz="4" w:space="0" w:color="FFFFFF"/>
              <w:right w:val="nil"/>
            </w:tcBorders>
            <w:shd w:val="clear" w:color="B4C6E7" w:fill="B4C6E7"/>
            <w:noWrap/>
            <w:vAlign w:val="bottom"/>
            <w:hideMark/>
          </w:tcPr>
          <w:p w14:paraId="50E69885" w14:textId="77777777" w:rsidR="004A023B" w:rsidRPr="004A023B" w:rsidRDefault="004A023B" w:rsidP="004A023B">
            <w:pPr>
              <w:jc w:val="right"/>
              <w:rPr>
                <w:rFonts w:eastAsia="Times New Roman" w:cstheme="minorHAnsi"/>
                <w:color w:val="333333"/>
                <w:sz w:val="18"/>
                <w:szCs w:val="18"/>
                <w:lang w:eastAsia="en-GB"/>
              </w:rPr>
            </w:pPr>
            <w:r w:rsidRPr="004A023B">
              <w:rPr>
                <w:rFonts w:eastAsia="Times New Roman" w:cstheme="minorHAnsi"/>
                <w:color w:val="333333"/>
                <w:sz w:val="18"/>
                <w:szCs w:val="18"/>
                <w:lang w:eastAsia="en-GB"/>
              </w:rPr>
              <w:t>100</w:t>
            </w:r>
          </w:p>
        </w:tc>
      </w:tr>
      <w:tr w:rsidR="004A023B" w:rsidRPr="004A023B" w14:paraId="3C77F7B3" w14:textId="77777777" w:rsidTr="004A023B">
        <w:trPr>
          <w:trHeight w:val="255"/>
        </w:trPr>
        <w:tc>
          <w:tcPr>
            <w:tcW w:w="2797" w:type="dxa"/>
            <w:tcBorders>
              <w:top w:val="single" w:sz="4" w:space="0" w:color="FFFFFF"/>
              <w:left w:val="nil"/>
              <w:bottom w:val="single" w:sz="4" w:space="0" w:color="FFFFFF"/>
              <w:right w:val="single" w:sz="4" w:space="0" w:color="FFFFFF"/>
            </w:tcBorders>
            <w:shd w:val="clear" w:color="D9E1F2" w:fill="D9E1F2"/>
            <w:noWrap/>
            <w:vAlign w:val="bottom"/>
            <w:hideMark/>
          </w:tcPr>
          <w:p w14:paraId="002FE1DA" w14:textId="77777777" w:rsidR="004A023B" w:rsidRPr="004A023B" w:rsidRDefault="004A023B" w:rsidP="004A023B">
            <w:pPr>
              <w:rPr>
                <w:rFonts w:eastAsia="Times New Roman" w:cstheme="minorHAnsi"/>
                <w:color w:val="333333"/>
                <w:sz w:val="18"/>
                <w:szCs w:val="18"/>
                <w:lang w:eastAsia="en-GB"/>
              </w:rPr>
            </w:pPr>
            <w:r w:rsidRPr="004A023B">
              <w:rPr>
                <w:rFonts w:eastAsia="Times New Roman" w:cstheme="minorHAnsi"/>
                <w:color w:val="333333"/>
                <w:sz w:val="18"/>
                <w:szCs w:val="18"/>
                <w:lang w:eastAsia="en-GB"/>
              </w:rPr>
              <w:t>Age 0 to 4</w:t>
            </w:r>
          </w:p>
        </w:tc>
        <w:tc>
          <w:tcPr>
            <w:tcW w:w="1082" w:type="dxa"/>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47F81E25" w14:textId="77777777" w:rsidR="004A023B" w:rsidRPr="004A023B" w:rsidRDefault="004A023B" w:rsidP="004A023B">
            <w:pPr>
              <w:jc w:val="right"/>
              <w:rPr>
                <w:rFonts w:eastAsia="Times New Roman" w:cstheme="minorHAnsi"/>
                <w:color w:val="333333"/>
                <w:sz w:val="18"/>
                <w:szCs w:val="18"/>
                <w:lang w:eastAsia="en-GB"/>
              </w:rPr>
            </w:pPr>
            <w:r w:rsidRPr="004A023B">
              <w:rPr>
                <w:rFonts w:eastAsia="Times New Roman" w:cstheme="minorHAnsi"/>
                <w:color w:val="333333"/>
                <w:sz w:val="18"/>
                <w:szCs w:val="18"/>
                <w:lang w:eastAsia="en-GB"/>
              </w:rPr>
              <w:t>9,916</w:t>
            </w:r>
          </w:p>
        </w:tc>
        <w:tc>
          <w:tcPr>
            <w:tcW w:w="1082" w:type="dxa"/>
            <w:tcBorders>
              <w:top w:val="single" w:sz="4" w:space="0" w:color="FFFFFF"/>
              <w:left w:val="single" w:sz="4" w:space="0" w:color="FFFFFF"/>
              <w:bottom w:val="single" w:sz="4" w:space="0" w:color="FFFFFF"/>
              <w:right w:val="nil"/>
            </w:tcBorders>
            <w:shd w:val="clear" w:color="D9E1F2" w:fill="D9E1F2"/>
            <w:noWrap/>
            <w:vAlign w:val="bottom"/>
            <w:hideMark/>
          </w:tcPr>
          <w:p w14:paraId="14A942E5" w14:textId="77777777" w:rsidR="004A023B" w:rsidRPr="004A023B" w:rsidRDefault="004A023B" w:rsidP="004A023B">
            <w:pPr>
              <w:jc w:val="right"/>
              <w:rPr>
                <w:rFonts w:eastAsia="Times New Roman" w:cstheme="minorHAnsi"/>
                <w:color w:val="333333"/>
                <w:sz w:val="18"/>
                <w:szCs w:val="18"/>
                <w:lang w:eastAsia="en-GB"/>
              </w:rPr>
            </w:pPr>
            <w:r w:rsidRPr="004A023B">
              <w:rPr>
                <w:rFonts w:eastAsia="Times New Roman" w:cstheme="minorHAnsi"/>
                <w:color w:val="333333"/>
                <w:sz w:val="18"/>
                <w:szCs w:val="18"/>
                <w:lang w:eastAsia="en-GB"/>
              </w:rPr>
              <w:t>5.5</w:t>
            </w:r>
          </w:p>
        </w:tc>
      </w:tr>
      <w:tr w:rsidR="004A023B" w:rsidRPr="004A023B" w14:paraId="1033C7FD" w14:textId="77777777" w:rsidTr="004A023B">
        <w:trPr>
          <w:trHeight w:val="255"/>
        </w:trPr>
        <w:tc>
          <w:tcPr>
            <w:tcW w:w="2797" w:type="dxa"/>
            <w:tcBorders>
              <w:top w:val="single" w:sz="4" w:space="0" w:color="FFFFFF"/>
              <w:left w:val="nil"/>
              <w:bottom w:val="single" w:sz="4" w:space="0" w:color="FFFFFF"/>
              <w:right w:val="single" w:sz="4" w:space="0" w:color="FFFFFF"/>
            </w:tcBorders>
            <w:shd w:val="clear" w:color="B4C6E7" w:fill="B4C6E7"/>
            <w:noWrap/>
            <w:vAlign w:val="bottom"/>
            <w:hideMark/>
          </w:tcPr>
          <w:p w14:paraId="616663D2" w14:textId="77777777" w:rsidR="004A023B" w:rsidRPr="004A023B" w:rsidRDefault="004A023B" w:rsidP="004A023B">
            <w:pPr>
              <w:rPr>
                <w:rFonts w:eastAsia="Times New Roman" w:cstheme="minorHAnsi"/>
                <w:color w:val="333333"/>
                <w:sz w:val="18"/>
                <w:szCs w:val="18"/>
                <w:lang w:eastAsia="en-GB"/>
              </w:rPr>
            </w:pPr>
            <w:r w:rsidRPr="004A023B">
              <w:rPr>
                <w:rFonts w:eastAsia="Times New Roman" w:cstheme="minorHAnsi"/>
                <w:color w:val="333333"/>
                <w:sz w:val="18"/>
                <w:szCs w:val="18"/>
                <w:lang w:eastAsia="en-GB"/>
              </w:rPr>
              <w:t>Age 5 to 7</w:t>
            </w:r>
          </w:p>
        </w:tc>
        <w:tc>
          <w:tcPr>
            <w:tcW w:w="1082" w:type="dxa"/>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3010484E" w14:textId="77777777" w:rsidR="004A023B" w:rsidRPr="004A023B" w:rsidRDefault="004A023B" w:rsidP="004A023B">
            <w:pPr>
              <w:jc w:val="right"/>
              <w:rPr>
                <w:rFonts w:eastAsia="Times New Roman" w:cstheme="minorHAnsi"/>
                <w:color w:val="333333"/>
                <w:sz w:val="18"/>
                <w:szCs w:val="18"/>
                <w:lang w:eastAsia="en-GB"/>
              </w:rPr>
            </w:pPr>
            <w:r w:rsidRPr="004A023B">
              <w:rPr>
                <w:rFonts w:eastAsia="Times New Roman" w:cstheme="minorHAnsi"/>
                <w:color w:val="333333"/>
                <w:sz w:val="18"/>
                <w:szCs w:val="18"/>
                <w:lang w:eastAsia="en-GB"/>
              </w:rPr>
              <w:t>5,447</w:t>
            </w:r>
          </w:p>
        </w:tc>
        <w:tc>
          <w:tcPr>
            <w:tcW w:w="1082" w:type="dxa"/>
            <w:tcBorders>
              <w:top w:val="single" w:sz="4" w:space="0" w:color="FFFFFF"/>
              <w:left w:val="single" w:sz="4" w:space="0" w:color="FFFFFF"/>
              <w:bottom w:val="single" w:sz="4" w:space="0" w:color="FFFFFF"/>
              <w:right w:val="nil"/>
            </w:tcBorders>
            <w:shd w:val="clear" w:color="B4C6E7" w:fill="B4C6E7"/>
            <w:noWrap/>
            <w:vAlign w:val="bottom"/>
            <w:hideMark/>
          </w:tcPr>
          <w:p w14:paraId="7BB2AA14" w14:textId="77777777" w:rsidR="004A023B" w:rsidRPr="004A023B" w:rsidRDefault="004A023B" w:rsidP="004A023B">
            <w:pPr>
              <w:jc w:val="right"/>
              <w:rPr>
                <w:rFonts w:eastAsia="Times New Roman" w:cstheme="minorHAnsi"/>
                <w:color w:val="333333"/>
                <w:sz w:val="18"/>
                <w:szCs w:val="18"/>
                <w:lang w:eastAsia="en-GB"/>
              </w:rPr>
            </w:pPr>
            <w:r w:rsidRPr="004A023B">
              <w:rPr>
                <w:rFonts w:eastAsia="Times New Roman" w:cstheme="minorHAnsi"/>
                <w:color w:val="333333"/>
                <w:sz w:val="18"/>
                <w:szCs w:val="18"/>
                <w:lang w:eastAsia="en-GB"/>
              </w:rPr>
              <w:t>3</w:t>
            </w:r>
          </w:p>
        </w:tc>
      </w:tr>
      <w:tr w:rsidR="004A023B" w:rsidRPr="004A023B" w14:paraId="1FAE5B40" w14:textId="77777777" w:rsidTr="004A023B">
        <w:trPr>
          <w:trHeight w:val="255"/>
        </w:trPr>
        <w:tc>
          <w:tcPr>
            <w:tcW w:w="2797" w:type="dxa"/>
            <w:tcBorders>
              <w:top w:val="single" w:sz="4" w:space="0" w:color="FFFFFF"/>
              <w:left w:val="nil"/>
              <w:bottom w:val="single" w:sz="4" w:space="0" w:color="FFFFFF"/>
              <w:right w:val="single" w:sz="4" w:space="0" w:color="FFFFFF"/>
            </w:tcBorders>
            <w:shd w:val="clear" w:color="D9E1F2" w:fill="D9E1F2"/>
            <w:noWrap/>
            <w:vAlign w:val="bottom"/>
            <w:hideMark/>
          </w:tcPr>
          <w:p w14:paraId="2D8BFF2A" w14:textId="77777777" w:rsidR="004A023B" w:rsidRPr="004A023B" w:rsidRDefault="004A023B" w:rsidP="004A023B">
            <w:pPr>
              <w:rPr>
                <w:rFonts w:eastAsia="Times New Roman" w:cstheme="minorHAnsi"/>
                <w:color w:val="333333"/>
                <w:sz w:val="18"/>
                <w:szCs w:val="18"/>
                <w:lang w:eastAsia="en-GB"/>
              </w:rPr>
            </w:pPr>
            <w:r w:rsidRPr="004A023B">
              <w:rPr>
                <w:rFonts w:eastAsia="Times New Roman" w:cstheme="minorHAnsi"/>
                <w:color w:val="333333"/>
                <w:sz w:val="18"/>
                <w:szCs w:val="18"/>
                <w:lang w:eastAsia="en-GB"/>
              </w:rPr>
              <w:t>Age 8 to 9</w:t>
            </w:r>
          </w:p>
        </w:tc>
        <w:tc>
          <w:tcPr>
            <w:tcW w:w="1082" w:type="dxa"/>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6EC8C852" w14:textId="77777777" w:rsidR="004A023B" w:rsidRPr="004A023B" w:rsidRDefault="004A023B" w:rsidP="004A023B">
            <w:pPr>
              <w:jc w:val="right"/>
              <w:rPr>
                <w:rFonts w:eastAsia="Times New Roman" w:cstheme="minorHAnsi"/>
                <w:color w:val="333333"/>
                <w:sz w:val="18"/>
                <w:szCs w:val="18"/>
                <w:lang w:eastAsia="en-GB"/>
              </w:rPr>
            </w:pPr>
            <w:r w:rsidRPr="004A023B">
              <w:rPr>
                <w:rFonts w:eastAsia="Times New Roman" w:cstheme="minorHAnsi"/>
                <w:color w:val="333333"/>
                <w:sz w:val="18"/>
                <w:szCs w:val="18"/>
                <w:lang w:eastAsia="en-GB"/>
              </w:rPr>
              <w:t>3,573</w:t>
            </w:r>
          </w:p>
        </w:tc>
        <w:tc>
          <w:tcPr>
            <w:tcW w:w="1082" w:type="dxa"/>
            <w:tcBorders>
              <w:top w:val="single" w:sz="4" w:space="0" w:color="FFFFFF"/>
              <w:left w:val="single" w:sz="4" w:space="0" w:color="FFFFFF"/>
              <w:bottom w:val="single" w:sz="4" w:space="0" w:color="FFFFFF"/>
              <w:right w:val="nil"/>
            </w:tcBorders>
            <w:shd w:val="clear" w:color="D9E1F2" w:fill="D9E1F2"/>
            <w:noWrap/>
            <w:vAlign w:val="bottom"/>
            <w:hideMark/>
          </w:tcPr>
          <w:p w14:paraId="27B9D85E" w14:textId="77777777" w:rsidR="004A023B" w:rsidRPr="004A023B" w:rsidRDefault="004A023B" w:rsidP="004A023B">
            <w:pPr>
              <w:jc w:val="right"/>
              <w:rPr>
                <w:rFonts w:eastAsia="Times New Roman" w:cstheme="minorHAnsi"/>
                <w:color w:val="333333"/>
                <w:sz w:val="18"/>
                <w:szCs w:val="18"/>
                <w:lang w:eastAsia="en-GB"/>
              </w:rPr>
            </w:pPr>
            <w:r w:rsidRPr="004A023B">
              <w:rPr>
                <w:rFonts w:eastAsia="Times New Roman" w:cstheme="minorHAnsi"/>
                <w:color w:val="333333"/>
                <w:sz w:val="18"/>
                <w:szCs w:val="18"/>
                <w:lang w:eastAsia="en-GB"/>
              </w:rPr>
              <w:t>2</w:t>
            </w:r>
          </w:p>
        </w:tc>
      </w:tr>
      <w:tr w:rsidR="004A023B" w:rsidRPr="004A023B" w14:paraId="78E1DA63" w14:textId="77777777" w:rsidTr="004A023B">
        <w:trPr>
          <w:trHeight w:val="255"/>
        </w:trPr>
        <w:tc>
          <w:tcPr>
            <w:tcW w:w="2797" w:type="dxa"/>
            <w:tcBorders>
              <w:top w:val="single" w:sz="4" w:space="0" w:color="FFFFFF"/>
              <w:left w:val="nil"/>
              <w:bottom w:val="single" w:sz="4" w:space="0" w:color="FFFFFF"/>
              <w:right w:val="single" w:sz="4" w:space="0" w:color="FFFFFF"/>
            </w:tcBorders>
            <w:shd w:val="clear" w:color="B4C6E7" w:fill="B4C6E7"/>
            <w:noWrap/>
            <w:vAlign w:val="bottom"/>
            <w:hideMark/>
          </w:tcPr>
          <w:p w14:paraId="7EEF7C90" w14:textId="77777777" w:rsidR="004A023B" w:rsidRPr="004A023B" w:rsidRDefault="004A023B" w:rsidP="004A023B">
            <w:pPr>
              <w:rPr>
                <w:rFonts w:eastAsia="Times New Roman" w:cstheme="minorHAnsi"/>
                <w:color w:val="333333"/>
                <w:sz w:val="18"/>
                <w:szCs w:val="18"/>
                <w:lang w:eastAsia="en-GB"/>
              </w:rPr>
            </w:pPr>
            <w:r w:rsidRPr="004A023B">
              <w:rPr>
                <w:rFonts w:eastAsia="Times New Roman" w:cstheme="minorHAnsi"/>
                <w:color w:val="333333"/>
                <w:sz w:val="18"/>
                <w:szCs w:val="18"/>
                <w:lang w:eastAsia="en-GB"/>
              </w:rPr>
              <w:t>Age 10 to 14</w:t>
            </w:r>
          </w:p>
        </w:tc>
        <w:tc>
          <w:tcPr>
            <w:tcW w:w="1082" w:type="dxa"/>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448AAA1B" w14:textId="77777777" w:rsidR="004A023B" w:rsidRPr="004A023B" w:rsidRDefault="004A023B" w:rsidP="004A023B">
            <w:pPr>
              <w:jc w:val="right"/>
              <w:rPr>
                <w:rFonts w:eastAsia="Times New Roman" w:cstheme="minorHAnsi"/>
                <w:color w:val="333333"/>
                <w:sz w:val="18"/>
                <w:szCs w:val="18"/>
                <w:lang w:eastAsia="en-GB"/>
              </w:rPr>
            </w:pPr>
            <w:r w:rsidRPr="004A023B">
              <w:rPr>
                <w:rFonts w:eastAsia="Times New Roman" w:cstheme="minorHAnsi"/>
                <w:color w:val="333333"/>
                <w:sz w:val="18"/>
                <w:szCs w:val="18"/>
                <w:lang w:eastAsia="en-GB"/>
              </w:rPr>
              <w:t>9,545</w:t>
            </w:r>
          </w:p>
        </w:tc>
        <w:tc>
          <w:tcPr>
            <w:tcW w:w="1082" w:type="dxa"/>
            <w:tcBorders>
              <w:top w:val="single" w:sz="4" w:space="0" w:color="FFFFFF"/>
              <w:left w:val="single" w:sz="4" w:space="0" w:color="FFFFFF"/>
              <w:bottom w:val="single" w:sz="4" w:space="0" w:color="FFFFFF"/>
              <w:right w:val="nil"/>
            </w:tcBorders>
            <w:shd w:val="clear" w:color="B4C6E7" w:fill="B4C6E7"/>
            <w:noWrap/>
            <w:vAlign w:val="bottom"/>
            <w:hideMark/>
          </w:tcPr>
          <w:p w14:paraId="16ACA926" w14:textId="77777777" w:rsidR="004A023B" w:rsidRPr="004A023B" w:rsidRDefault="004A023B" w:rsidP="004A023B">
            <w:pPr>
              <w:jc w:val="right"/>
              <w:rPr>
                <w:rFonts w:eastAsia="Times New Roman" w:cstheme="minorHAnsi"/>
                <w:color w:val="333333"/>
                <w:sz w:val="18"/>
                <w:szCs w:val="18"/>
                <w:lang w:eastAsia="en-GB"/>
              </w:rPr>
            </w:pPr>
            <w:r w:rsidRPr="004A023B">
              <w:rPr>
                <w:rFonts w:eastAsia="Times New Roman" w:cstheme="minorHAnsi"/>
                <w:color w:val="333333"/>
                <w:sz w:val="18"/>
                <w:szCs w:val="18"/>
                <w:lang w:eastAsia="en-GB"/>
              </w:rPr>
              <w:t>5.3</w:t>
            </w:r>
          </w:p>
        </w:tc>
      </w:tr>
      <w:tr w:rsidR="004A023B" w:rsidRPr="004A023B" w14:paraId="5568B5B4" w14:textId="77777777" w:rsidTr="004A023B">
        <w:trPr>
          <w:trHeight w:val="255"/>
        </w:trPr>
        <w:tc>
          <w:tcPr>
            <w:tcW w:w="2797" w:type="dxa"/>
            <w:tcBorders>
              <w:top w:val="single" w:sz="4" w:space="0" w:color="FFFFFF"/>
              <w:left w:val="nil"/>
              <w:bottom w:val="single" w:sz="4" w:space="0" w:color="FFFFFF"/>
              <w:right w:val="single" w:sz="4" w:space="0" w:color="FFFFFF"/>
            </w:tcBorders>
            <w:shd w:val="clear" w:color="D9E1F2" w:fill="D9E1F2"/>
            <w:noWrap/>
            <w:vAlign w:val="bottom"/>
            <w:hideMark/>
          </w:tcPr>
          <w:p w14:paraId="0B840207" w14:textId="77777777" w:rsidR="004A023B" w:rsidRPr="004A023B" w:rsidRDefault="004A023B" w:rsidP="004A023B">
            <w:pPr>
              <w:rPr>
                <w:rFonts w:eastAsia="Times New Roman" w:cstheme="minorHAnsi"/>
                <w:color w:val="333333"/>
                <w:sz w:val="18"/>
                <w:szCs w:val="18"/>
                <w:lang w:eastAsia="en-GB"/>
              </w:rPr>
            </w:pPr>
            <w:proofErr w:type="spellStart"/>
            <w:r w:rsidRPr="004A023B">
              <w:rPr>
                <w:rFonts w:eastAsia="Times New Roman" w:cstheme="minorHAnsi"/>
                <w:color w:val="333333"/>
                <w:sz w:val="18"/>
                <w:szCs w:val="18"/>
                <w:lang w:eastAsia="en-GB"/>
              </w:rPr>
              <w:t>Age</w:t>
            </w:r>
            <w:proofErr w:type="spellEnd"/>
            <w:r w:rsidRPr="004A023B">
              <w:rPr>
                <w:rFonts w:eastAsia="Times New Roman" w:cstheme="minorHAnsi"/>
                <w:color w:val="333333"/>
                <w:sz w:val="18"/>
                <w:szCs w:val="18"/>
                <w:lang w:eastAsia="en-GB"/>
              </w:rPr>
              <w:t xml:space="preserve"> 15</w:t>
            </w:r>
          </w:p>
        </w:tc>
        <w:tc>
          <w:tcPr>
            <w:tcW w:w="1082" w:type="dxa"/>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624E75F9" w14:textId="77777777" w:rsidR="004A023B" w:rsidRPr="004A023B" w:rsidRDefault="004A023B" w:rsidP="004A023B">
            <w:pPr>
              <w:jc w:val="right"/>
              <w:rPr>
                <w:rFonts w:eastAsia="Times New Roman" w:cstheme="minorHAnsi"/>
                <w:color w:val="333333"/>
                <w:sz w:val="18"/>
                <w:szCs w:val="18"/>
                <w:lang w:eastAsia="en-GB"/>
              </w:rPr>
            </w:pPr>
            <w:r w:rsidRPr="004A023B">
              <w:rPr>
                <w:rFonts w:eastAsia="Times New Roman" w:cstheme="minorHAnsi"/>
                <w:color w:val="333333"/>
                <w:sz w:val="18"/>
                <w:szCs w:val="18"/>
                <w:lang w:eastAsia="en-GB"/>
              </w:rPr>
              <w:t>1,919</w:t>
            </w:r>
          </w:p>
        </w:tc>
        <w:tc>
          <w:tcPr>
            <w:tcW w:w="1082" w:type="dxa"/>
            <w:tcBorders>
              <w:top w:val="single" w:sz="4" w:space="0" w:color="FFFFFF"/>
              <w:left w:val="single" w:sz="4" w:space="0" w:color="FFFFFF"/>
              <w:bottom w:val="single" w:sz="4" w:space="0" w:color="FFFFFF"/>
              <w:right w:val="nil"/>
            </w:tcBorders>
            <w:shd w:val="clear" w:color="D9E1F2" w:fill="D9E1F2"/>
            <w:noWrap/>
            <w:vAlign w:val="bottom"/>
            <w:hideMark/>
          </w:tcPr>
          <w:p w14:paraId="7710AA78" w14:textId="77777777" w:rsidR="004A023B" w:rsidRPr="004A023B" w:rsidRDefault="004A023B" w:rsidP="004A023B">
            <w:pPr>
              <w:jc w:val="right"/>
              <w:rPr>
                <w:rFonts w:eastAsia="Times New Roman" w:cstheme="minorHAnsi"/>
                <w:color w:val="333333"/>
                <w:sz w:val="18"/>
                <w:szCs w:val="18"/>
                <w:lang w:eastAsia="en-GB"/>
              </w:rPr>
            </w:pPr>
            <w:r w:rsidRPr="004A023B">
              <w:rPr>
                <w:rFonts w:eastAsia="Times New Roman" w:cstheme="minorHAnsi"/>
                <w:color w:val="333333"/>
                <w:sz w:val="18"/>
                <w:szCs w:val="18"/>
                <w:lang w:eastAsia="en-GB"/>
              </w:rPr>
              <w:t>1.1</w:t>
            </w:r>
          </w:p>
        </w:tc>
      </w:tr>
      <w:tr w:rsidR="004A023B" w:rsidRPr="004A023B" w14:paraId="7625CA98" w14:textId="77777777" w:rsidTr="004A023B">
        <w:trPr>
          <w:trHeight w:val="255"/>
        </w:trPr>
        <w:tc>
          <w:tcPr>
            <w:tcW w:w="2797" w:type="dxa"/>
            <w:tcBorders>
              <w:top w:val="single" w:sz="4" w:space="0" w:color="FFFFFF"/>
              <w:left w:val="nil"/>
              <w:bottom w:val="single" w:sz="4" w:space="0" w:color="FFFFFF"/>
              <w:right w:val="single" w:sz="4" w:space="0" w:color="FFFFFF"/>
            </w:tcBorders>
            <w:shd w:val="clear" w:color="B4C6E7" w:fill="B4C6E7"/>
            <w:noWrap/>
            <w:vAlign w:val="bottom"/>
            <w:hideMark/>
          </w:tcPr>
          <w:p w14:paraId="2D0F9AD3" w14:textId="77777777" w:rsidR="004A023B" w:rsidRPr="004A023B" w:rsidRDefault="004A023B" w:rsidP="004A023B">
            <w:pPr>
              <w:rPr>
                <w:rFonts w:eastAsia="Times New Roman" w:cstheme="minorHAnsi"/>
                <w:color w:val="333333"/>
                <w:sz w:val="18"/>
                <w:szCs w:val="18"/>
                <w:lang w:eastAsia="en-GB"/>
              </w:rPr>
            </w:pPr>
            <w:r w:rsidRPr="004A023B">
              <w:rPr>
                <w:rFonts w:eastAsia="Times New Roman" w:cstheme="minorHAnsi"/>
                <w:color w:val="333333"/>
                <w:sz w:val="18"/>
                <w:szCs w:val="18"/>
                <w:lang w:eastAsia="en-GB"/>
              </w:rPr>
              <w:t>Age 16 to 17</w:t>
            </w:r>
          </w:p>
        </w:tc>
        <w:tc>
          <w:tcPr>
            <w:tcW w:w="1082" w:type="dxa"/>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4AB361B9" w14:textId="77777777" w:rsidR="004A023B" w:rsidRPr="004A023B" w:rsidRDefault="004A023B" w:rsidP="004A023B">
            <w:pPr>
              <w:jc w:val="right"/>
              <w:rPr>
                <w:rFonts w:eastAsia="Times New Roman" w:cstheme="minorHAnsi"/>
                <w:color w:val="333333"/>
                <w:sz w:val="18"/>
                <w:szCs w:val="18"/>
                <w:lang w:eastAsia="en-GB"/>
              </w:rPr>
            </w:pPr>
            <w:r w:rsidRPr="004A023B">
              <w:rPr>
                <w:rFonts w:eastAsia="Times New Roman" w:cstheme="minorHAnsi"/>
                <w:color w:val="333333"/>
                <w:sz w:val="18"/>
                <w:szCs w:val="18"/>
                <w:lang w:eastAsia="en-GB"/>
              </w:rPr>
              <w:t>3,958</w:t>
            </w:r>
          </w:p>
        </w:tc>
        <w:tc>
          <w:tcPr>
            <w:tcW w:w="1082" w:type="dxa"/>
            <w:tcBorders>
              <w:top w:val="single" w:sz="4" w:space="0" w:color="FFFFFF"/>
              <w:left w:val="single" w:sz="4" w:space="0" w:color="FFFFFF"/>
              <w:bottom w:val="single" w:sz="4" w:space="0" w:color="FFFFFF"/>
              <w:right w:val="nil"/>
            </w:tcBorders>
            <w:shd w:val="clear" w:color="B4C6E7" w:fill="B4C6E7"/>
            <w:noWrap/>
            <w:vAlign w:val="bottom"/>
            <w:hideMark/>
          </w:tcPr>
          <w:p w14:paraId="5EB8E493" w14:textId="77777777" w:rsidR="004A023B" w:rsidRPr="004A023B" w:rsidRDefault="004A023B" w:rsidP="004A023B">
            <w:pPr>
              <w:jc w:val="right"/>
              <w:rPr>
                <w:rFonts w:eastAsia="Times New Roman" w:cstheme="minorHAnsi"/>
                <w:color w:val="333333"/>
                <w:sz w:val="18"/>
                <w:szCs w:val="18"/>
                <w:lang w:eastAsia="en-GB"/>
              </w:rPr>
            </w:pPr>
            <w:r w:rsidRPr="004A023B">
              <w:rPr>
                <w:rFonts w:eastAsia="Times New Roman" w:cstheme="minorHAnsi"/>
                <w:color w:val="333333"/>
                <w:sz w:val="18"/>
                <w:szCs w:val="18"/>
                <w:lang w:eastAsia="en-GB"/>
              </w:rPr>
              <w:t>2.2</w:t>
            </w:r>
          </w:p>
        </w:tc>
      </w:tr>
      <w:tr w:rsidR="004A023B" w:rsidRPr="004A023B" w14:paraId="271F665F" w14:textId="77777777" w:rsidTr="004A023B">
        <w:trPr>
          <w:trHeight w:val="255"/>
        </w:trPr>
        <w:tc>
          <w:tcPr>
            <w:tcW w:w="2797" w:type="dxa"/>
            <w:tcBorders>
              <w:top w:val="single" w:sz="4" w:space="0" w:color="FFFFFF"/>
              <w:left w:val="nil"/>
              <w:bottom w:val="single" w:sz="4" w:space="0" w:color="FFFFFF"/>
              <w:right w:val="single" w:sz="4" w:space="0" w:color="FFFFFF"/>
            </w:tcBorders>
            <w:shd w:val="clear" w:color="D9E1F2" w:fill="D9E1F2"/>
            <w:noWrap/>
            <w:vAlign w:val="bottom"/>
            <w:hideMark/>
          </w:tcPr>
          <w:p w14:paraId="22DA1857" w14:textId="77777777" w:rsidR="004A023B" w:rsidRPr="004A023B" w:rsidRDefault="004A023B" w:rsidP="004A023B">
            <w:pPr>
              <w:rPr>
                <w:rFonts w:eastAsia="Times New Roman" w:cstheme="minorHAnsi"/>
                <w:color w:val="333333"/>
                <w:sz w:val="18"/>
                <w:szCs w:val="18"/>
                <w:lang w:eastAsia="en-GB"/>
              </w:rPr>
            </w:pPr>
            <w:r w:rsidRPr="004A023B">
              <w:rPr>
                <w:rFonts w:eastAsia="Times New Roman" w:cstheme="minorHAnsi"/>
                <w:color w:val="333333"/>
                <w:sz w:val="18"/>
                <w:szCs w:val="18"/>
                <w:lang w:eastAsia="en-GB"/>
              </w:rPr>
              <w:t>Age 18 to 19</w:t>
            </w:r>
          </w:p>
        </w:tc>
        <w:tc>
          <w:tcPr>
            <w:tcW w:w="1082" w:type="dxa"/>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23E48378" w14:textId="77777777" w:rsidR="004A023B" w:rsidRPr="004A023B" w:rsidRDefault="004A023B" w:rsidP="004A023B">
            <w:pPr>
              <w:jc w:val="right"/>
              <w:rPr>
                <w:rFonts w:eastAsia="Times New Roman" w:cstheme="minorHAnsi"/>
                <w:color w:val="333333"/>
                <w:sz w:val="18"/>
                <w:szCs w:val="18"/>
                <w:lang w:eastAsia="en-GB"/>
              </w:rPr>
            </w:pPr>
            <w:r w:rsidRPr="004A023B">
              <w:rPr>
                <w:rFonts w:eastAsia="Times New Roman" w:cstheme="minorHAnsi"/>
                <w:color w:val="333333"/>
                <w:sz w:val="18"/>
                <w:szCs w:val="18"/>
                <w:lang w:eastAsia="en-GB"/>
              </w:rPr>
              <w:t>6,759</w:t>
            </w:r>
          </w:p>
        </w:tc>
        <w:tc>
          <w:tcPr>
            <w:tcW w:w="1082" w:type="dxa"/>
            <w:tcBorders>
              <w:top w:val="single" w:sz="4" w:space="0" w:color="FFFFFF"/>
              <w:left w:val="single" w:sz="4" w:space="0" w:color="FFFFFF"/>
              <w:bottom w:val="single" w:sz="4" w:space="0" w:color="FFFFFF"/>
              <w:right w:val="nil"/>
            </w:tcBorders>
            <w:shd w:val="clear" w:color="D9E1F2" w:fill="D9E1F2"/>
            <w:noWrap/>
            <w:vAlign w:val="bottom"/>
            <w:hideMark/>
          </w:tcPr>
          <w:p w14:paraId="10945F79" w14:textId="77777777" w:rsidR="004A023B" w:rsidRPr="004A023B" w:rsidRDefault="004A023B" w:rsidP="004A023B">
            <w:pPr>
              <w:jc w:val="right"/>
              <w:rPr>
                <w:rFonts w:eastAsia="Times New Roman" w:cstheme="minorHAnsi"/>
                <w:color w:val="333333"/>
                <w:sz w:val="18"/>
                <w:szCs w:val="18"/>
                <w:lang w:eastAsia="en-GB"/>
              </w:rPr>
            </w:pPr>
            <w:r w:rsidRPr="004A023B">
              <w:rPr>
                <w:rFonts w:eastAsia="Times New Roman" w:cstheme="minorHAnsi"/>
                <w:color w:val="333333"/>
                <w:sz w:val="18"/>
                <w:szCs w:val="18"/>
                <w:lang w:eastAsia="en-GB"/>
              </w:rPr>
              <w:t>3.8</w:t>
            </w:r>
          </w:p>
        </w:tc>
      </w:tr>
      <w:tr w:rsidR="004A023B" w:rsidRPr="004A023B" w14:paraId="2BBF84E6" w14:textId="77777777" w:rsidTr="004A023B">
        <w:trPr>
          <w:trHeight w:val="255"/>
        </w:trPr>
        <w:tc>
          <w:tcPr>
            <w:tcW w:w="2797" w:type="dxa"/>
            <w:tcBorders>
              <w:top w:val="single" w:sz="4" w:space="0" w:color="FFFFFF"/>
              <w:left w:val="nil"/>
              <w:bottom w:val="single" w:sz="4" w:space="0" w:color="FFFFFF"/>
              <w:right w:val="single" w:sz="4" w:space="0" w:color="FFFFFF"/>
            </w:tcBorders>
            <w:shd w:val="clear" w:color="B4C6E7" w:fill="B4C6E7"/>
            <w:noWrap/>
            <w:vAlign w:val="bottom"/>
            <w:hideMark/>
          </w:tcPr>
          <w:p w14:paraId="7AA713F0" w14:textId="77777777" w:rsidR="004A023B" w:rsidRPr="004A023B" w:rsidRDefault="004A023B" w:rsidP="004A023B">
            <w:pPr>
              <w:rPr>
                <w:rFonts w:eastAsia="Times New Roman" w:cstheme="minorHAnsi"/>
                <w:color w:val="333333"/>
                <w:sz w:val="18"/>
                <w:szCs w:val="18"/>
                <w:lang w:eastAsia="en-GB"/>
              </w:rPr>
            </w:pPr>
            <w:r w:rsidRPr="004A023B">
              <w:rPr>
                <w:rFonts w:eastAsia="Times New Roman" w:cstheme="minorHAnsi"/>
                <w:color w:val="333333"/>
                <w:sz w:val="18"/>
                <w:szCs w:val="18"/>
                <w:lang w:eastAsia="en-GB"/>
              </w:rPr>
              <w:t>Age 20 to 24</w:t>
            </w:r>
          </w:p>
        </w:tc>
        <w:tc>
          <w:tcPr>
            <w:tcW w:w="1082" w:type="dxa"/>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76B4DEB0" w14:textId="77777777" w:rsidR="004A023B" w:rsidRPr="004A023B" w:rsidRDefault="004A023B" w:rsidP="004A023B">
            <w:pPr>
              <w:jc w:val="right"/>
              <w:rPr>
                <w:rFonts w:eastAsia="Times New Roman" w:cstheme="minorHAnsi"/>
                <w:color w:val="333333"/>
                <w:sz w:val="18"/>
                <w:szCs w:val="18"/>
                <w:lang w:eastAsia="en-GB"/>
              </w:rPr>
            </w:pPr>
            <w:r w:rsidRPr="004A023B">
              <w:rPr>
                <w:rFonts w:eastAsia="Times New Roman" w:cstheme="minorHAnsi"/>
                <w:color w:val="333333"/>
                <w:sz w:val="18"/>
                <w:szCs w:val="18"/>
                <w:lang w:eastAsia="en-GB"/>
              </w:rPr>
              <w:t>17,679</w:t>
            </w:r>
          </w:p>
        </w:tc>
        <w:tc>
          <w:tcPr>
            <w:tcW w:w="1082" w:type="dxa"/>
            <w:tcBorders>
              <w:top w:val="single" w:sz="4" w:space="0" w:color="FFFFFF"/>
              <w:left w:val="single" w:sz="4" w:space="0" w:color="FFFFFF"/>
              <w:bottom w:val="single" w:sz="4" w:space="0" w:color="FFFFFF"/>
              <w:right w:val="nil"/>
            </w:tcBorders>
            <w:shd w:val="clear" w:color="B4C6E7" w:fill="B4C6E7"/>
            <w:noWrap/>
            <w:vAlign w:val="bottom"/>
            <w:hideMark/>
          </w:tcPr>
          <w:p w14:paraId="13CFF390" w14:textId="77777777" w:rsidR="004A023B" w:rsidRPr="004A023B" w:rsidRDefault="004A023B" w:rsidP="004A023B">
            <w:pPr>
              <w:jc w:val="right"/>
              <w:rPr>
                <w:rFonts w:eastAsia="Times New Roman" w:cstheme="minorHAnsi"/>
                <w:color w:val="333333"/>
                <w:sz w:val="18"/>
                <w:szCs w:val="18"/>
                <w:lang w:eastAsia="en-GB"/>
              </w:rPr>
            </w:pPr>
            <w:r w:rsidRPr="004A023B">
              <w:rPr>
                <w:rFonts w:eastAsia="Times New Roman" w:cstheme="minorHAnsi"/>
                <w:color w:val="333333"/>
                <w:sz w:val="18"/>
                <w:szCs w:val="18"/>
                <w:lang w:eastAsia="en-GB"/>
              </w:rPr>
              <w:t>9.8</w:t>
            </w:r>
          </w:p>
        </w:tc>
      </w:tr>
      <w:tr w:rsidR="004A023B" w:rsidRPr="004A023B" w14:paraId="2D7EFAC7" w14:textId="77777777" w:rsidTr="004A023B">
        <w:trPr>
          <w:trHeight w:val="255"/>
        </w:trPr>
        <w:tc>
          <w:tcPr>
            <w:tcW w:w="2797" w:type="dxa"/>
            <w:tcBorders>
              <w:top w:val="single" w:sz="4" w:space="0" w:color="FFFFFF"/>
              <w:left w:val="nil"/>
              <w:bottom w:val="single" w:sz="4" w:space="0" w:color="FFFFFF"/>
              <w:right w:val="single" w:sz="4" w:space="0" w:color="FFFFFF"/>
            </w:tcBorders>
            <w:shd w:val="clear" w:color="D9E1F2" w:fill="D9E1F2"/>
            <w:noWrap/>
            <w:vAlign w:val="bottom"/>
            <w:hideMark/>
          </w:tcPr>
          <w:p w14:paraId="6D5A3E20" w14:textId="77777777" w:rsidR="004A023B" w:rsidRPr="004A023B" w:rsidRDefault="004A023B" w:rsidP="004A023B">
            <w:pPr>
              <w:rPr>
                <w:rFonts w:eastAsia="Times New Roman" w:cstheme="minorHAnsi"/>
                <w:color w:val="333333"/>
                <w:sz w:val="18"/>
                <w:szCs w:val="18"/>
                <w:lang w:eastAsia="en-GB"/>
              </w:rPr>
            </w:pPr>
            <w:r w:rsidRPr="004A023B">
              <w:rPr>
                <w:rFonts w:eastAsia="Times New Roman" w:cstheme="minorHAnsi"/>
                <w:color w:val="333333"/>
                <w:sz w:val="18"/>
                <w:szCs w:val="18"/>
                <w:lang w:eastAsia="en-GB"/>
              </w:rPr>
              <w:t>Age 25 to 29</w:t>
            </w:r>
          </w:p>
        </w:tc>
        <w:tc>
          <w:tcPr>
            <w:tcW w:w="1082" w:type="dxa"/>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3A0E31E9" w14:textId="77777777" w:rsidR="004A023B" w:rsidRPr="004A023B" w:rsidRDefault="004A023B" w:rsidP="004A023B">
            <w:pPr>
              <w:jc w:val="right"/>
              <w:rPr>
                <w:rFonts w:eastAsia="Times New Roman" w:cstheme="minorHAnsi"/>
                <w:color w:val="333333"/>
                <w:sz w:val="18"/>
                <w:szCs w:val="18"/>
                <w:lang w:eastAsia="en-GB"/>
              </w:rPr>
            </w:pPr>
            <w:r w:rsidRPr="004A023B">
              <w:rPr>
                <w:rFonts w:eastAsia="Times New Roman" w:cstheme="minorHAnsi"/>
                <w:color w:val="333333"/>
                <w:sz w:val="18"/>
                <w:szCs w:val="18"/>
                <w:lang w:eastAsia="en-GB"/>
              </w:rPr>
              <w:t>12,449</w:t>
            </w:r>
          </w:p>
        </w:tc>
        <w:tc>
          <w:tcPr>
            <w:tcW w:w="1082" w:type="dxa"/>
            <w:tcBorders>
              <w:top w:val="single" w:sz="4" w:space="0" w:color="FFFFFF"/>
              <w:left w:val="single" w:sz="4" w:space="0" w:color="FFFFFF"/>
              <w:bottom w:val="single" w:sz="4" w:space="0" w:color="FFFFFF"/>
              <w:right w:val="nil"/>
            </w:tcBorders>
            <w:shd w:val="clear" w:color="D9E1F2" w:fill="D9E1F2"/>
            <w:noWrap/>
            <w:vAlign w:val="bottom"/>
            <w:hideMark/>
          </w:tcPr>
          <w:p w14:paraId="4D9D7ADB" w14:textId="77777777" w:rsidR="004A023B" w:rsidRPr="004A023B" w:rsidRDefault="004A023B" w:rsidP="004A023B">
            <w:pPr>
              <w:jc w:val="right"/>
              <w:rPr>
                <w:rFonts w:eastAsia="Times New Roman" w:cstheme="minorHAnsi"/>
                <w:color w:val="333333"/>
                <w:sz w:val="18"/>
                <w:szCs w:val="18"/>
                <w:lang w:eastAsia="en-GB"/>
              </w:rPr>
            </w:pPr>
            <w:r w:rsidRPr="004A023B">
              <w:rPr>
                <w:rFonts w:eastAsia="Times New Roman" w:cstheme="minorHAnsi"/>
                <w:color w:val="333333"/>
                <w:sz w:val="18"/>
                <w:szCs w:val="18"/>
                <w:lang w:eastAsia="en-GB"/>
              </w:rPr>
              <w:t>6.9</w:t>
            </w:r>
          </w:p>
        </w:tc>
      </w:tr>
      <w:tr w:rsidR="004A023B" w:rsidRPr="004A023B" w14:paraId="64BD86CC" w14:textId="77777777" w:rsidTr="004A023B">
        <w:trPr>
          <w:trHeight w:val="255"/>
        </w:trPr>
        <w:tc>
          <w:tcPr>
            <w:tcW w:w="2797" w:type="dxa"/>
            <w:tcBorders>
              <w:top w:val="single" w:sz="4" w:space="0" w:color="FFFFFF"/>
              <w:left w:val="nil"/>
              <w:bottom w:val="single" w:sz="4" w:space="0" w:color="FFFFFF"/>
              <w:right w:val="single" w:sz="4" w:space="0" w:color="FFFFFF"/>
            </w:tcBorders>
            <w:shd w:val="clear" w:color="B4C6E7" w:fill="B4C6E7"/>
            <w:noWrap/>
            <w:vAlign w:val="bottom"/>
            <w:hideMark/>
          </w:tcPr>
          <w:p w14:paraId="7B676840" w14:textId="77777777" w:rsidR="004A023B" w:rsidRPr="004A023B" w:rsidRDefault="004A023B" w:rsidP="004A023B">
            <w:pPr>
              <w:rPr>
                <w:rFonts w:eastAsia="Times New Roman" w:cstheme="minorHAnsi"/>
                <w:color w:val="333333"/>
                <w:sz w:val="18"/>
                <w:szCs w:val="18"/>
                <w:lang w:eastAsia="en-GB"/>
              </w:rPr>
            </w:pPr>
            <w:r w:rsidRPr="004A023B">
              <w:rPr>
                <w:rFonts w:eastAsia="Times New Roman" w:cstheme="minorHAnsi"/>
                <w:color w:val="333333"/>
                <w:sz w:val="18"/>
                <w:szCs w:val="18"/>
                <w:lang w:eastAsia="en-GB"/>
              </w:rPr>
              <w:t>Age 30 to 44</w:t>
            </w:r>
          </w:p>
        </w:tc>
        <w:tc>
          <w:tcPr>
            <w:tcW w:w="1082" w:type="dxa"/>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491755C9" w14:textId="77777777" w:rsidR="004A023B" w:rsidRPr="004A023B" w:rsidRDefault="004A023B" w:rsidP="004A023B">
            <w:pPr>
              <w:jc w:val="right"/>
              <w:rPr>
                <w:rFonts w:eastAsia="Times New Roman" w:cstheme="minorHAnsi"/>
                <w:color w:val="333333"/>
                <w:sz w:val="18"/>
                <w:szCs w:val="18"/>
                <w:lang w:eastAsia="en-GB"/>
              </w:rPr>
            </w:pPr>
            <w:r w:rsidRPr="004A023B">
              <w:rPr>
                <w:rFonts w:eastAsia="Times New Roman" w:cstheme="minorHAnsi"/>
                <w:color w:val="333333"/>
                <w:sz w:val="18"/>
                <w:szCs w:val="18"/>
                <w:lang w:eastAsia="en-GB"/>
              </w:rPr>
              <w:t>33,567</w:t>
            </w:r>
          </w:p>
        </w:tc>
        <w:tc>
          <w:tcPr>
            <w:tcW w:w="1082" w:type="dxa"/>
            <w:tcBorders>
              <w:top w:val="single" w:sz="4" w:space="0" w:color="FFFFFF"/>
              <w:left w:val="single" w:sz="4" w:space="0" w:color="FFFFFF"/>
              <w:bottom w:val="single" w:sz="4" w:space="0" w:color="FFFFFF"/>
              <w:right w:val="nil"/>
            </w:tcBorders>
            <w:shd w:val="clear" w:color="B4C6E7" w:fill="B4C6E7"/>
            <w:noWrap/>
            <w:vAlign w:val="bottom"/>
            <w:hideMark/>
          </w:tcPr>
          <w:p w14:paraId="1F42E7A6" w14:textId="77777777" w:rsidR="004A023B" w:rsidRPr="004A023B" w:rsidRDefault="004A023B" w:rsidP="004A023B">
            <w:pPr>
              <w:jc w:val="right"/>
              <w:rPr>
                <w:rFonts w:eastAsia="Times New Roman" w:cstheme="minorHAnsi"/>
                <w:color w:val="333333"/>
                <w:sz w:val="18"/>
                <w:szCs w:val="18"/>
                <w:lang w:eastAsia="en-GB"/>
              </w:rPr>
            </w:pPr>
            <w:r w:rsidRPr="004A023B">
              <w:rPr>
                <w:rFonts w:eastAsia="Times New Roman" w:cstheme="minorHAnsi"/>
                <w:color w:val="333333"/>
                <w:sz w:val="18"/>
                <w:szCs w:val="18"/>
                <w:lang w:eastAsia="en-GB"/>
              </w:rPr>
              <w:t>18.7</w:t>
            </w:r>
          </w:p>
        </w:tc>
      </w:tr>
      <w:tr w:rsidR="004A023B" w:rsidRPr="004A023B" w14:paraId="5F454C89" w14:textId="77777777" w:rsidTr="004A023B">
        <w:trPr>
          <w:trHeight w:val="255"/>
        </w:trPr>
        <w:tc>
          <w:tcPr>
            <w:tcW w:w="2797" w:type="dxa"/>
            <w:tcBorders>
              <w:top w:val="single" w:sz="4" w:space="0" w:color="FFFFFF"/>
              <w:left w:val="nil"/>
              <w:bottom w:val="single" w:sz="4" w:space="0" w:color="FFFFFF"/>
              <w:right w:val="single" w:sz="4" w:space="0" w:color="FFFFFF"/>
            </w:tcBorders>
            <w:shd w:val="clear" w:color="D9E1F2" w:fill="D9E1F2"/>
            <w:noWrap/>
            <w:vAlign w:val="bottom"/>
            <w:hideMark/>
          </w:tcPr>
          <w:p w14:paraId="55E9227D" w14:textId="77777777" w:rsidR="004A023B" w:rsidRPr="004A023B" w:rsidRDefault="004A023B" w:rsidP="004A023B">
            <w:pPr>
              <w:rPr>
                <w:rFonts w:eastAsia="Times New Roman" w:cstheme="minorHAnsi"/>
                <w:color w:val="333333"/>
                <w:sz w:val="18"/>
                <w:szCs w:val="18"/>
                <w:lang w:eastAsia="en-GB"/>
              </w:rPr>
            </w:pPr>
            <w:r w:rsidRPr="004A023B">
              <w:rPr>
                <w:rFonts w:eastAsia="Times New Roman" w:cstheme="minorHAnsi"/>
                <w:color w:val="333333"/>
                <w:sz w:val="18"/>
                <w:szCs w:val="18"/>
                <w:lang w:eastAsia="en-GB"/>
              </w:rPr>
              <w:t>Age 45 to 59</w:t>
            </w:r>
          </w:p>
        </w:tc>
        <w:tc>
          <w:tcPr>
            <w:tcW w:w="1082" w:type="dxa"/>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6BDD0234" w14:textId="77777777" w:rsidR="004A023B" w:rsidRPr="004A023B" w:rsidRDefault="004A023B" w:rsidP="004A023B">
            <w:pPr>
              <w:jc w:val="right"/>
              <w:rPr>
                <w:rFonts w:eastAsia="Times New Roman" w:cstheme="minorHAnsi"/>
                <w:color w:val="333333"/>
                <w:sz w:val="18"/>
                <w:szCs w:val="18"/>
                <w:lang w:eastAsia="en-GB"/>
              </w:rPr>
            </w:pPr>
            <w:r w:rsidRPr="004A023B">
              <w:rPr>
                <w:rFonts w:eastAsia="Times New Roman" w:cstheme="minorHAnsi"/>
                <w:color w:val="333333"/>
                <w:sz w:val="18"/>
                <w:szCs w:val="18"/>
                <w:lang w:eastAsia="en-GB"/>
              </w:rPr>
              <w:t>32,976</w:t>
            </w:r>
          </w:p>
        </w:tc>
        <w:tc>
          <w:tcPr>
            <w:tcW w:w="1082" w:type="dxa"/>
            <w:tcBorders>
              <w:top w:val="single" w:sz="4" w:space="0" w:color="FFFFFF"/>
              <w:left w:val="single" w:sz="4" w:space="0" w:color="FFFFFF"/>
              <w:bottom w:val="single" w:sz="4" w:space="0" w:color="FFFFFF"/>
              <w:right w:val="nil"/>
            </w:tcBorders>
            <w:shd w:val="clear" w:color="D9E1F2" w:fill="D9E1F2"/>
            <w:noWrap/>
            <w:vAlign w:val="bottom"/>
            <w:hideMark/>
          </w:tcPr>
          <w:p w14:paraId="18AA7B35" w14:textId="77777777" w:rsidR="004A023B" w:rsidRPr="004A023B" w:rsidRDefault="004A023B" w:rsidP="004A023B">
            <w:pPr>
              <w:jc w:val="right"/>
              <w:rPr>
                <w:rFonts w:eastAsia="Times New Roman" w:cstheme="minorHAnsi"/>
                <w:color w:val="333333"/>
                <w:sz w:val="18"/>
                <w:szCs w:val="18"/>
                <w:lang w:eastAsia="en-GB"/>
              </w:rPr>
            </w:pPr>
            <w:r w:rsidRPr="004A023B">
              <w:rPr>
                <w:rFonts w:eastAsia="Times New Roman" w:cstheme="minorHAnsi"/>
                <w:color w:val="333333"/>
                <w:sz w:val="18"/>
                <w:szCs w:val="18"/>
                <w:lang w:eastAsia="en-GB"/>
              </w:rPr>
              <w:t>18.4</w:t>
            </w:r>
          </w:p>
        </w:tc>
      </w:tr>
      <w:tr w:rsidR="004A023B" w:rsidRPr="004A023B" w14:paraId="2D2D2F72" w14:textId="77777777" w:rsidTr="004A023B">
        <w:trPr>
          <w:trHeight w:val="255"/>
        </w:trPr>
        <w:tc>
          <w:tcPr>
            <w:tcW w:w="2797" w:type="dxa"/>
            <w:tcBorders>
              <w:top w:val="single" w:sz="4" w:space="0" w:color="FFFFFF"/>
              <w:left w:val="nil"/>
              <w:bottom w:val="single" w:sz="4" w:space="0" w:color="FFFFFF"/>
              <w:right w:val="single" w:sz="4" w:space="0" w:color="FFFFFF"/>
            </w:tcBorders>
            <w:shd w:val="clear" w:color="B4C6E7" w:fill="B4C6E7"/>
            <w:noWrap/>
            <w:vAlign w:val="bottom"/>
            <w:hideMark/>
          </w:tcPr>
          <w:p w14:paraId="00960B06" w14:textId="77777777" w:rsidR="004A023B" w:rsidRPr="004A023B" w:rsidRDefault="004A023B" w:rsidP="004A023B">
            <w:pPr>
              <w:rPr>
                <w:rFonts w:eastAsia="Times New Roman" w:cstheme="minorHAnsi"/>
                <w:color w:val="333333"/>
                <w:sz w:val="18"/>
                <w:szCs w:val="18"/>
                <w:lang w:eastAsia="en-GB"/>
              </w:rPr>
            </w:pPr>
            <w:r w:rsidRPr="004A023B">
              <w:rPr>
                <w:rFonts w:eastAsia="Times New Roman" w:cstheme="minorHAnsi"/>
                <w:color w:val="333333"/>
                <w:sz w:val="18"/>
                <w:szCs w:val="18"/>
                <w:lang w:eastAsia="en-GB"/>
              </w:rPr>
              <w:t>Age 60 to 64</w:t>
            </w:r>
          </w:p>
        </w:tc>
        <w:tc>
          <w:tcPr>
            <w:tcW w:w="1082" w:type="dxa"/>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1731A432" w14:textId="77777777" w:rsidR="004A023B" w:rsidRPr="004A023B" w:rsidRDefault="004A023B" w:rsidP="004A023B">
            <w:pPr>
              <w:jc w:val="right"/>
              <w:rPr>
                <w:rFonts w:eastAsia="Times New Roman" w:cstheme="minorHAnsi"/>
                <w:color w:val="333333"/>
                <w:sz w:val="18"/>
                <w:szCs w:val="18"/>
                <w:lang w:eastAsia="en-GB"/>
              </w:rPr>
            </w:pPr>
            <w:r w:rsidRPr="004A023B">
              <w:rPr>
                <w:rFonts w:eastAsia="Times New Roman" w:cstheme="minorHAnsi"/>
                <w:color w:val="333333"/>
                <w:sz w:val="18"/>
                <w:szCs w:val="18"/>
                <w:lang w:eastAsia="en-GB"/>
              </w:rPr>
              <w:t>10,713</w:t>
            </w:r>
          </w:p>
        </w:tc>
        <w:tc>
          <w:tcPr>
            <w:tcW w:w="1082" w:type="dxa"/>
            <w:tcBorders>
              <w:top w:val="single" w:sz="4" w:space="0" w:color="FFFFFF"/>
              <w:left w:val="single" w:sz="4" w:space="0" w:color="FFFFFF"/>
              <w:bottom w:val="single" w:sz="4" w:space="0" w:color="FFFFFF"/>
              <w:right w:val="nil"/>
            </w:tcBorders>
            <w:shd w:val="clear" w:color="B4C6E7" w:fill="B4C6E7"/>
            <w:noWrap/>
            <w:vAlign w:val="bottom"/>
            <w:hideMark/>
          </w:tcPr>
          <w:p w14:paraId="6674E2C9" w14:textId="77777777" w:rsidR="004A023B" w:rsidRPr="004A023B" w:rsidRDefault="004A023B" w:rsidP="004A023B">
            <w:pPr>
              <w:jc w:val="right"/>
              <w:rPr>
                <w:rFonts w:eastAsia="Times New Roman" w:cstheme="minorHAnsi"/>
                <w:color w:val="333333"/>
                <w:sz w:val="18"/>
                <w:szCs w:val="18"/>
                <w:lang w:eastAsia="en-GB"/>
              </w:rPr>
            </w:pPr>
            <w:r w:rsidRPr="004A023B">
              <w:rPr>
                <w:rFonts w:eastAsia="Times New Roman" w:cstheme="minorHAnsi"/>
                <w:color w:val="333333"/>
                <w:sz w:val="18"/>
                <w:szCs w:val="18"/>
                <w:lang w:eastAsia="en-GB"/>
              </w:rPr>
              <w:t>6</w:t>
            </w:r>
          </w:p>
        </w:tc>
      </w:tr>
      <w:tr w:rsidR="004A023B" w:rsidRPr="004A023B" w14:paraId="308E53AF" w14:textId="77777777" w:rsidTr="004A023B">
        <w:trPr>
          <w:trHeight w:val="255"/>
        </w:trPr>
        <w:tc>
          <w:tcPr>
            <w:tcW w:w="2797" w:type="dxa"/>
            <w:tcBorders>
              <w:top w:val="single" w:sz="4" w:space="0" w:color="FFFFFF"/>
              <w:left w:val="nil"/>
              <w:bottom w:val="single" w:sz="4" w:space="0" w:color="FFFFFF"/>
              <w:right w:val="single" w:sz="4" w:space="0" w:color="FFFFFF"/>
            </w:tcBorders>
            <w:shd w:val="clear" w:color="D9E1F2" w:fill="D9E1F2"/>
            <w:noWrap/>
            <w:vAlign w:val="bottom"/>
            <w:hideMark/>
          </w:tcPr>
          <w:p w14:paraId="3981F24B" w14:textId="77777777" w:rsidR="004A023B" w:rsidRPr="004A023B" w:rsidRDefault="004A023B" w:rsidP="004A023B">
            <w:pPr>
              <w:rPr>
                <w:rFonts w:eastAsia="Times New Roman" w:cstheme="minorHAnsi"/>
                <w:color w:val="333333"/>
                <w:sz w:val="18"/>
                <w:szCs w:val="18"/>
                <w:lang w:eastAsia="en-GB"/>
              </w:rPr>
            </w:pPr>
            <w:r w:rsidRPr="004A023B">
              <w:rPr>
                <w:rFonts w:eastAsia="Times New Roman" w:cstheme="minorHAnsi"/>
                <w:color w:val="333333"/>
                <w:sz w:val="18"/>
                <w:szCs w:val="18"/>
                <w:lang w:eastAsia="en-GB"/>
              </w:rPr>
              <w:t>Age 65 to 74</w:t>
            </w:r>
          </w:p>
        </w:tc>
        <w:tc>
          <w:tcPr>
            <w:tcW w:w="1082" w:type="dxa"/>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493904D5" w14:textId="77777777" w:rsidR="004A023B" w:rsidRPr="004A023B" w:rsidRDefault="004A023B" w:rsidP="004A023B">
            <w:pPr>
              <w:jc w:val="right"/>
              <w:rPr>
                <w:rFonts w:eastAsia="Times New Roman" w:cstheme="minorHAnsi"/>
                <w:color w:val="333333"/>
                <w:sz w:val="18"/>
                <w:szCs w:val="18"/>
                <w:lang w:eastAsia="en-GB"/>
              </w:rPr>
            </w:pPr>
            <w:r w:rsidRPr="004A023B">
              <w:rPr>
                <w:rFonts w:eastAsia="Times New Roman" w:cstheme="minorHAnsi"/>
                <w:color w:val="333333"/>
                <w:sz w:val="18"/>
                <w:szCs w:val="18"/>
                <w:lang w:eastAsia="en-GB"/>
              </w:rPr>
              <w:t>15,824</w:t>
            </w:r>
          </w:p>
        </w:tc>
        <w:tc>
          <w:tcPr>
            <w:tcW w:w="1082" w:type="dxa"/>
            <w:tcBorders>
              <w:top w:val="single" w:sz="4" w:space="0" w:color="FFFFFF"/>
              <w:left w:val="single" w:sz="4" w:space="0" w:color="FFFFFF"/>
              <w:bottom w:val="single" w:sz="4" w:space="0" w:color="FFFFFF"/>
              <w:right w:val="nil"/>
            </w:tcBorders>
            <w:shd w:val="clear" w:color="D9E1F2" w:fill="D9E1F2"/>
            <w:noWrap/>
            <w:vAlign w:val="bottom"/>
            <w:hideMark/>
          </w:tcPr>
          <w:p w14:paraId="2B7B3433" w14:textId="77777777" w:rsidR="004A023B" w:rsidRPr="004A023B" w:rsidRDefault="004A023B" w:rsidP="004A023B">
            <w:pPr>
              <w:jc w:val="right"/>
              <w:rPr>
                <w:rFonts w:eastAsia="Times New Roman" w:cstheme="minorHAnsi"/>
                <w:color w:val="333333"/>
                <w:sz w:val="18"/>
                <w:szCs w:val="18"/>
                <w:lang w:eastAsia="en-GB"/>
              </w:rPr>
            </w:pPr>
            <w:r w:rsidRPr="004A023B">
              <w:rPr>
                <w:rFonts w:eastAsia="Times New Roman" w:cstheme="minorHAnsi"/>
                <w:color w:val="333333"/>
                <w:sz w:val="18"/>
                <w:szCs w:val="18"/>
                <w:lang w:eastAsia="en-GB"/>
              </w:rPr>
              <w:t>8.8</w:t>
            </w:r>
          </w:p>
        </w:tc>
      </w:tr>
      <w:tr w:rsidR="004A023B" w:rsidRPr="004A023B" w14:paraId="45C18B1E" w14:textId="77777777" w:rsidTr="004A023B">
        <w:trPr>
          <w:trHeight w:val="255"/>
        </w:trPr>
        <w:tc>
          <w:tcPr>
            <w:tcW w:w="2797" w:type="dxa"/>
            <w:tcBorders>
              <w:top w:val="single" w:sz="4" w:space="0" w:color="FFFFFF"/>
              <w:left w:val="nil"/>
              <w:bottom w:val="single" w:sz="4" w:space="0" w:color="FFFFFF"/>
              <w:right w:val="single" w:sz="4" w:space="0" w:color="FFFFFF"/>
            </w:tcBorders>
            <w:shd w:val="clear" w:color="B4C6E7" w:fill="B4C6E7"/>
            <w:noWrap/>
            <w:vAlign w:val="bottom"/>
            <w:hideMark/>
          </w:tcPr>
          <w:p w14:paraId="5F2D1B2B" w14:textId="77777777" w:rsidR="004A023B" w:rsidRPr="004A023B" w:rsidRDefault="004A023B" w:rsidP="004A023B">
            <w:pPr>
              <w:rPr>
                <w:rFonts w:eastAsia="Times New Roman" w:cstheme="minorHAnsi"/>
                <w:color w:val="333333"/>
                <w:sz w:val="18"/>
                <w:szCs w:val="18"/>
                <w:lang w:eastAsia="en-GB"/>
              </w:rPr>
            </w:pPr>
            <w:r w:rsidRPr="004A023B">
              <w:rPr>
                <w:rFonts w:eastAsia="Times New Roman" w:cstheme="minorHAnsi"/>
                <w:color w:val="333333"/>
                <w:sz w:val="18"/>
                <w:szCs w:val="18"/>
                <w:lang w:eastAsia="en-GB"/>
              </w:rPr>
              <w:t>Age 75 to 84</w:t>
            </w:r>
          </w:p>
        </w:tc>
        <w:tc>
          <w:tcPr>
            <w:tcW w:w="1082" w:type="dxa"/>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60781C1B" w14:textId="77777777" w:rsidR="004A023B" w:rsidRPr="004A023B" w:rsidRDefault="004A023B" w:rsidP="004A023B">
            <w:pPr>
              <w:jc w:val="right"/>
              <w:rPr>
                <w:rFonts w:eastAsia="Times New Roman" w:cstheme="minorHAnsi"/>
                <w:color w:val="333333"/>
                <w:sz w:val="18"/>
                <w:szCs w:val="18"/>
                <w:lang w:eastAsia="en-GB"/>
              </w:rPr>
            </w:pPr>
            <w:r w:rsidRPr="004A023B">
              <w:rPr>
                <w:rFonts w:eastAsia="Times New Roman" w:cstheme="minorHAnsi"/>
                <w:color w:val="333333"/>
                <w:sz w:val="18"/>
                <w:szCs w:val="18"/>
                <w:lang w:eastAsia="en-GB"/>
              </w:rPr>
              <w:t>10,979</w:t>
            </w:r>
          </w:p>
        </w:tc>
        <w:tc>
          <w:tcPr>
            <w:tcW w:w="1082" w:type="dxa"/>
            <w:tcBorders>
              <w:top w:val="single" w:sz="4" w:space="0" w:color="FFFFFF"/>
              <w:left w:val="single" w:sz="4" w:space="0" w:color="FFFFFF"/>
              <w:bottom w:val="single" w:sz="4" w:space="0" w:color="FFFFFF"/>
              <w:right w:val="nil"/>
            </w:tcBorders>
            <w:shd w:val="clear" w:color="B4C6E7" w:fill="B4C6E7"/>
            <w:noWrap/>
            <w:vAlign w:val="bottom"/>
            <w:hideMark/>
          </w:tcPr>
          <w:p w14:paraId="7ADB2FB1" w14:textId="77777777" w:rsidR="004A023B" w:rsidRPr="004A023B" w:rsidRDefault="004A023B" w:rsidP="004A023B">
            <w:pPr>
              <w:jc w:val="right"/>
              <w:rPr>
                <w:rFonts w:eastAsia="Times New Roman" w:cstheme="minorHAnsi"/>
                <w:color w:val="333333"/>
                <w:sz w:val="18"/>
                <w:szCs w:val="18"/>
                <w:lang w:eastAsia="en-GB"/>
              </w:rPr>
            </w:pPr>
            <w:r w:rsidRPr="004A023B">
              <w:rPr>
                <w:rFonts w:eastAsia="Times New Roman" w:cstheme="minorHAnsi"/>
                <w:color w:val="333333"/>
                <w:sz w:val="18"/>
                <w:szCs w:val="18"/>
                <w:lang w:eastAsia="en-GB"/>
              </w:rPr>
              <w:t>6.1</w:t>
            </w:r>
          </w:p>
        </w:tc>
      </w:tr>
      <w:tr w:rsidR="004A023B" w:rsidRPr="004A023B" w14:paraId="0B705160" w14:textId="77777777" w:rsidTr="004A023B">
        <w:trPr>
          <w:trHeight w:val="255"/>
        </w:trPr>
        <w:tc>
          <w:tcPr>
            <w:tcW w:w="2797" w:type="dxa"/>
            <w:tcBorders>
              <w:top w:val="single" w:sz="4" w:space="0" w:color="FFFFFF"/>
              <w:left w:val="nil"/>
              <w:bottom w:val="single" w:sz="4" w:space="0" w:color="FFFFFF"/>
              <w:right w:val="single" w:sz="4" w:space="0" w:color="FFFFFF"/>
            </w:tcBorders>
            <w:shd w:val="clear" w:color="D9E1F2" w:fill="D9E1F2"/>
            <w:noWrap/>
            <w:vAlign w:val="bottom"/>
            <w:hideMark/>
          </w:tcPr>
          <w:p w14:paraId="2D02D471" w14:textId="77777777" w:rsidR="004A023B" w:rsidRPr="004A023B" w:rsidRDefault="004A023B" w:rsidP="004A023B">
            <w:pPr>
              <w:rPr>
                <w:rFonts w:eastAsia="Times New Roman" w:cstheme="minorHAnsi"/>
                <w:color w:val="333333"/>
                <w:sz w:val="18"/>
                <w:szCs w:val="18"/>
                <w:lang w:eastAsia="en-GB"/>
              </w:rPr>
            </w:pPr>
            <w:r w:rsidRPr="004A023B">
              <w:rPr>
                <w:rFonts w:eastAsia="Times New Roman" w:cstheme="minorHAnsi"/>
                <w:color w:val="333333"/>
                <w:sz w:val="18"/>
                <w:szCs w:val="18"/>
                <w:lang w:eastAsia="en-GB"/>
              </w:rPr>
              <w:t>Age 85 to 89</w:t>
            </w:r>
          </w:p>
        </w:tc>
        <w:tc>
          <w:tcPr>
            <w:tcW w:w="1082" w:type="dxa"/>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609CC505" w14:textId="77777777" w:rsidR="004A023B" w:rsidRPr="004A023B" w:rsidRDefault="004A023B" w:rsidP="004A023B">
            <w:pPr>
              <w:jc w:val="right"/>
              <w:rPr>
                <w:rFonts w:eastAsia="Times New Roman" w:cstheme="minorHAnsi"/>
                <w:color w:val="333333"/>
                <w:sz w:val="18"/>
                <w:szCs w:val="18"/>
                <w:lang w:eastAsia="en-GB"/>
              </w:rPr>
            </w:pPr>
            <w:r w:rsidRPr="004A023B">
              <w:rPr>
                <w:rFonts w:eastAsia="Times New Roman" w:cstheme="minorHAnsi"/>
                <w:color w:val="333333"/>
                <w:sz w:val="18"/>
                <w:szCs w:val="18"/>
                <w:lang w:eastAsia="en-GB"/>
              </w:rPr>
              <w:t>2,789</w:t>
            </w:r>
          </w:p>
        </w:tc>
        <w:tc>
          <w:tcPr>
            <w:tcW w:w="1082" w:type="dxa"/>
            <w:tcBorders>
              <w:top w:val="single" w:sz="4" w:space="0" w:color="FFFFFF"/>
              <w:left w:val="single" w:sz="4" w:space="0" w:color="FFFFFF"/>
              <w:bottom w:val="single" w:sz="4" w:space="0" w:color="FFFFFF"/>
              <w:right w:val="nil"/>
            </w:tcBorders>
            <w:shd w:val="clear" w:color="D9E1F2" w:fill="D9E1F2"/>
            <w:noWrap/>
            <w:vAlign w:val="bottom"/>
            <w:hideMark/>
          </w:tcPr>
          <w:p w14:paraId="793F4613" w14:textId="77777777" w:rsidR="004A023B" w:rsidRPr="004A023B" w:rsidRDefault="004A023B" w:rsidP="004A023B">
            <w:pPr>
              <w:jc w:val="right"/>
              <w:rPr>
                <w:rFonts w:eastAsia="Times New Roman" w:cstheme="minorHAnsi"/>
                <w:color w:val="333333"/>
                <w:sz w:val="18"/>
                <w:szCs w:val="18"/>
                <w:lang w:eastAsia="en-GB"/>
              </w:rPr>
            </w:pPr>
            <w:r w:rsidRPr="004A023B">
              <w:rPr>
                <w:rFonts w:eastAsia="Times New Roman" w:cstheme="minorHAnsi"/>
                <w:color w:val="333333"/>
                <w:sz w:val="18"/>
                <w:szCs w:val="18"/>
                <w:lang w:eastAsia="en-GB"/>
              </w:rPr>
              <w:t>1.6</w:t>
            </w:r>
          </w:p>
        </w:tc>
      </w:tr>
      <w:tr w:rsidR="004A023B" w:rsidRPr="004A023B" w14:paraId="28933A09" w14:textId="77777777" w:rsidTr="004A023B">
        <w:trPr>
          <w:trHeight w:val="255"/>
        </w:trPr>
        <w:tc>
          <w:tcPr>
            <w:tcW w:w="2797" w:type="dxa"/>
            <w:tcBorders>
              <w:top w:val="single" w:sz="4" w:space="0" w:color="FFFFFF"/>
              <w:left w:val="nil"/>
              <w:bottom w:val="single" w:sz="4" w:space="0" w:color="FFFFFF"/>
              <w:right w:val="single" w:sz="4" w:space="0" w:color="FFFFFF"/>
            </w:tcBorders>
            <w:shd w:val="clear" w:color="B4C6E7" w:fill="B4C6E7"/>
            <w:noWrap/>
            <w:vAlign w:val="bottom"/>
            <w:hideMark/>
          </w:tcPr>
          <w:p w14:paraId="6EEE76C3" w14:textId="1C283D38" w:rsidR="004A023B" w:rsidRPr="004A023B" w:rsidRDefault="004A023B" w:rsidP="004A023B">
            <w:pPr>
              <w:rPr>
                <w:rFonts w:eastAsia="Times New Roman" w:cstheme="minorHAnsi"/>
                <w:color w:val="333333"/>
                <w:sz w:val="18"/>
                <w:szCs w:val="18"/>
                <w:lang w:eastAsia="en-GB"/>
              </w:rPr>
            </w:pPr>
            <w:r w:rsidRPr="004A023B">
              <w:rPr>
                <w:rFonts w:eastAsia="Times New Roman" w:cstheme="minorHAnsi"/>
                <w:color w:val="333333"/>
                <w:sz w:val="18"/>
                <w:szCs w:val="18"/>
                <w:lang w:eastAsia="en-GB"/>
              </w:rPr>
              <w:t>Age 90 and over</w:t>
            </w:r>
          </w:p>
        </w:tc>
        <w:tc>
          <w:tcPr>
            <w:tcW w:w="1082" w:type="dxa"/>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4D4EFB18" w14:textId="77777777" w:rsidR="004A023B" w:rsidRPr="004A023B" w:rsidRDefault="004A023B" w:rsidP="004A023B">
            <w:pPr>
              <w:jc w:val="right"/>
              <w:rPr>
                <w:rFonts w:eastAsia="Times New Roman" w:cstheme="minorHAnsi"/>
                <w:color w:val="333333"/>
                <w:sz w:val="18"/>
                <w:szCs w:val="18"/>
                <w:lang w:eastAsia="en-GB"/>
              </w:rPr>
            </w:pPr>
            <w:r w:rsidRPr="004A023B">
              <w:rPr>
                <w:rFonts w:eastAsia="Times New Roman" w:cstheme="minorHAnsi"/>
                <w:color w:val="333333"/>
                <w:sz w:val="18"/>
                <w:szCs w:val="18"/>
                <w:lang w:eastAsia="en-GB"/>
              </w:rPr>
              <w:t>1,392</w:t>
            </w:r>
          </w:p>
        </w:tc>
        <w:tc>
          <w:tcPr>
            <w:tcW w:w="1082" w:type="dxa"/>
            <w:tcBorders>
              <w:top w:val="single" w:sz="4" w:space="0" w:color="FFFFFF"/>
              <w:left w:val="single" w:sz="4" w:space="0" w:color="FFFFFF"/>
              <w:bottom w:val="single" w:sz="4" w:space="0" w:color="FFFFFF"/>
              <w:right w:val="nil"/>
            </w:tcBorders>
            <w:shd w:val="clear" w:color="B4C6E7" w:fill="B4C6E7"/>
            <w:noWrap/>
            <w:vAlign w:val="bottom"/>
            <w:hideMark/>
          </w:tcPr>
          <w:p w14:paraId="6A03A30E" w14:textId="77777777" w:rsidR="004A023B" w:rsidRPr="004A023B" w:rsidRDefault="004A023B" w:rsidP="004A023B">
            <w:pPr>
              <w:jc w:val="right"/>
              <w:rPr>
                <w:rFonts w:eastAsia="Times New Roman" w:cstheme="minorHAnsi"/>
                <w:color w:val="333333"/>
                <w:sz w:val="18"/>
                <w:szCs w:val="18"/>
                <w:lang w:eastAsia="en-GB"/>
              </w:rPr>
            </w:pPr>
            <w:r w:rsidRPr="004A023B">
              <w:rPr>
                <w:rFonts w:eastAsia="Times New Roman" w:cstheme="minorHAnsi"/>
                <w:color w:val="333333"/>
                <w:sz w:val="18"/>
                <w:szCs w:val="18"/>
                <w:lang w:eastAsia="en-GB"/>
              </w:rPr>
              <w:t>0.8</w:t>
            </w:r>
          </w:p>
        </w:tc>
      </w:tr>
      <w:tr w:rsidR="004A023B" w:rsidRPr="004A023B" w14:paraId="738CC484" w14:textId="77777777" w:rsidTr="004A023B">
        <w:trPr>
          <w:trHeight w:val="255"/>
        </w:trPr>
        <w:tc>
          <w:tcPr>
            <w:tcW w:w="2797" w:type="dxa"/>
            <w:tcBorders>
              <w:top w:val="single" w:sz="4" w:space="0" w:color="FFFFFF"/>
              <w:left w:val="nil"/>
              <w:bottom w:val="single" w:sz="4" w:space="0" w:color="FFFFFF"/>
              <w:right w:val="single" w:sz="4" w:space="0" w:color="FFFFFF"/>
            </w:tcBorders>
            <w:shd w:val="clear" w:color="D9E1F2" w:fill="D9E1F2"/>
            <w:noWrap/>
            <w:vAlign w:val="bottom"/>
            <w:hideMark/>
          </w:tcPr>
          <w:p w14:paraId="33263EF7" w14:textId="77777777" w:rsidR="004A023B" w:rsidRPr="004A023B" w:rsidRDefault="004A023B" w:rsidP="004A023B">
            <w:pPr>
              <w:rPr>
                <w:rFonts w:eastAsia="Times New Roman" w:cstheme="minorHAnsi"/>
                <w:color w:val="333333"/>
                <w:sz w:val="18"/>
                <w:szCs w:val="18"/>
                <w:lang w:eastAsia="en-GB"/>
              </w:rPr>
            </w:pPr>
            <w:r w:rsidRPr="004A023B">
              <w:rPr>
                <w:rFonts w:eastAsia="Times New Roman" w:cstheme="minorHAnsi"/>
                <w:color w:val="333333"/>
                <w:sz w:val="18"/>
                <w:szCs w:val="18"/>
                <w:lang w:eastAsia="en-GB"/>
              </w:rPr>
              <w:t>Mean Age</w:t>
            </w:r>
          </w:p>
        </w:tc>
        <w:tc>
          <w:tcPr>
            <w:tcW w:w="1082" w:type="dxa"/>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5D4A5F72" w14:textId="77777777" w:rsidR="004A023B" w:rsidRPr="004A023B" w:rsidRDefault="004A023B" w:rsidP="004A023B">
            <w:pPr>
              <w:jc w:val="right"/>
              <w:rPr>
                <w:rFonts w:eastAsia="Times New Roman" w:cstheme="minorHAnsi"/>
                <w:color w:val="333333"/>
                <w:sz w:val="18"/>
                <w:szCs w:val="18"/>
                <w:lang w:eastAsia="en-GB"/>
              </w:rPr>
            </w:pPr>
            <w:r w:rsidRPr="004A023B">
              <w:rPr>
                <w:rFonts w:eastAsia="Times New Roman" w:cstheme="minorHAnsi"/>
                <w:color w:val="333333"/>
                <w:sz w:val="18"/>
                <w:szCs w:val="18"/>
                <w:lang w:eastAsia="en-GB"/>
              </w:rPr>
              <w:t>39.5</w:t>
            </w:r>
          </w:p>
        </w:tc>
        <w:tc>
          <w:tcPr>
            <w:tcW w:w="1082" w:type="dxa"/>
            <w:tcBorders>
              <w:top w:val="single" w:sz="4" w:space="0" w:color="FFFFFF"/>
              <w:left w:val="single" w:sz="4" w:space="0" w:color="FFFFFF"/>
              <w:bottom w:val="single" w:sz="4" w:space="0" w:color="FFFFFF"/>
              <w:right w:val="nil"/>
            </w:tcBorders>
            <w:shd w:val="clear" w:color="D9E1F2" w:fill="D9E1F2"/>
            <w:noWrap/>
            <w:vAlign w:val="bottom"/>
            <w:hideMark/>
          </w:tcPr>
          <w:p w14:paraId="093C90D4" w14:textId="77777777" w:rsidR="004A023B" w:rsidRPr="004A023B" w:rsidRDefault="004A023B" w:rsidP="004A023B">
            <w:pPr>
              <w:rPr>
                <w:rFonts w:eastAsia="Times New Roman" w:cstheme="minorHAnsi"/>
                <w:color w:val="333333"/>
                <w:sz w:val="18"/>
                <w:szCs w:val="18"/>
                <w:lang w:eastAsia="en-GB"/>
              </w:rPr>
            </w:pPr>
            <w:r w:rsidRPr="004A023B">
              <w:rPr>
                <w:rFonts w:eastAsia="Times New Roman" w:cstheme="minorHAnsi"/>
                <w:color w:val="333333"/>
                <w:sz w:val="18"/>
                <w:szCs w:val="18"/>
                <w:lang w:eastAsia="en-GB"/>
              </w:rPr>
              <w:t>-</w:t>
            </w:r>
          </w:p>
        </w:tc>
      </w:tr>
      <w:tr w:rsidR="004A023B" w:rsidRPr="004A023B" w14:paraId="48AB62C5" w14:textId="77777777" w:rsidTr="004A023B">
        <w:trPr>
          <w:trHeight w:val="255"/>
        </w:trPr>
        <w:tc>
          <w:tcPr>
            <w:tcW w:w="2797" w:type="dxa"/>
            <w:tcBorders>
              <w:top w:val="single" w:sz="4" w:space="0" w:color="FFFFFF"/>
              <w:left w:val="nil"/>
              <w:bottom w:val="nil"/>
              <w:right w:val="single" w:sz="4" w:space="0" w:color="FFFFFF"/>
            </w:tcBorders>
            <w:shd w:val="clear" w:color="B4C6E7" w:fill="B4C6E7"/>
            <w:noWrap/>
            <w:vAlign w:val="bottom"/>
            <w:hideMark/>
          </w:tcPr>
          <w:p w14:paraId="7A5C024C" w14:textId="1007FC1B" w:rsidR="004A023B" w:rsidRPr="004A023B" w:rsidRDefault="004A023B" w:rsidP="004A023B">
            <w:pPr>
              <w:rPr>
                <w:rFonts w:eastAsia="Times New Roman" w:cstheme="minorHAnsi"/>
                <w:color w:val="333333"/>
                <w:sz w:val="18"/>
                <w:szCs w:val="18"/>
                <w:lang w:eastAsia="en-GB"/>
              </w:rPr>
            </w:pPr>
            <w:r w:rsidRPr="004A023B">
              <w:rPr>
                <w:rFonts w:eastAsia="Times New Roman" w:cstheme="minorHAnsi"/>
                <w:color w:val="333333"/>
                <w:sz w:val="18"/>
                <w:szCs w:val="18"/>
                <w:lang w:eastAsia="en-GB"/>
              </w:rPr>
              <w:t>Median Age</w:t>
            </w:r>
          </w:p>
        </w:tc>
        <w:tc>
          <w:tcPr>
            <w:tcW w:w="1082" w:type="dxa"/>
            <w:tcBorders>
              <w:top w:val="single" w:sz="4" w:space="0" w:color="FFFFFF"/>
              <w:left w:val="single" w:sz="4" w:space="0" w:color="FFFFFF"/>
              <w:bottom w:val="nil"/>
              <w:right w:val="single" w:sz="4" w:space="0" w:color="FFFFFF"/>
            </w:tcBorders>
            <w:shd w:val="clear" w:color="B4C6E7" w:fill="B4C6E7"/>
            <w:noWrap/>
            <w:vAlign w:val="bottom"/>
            <w:hideMark/>
          </w:tcPr>
          <w:p w14:paraId="36D111AD" w14:textId="77777777" w:rsidR="004A023B" w:rsidRPr="004A023B" w:rsidRDefault="004A023B" w:rsidP="004A023B">
            <w:pPr>
              <w:jc w:val="right"/>
              <w:rPr>
                <w:rFonts w:eastAsia="Times New Roman" w:cstheme="minorHAnsi"/>
                <w:color w:val="333333"/>
                <w:sz w:val="18"/>
                <w:szCs w:val="18"/>
                <w:lang w:eastAsia="en-GB"/>
              </w:rPr>
            </w:pPr>
            <w:r w:rsidRPr="004A023B">
              <w:rPr>
                <w:rFonts w:eastAsia="Times New Roman" w:cstheme="minorHAnsi"/>
                <w:color w:val="333333"/>
                <w:sz w:val="18"/>
                <w:szCs w:val="18"/>
                <w:lang w:eastAsia="en-GB"/>
              </w:rPr>
              <w:t>38</w:t>
            </w:r>
          </w:p>
        </w:tc>
        <w:tc>
          <w:tcPr>
            <w:tcW w:w="1082" w:type="dxa"/>
            <w:tcBorders>
              <w:top w:val="single" w:sz="4" w:space="0" w:color="FFFFFF"/>
              <w:left w:val="single" w:sz="4" w:space="0" w:color="FFFFFF"/>
              <w:bottom w:val="nil"/>
              <w:right w:val="nil"/>
            </w:tcBorders>
            <w:shd w:val="clear" w:color="B4C6E7" w:fill="B4C6E7"/>
            <w:noWrap/>
            <w:vAlign w:val="bottom"/>
            <w:hideMark/>
          </w:tcPr>
          <w:p w14:paraId="0D9FDB43" w14:textId="77777777" w:rsidR="004A023B" w:rsidRPr="004A023B" w:rsidRDefault="004A023B" w:rsidP="004A023B">
            <w:pPr>
              <w:jc w:val="right"/>
              <w:rPr>
                <w:rFonts w:eastAsia="Times New Roman" w:cstheme="minorHAnsi"/>
                <w:color w:val="333333"/>
                <w:sz w:val="18"/>
                <w:szCs w:val="18"/>
                <w:lang w:eastAsia="en-GB"/>
              </w:rPr>
            </w:pPr>
          </w:p>
        </w:tc>
      </w:tr>
    </w:tbl>
    <w:p w14:paraId="4EEBEF03" w14:textId="01092B11" w:rsidR="00B96A2F" w:rsidRDefault="00B96A2F" w:rsidP="002851DB"/>
    <w:p w14:paraId="4C3D1EBB" w14:textId="6BCA55A6" w:rsidR="00B96A2F" w:rsidRDefault="00B96A2F" w:rsidP="002851DB"/>
    <w:p w14:paraId="5FD0C133" w14:textId="67C45A0D" w:rsidR="00B96A2F" w:rsidRPr="002851DB" w:rsidRDefault="00B96A2F" w:rsidP="002851DB"/>
    <w:p w14:paraId="7EC7DCED" w14:textId="3048336B" w:rsidR="002851DB" w:rsidRPr="002851DB" w:rsidRDefault="002851DB" w:rsidP="002851DB"/>
    <w:p w14:paraId="6A467B8D" w14:textId="15BA9BB6" w:rsidR="002851DB" w:rsidRPr="002851DB" w:rsidRDefault="002851DB" w:rsidP="002851DB"/>
    <w:p w14:paraId="41F70C2A" w14:textId="7D7A3677" w:rsidR="002851DB" w:rsidRPr="002851DB" w:rsidRDefault="002851DB" w:rsidP="002851DB"/>
    <w:p w14:paraId="18C551CE" w14:textId="3C7DEEF9" w:rsidR="00C72A87" w:rsidRDefault="004A023B" w:rsidP="002851DB">
      <w:r>
        <w:rPr>
          <w:noProof/>
          <w:lang w:eastAsia="en-GB"/>
        </w:rPr>
        <mc:AlternateContent>
          <mc:Choice Requires="wps">
            <w:drawing>
              <wp:anchor distT="0" distB="0" distL="114300" distR="114300" simplePos="0" relativeHeight="251686912" behindDoc="0" locked="0" layoutInCell="1" allowOverlap="1" wp14:anchorId="165BEE4E" wp14:editId="16C6E268">
                <wp:simplePos x="0" y="0"/>
                <wp:positionH relativeFrom="column">
                  <wp:posOffset>3653790</wp:posOffset>
                </wp:positionH>
                <wp:positionV relativeFrom="paragraph">
                  <wp:posOffset>48895</wp:posOffset>
                </wp:positionV>
                <wp:extent cx="2651760" cy="754380"/>
                <wp:effectExtent l="0" t="0" r="0" b="7620"/>
                <wp:wrapSquare wrapText="bothSides"/>
                <wp:docPr id="20" name="Text Box 20"/>
                <wp:cNvGraphicFramePr/>
                <a:graphic xmlns:a="http://schemas.openxmlformats.org/drawingml/2006/main">
                  <a:graphicData uri="http://schemas.microsoft.com/office/word/2010/wordprocessingShape">
                    <wps:wsp>
                      <wps:cNvSpPr txBox="1"/>
                      <wps:spPr>
                        <a:xfrm>
                          <a:off x="0" y="0"/>
                          <a:ext cx="2651760" cy="75438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1ADB5B4B" w14:textId="3DE6BB39" w:rsidR="000E1085" w:rsidRPr="00497980" w:rsidRDefault="000E1085">
                            <w:r w:rsidRPr="00497980">
                              <w:rPr>
                                <w:b/>
                              </w:rPr>
                              <w:t>Figure 2.2</w:t>
                            </w:r>
                            <w:r>
                              <w:rPr>
                                <w:b/>
                              </w:rPr>
                              <w:t xml:space="preserve"> </w:t>
                            </w:r>
                            <w:r>
                              <w:t xml:space="preserve">Shows the age structure in Swansea in 2016. Data Source: Office for National Statistics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65BEE4E" id="Text Box 20" o:spid="_x0000_s1037" type="#_x0000_t202" style="position:absolute;margin-left:287.7pt;margin-top:3.85pt;width:208.8pt;height:59.4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" filled="f" stroked="f">
                <v:textbox>
                  <w:txbxContent>
                    <w:p w14:paraId="1ADB5B4B" w14:textId="3DE6BB39" w:rsidR="000E1085" w:rsidRPr="00497980" w:rsidRDefault="000E1085">
                      <w:r w:rsidRPr="00497980">
                        <w:rPr>
                          <w:b/>
                        </w:rPr>
                        <w:t>Figure 2.2</w:t>
                      </w:r>
                      <w:r>
                        <w:rPr>
                          <w:b/>
                        </w:rPr>
                        <w:t xml:space="preserve"> </w:t>
                      </w:r>
                      <w:r>
                        <w:t xml:space="preserve">Shows the age structure in Swansea in 2016. Data Source: Office for National Statistics </w:t>
                      </w:r>
                    </w:p>
                  </w:txbxContent>
                </v:textbox>
                <w10:wrap type="square"/>
              </v:shape>
            </w:pict>
          </mc:Fallback>
        </mc:AlternateContent>
      </w:r>
    </w:p>
    <w:p w14:paraId="3D9A7E2D" w14:textId="6697AB2C" w:rsidR="002851DB" w:rsidRDefault="002851DB" w:rsidP="002851DB"/>
    <w:p w14:paraId="6AE752CC" w14:textId="77741CB3" w:rsidR="002851DB" w:rsidRDefault="002851DB" w:rsidP="002851DB"/>
    <w:p w14:paraId="47603CC4" w14:textId="7DA57070" w:rsidR="002851DB" w:rsidRDefault="002851DB" w:rsidP="002851DB"/>
    <w:p w14:paraId="52081154" w14:textId="16B51B43" w:rsidR="002851DB" w:rsidRDefault="002851DB" w:rsidP="002851DB"/>
    <w:p w14:paraId="1A8DB376" w14:textId="48201F16" w:rsidR="002851DB" w:rsidRDefault="002851DB" w:rsidP="002851DB"/>
    <w:p w14:paraId="492A7794" w14:textId="7748D78F" w:rsidR="002851DB" w:rsidRDefault="002851DB" w:rsidP="002851DB"/>
    <w:p w14:paraId="7D3A4E11" w14:textId="44F4D04A" w:rsidR="002851DB" w:rsidRDefault="002851DB" w:rsidP="002851DB"/>
    <w:p w14:paraId="40D1D232" w14:textId="7AB02D45" w:rsidR="002851DB" w:rsidRDefault="002851DB" w:rsidP="002851DB"/>
    <w:p w14:paraId="4C7990EB" w14:textId="04F56754" w:rsidR="002851DB" w:rsidRDefault="002851DB" w:rsidP="002851DB"/>
    <w:p w14:paraId="79C8E07B" w14:textId="7F1C03F0" w:rsidR="008A5C03" w:rsidRDefault="008A5C03" w:rsidP="002851DB"/>
    <w:p w14:paraId="2A58B723" w14:textId="71248F37" w:rsidR="008A5C03" w:rsidRDefault="008A5C03" w:rsidP="002851DB"/>
    <w:p w14:paraId="53C984F9" w14:textId="479C9B54" w:rsidR="004A023B" w:rsidRDefault="004A023B">
      <w:r>
        <w:rPr>
          <w:noProof/>
          <w:lang w:eastAsia="en-GB"/>
        </w:rPr>
        <w:drawing>
          <wp:anchor distT="0" distB="0" distL="114300" distR="114300" simplePos="0" relativeHeight="251729920" behindDoc="0" locked="0" layoutInCell="1" allowOverlap="1" wp14:anchorId="7DC43AAB" wp14:editId="5DFFCA25">
            <wp:simplePos x="0" y="0"/>
            <wp:positionH relativeFrom="page">
              <wp:posOffset>396240</wp:posOffset>
            </wp:positionH>
            <wp:positionV relativeFrom="paragraph">
              <wp:posOffset>209550</wp:posOffset>
            </wp:positionV>
            <wp:extent cx="6736080" cy="4953000"/>
            <wp:effectExtent l="0" t="0" r="7620" b="0"/>
            <wp:wrapTight wrapText="bothSides">
              <wp:wrapPolygon edited="0">
                <wp:start x="0" y="0"/>
                <wp:lineTo x="0" y="21517"/>
                <wp:lineTo x="21563" y="21517"/>
                <wp:lineTo x="21563" y="0"/>
                <wp:lineTo x="0" y="0"/>
              </wp:wrapPolygon>
            </wp:wrapTight>
            <wp:docPr id="14" name="Chart 14"/>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14:sizeRelH relativeFrom="page">
              <wp14:pctWidth>0</wp14:pctWidth>
            </wp14:sizeRelH>
            <wp14:sizeRelV relativeFrom="page">
              <wp14:pctHeight>0</wp14:pctHeight>
            </wp14:sizeRelV>
          </wp:anchor>
        </w:drawing>
      </w:r>
    </w:p>
    <w:p w14:paraId="3B5D4007" w14:textId="50992D93" w:rsidR="001A7C58" w:rsidRDefault="00866C98" w:rsidP="00015B27">
      <w:r>
        <w:lastRenderedPageBreak/>
        <w:t>Figure 2.2 shows the age structu</w:t>
      </w:r>
      <w:r w:rsidR="00015B27">
        <w:t>re within Swansea as of the 2016</w:t>
      </w:r>
      <w:r>
        <w:t xml:space="preserve"> census. The graph indicates that the two largest age groups within Swansea are ages 30-44 and 45-59. Both age groups combined account for </w:t>
      </w:r>
      <w:r w:rsidR="00AF5815">
        <w:t>37% of Swansea</w:t>
      </w:r>
      <w:r w:rsidR="00153E04">
        <w:t>’s</w:t>
      </w:r>
      <w:r w:rsidR="00AF5815">
        <w:t xml:space="preserve"> population. The data in figure 2.2 also indicates that Swansea has a large number of elderly people, as 14.9% of the population are over the age of 65. A more recent estimation shown in figure 2.4 puts the number of citizens in Swansea over the age of 65 nearer to 20% of the population. This indicates that Swansea has an ageing population. </w:t>
      </w:r>
      <w:r w:rsidR="007B32CD">
        <w:t xml:space="preserve">Figure 2.3 also shows that for every 1000 people Swansea have 66 older people that are supported in some way. </w:t>
      </w:r>
      <w:r w:rsidR="00DD29ED">
        <w:t xml:space="preserve">An ageing can mean an increase in demand on health and social services. </w:t>
      </w:r>
    </w:p>
    <w:p w14:paraId="28BE3760" w14:textId="2419CB40" w:rsidR="004A3B6E" w:rsidRDefault="004A3B6E" w:rsidP="001A7C58">
      <w:pPr>
        <w:tabs>
          <w:tab w:val="left" w:pos="2869"/>
        </w:tabs>
      </w:pPr>
    </w:p>
    <w:p w14:paraId="245F2A4E" w14:textId="0C9719C4" w:rsidR="004A3B6E" w:rsidRDefault="00015B27" w:rsidP="001A7C58">
      <w:pPr>
        <w:tabs>
          <w:tab w:val="left" w:pos="2869"/>
        </w:tabs>
      </w:pPr>
      <w:r>
        <w:rPr>
          <w:noProof/>
          <w:lang w:eastAsia="en-GB"/>
        </w:rPr>
        <w:drawing>
          <wp:anchor distT="0" distB="0" distL="114300" distR="114300" simplePos="0" relativeHeight="251731968" behindDoc="0" locked="0" layoutInCell="1" allowOverlap="1" wp14:anchorId="35C05D44" wp14:editId="2DA2B446">
            <wp:simplePos x="0" y="0"/>
            <wp:positionH relativeFrom="margin">
              <wp:align>left</wp:align>
            </wp:positionH>
            <wp:positionV relativeFrom="paragraph">
              <wp:posOffset>19685</wp:posOffset>
            </wp:positionV>
            <wp:extent cx="5234940" cy="3756660"/>
            <wp:effectExtent l="0" t="0" r="3810" b="15240"/>
            <wp:wrapTight wrapText="bothSides">
              <wp:wrapPolygon edited="0">
                <wp:start x="0" y="0"/>
                <wp:lineTo x="0" y="21578"/>
                <wp:lineTo x="21537" y="21578"/>
                <wp:lineTo x="21537" y="0"/>
                <wp:lineTo x="0" y="0"/>
              </wp:wrapPolygon>
            </wp:wrapTight>
            <wp:docPr id="21" name="Chart 21"/>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14:sizeRelH relativeFrom="page">
              <wp14:pctWidth>0</wp14:pctWidth>
            </wp14:sizeRelH>
            <wp14:sizeRelV relativeFrom="page">
              <wp14:pctHeight>0</wp14:pctHeight>
            </wp14:sizeRelV>
          </wp:anchor>
        </w:drawing>
      </w:r>
    </w:p>
    <w:p w14:paraId="10517E31" w14:textId="77777777" w:rsidR="00015B27" w:rsidRDefault="00015B27" w:rsidP="00015B27">
      <w:pPr>
        <w:rPr>
          <w:b/>
        </w:rPr>
      </w:pPr>
    </w:p>
    <w:p w14:paraId="2162DFAA" w14:textId="77777777" w:rsidR="00015B27" w:rsidRDefault="00015B27" w:rsidP="00015B27">
      <w:pPr>
        <w:rPr>
          <w:b/>
        </w:rPr>
      </w:pPr>
    </w:p>
    <w:p w14:paraId="692B49A2" w14:textId="77777777" w:rsidR="00015B27" w:rsidRDefault="00015B27" w:rsidP="00015B27">
      <w:pPr>
        <w:rPr>
          <w:b/>
        </w:rPr>
      </w:pPr>
    </w:p>
    <w:p w14:paraId="3CB4B3A1" w14:textId="77777777" w:rsidR="00015B27" w:rsidRDefault="00015B27" w:rsidP="00015B27">
      <w:pPr>
        <w:rPr>
          <w:b/>
        </w:rPr>
      </w:pPr>
    </w:p>
    <w:p w14:paraId="7B5BF0EA" w14:textId="77777777" w:rsidR="00015B27" w:rsidRDefault="00015B27" w:rsidP="00015B27">
      <w:pPr>
        <w:rPr>
          <w:b/>
        </w:rPr>
      </w:pPr>
    </w:p>
    <w:p w14:paraId="11364183" w14:textId="77777777" w:rsidR="00015B27" w:rsidRDefault="00015B27" w:rsidP="00015B27">
      <w:pPr>
        <w:rPr>
          <w:b/>
        </w:rPr>
      </w:pPr>
    </w:p>
    <w:p w14:paraId="697C05D8" w14:textId="77777777" w:rsidR="00015B27" w:rsidRDefault="00015B27" w:rsidP="00015B27">
      <w:pPr>
        <w:rPr>
          <w:b/>
        </w:rPr>
      </w:pPr>
    </w:p>
    <w:p w14:paraId="55F925B4" w14:textId="77777777" w:rsidR="00015B27" w:rsidRDefault="00015B27" w:rsidP="00015B27">
      <w:pPr>
        <w:rPr>
          <w:b/>
        </w:rPr>
      </w:pPr>
    </w:p>
    <w:p w14:paraId="52285C5B" w14:textId="77777777" w:rsidR="00015B27" w:rsidRDefault="00015B27" w:rsidP="00015B27">
      <w:pPr>
        <w:rPr>
          <w:b/>
        </w:rPr>
      </w:pPr>
    </w:p>
    <w:p w14:paraId="716BF376" w14:textId="77777777" w:rsidR="00015B27" w:rsidRDefault="00015B27" w:rsidP="00015B27">
      <w:pPr>
        <w:rPr>
          <w:b/>
        </w:rPr>
      </w:pPr>
    </w:p>
    <w:p w14:paraId="5567DEFE" w14:textId="77777777" w:rsidR="00015B27" w:rsidRDefault="00015B27" w:rsidP="00015B27">
      <w:pPr>
        <w:rPr>
          <w:b/>
        </w:rPr>
      </w:pPr>
    </w:p>
    <w:p w14:paraId="0CE28A1F" w14:textId="77777777" w:rsidR="00015B27" w:rsidRDefault="00015B27" w:rsidP="00015B27">
      <w:pPr>
        <w:rPr>
          <w:b/>
        </w:rPr>
      </w:pPr>
    </w:p>
    <w:p w14:paraId="69D9848D" w14:textId="77777777" w:rsidR="00015B27" w:rsidRDefault="00015B27" w:rsidP="00015B27">
      <w:pPr>
        <w:rPr>
          <w:b/>
        </w:rPr>
      </w:pPr>
    </w:p>
    <w:p w14:paraId="58BF0564" w14:textId="77777777" w:rsidR="00015B27" w:rsidRDefault="00015B27" w:rsidP="00015B27">
      <w:pPr>
        <w:rPr>
          <w:b/>
        </w:rPr>
      </w:pPr>
    </w:p>
    <w:p w14:paraId="333EA3F2" w14:textId="77777777" w:rsidR="00015B27" w:rsidRDefault="00015B27" w:rsidP="00015B27">
      <w:pPr>
        <w:rPr>
          <w:b/>
        </w:rPr>
      </w:pPr>
    </w:p>
    <w:p w14:paraId="052453DC" w14:textId="77777777" w:rsidR="00015B27" w:rsidRDefault="00015B27" w:rsidP="00015B27">
      <w:pPr>
        <w:rPr>
          <w:b/>
        </w:rPr>
      </w:pPr>
    </w:p>
    <w:p w14:paraId="5DB1C356" w14:textId="77777777" w:rsidR="00015B27" w:rsidRDefault="00015B27" w:rsidP="00015B27">
      <w:pPr>
        <w:rPr>
          <w:b/>
        </w:rPr>
      </w:pPr>
    </w:p>
    <w:p w14:paraId="079F9EBA" w14:textId="77777777" w:rsidR="00015B27" w:rsidRDefault="00015B27" w:rsidP="00015B27">
      <w:pPr>
        <w:rPr>
          <w:b/>
        </w:rPr>
      </w:pPr>
    </w:p>
    <w:p w14:paraId="1198E8F1" w14:textId="77777777" w:rsidR="00015B27" w:rsidRDefault="00015B27" w:rsidP="00015B27">
      <w:pPr>
        <w:rPr>
          <w:b/>
        </w:rPr>
      </w:pPr>
    </w:p>
    <w:p w14:paraId="322D0ED6" w14:textId="77777777" w:rsidR="00015B27" w:rsidRDefault="00015B27" w:rsidP="00015B27">
      <w:pPr>
        <w:rPr>
          <w:b/>
        </w:rPr>
      </w:pPr>
    </w:p>
    <w:p w14:paraId="73FDA421" w14:textId="77777777" w:rsidR="00015B27" w:rsidRPr="009E27C0" w:rsidRDefault="00015B27" w:rsidP="00015B27">
      <w:r w:rsidRPr="009E27C0">
        <w:rPr>
          <w:b/>
        </w:rPr>
        <w:t>Figure 2.3</w:t>
      </w:r>
      <w:r>
        <w:rPr>
          <w:b/>
        </w:rPr>
        <w:t xml:space="preserve"> </w:t>
      </w:r>
      <w:r>
        <w:t>Graph showing older people supported in the community in Wales regions in 2013-2014 Data source: www.gov.wales</w:t>
      </w:r>
    </w:p>
    <w:p w14:paraId="01783D26" w14:textId="77777777" w:rsidR="00015B27" w:rsidRDefault="00015B27" w:rsidP="001A7C58">
      <w:pPr>
        <w:tabs>
          <w:tab w:val="left" w:pos="2869"/>
        </w:tabs>
      </w:pPr>
    </w:p>
    <w:p w14:paraId="7CCE8F7A" w14:textId="77777777" w:rsidR="00015B27" w:rsidRDefault="00015B27" w:rsidP="001A7C58">
      <w:pPr>
        <w:tabs>
          <w:tab w:val="left" w:pos="2869"/>
        </w:tabs>
      </w:pPr>
    </w:p>
    <w:p w14:paraId="1B632FC3" w14:textId="77777777" w:rsidR="00015B27" w:rsidRDefault="00015B27" w:rsidP="001A7C58">
      <w:pPr>
        <w:tabs>
          <w:tab w:val="left" w:pos="2869"/>
        </w:tabs>
      </w:pPr>
    </w:p>
    <w:p w14:paraId="472C1532" w14:textId="77777777" w:rsidR="00015B27" w:rsidRDefault="00015B27" w:rsidP="001A7C58">
      <w:pPr>
        <w:tabs>
          <w:tab w:val="left" w:pos="2869"/>
        </w:tabs>
      </w:pPr>
    </w:p>
    <w:p w14:paraId="0135F257" w14:textId="17D41C24" w:rsidR="00015B27" w:rsidRDefault="00015B27" w:rsidP="001A7C58">
      <w:pPr>
        <w:tabs>
          <w:tab w:val="left" w:pos="2869"/>
        </w:tabs>
      </w:pPr>
      <w:r>
        <w:rPr>
          <w:noProof/>
          <w:lang w:eastAsia="en-GB"/>
        </w:rPr>
        <w:drawing>
          <wp:anchor distT="0" distB="0" distL="114300" distR="114300" simplePos="0" relativeHeight="251734016" behindDoc="0" locked="0" layoutInCell="1" allowOverlap="1" wp14:anchorId="3F4861C7" wp14:editId="56DBDAD2">
            <wp:simplePos x="0" y="0"/>
            <wp:positionH relativeFrom="column">
              <wp:posOffset>0</wp:posOffset>
            </wp:positionH>
            <wp:positionV relativeFrom="paragraph">
              <wp:posOffset>-646430</wp:posOffset>
            </wp:positionV>
            <wp:extent cx="3619500" cy="2484120"/>
            <wp:effectExtent l="0" t="0" r="0" b="11430"/>
            <wp:wrapTight wrapText="bothSides">
              <wp:wrapPolygon edited="0">
                <wp:start x="0" y="0"/>
                <wp:lineTo x="0" y="21534"/>
                <wp:lineTo x="21486" y="21534"/>
                <wp:lineTo x="21486" y="0"/>
                <wp:lineTo x="0" y="0"/>
              </wp:wrapPolygon>
            </wp:wrapTight>
            <wp:docPr id="27" name="Chart 27"/>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14:sizeRelH relativeFrom="page">
              <wp14:pctWidth>0</wp14:pctWidth>
            </wp14:sizeRelH>
            <wp14:sizeRelV relativeFrom="page">
              <wp14:pctHeight>0</wp14:pctHeight>
            </wp14:sizeRelV>
          </wp:anchor>
        </w:drawing>
      </w:r>
    </w:p>
    <w:p w14:paraId="0D9E988C" w14:textId="77777777" w:rsidR="00015B27" w:rsidRDefault="00015B27" w:rsidP="001A7C58">
      <w:pPr>
        <w:tabs>
          <w:tab w:val="left" w:pos="2869"/>
        </w:tabs>
      </w:pPr>
    </w:p>
    <w:p w14:paraId="184EFB65" w14:textId="6768317F" w:rsidR="00015B27" w:rsidRDefault="00DB3863" w:rsidP="001A7C58">
      <w:pPr>
        <w:tabs>
          <w:tab w:val="left" w:pos="2869"/>
        </w:tabs>
      </w:pPr>
      <w:r>
        <w:rPr>
          <w:noProof/>
          <w:lang w:eastAsia="en-GB"/>
        </w:rPr>
        <mc:AlternateContent>
          <mc:Choice Requires="wps">
            <w:drawing>
              <wp:anchor distT="0" distB="0" distL="114300" distR="114300" simplePos="0" relativeHeight="251736064" behindDoc="0" locked="0" layoutInCell="1" allowOverlap="1" wp14:anchorId="233FC96D" wp14:editId="611F30D7">
                <wp:simplePos x="0" y="0"/>
                <wp:positionH relativeFrom="margin">
                  <wp:posOffset>3714115</wp:posOffset>
                </wp:positionH>
                <wp:positionV relativeFrom="paragraph">
                  <wp:posOffset>182245</wp:posOffset>
                </wp:positionV>
                <wp:extent cx="2811780" cy="708660"/>
                <wp:effectExtent l="0" t="0" r="0" b="0"/>
                <wp:wrapSquare wrapText="bothSides"/>
                <wp:docPr id="28" name="Text Box 28"/>
                <wp:cNvGraphicFramePr/>
                <a:graphic xmlns:a="http://schemas.openxmlformats.org/drawingml/2006/main">
                  <a:graphicData uri="http://schemas.microsoft.com/office/word/2010/wordprocessingShape">
                    <wps:wsp>
                      <wps:cNvSpPr txBox="1"/>
                      <wps:spPr>
                        <a:xfrm>
                          <a:off x="0" y="0"/>
                          <a:ext cx="2811780" cy="70866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666FBB10" w14:textId="77777777" w:rsidR="000E1085" w:rsidRPr="00B6698E" w:rsidRDefault="000E1085" w:rsidP="00DB3863">
                            <w:r w:rsidRPr="00B6698E">
                              <w:rPr>
                                <w:b/>
                              </w:rPr>
                              <w:t>Figure 2.4</w:t>
                            </w:r>
                            <w:r>
                              <w:rPr>
                                <w:b/>
                              </w:rPr>
                              <w:t xml:space="preserve"> </w:t>
                            </w:r>
                            <w:r>
                              <w:t>Graph showing mid-year estimates of Swansea’s population in 2016. Data source: www.swansea.gov.uk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33FC96D" id="Text Box 28" o:spid="_x0000_s1038" type="#_x0000_t202" style="position:absolute;margin-left:292.45pt;margin-top:14.35pt;width:221.4pt;height:55.8pt;z-index:2517360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" filled="f" stroked="f">
                <v:textbox>
                  <w:txbxContent>
                    <w:p w14:paraId="666FBB10" w14:textId="77777777" w:rsidR="000E1085" w:rsidRPr="00B6698E" w:rsidRDefault="000E1085" w:rsidP="00DB3863">
                      <w:r w:rsidRPr="00B6698E">
                        <w:rPr>
                          <w:b/>
                        </w:rPr>
                        <w:t>Figure 2.4</w:t>
                      </w:r>
                      <w:r>
                        <w:rPr>
                          <w:b/>
                        </w:rPr>
                        <w:t xml:space="preserve"> </w:t>
                      </w:r>
                      <w:r>
                        <w:t>Graph showing mid-year estimates of Swansea’s population in 2016. Data source: www.swansea.gov.uk</w:t>
                      </w:r>
                    </w:p>
                  </w:txbxContent>
                </v:textbox>
                <w10:wrap type="square" anchorx="margin"/>
              </v:shape>
            </w:pict>
          </mc:Fallback>
        </mc:AlternateContent>
      </w:r>
    </w:p>
    <w:p w14:paraId="593CA6C0" w14:textId="77777777" w:rsidR="00015B27" w:rsidRDefault="00015B27" w:rsidP="001A7C58">
      <w:pPr>
        <w:tabs>
          <w:tab w:val="left" w:pos="2869"/>
        </w:tabs>
      </w:pPr>
    </w:p>
    <w:p w14:paraId="06D60951" w14:textId="77777777" w:rsidR="00015B27" w:rsidRDefault="00015B27" w:rsidP="001A7C58">
      <w:pPr>
        <w:tabs>
          <w:tab w:val="left" w:pos="2869"/>
        </w:tabs>
      </w:pPr>
    </w:p>
    <w:p w14:paraId="5C301BAD" w14:textId="77777777" w:rsidR="00015B27" w:rsidRDefault="00015B27" w:rsidP="001A7C58">
      <w:pPr>
        <w:tabs>
          <w:tab w:val="left" w:pos="2869"/>
        </w:tabs>
      </w:pPr>
    </w:p>
    <w:p w14:paraId="71E6B04D" w14:textId="0634E208" w:rsidR="004A3B6E" w:rsidRDefault="004A3B6E" w:rsidP="001A7C58">
      <w:pPr>
        <w:tabs>
          <w:tab w:val="left" w:pos="2869"/>
        </w:tabs>
      </w:pPr>
    </w:p>
    <w:p w14:paraId="3A065C21" w14:textId="011FA326" w:rsidR="004A3B6E" w:rsidRDefault="004A3B6E" w:rsidP="001A7C58">
      <w:pPr>
        <w:tabs>
          <w:tab w:val="left" w:pos="2869"/>
        </w:tabs>
      </w:pPr>
    </w:p>
    <w:p w14:paraId="21093608" w14:textId="472A5E66" w:rsidR="004A3B6E" w:rsidRDefault="00DB3863" w:rsidP="001A7C58">
      <w:pPr>
        <w:tabs>
          <w:tab w:val="left" w:pos="2869"/>
        </w:tabs>
      </w:pPr>
      <w:r>
        <w:t>MENTAL HEALTH</w:t>
      </w:r>
    </w:p>
    <w:p w14:paraId="796A94CA" w14:textId="24A77405" w:rsidR="004A3B6E" w:rsidRDefault="00DB3863" w:rsidP="001A7C58">
      <w:pPr>
        <w:tabs>
          <w:tab w:val="left" w:pos="2869"/>
        </w:tabs>
      </w:pPr>
      <w:r>
        <w:rPr>
          <w:noProof/>
          <w:lang w:eastAsia="en-GB"/>
        </w:rPr>
        <w:drawing>
          <wp:anchor distT="0" distB="0" distL="114300" distR="114300" simplePos="0" relativeHeight="251692032" behindDoc="0" locked="0" layoutInCell="1" allowOverlap="1" wp14:anchorId="582281DF" wp14:editId="514B810A">
            <wp:simplePos x="0" y="0"/>
            <wp:positionH relativeFrom="column">
              <wp:posOffset>64770</wp:posOffset>
            </wp:positionH>
            <wp:positionV relativeFrom="paragraph">
              <wp:posOffset>156210</wp:posOffset>
            </wp:positionV>
            <wp:extent cx="4937760" cy="3169920"/>
            <wp:effectExtent l="0" t="0" r="15240" b="11430"/>
            <wp:wrapTight wrapText="bothSides">
              <wp:wrapPolygon edited="0">
                <wp:start x="0" y="0"/>
                <wp:lineTo x="0" y="21548"/>
                <wp:lineTo x="21583" y="21548"/>
                <wp:lineTo x="21583" y="0"/>
                <wp:lineTo x="0" y="0"/>
              </wp:wrapPolygon>
            </wp:wrapTight>
            <wp:docPr id="29" name="Chart 29"/>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14:sizeRelH relativeFrom="page">
              <wp14:pctWidth>0</wp14:pctWidth>
            </wp14:sizeRelH>
            <wp14:sizeRelV relativeFrom="page">
              <wp14:pctHeight>0</wp14:pctHeight>
            </wp14:sizeRelV>
          </wp:anchor>
        </w:drawing>
      </w:r>
    </w:p>
    <w:p w14:paraId="08DAF8F4" w14:textId="7159A3CF" w:rsidR="004A3B6E" w:rsidRDefault="004A3B6E" w:rsidP="001A7C58">
      <w:pPr>
        <w:tabs>
          <w:tab w:val="left" w:pos="2869"/>
        </w:tabs>
      </w:pPr>
    </w:p>
    <w:p w14:paraId="538D6DF3" w14:textId="77777777" w:rsidR="004A3B6E" w:rsidRDefault="004A3B6E" w:rsidP="001A7C58">
      <w:pPr>
        <w:tabs>
          <w:tab w:val="left" w:pos="2869"/>
        </w:tabs>
      </w:pPr>
    </w:p>
    <w:p w14:paraId="73BFDDCA" w14:textId="77777777" w:rsidR="004A3B6E" w:rsidRDefault="004A3B6E" w:rsidP="001A7C58">
      <w:pPr>
        <w:tabs>
          <w:tab w:val="left" w:pos="2869"/>
        </w:tabs>
      </w:pPr>
    </w:p>
    <w:p w14:paraId="22AC7869" w14:textId="16A797C3" w:rsidR="004A3B6E" w:rsidRDefault="004A3B6E" w:rsidP="001A7C58">
      <w:pPr>
        <w:tabs>
          <w:tab w:val="left" w:pos="2869"/>
        </w:tabs>
      </w:pPr>
    </w:p>
    <w:p w14:paraId="4D940885" w14:textId="77777777" w:rsidR="004A3B6E" w:rsidRDefault="004A3B6E" w:rsidP="001A7C58">
      <w:pPr>
        <w:tabs>
          <w:tab w:val="left" w:pos="2869"/>
        </w:tabs>
      </w:pPr>
    </w:p>
    <w:p w14:paraId="63A65C23" w14:textId="77777777" w:rsidR="004A3B6E" w:rsidRDefault="004A3B6E" w:rsidP="001A7C58">
      <w:pPr>
        <w:tabs>
          <w:tab w:val="left" w:pos="2869"/>
        </w:tabs>
      </w:pPr>
    </w:p>
    <w:p w14:paraId="002998F0" w14:textId="4049F2B3" w:rsidR="004A3B6E" w:rsidRDefault="004A3B6E" w:rsidP="001A7C58">
      <w:pPr>
        <w:tabs>
          <w:tab w:val="left" w:pos="2869"/>
        </w:tabs>
      </w:pPr>
    </w:p>
    <w:p w14:paraId="3F743843" w14:textId="77777777" w:rsidR="00DB3863" w:rsidRDefault="00DB3863" w:rsidP="001A7C58">
      <w:pPr>
        <w:tabs>
          <w:tab w:val="left" w:pos="2869"/>
        </w:tabs>
      </w:pPr>
    </w:p>
    <w:p w14:paraId="689F2792" w14:textId="77777777" w:rsidR="00DB3863" w:rsidRDefault="00DB3863" w:rsidP="001A7C58">
      <w:pPr>
        <w:tabs>
          <w:tab w:val="left" w:pos="2869"/>
        </w:tabs>
      </w:pPr>
    </w:p>
    <w:p w14:paraId="3CBE05F3" w14:textId="77777777" w:rsidR="00DB3863" w:rsidRDefault="00DB3863" w:rsidP="001A7C58">
      <w:pPr>
        <w:tabs>
          <w:tab w:val="left" w:pos="2869"/>
        </w:tabs>
      </w:pPr>
    </w:p>
    <w:p w14:paraId="60F7030F" w14:textId="77777777" w:rsidR="00DB3863" w:rsidRDefault="00DB3863" w:rsidP="001A7C58">
      <w:pPr>
        <w:tabs>
          <w:tab w:val="left" w:pos="2869"/>
        </w:tabs>
      </w:pPr>
    </w:p>
    <w:p w14:paraId="7F3D30BC" w14:textId="77777777" w:rsidR="00DB3863" w:rsidRDefault="00DB3863" w:rsidP="001A7C58">
      <w:pPr>
        <w:tabs>
          <w:tab w:val="left" w:pos="2869"/>
        </w:tabs>
      </w:pPr>
    </w:p>
    <w:p w14:paraId="698397C7" w14:textId="77777777" w:rsidR="00DB3863" w:rsidRDefault="00DB3863" w:rsidP="001A7C58">
      <w:pPr>
        <w:tabs>
          <w:tab w:val="left" w:pos="2869"/>
        </w:tabs>
      </w:pPr>
    </w:p>
    <w:p w14:paraId="78629451" w14:textId="77777777" w:rsidR="00DB3863" w:rsidRDefault="00DB3863" w:rsidP="001A7C58">
      <w:pPr>
        <w:tabs>
          <w:tab w:val="left" w:pos="2869"/>
        </w:tabs>
      </w:pPr>
    </w:p>
    <w:p w14:paraId="78E0DE42" w14:textId="77777777" w:rsidR="00DB3863" w:rsidRDefault="00DB3863" w:rsidP="001A7C58">
      <w:pPr>
        <w:tabs>
          <w:tab w:val="left" w:pos="2869"/>
        </w:tabs>
      </w:pPr>
    </w:p>
    <w:p w14:paraId="65BB8D79" w14:textId="77777777" w:rsidR="00DB3863" w:rsidRDefault="00DB3863" w:rsidP="001A7C58">
      <w:pPr>
        <w:tabs>
          <w:tab w:val="left" w:pos="2869"/>
        </w:tabs>
      </w:pPr>
    </w:p>
    <w:p w14:paraId="672F52C4" w14:textId="77777777" w:rsidR="00DB3863" w:rsidRDefault="00DB3863" w:rsidP="001A7C58">
      <w:pPr>
        <w:tabs>
          <w:tab w:val="left" w:pos="2869"/>
        </w:tabs>
      </w:pPr>
    </w:p>
    <w:p w14:paraId="1D87140E" w14:textId="77777777" w:rsidR="00DB3863" w:rsidRDefault="00DB3863" w:rsidP="001A7C58">
      <w:pPr>
        <w:tabs>
          <w:tab w:val="left" w:pos="2869"/>
        </w:tabs>
      </w:pPr>
    </w:p>
    <w:p w14:paraId="6219114F" w14:textId="06865385" w:rsidR="00DB3863" w:rsidRDefault="00DB3863" w:rsidP="001A7C58">
      <w:pPr>
        <w:tabs>
          <w:tab w:val="left" w:pos="2869"/>
        </w:tabs>
      </w:pPr>
      <w:r>
        <w:rPr>
          <w:noProof/>
          <w:lang w:eastAsia="en-GB"/>
        </w:rPr>
        <mc:AlternateContent>
          <mc:Choice Requires="wps">
            <w:drawing>
              <wp:anchor distT="0" distB="0" distL="114300" distR="114300" simplePos="0" relativeHeight="251738112" behindDoc="0" locked="0" layoutInCell="1" allowOverlap="1" wp14:anchorId="200404E3" wp14:editId="5FB6B6CB">
                <wp:simplePos x="0" y="0"/>
                <wp:positionH relativeFrom="margin">
                  <wp:posOffset>114300</wp:posOffset>
                </wp:positionH>
                <wp:positionV relativeFrom="paragraph">
                  <wp:posOffset>3175</wp:posOffset>
                </wp:positionV>
                <wp:extent cx="5715000" cy="684530"/>
                <wp:effectExtent l="0" t="0" r="0" b="1270"/>
                <wp:wrapSquare wrapText="bothSides"/>
                <wp:docPr id="30" name="Text Box 30"/>
                <wp:cNvGraphicFramePr/>
                <a:graphic xmlns:a="http://schemas.openxmlformats.org/drawingml/2006/main">
                  <a:graphicData uri="http://schemas.microsoft.com/office/word/2010/wordprocessingShape">
                    <wps:wsp>
                      <wps:cNvSpPr txBox="1"/>
                      <wps:spPr>
                        <a:xfrm>
                          <a:off x="0" y="0"/>
                          <a:ext cx="5715000" cy="68453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63A7F14D" w14:textId="77777777" w:rsidR="000E1085" w:rsidRPr="00AF4660" w:rsidRDefault="000E1085" w:rsidP="00DB3863">
                            <w:r w:rsidRPr="00AF4660">
                              <w:rPr>
                                <w:b/>
                              </w:rPr>
                              <w:t>Figure 2.5</w:t>
                            </w:r>
                            <w:r>
                              <w:rPr>
                                <w:b/>
                              </w:rPr>
                              <w:t xml:space="preserve"> </w:t>
                            </w:r>
                            <w:r>
                              <w:t>Graph showing mental component summary score in Wales regions in 2012 and 2013. The lower the score the worse mental health and wellbeing in the area. Data source: www.gov.wales.co.uk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00404E3" id="Text Box 30" o:spid="_x0000_s1039" type="#_x0000_t202" style="position:absolute;margin-left:9pt;margin-top:.25pt;width:450pt;height:53.9pt;z-index:251738112;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" filled="f" stroked="f">
                <v:textbox>
                  <w:txbxContent>
                    <w:p w14:paraId="63A7F14D" w14:textId="77777777" w:rsidR="000E1085" w:rsidRPr="00AF4660" w:rsidRDefault="000E1085" w:rsidP="00DB3863">
                      <w:r w:rsidRPr="00AF4660">
                        <w:rPr>
                          <w:b/>
                        </w:rPr>
                        <w:t>Figure 2.5</w:t>
                      </w:r>
                      <w:r>
                        <w:rPr>
                          <w:b/>
                        </w:rPr>
                        <w:t xml:space="preserve"> </w:t>
                      </w:r>
                      <w:r>
                        <w:t>Graph showing mental component summary score in Wales regions in 2012 and 2013. The lower the score the worse mental health and wellbeing in the area. Data source: www.gov.wales.co.uk</w:t>
                      </w:r>
                    </w:p>
                  </w:txbxContent>
                </v:textbox>
                <w10:wrap type="square" anchorx="margin"/>
              </v:shape>
            </w:pict>
          </mc:Fallback>
        </mc:AlternateContent>
      </w:r>
    </w:p>
    <w:p w14:paraId="76B9F4B0" w14:textId="27DA8E00" w:rsidR="00DB3863" w:rsidRDefault="00DB3863" w:rsidP="001A7C58">
      <w:pPr>
        <w:tabs>
          <w:tab w:val="left" w:pos="2869"/>
        </w:tabs>
      </w:pPr>
    </w:p>
    <w:p w14:paraId="56ED00D8" w14:textId="77777777" w:rsidR="00DB3863" w:rsidRDefault="00DB3863" w:rsidP="001A7C58">
      <w:pPr>
        <w:tabs>
          <w:tab w:val="left" w:pos="2869"/>
        </w:tabs>
      </w:pPr>
    </w:p>
    <w:p w14:paraId="5D463084" w14:textId="77777777" w:rsidR="00DB3863" w:rsidRDefault="00DB3863" w:rsidP="001A7C58">
      <w:pPr>
        <w:tabs>
          <w:tab w:val="left" w:pos="2869"/>
        </w:tabs>
      </w:pPr>
    </w:p>
    <w:p w14:paraId="68C00DD2" w14:textId="7A4BD7E7" w:rsidR="00DB3863" w:rsidRDefault="00DB3863" w:rsidP="001A7C58">
      <w:pPr>
        <w:tabs>
          <w:tab w:val="left" w:pos="2869"/>
        </w:tabs>
      </w:pPr>
      <w:r>
        <w:rPr>
          <w:noProof/>
          <w:lang w:eastAsia="en-GB"/>
        </w:rPr>
        <w:drawing>
          <wp:anchor distT="0" distB="0" distL="114300" distR="114300" simplePos="0" relativeHeight="251694080" behindDoc="0" locked="0" layoutInCell="1" allowOverlap="1" wp14:anchorId="50B614C4" wp14:editId="393BAF40">
            <wp:simplePos x="0" y="0"/>
            <wp:positionH relativeFrom="margin">
              <wp:posOffset>91440</wp:posOffset>
            </wp:positionH>
            <wp:positionV relativeFrom="paragraph">
              <wp:posOffset>8255</wp:posOffset>
            </wp:positionV>
            <wp:extent cx="4823460" cy="2987040"/>
            <wp:effectExtent l="0" t="0" r="15240" b="3810"/>
            <wp:wrapTight wrapText="bothSides">
              <wp:wrapPolygon edited="0">
                <wp:start x="0" y="0"/>
                <wp:lineTo x="0" y="21490"/>
                <wp:lineTo x="21583" y="21490"/>
                <wp:lineTo x="21583" y="0"/>
                <wp:lineTo x="0" y="0"/>
              </wp:wrapPolygon>
            </wp:wrapTight>
            <wp:docPr id="31" name="Chart 31"/>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14:sizeRelH relativeFrom="page">
              <wp14:pctWidth>0</wp14:pctWidth>
            </wp14:sizeRelH>
            <wp14:sizeRelV relativeFrom="page">
              <wp14:pctHeight>0</wp14:pctHeight>
            </wp14:sizeRelV>
          </wp:anchor>
        </w:drawing>
      </w:r>
    </w:p>
    <w:p w14:paraId="2ADF1146" w14:textId="77777777" w:rsidR="00DB3863" w:rsidRDefault="00DB3863" w:rsidP="001A7C58">
      <w:pPr>
        <w:tabs>
          <w:tab w:val="left" w:pos="2869"/>
        </w:tabs>
      </w:pPr>
    </w:p>
    <w:p w14:paraId="4AA6780E" w14:textId="10F74CD9" w:rsidR="00DB3863" w:rsidRDefault="00DB3863" w:rsidP="001A7C58">
      <w:pPr>
        <w:tabs>
          <w:tab w:val="left" w:pos="2869"/>
        </w:tabs>
      </w:pPr>
    </w:p>
    <w:p w14:paraId="6F5891D1" w14:textId="77777777" w:rsidR="00DB3863" w:rsidRDefault="00DB3863" w:rsidP="001A7C58">
      <w:pPr>
        <w:tabs>
          <w:tab w:val="left" w:pos="2869"/>
        </w:tabs>
      </w:pPr>
    </w:p>
    <w:p w14:paraId="33DEEBDF" w14:textId="7DB62FD3" w:rsidR="00DB3863" w:rsidRDefault="00DB3863" w:rsidP="001A7C58">
      <w:pPr>
        <w:tabs>
          <w:tab w:val="left" w:pos="2869"/>
        </w:tabs>
      </w:pPr>
    </w:p>
    <w:p w14:paraId="0A0BA80D" w14:textId="77777777" w:rsidR="00DB3863" w:rsidRDefault="00DB3863" w:rsidP="001A7C58">
      <w:pPr>
        <w:tabs>
          <w:tab w:val="left" w:pos="2869"/>
        </w:tabs>
      </w:pPr>
    </w:p>
    <w:p w14:paraId="7C3AAC9F" w14:textId="07B39738" w:rsidR="00DB3863" w:rsidRDefault="00DB3863" w:rsidP="001A7C58">
      <w:pPr>
        <w:tabs>
          <w:tab w:val="left" w:pos="2869"/>
        </w:tabs>
      </w:pPr>
    </w:p>
    <w:p w14:paraId="71FD4EEA" w14:textId="77777777" w:rsidR="00DB3863" w:rsidRDefault="00DB3863" w:rsidP="001A7C58">
      <w:pPr>
        <w:tabs>
          <w:tab w:val="left" w:pos="2869"/>
        </w:tabs>
      </w:pPr>
    </w:p>
    <w:p w14:paraId="1DC94A4A" w14:textId="77777777" w:rsidR="00DB3863" w:rsidRDefault="00DB3863" w:rsidP="001A7C58">
      <w:pPr>
        <w:tabs>
          <w:tab w:val="left" w:pos="2869"/>
        </w:tabs>
      </w:pPr>
    </w:p>
    <w:p w14:paraId="4E33C648" w14:textId="2FEB0105" w:rsidR="00DB3863" w:rsidRDefault="00DB3863" w:rsidP="001A7C58">
      <w:pPr>
        <w:tabs>
          <w:tab w:val="left" w:pos="2869"/>
        </w:tabs>
      </w:pPr>
    </w:p>
    <w:p w14:paraId="334AAA59" w14:textId="49FF3528" w:rsidR="00DB3863" w:rsidRDefault="00DB3863" w:rsidP="001A7C58">
      <w:pPr>
        <w:tabs>
          <w:tab w:val="left" w:pos="2869"/>
        </w:tabs>
      </w:pPr>
    </w:p>
    <w:p w14:paraId="5275EB47" w14:textId="77777777" w:rsidR="00DB3863" w:rsidRDefault="00DB3863" w:rsidP="001A7C58">
      <w:pPr>
        <w:tabs>
          <w:tab w:val="left" w:pos="2869"/>
        </w:tabs>
      </w:pPr>
    </w:p>
    <w:p w14:paraId="10CFDF8F" w14:textId="77777777" w:rsidR="00DB3863" w:rsidRDefault="00DB3863" w:rsidP="001A7C58">
      <w:pPr>
        <w:tabs>
          <w:tab w:val="left" w:pos="2869"/>
        </w:tabs>
      </w:pPr>
    </w:p>
    <w:p w14:paraId="11C01F7C" w14:textId="77777777" w:rsidR="00DB3863" w:rsidRDefault="00DB3863" w:rsidP="001A7C58">
      <w:pPr>
        <w:tabs>
          <w:tab w:val="left" w:pos="2869"/>
        </w:tabs>
      </w:pPr>
    </w:p>
    <w:p w14:paraId="128483CF" w14:textId="77777777" w:rsidR="00DB3863" w:rsidRDefault="00DB3863" w:rsidP="001A7C58">
      <w:pPr>
        <w:tabs>
          <w:tab w:val="left" w:pos="2869"/>
        </w:tabs>
      </w:pPr>
    </w:p>
    <w:p w14:paraId="00C152AD" w14:textId="77777777" w:rsidR="00DB3863" w:rsidRDefault="00DB3863" w:rsidP="001A7C58">
      <w:pPr>
        <w:tabs>
          <w:tab w:val="left" w:pos="2869"/>
        </w:tabs>
      </w:pPr>
    </w:p>
    <w:p w14:paraId="138D6C59" w14:textId="43C86143" w:rsidR="00DB3863" w:rsidRDefault="00DB3863" w:rsidP="001A7C58">
      <w:pPr>
        <w:tabs>
          <w:tab w:val="left" w:pos="2869"/>
        </w:tabs>
      </w:pPr>
    </w:p>
    <w:p w14:paraId="3BFB781C" w14:textId="77777777" w:rsidR="00DB3863" w:rsidRPr="005268F0" w:rsidRDefault="00DB3863" w:rsidP="00DB3863">
      <w:r w:rsidRPr="005268F0">
        <w:rPr>
          <w:b/>
        </w:rPr>
        <w:t>Figure 2.6</w:t>
      </w:r>
      <w:r>
        <w:rPr>
          <w:b/>
        </w:rPr>
        <w:t xml:space="preserve"> </w:t>
      </w:r>
      <w:r>
        <w:t xml:space="preserve">Shows the total admissions to mental health facilities by local health board in 2015-2016. Data source: </w:t>
      </w:r>
      <w:proofErr w:type="spellStart"/>
      <w:proofErr w:type="gramStart"/>
      <w:r>
        <w:t>statswales.gov.wales</w:t>
      </w:r>
      <w:proofErr w:type="spellEnd"/>
      <w:proofErr w:type="gramEnd"/>
    </w:p>
    <w:p w14:paraId="33826056" w14:textId="77777777" w:rsidR="00DB3863" w:rsidRDefault="00DB3863" w:rsidP="001A7C58">
      <w:pPr>
        <w:tabs>
          <w:tab w:val="left" w:pos="2869"/>
        </w:tabs>
      </w:pPr>
    </w:p>
    <w:p w14:paraId="2BB68598" w14:textId="71339A00" w:rsidR="00DB3863" w:rsidRDefault="00DB3863" w:rsidP="001A7C58">
      <w:pPr>
        <w:tabs>
          <w:tab w:val="left" w:pos="2869"/>
        </w:tabs>
      </w:pPr>
    </w:p>
    <w:p w14:paraId="142FD8D9" w14:textId="4054E53A" w:rsidR="00DB3863" w:rsidRDefault="00DB3863" w:rsidP="001A7C58">
      <w:pPr>
        <w:tabs>
          <w:tab w:val="left" w:pos="2869"/>
        </w:tabs>
      </w:pPr>
    </w:p>
    <w:p w14:paraId="56DCEA14" w14:textId="17BFBBB4" w:rsidR="004A3B6E" w:rsidRDefault="00015B27" w:rsidP="001A7C58">
      <w:pPr>
        <w:tabs>
          <w:tab w:val="left" w:pos="2869"/>
        </w:tabs>
      </w:pPr>
      <w:r>
        <w:rPr>
          <w:noProof/>
          <w:lang w:eastAsia="en-GB"/>
        </w:rPr>
        <mc:AlternateContent>
          <mc:Choice Requires="wps">
            <w:drawing>
              <wp:anchor distT="0" distB="0" distL="114300" distR="114300" simplePos="0" relativeHeight="251695104" behindDoc="0" locked="0" layoutInCell="1" allowOverlap="1" wp14:anchorId="5C471505" wp14:editId="30713469">
                <wp:simplePos x="0" y="0"/>
                <wp:positionH relativeFrom="margin">
                  <wp:align>left</wp:align>
                </wp:positionH>
                <wp:positionV relativeFrom="paragraph">
                  <wp:posOffset>3396615</wp:posOffset>
                </wp:positionV>
                <wp:extent cx="5485880" cy="570576"/>
                <wp:effectExtent l="0" t="0" r="0" b="1270"/>
                <wp:wrapSquare wrapText="bothSides"/>
                <wp:docPr id="32" name="Text Box 32"/>
                <wp:cNvGraphicFramePr/>
                <a:graphic xmlns:a="http://schemas.openxmlformats.org/drawingml/2006/main">
                  <a:graphicData uri="http://schemas.microsoft.com/office/word/2010/wordprocessingShape">
                    <wps:wsp>
                      <wps:cNvSpPr txBox="1"/>
                      <wps:spPr>
                        <a:xfrm>
                          <a:off x="0" y="0"/>
                          <a:ext cx="5485880" cy="570576"/>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6DA6BC51" w14:textId="1012CAD1" w:rsidR="000E1085" w:rsidRPr="005268F0" w:rsidRDefault="000E108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C471505" id="Text Box 32" o:spid="_x0000_s1040" type="#_x0000_t202" style="position:absolute;margin-left:0;margin-top:267.45pt;width:431.95pt;height:44.95pt;z-index:25169510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" filled="f" stroked="f">
                <v:textbox>
                  <w:txbxContent>
                    <w:p w14:paraId="6DA6BC51" w14:textId="1012CAD1" w:rsidR="000E1085" w:rsidRPr="005268F0" w:rsidRDefault="000E1085"/>
                  </w:txbxContent>
                </v:textbox>
                <w10:wrap type="square" anchorx="margin"/>
              </v:shape>
            </w:pict>
          </mc:Fallback>
        </mc:AlternateContent>
      </w:r>
      <w:r w:rsidR="005750F3">
        <w:t xml:space="preserve">The World Health Organisation (WHO, 2014) defines mental health </w:t>
      </w:r>
      <w:r w:rsidR="00A56F51">
        <w:t xml:space="preserve">as a state of well-being, in which every individual realises his or her own potential, can cope with the normal stresses of life, can work productively or fruitfully, and is able to make a contribution to her or his community. </w:t>
      </w:r>
      <w:r w:rsidR="00DF650B">
        <w:t xml:space="preserve">The Mental Health Foundation (2016) state that in Wales </w:t>
      </w:r>
      <w:r w:rsidR="00371631">
        <w:t xml:space="preserve">13% of adults over the age of 16 had received treatment for a mental health problem. This was an increase from the previous year. Figure 2.5 shows the mental </w:t>
      </w:r>
      <w:r w:rsidR="00DD29ED">
        <w:t>component summary score in the regions of Wales</w:t>
      </w:r>
      <w:r w:rsidR="00371631">
        <w:t xml:space="preserve"> in 2012 and 2</w:t>
      </w:r>
      <w:r w:rsidR="007307FD">
        <w:t xml:space="preserve">013. A lower score means that mental health and wellbeing is worse. Swansea’s mean score was the second worse in Wales. This indicates that there is an issue with mental health and wellbeing in Swansea. Furthermore figure 2.6 shows that </w:t>
      </w:r>
      <w:proofErr w:type="spellStart"/>
      <w:r w:rsidR="007307FD">
        <w:t>Abertawe</w:t>
      </w:r>
      <w:proofErr w:type="spellEnd"/>
      <w:r w:rsidR="007307FD">
        <w:t xml:space="preserve"> Bro </w:t>
      </w:r>
      <w:proofErr w:type="spellStart"/>
      <w:r w:rsidR="007307FD">
        <w:t>Morgannwg</w:t>
      </w:r>
      <w:proofErr w:type="spellEnd"/>
      <w:r w:rsidR="007307FD">
        <w:t xml:space="preserve"> University Health Board</w:t>
      </w:r>
      <w:r w:rsidR="005D07F0">
        <w:t xml:space="preserve">, which is the health board for Swansea admitted the most patients for mental health reasons. The issue of mental health in Swansea may be connected to the employment issues and ageing population. </w:t>
      </w:r>
      <w:r w:rsidR="00787CE8">
        <w:t>The reason for this is that the lack of employment opportunities can lead to mental health problems like depression or low self-esteem</w:t>
      </w:r>
      <w:r w:rsidR="009A3C2E">
        <w:t xml:space="preserve">, this is supported by Goldsmith and </w:t>
      </w:r>
      <w:proofErr w:type="spellStart"/>
      <w:r w:rsidR="009A3C2E">
        <w:t>Diette</w:t>
      </w:r>
      <w:proofErr w:type="spellEnd"/>
      <w:r w:rsidR="009A3C2E">
        <w:t xml:space="preserve"> (2012)</w:t>
      </w:r>
      <w:r w:rsidR="00787CE8">
        <w:t xml:space="preserve">.  </w:t>
      </w:r>
    </w:p>
    <w:p w14:paraId="740CF8A0" w14:textId="08EBEFF7" w:rsidR="004A3B6E" w:rsidRDefault="009A3C2E" w:rsidP="001A7C58">
      <w:pPr>
        <w:tabs>
          <w:tab w:val="left" w:pos="2869"/>
        </w:tabs>
      </w:pPr>
      <w:r>
        <w:t xml:space="preserve"> </w:t>
      </w:r>
    </w:p>
    <w:p w14:paraId="47A3C714" w14:textId="77777777" w:rsidR="001A0CCA" w:rsidRDefault="001A0CCA" w:rsidP="001A7C58">
      <w:pPr>
        <w:tabs>
          <w:tab w:val="left" w:pos="2869"/>
        </w:tabs>
      </w:pPr>
    </w:p>
    <w:p w14:paraId="0BFDAC72" w14:textId="77777777" w:rsidR="00186B95" w:rsidRDefault="00186B95" w:rsidP="001A7C58">
      <w:pPr>
        <w:tabs>
          <w:tab w:val="left" w:pos="2869"/>
        </w:tabs>
      </w:pPr>
    </w:p>
    <w:p w14:paraId="1DCD46D7" w14:textId="77777777" w:rsidR="00186B95" w:rsidRDefault="00186B95" w:rsidP="001A7C58">
      <w:pPr>
        <w:tabs>
          <w:tab w:val="left" w:pos="2869"/>
        </w:tabs>
      </w:pPr>
    </w:p>
    <w:p w14:paraId="67236D23" w14:textId="77777777" w:rsidR="00186B95" w:rsidRDefault="00186B95" w:rsidP="001A7C58">
      <w:pPr>
        <w:tabs>
          <w:tab w:val="left" w:pos="2869"/>
        </w:tabs>
      </w:pPr>
    </w:p>
    <w:p w14:paraId="551EB90C" w14:textId="77777777" w:rsidR="00186B95" w:rsidRDefault="00186B95" w:rsidP="001A7C58">
      <w:pPr>
        <w:tabs>
          <w:tab w:val="left" w:pos="2869"/>
        </w:tabs>
      </w:pPr>
    </w:p>
    <w:p w14:paraId="16ADD954" w14:textId="77777777" w:rsidR="00186B95" w:rsidRDefault="00186B95" w:rsidP="001A7C58">
      <w:pPr>
        <w:tabs>
          <w:tab w:val="left" w:pos="2869"/>
        </w:tabs>
      </w:pPr>
    </w:p>
    <w:p w14:paraId="2677286F" w14:textId="77777777" w:rsidR="00186B95" w:rsidRDefault="00186B95" w:rsidP="001A7C58">
      <w:pPr>
        <w:tabs>
          <w:tab w:val="left" w:pos="2869"/>
        </w:tabs>
      </w:pPr>
    </w:p>
    <w:p w14:paraId="4456F7A6" w14:textId="77777777" w:rsidR="00186B95" w:rsidRDefault="00186B95" w:rsidP="001A7C58">
      <w:pPr>
        <w:tabs>
          <w:tab w:val="left" w:pos="2869"/>
        </w:tabs>
      </w:pPr>
    </w:p>
    <w:p w14:paraId="57678687" w14:textId="77777777" w:rsidR="00186B95" w:rsidRDefault="00186B95" w:rsidP="001A7C58">
      <w:pPr>
        <w:tabs>
          <w:tab w:val="left" w:pos="2869"/>
        </w:tabs>
      </w:pPr>
    </w:p>
    <w:p w14:paraId="39A0C01C" w14:textId="77777777" w:rsidR="00186B95" w:rsidRDefault="00186B95" w:rsidP="001A7C58">
      <w:pPr>
        <w:tabs>
          <w:tab w:val="left" w:pos="2869"/>
        </w:tabs>
      </w:pPr>
    </w:p>
    <w:p w14:paraId="66F6CE8E" w14:textId="77777777" w:rsidR="00186B95" w:rsidRDefault="00186B95" w:rsidP="001A7C58">
      <w:pPr>
        <w:tabs>
          <w:tab w:val="left" w:pos="2869"/>
        </w:tabs>
      </w:pPr>
    </w:p>
    <w:p w14:paraId="255F1C5E" w14:textId="77777777" w:rsidR="00186B95" w:rsidRDefault="00186B95" w:rsidP="001A7C58">
      <w:pPr>
        <w:tabs>
          <w:tab w:val="left" w:pos="2869"/>
        </w:tabs>
      </w:pPr>
    </w:p>
    <w:p w14:paraId="4CD00283" w14:textId="77777777" w:rsidR="00186B95" w:rsidRDefault="00186B95" w:rsidP="001A7C58">
      <w:pPr>
        <w:tabs>
          <w:tab w:val="left" w:pos="2869"/>
        </w:tabs>
      </w:pPr>
    </w:p>
    <w:p w14:paraId="62FD368D" w14:textId="77777777" w:rsidR="00186B95" w:rsidRDefault="00186B95" w:rsidP="001A7C58">
      <w:pPr>
        <w:tabs>
          <w:tab w:val="left" w:pos="2869"/>
        </w:tabs>
      </w:pPr>
    </w:p>
    <w:p w14:paraId="2722ACB2" w14:textId="77777777" w:rsidR="00186B95" w:rsidRDefault="00186B95" w:rsidP="001A7C58">
      <w:pPr>
        <w:tabs>
          <w:tab w:val="left" w:pos="2869"/>
        </w:tabs>
      </w:pPr>
    </w:p>
    <w:p w14:paraId="7847EA99" w14:textId="77777777" w:rsidR="00186B95" w:rsidRDefault="00186B95" w:rsidP="001A7C58">
      <w:pPr>
        <w:tabs>
          <w:tab w:val="left" w:pos="2869"/>
        </w:tabs>
      </w:pPr>
    </w:p>
    <w:p w14:paraId="79FFE9C9" w14:textId="77777777" w:rsidR="00186B95" w:rsidRDefault="00186B95" w:rsidP="001A7C58">
      <w:pPr>
        <w:tabs>
          <w:tab w:val="left" w:pos="2869"/>
        </w:tabs>
      </w:pPr>
    </w:p>
    <w:p w14:paraId="4CFAEC59" w14:textId="77777777" w:rsidR="00186B95" w:rsidRDefault="00186B95" w:rsidP="001A7C58">
      <w:pPr>
        <w:tabs>
          <w:tab w:val="left" w:pos="2869"/>
        </w:tabs>
      </w:pPr>
    </w:p>
    <w:p w14:paraId="5149ED12" w14:textId="77777777" w:rsidR="00186B95" w:rsidRDefault="00186B95" w:rsidP="001A7C58">
      <w:pPr>
        <w:tabs>
          <w:tab w:val="left" w:pos="2869"/>
        </w:tabs>
      </w:pPr>
    </w:p>
    <w:p w14:paraId="1C18A41B" w14:textId="77777777" w:rsidR="00186B95" w:rsidRDefault="00186B95" w:rsidP="001A7C58">
      <w:pPr>
        <w:tabs>
          <w:tab w:val="left" w:pos="2869"/>
        </w:tabs>
      </w:pPr>
    </w:p>
    <w:p w14:paraId="785C6E1B" w14:textId="77777777" w:rsidR="00186B95" w:rsidRDefault="00186B95" w:rsidP="001A7C58">
      <w:pPr>
        <w:tabs>
          <w:tab w:val="left" w:pos="2869"/>
        </w:tabs>
      </w:pPr>
    </w:p>
    <w:p w14:paraId="0CF8FAE5" w14:textId="77777777" w:rsidR="00186B95" w:rsidRDefault="00186B95" w:rsidP="001A7C58">
      <w:pPr>
        <w:tabs>
          <w:tab w:val="left" w:pos="2869"/>
        </w:tabs>
      </w:pPr>
    </w:p>
    <w:p w14:paraId="46BDEB0C" w14:textId="77777777" w:rsidR="00186B95" w:rsidRDefault="00186B95" w:rsidP="001A7C58">
      <w:pPr>
        <w:tabs>
          <w:tab w:val="left" w:pos="2869"/>
        </w:tabs>
      </w:pPr>
    </w:p>
    <w:p w14:paraId="7EEF0C9D" w14:textId="77777777" w:rsidR="00186B95" w:rsidRDefault="00186B95" w:rsidP="001A7C58">
      <w:pPr>
        <w:tabs>
          <w:tab w:val="left" w:pos="2869"/>
        </w:tabs>
      </w:pPr>
    </w:p>
    <w:p w14:paraId="33C3DA66" w14:textId="77777777" w:rsidR="00186B95" w:rsidRDefault="00186B95" w:rsidP="001A7C58">
      <w:pPr>
        <w:tabs>
          <w:tab w:val="left" w:pos="2869"/>
        </w:tabs>
      </w:pPr>
    </w:p>
    <w:p w14:paraId="7B9E3C2A" w14:textId="77777777" w:rsidR="00186B95" w:rsidRDefault="00186B95" w:rsidP="001A7C58">
      <w:pPr>
        <w:tabs>
          <w:tab w:val="left" w:pos="2869"/>
        </w:tabs>
      </w:pPr>
    </w:p>
    <w:p w14:paraId="0077118C" w14:textId="77777777" w:rsidR="00186B95" w:rsidRDefault="00186B95" w:rsidP="001A7C58">
      <w:pPr>
        <w:tabs>
          <w:tab w:val="left" w:pos="2869"/>
        </w:tabs>
      </w:pPr>
    </w:p>
    <w:p w14:paraId="72E8C5C1" w14:textId="77777777" w:rsidR="00186B95" w:rsidRDefault="00186B95" w:rsidP="001A7C58">
      <w:pPr>
        <w:tabs>
          <w:tab w:val="left" w:pos="2869"/>
        </w:tabs>
      </w:pPr>
    </w:p>
    <w:p w14:paraId="66F76929" w14:textId="77777777" w:rsidR="00186B95" w:rsidRDefault="00186B95" w:rsidP="001A7C58">
      <w:pPr>
        <w:tabs>
          <w:tab w:val="left" w:pos="2869"/>
        </w:tabs>
      </w:pPr>
    </w:p>
    <w:p w14:paraId="3C8A2C6D" w14:textId="77777777" w:rsidR="00186B95" w:rsidRDefault="00186B95" w:rsidP="001A7C58">
      <w:pPr>
        <w:tabs>
          <w:tab w:val="left" w:pos="2869"/>
        </w:tabs>
      </w:pPr>
    </w:p>
    <w:p w14:paraId="1BD725F8" w14:textId="77777777" w:rsidR="00186B95" w:rsidRDefault="00186B95" w:rsidP="001A7C58">
      <w:pPr>
        <w:tabs>
          <w:tab w:val="left" w:pos="2869"/>
        </w:tabs>
      </w:pPr>
    </w:p>
    <w:p w14:paraId="27D862CD" w14:textId="77777777" w:rsidR="00186B95" w:rsidRDefault="00186B95" w:rsidP="001A7C58">
      <w:pPr>
        <w:tabs>
          <w:tab w:val="left" w:pos="2869"/>
        </w:tabs>
      </w:pPr>
    </w:p>
    <w:p w14:paraId="335325CB" w14:textId="27BFCACC" w:rsidR="00186B95" w:rsidRDefault="00DB3863" w:rsidP="001A7C58">
      <w:pPr>
        <w:tabs>
          <w:tab w:val="left" w:pos="2869"/>
        </w:tabs>
      </w:pPr>
      <w:r>
        <w:lastRenderedPageBreak/>
        <w:t>WELSH LANGUAGE</w:t>
      </w:r>
    </w:p>
    <w:p w14:paraId="17DDB5FD" w14:textId="23151268" w:rsidR="00186B95" w:rsidRDefault="00DB3863" w:rsidP="001A7C58">
      <w:pPr>
        <w:tabs>
          <w:tab w:val="left" w:pos="2869"/>
        </w:tabs>
      </w:pPr>
      <w:r>
        <w:rPr>
          <w:noProof/>
          <w:lang w:eastAsia="en-GB"/>
        </w:rPr>
        <w:drawing>
          <wp:anchor distT="0" distB="0" distL="114300" distR="114300" simplePos="0" relativeHeight="251696128" behindDoc="0" locked="0" layoutInCell="1" allowOverlap="1" wp14:anchorId="1B9E7F36" wp14:editId="07ACB21C">
            <wp:simplePos x="0" y="0"/>
            <wp:positionH relativeFrom="column">
              <wp:posOffset>-118110</wp:posOffset>
            </wp:positionH>
            <wp:positionV relativeFrom="paragraph">
              <wp:posOffset>154940</wp:posOffset>
            </wp:positionV>
            <wp:extent cx="5882640" cy="3566160"/>
            <wp:effectExtent l="0" t="0" r="3810" b="15240"/>
            <wp:wrapTight wrapText="bothSides">
              <wp:wrapPolygon edited="0">
                <wp:start x="0" y="0"/>
                <wp:lineTo x="0" y="21577"/>
                <wp:lineTo x="21544" y="21577"/>
                <wp:lineTo x="21544" y="0"/>
                <wp:lineTo x="0" y="0"/>
              </wp:wrapPolygon>
            </wp:wrapTight>
            <wp:docPr id="33" name="Chart 33"/>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14:sizeRelH relativeFrom="page">
              <wp14:pctWidth>0</wp14:pctWidth>
            </wp14:sizeRelH>
            <wp14:sizeRelV relativeFrom="page">
              <wp14:pctHeight>0</wp14:pctHeight>
            </wp14:sizeRelV>
          </wp:anchor>
        </w:drawing>
      </w:r>
    </w:p>
    <w:p w14:paraId="2565DF8F" w14:textId="77777777" w:rsidR="00E075ED" w:rsidRDefault="00E075ED" w:rsidP="001A7C58">
      <w:pPr>
        <w:tabs>
          <w:tab w:val="left" w:pos="2869"/>
        </w:tabs>
      </w:pPr>
    </w:p>
    <w:p w14:paraId="503E46F7" w14:textId="77777777" w:rsidR="00E075ED" w:rsidRDefault="00E075ED" w:rsidP="001A7C58">
      <w:pPr>
        <w:tabs>
          <w:tab w:val="left" w:pos="2869"/>
        </w:tabs>
      </w:pPr>
    </w:p>
    <w:p w14:paraId="00355FA8" w14:textId="77777777" w:rsidR="00E075ED" w:rsidRDefault="00E075ED" w:rsidP="001A7C58">
      <w:pPr>
        <w:tabs>
          <w:tab w:val="left" w:pos="2869"/>
        </w:tabs>
      </w:pPr>
    </w:p>
    <w:p w14:paraId="1AA34F0E" w14:textId="77777777" w:rsidR="00E075ED" w:rsidRDefault="00E075ED" w:rsidP="001A7C58">
      <w:pPr>
        <w:tabs>
          <w:tab w:val="left" w:pos="2869"/>
        </w:tabs>
      </w:pPr>
    </w:p>
    <w:p w14:paraId="061C8736" w14:textId="77777777" w:rsidR="00E075ED" w:rsidRDefault="00E075ED" w:rsidP="001A7C58">
      <w:pPr>
        <w:tabs>
          <w:tab w:val="left" w:pos="2869"/>
        </w:tabs>
      </w:pPr>
    </w:p>
    <w:p w14:paraId="0F7BCA2A" w14:textId="77777777" w:rsidR="00E075ED" w:rsidRDefault="00E075ED" w:rsidP="001A7C58">
      <w:pPr>
        <w:tabs>
          <w:tab w:val="left" w:pos="2869"/>
        </w:tabs>
      </w:pPr>
    </w:p>
    <w:p w14:paraId="1B0764FD" w14:textId="77777777" w:rsidR="00E075ED" w:rsidRDefault="00E075ED" w:rsidP="001A7C58">
      <w:pPr>
        <w:tabs>
          <w:tab w:val="left" w:pos="2869"/>
        </w:tabs>
      </w:pPr>
    </w:p>
    <w:p w14:paraId="05B9FEA2" w14:textId="77777777" w:rsidR="00E075ED" w:rsidRDefault="00E075ED" w:rsidP="001A7C58">
      <w:pPr>
        <w:tabs>
          <w:tab w:val="left" w:pos="2869"/>
        </w:tabs>
      </w:pPr>
    </w:p>
    <w:p w14:paraId="4B6A45CC" w14:textId="77777777" w:rsidR="00E075ED" w:rsidRDefault="00E075ED" w:rsidP="001A7C58">
      <w:pPr>
        <w:tabs>
          <w:tab w:val="left" w:pos="2869"/>
        </w:tabs>
      </w:pPr>
    </w:p>
    <w:p w14:paraId="47047EBF" w14:textId="77777777" w:rsidR="00E075ED" w:rsidRDefault="00E075ED" w:rsidP="001A7C58">
      <w:pPr>
        <w:tabs>
          <w:tab w:val="left" w:pos="2869"/>
        </w:tabs>
      </w:pPr>
    </w:p>
    <w:p w14:paraId="127F44D9" w14:textId="77777777" w:rsidR="00E075ED" w:rsidRDefault="00E075ED" w:rsidP="001A7C58">
      <w:pPr>
        <w:tabs>
          <w:tab w:val="left" w:pos="2869"/>
        </w:tabs>
      </w:pPr>
    </w:p>
    <w:p w14:paraId="3780FC0B" w14:textId="77777777" w:rsidR="00E075ED" w:rsidRDefault="00E075ED" w:rsidP="001A7C58">
      <w:pPr>
        <w:tabs>
          <w:tab w:val="left" w:pos="2869"/>
        </w:tabs>
      </w:pPr>
    </w:p>
    <w:p w14:paraId="6A520936" w14:textId="77777777" w:rsidR="00E075ED" w:rsidRDefault="00E075ED" w:rsidP="001A7C58">
      <w:pPr>
        <w:tabs>
          <w:tab w:val="left" w:pos="2869"/>
        </w:tabs>
      </w:pPr>
    </w:p>
    <w:p w14:paraId="267F089F" w14:textId="77777777" w:rsidR="00E31CE4" w:rsidRDefault="00E31CE4" w:rsidP="001A7C58">
      <w:pPr>
        <w:tabs>
          <w:tab w:val="left" w:pos="2869"/>
        </w:tabs>
      </w:pPr>
    </w:p>
    <w:p w14:paraId="727A7D9F" w14:textId="77777777" w:rsidR="00E31CE4" w:rsidRDefault="00E31CE4" w:rsidP="001A7C58">
      <w:pPr>
        <w:tabs>
          <w:tab w:val="left" w:pos="2869"/>
        </w:tabs>
      </w:pPr>
    </w:p>
    <w:p w14:paraId="60323B80" w14:textId="77777777" w:rsidR="00E31CE4" w:rsidRDefault="00E31CE4" w:rsidP="001A7C58">
      <w:pPr>
        <w:tabs>
          <w:tab w:val="left" w:pos="2869"/>
        </w:tabs>
      </w:pPr>
    </w:p>
    <w:p w14:paraId="022193F7" w14:textId="77777777" w:rsidR="00E31CE4" w:rsidRDefault="00E31CE4" w:rsidP="001A7C58">
      <w:pPr>
        <w:tabs>
          <w:tab w:val="left" w:pos="2869"/>
        </w:tabs>
      </w:pPr>
    </w:p>
    <w:p w14:paraId="5D3624E0" w14:textId="77777777" w:rsidR="00E31CE4" w:rsidRDefault="00E31CE4" w:rsidP="001A7C58">
      <w:pPr>
        <w:tabs>
          <w:tab w:val="left" w:pos="2869"/>
        </w:tabs>
      </w:pPr>
    </w:p>
    <w:p w14:paraId="01317D6C" w14:textId="6737D850" w:rsidR="00E31CE4" w:rsidRDefault="00DB3863" w:rsidP="001A7C58">
      <w:pPr>
        <w:tabs>
          <w:tab w:val="left" w:pos="2869"/>
        </w:tabs>
      </w:pPr>
      <w:r>
        <w:rPr>
          <w:noProof/>
          <w:lang w:eastAsia="en-GB"/>
        </w:rPr>
        <mc:AlternateContent>
          <mc:Choice Requires="wps">
            <w:drawing>
              <wp:anchor distT="0" distB="0" distL="114300" distR="114300" simplePos="0" relativeHeight="251697152" behindDoc="0" locked="0" layoutInCell="1" allowOverlap="1" wp14:anchorId="245425B5" wp14:editId="793F91A1">
                <wp:simplePos x="0" y="0"/>
                <wp:positionH relativeFrom="column">
                  <wp:posOffset>-253365</wp:posOffset>
                </wp:positionH>
                <wp:positionV relativeFrom="paragraph">
                  <wp:posOffset>242570</wp:posOffset>
                </wp:positionV>
                <wp:extent cx="6286500" cy="457200"/>
                <wp:effectExtent l="0" t="0" r="0" b="0"/>
                <wp:wrapSquare wrapText="bothSides"/>
                <wp:docPr id="34" name="Text Box 34"/>
                <wp:cNvGraphicFramePr/>
                <a:graphic xmlns:a="http://schemas.openxmlformats.org/drawingml/2006/main">
                  <a:graphicData uri="http://schemas.microsoft.com/office/word/2010/wordprocessingShape">
                    <wps:wsp>
                      <wps:cNvSpPr txBox="1"/>
                      <wps:spPr>
                        <a:xfrm>
                          <a:off x="0" y="0"/>
                          <a:ext cx="6286500" cy="4572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41E900BA" w14:textId="15E182A0" w:rsidR="000E1085" w:rsidRPr="00235F43" w:rsidRDefault="000E1085">
                            <w:r>
                              <w:rPr>
                                <w:b/>
                              </w:rPr>
                              <w:t xml:space="preserve">Figure 2.7 </w:t>
                            </w:r>
                            <w:r>
                              <w:t xml:space="preserve">Graph showing the percentage of welsh speakers aged 3+ in 2011. Data source: </w:t>
                            </w:r>
                            <w:proofErr w:type="spellStart"/>
                            <w:proofErr w:type="gramStart"/>
                            <w:r>
                              <w:t>gov.wales</w:t>
                            </w:r>
                            <w:proofErr w:type="spellEnd"/>
                            <w:proofErr w:type="gram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45425B5" id="Text Box 34" o:spid="_x0000_s1041" type="#_x0000_t202" style="position:absolute;margin-left:-19.95pt;margin-top:19.1pt;width:495pt;height:36pt;z-index:2516971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" filled="f" stroked="f">
                <v:textbox>
                  <w:txbxContent>
                    <w:p w14:paraId="41E900BA" w14:textId="15E182A0" w:rsidR="000E1085" w:rsidRPr="00235F43" w:rsidRDefault="000E1085">
                      <w:r>
                        <w:rPr>
                          <w:b/>
                        </w:rPr>
                        <w:t xml:space="preserve">Figure 2.7 </w:t>
                      </w:r>
                      <w:r>
                        <w:t xml:space="preserve">Graph showing the percentage of welsh speakers aged 3+ in 2011. Data source: </w:t>
                      </w:r>
                      <w:proofErr w:type="spellStart"/>
                      <w:proofErr w:type="gramStart"/>
                      <w:r>
                        <w:t>gov.wales</w:t>
                      </w:r>
                      <w:proofErr w:type="spellEnd"/>
                      <w:proofErr w:type="gramEnd"/>
                    </w:p>
                  </w:txbxContent>
                </v:textbox>
                <w10:wrap type="square"/>
              </v:shape>
            </w:pict>
          </mc:Fallback>
        </mc:AlternateContent>
      </w:r>
    </w:p>
    <w:p w14:paraId="62A54CC2" w14:textId="1F85D083" w:rsidR="00E31CE4" w:rsidRDefault="00816D0B" w:rsidP="001A7C58">
      <w:pPr>
        <w:tabs>
          <w:tab w:val="left" w:pos="2869"/>
        </w:tabs>
      </w:pPr>
      <w:r>
        <w:rPr>
          <w:noProof/>
          <w:lang w:eastAsia="en-GB"/>
        </w:rPr>
        <w:lastRenderedPageBreak/>
        <mc:AlternateContent>
          <mc:Choice Requires="wps">
            <w:drawing>
              <wp:anchor distT="0" distB="0" distL="114300" distR="114300" simplePos="0" relativeHeight="251703296" behindDoc="0" locked="0" layoutInCell="1" allowOverlap="1" wp14:anchorId="18700227" wp14:editId="216B8564">
                <wp:simplePos x="0" y="0"/>
                <wp:positionH relativeFrom="column">
                  <wp:posOffset>-291465</wp:posOffset>
                </wp:positionH>
                <wp:positionV relativeFrom="paragraph">
                  <wp:posOffset>8246110</wp:posOffset>
                </wp:positionV>
                <wp:extent cx="6285865" cy="455930"/>
                <wp:effectExtent l="0" t="0" r="0" b="1270"/>
                <wp:wrapSquare wrapText="bothSides"/>
                <wp:docPr id="40" name="Text Box 40"/>
                <wp:cNvGraphicFramePr/>
                <a:graphic xmlns:a="http://schemas.openxmlformats.org/drawingml/2006/main">
                  <a:graphicData uri="http://schemas.microsoft.com/office/word/2010/wordprocessingShape">
                    <wps:wsp>
                      <wps:cNvSpPr txBox="1"/>
                      <wps:spPr>
                        <a:xfrm>
                          <a:off x="0" y="0"/>
                          <a:ext cx="6285865" cy="45593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50F4B3EF" w14:textId="1842EC53" w:rsidR="000E1085" w:rsidRPr="00816D0B" w:rsidRDefault="000E1085">
                            <w:r w:rsidRPr="00816D0B">
                              <w:rPr>
                                <w:b/>
                              </w:rPr>
                              <w:t>F</w:t>
                            </w:r>
                            <w:r>
                              <w:rPr>
                                <w:b/>
                              </w:rPr>
                              <w:t xml:space="preserve">igure 2.9 </w:t>
                            </w:r>
                            <w:r>
                              <w:t xml:space="preserve">Graph showing the percentage of Swansea residents that can speak, read and write Welsh as of the 2011 census. Data source: Office for National Statistics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8700227" id="Text Box 40" o:spid="_x0000_s1042" type="#_x0000_t202" style="position:absolute;margin-left:-22.95pt;margin-top:649.3pt;width:494.95pt;height:35.9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" filled="f" stroked="f">
                <v:textbox>
                  <w:txbxContent>
                    <w:p w14:paraId="50F4B3EF" w14:textId="1842EC53" w:rsidR="000E1085" w:rsidRPr="00816D0B" w:rsidRDefault="000E1085">
                      <w:r w:rsidRPr="00816D0B">
                        <w:rPr>
                          <w:b/>
                        </w:rPr>
                        <w:t>F</w:t>
                      </w:r>
                      <w:r>
                        <w:rPr>
                          <w:b/>
                        </w:rPr>
                        <w:t xml:space="preserve">igure 2.9 </w:t>
                      </w:r>
                      <w:r>
                        <w:t xml:space="preserve">Graph showing the percentage of Swansea residents that can speak, read and write Welsh as of the 2011 census. Data source: Office for National Statistics </w:t>
                      </w:r>
                    </w:p>
                  </w:txbxContent>
                </v:textbox>
                <w10:wrap type="square"/>
              </v:shape>
            </w:pict>
          </mc:Fallback>
        </mc:AlternateContent>
      </w:r>
      <w:r>
        <w:rPr>
          <w:noProof/>
          <w:lang w:eastAsia="en-GB"/>
        </w:rPr>
        <w:drawing>
          <wp:anchor distT="0" distB="0" distL="114300" distR="114300" simplePos="0" relativeHeight="251702272" behindDoc="0" locked="0" layoutInCell="1" allowOverlap="1" wp14:anchorId="250CE1A1" wp14:editId="00C58ED0">
            <wp:simplePos x="0" y="0"/>
            <wp:positionH relativeFrom="column">
              <wp:posOffset>-291465</wp:posOffset>
            </wp:positionH>
            <wp:positionV relativeFrom="paragraph">
              <wp:posOffset>4816475</wp:posOffset>
            </wp:positionV>
            <wp:extent cx="6285865" cy="3278505"/>
            <wp:effectExtent l="0" t="0" r="13335" b="23495"/>
            <wp:wrapTight wrapText="bothSides">
              <wp:wrapPolygon edited="0">
                <wp:start x="0" y="0"/>
                <wp:lineTo x="0" y="21587"/>
                <wp:lineTo x="21559" y="21587"/>
                <wp:lineTo x="21559" y="0"/>
                <wp:lineTo x="0" y="0"/>
              </wp:wrapPolygon>
            </wp:wrapTight>
            <wp:docPr id="39" name="Chart 39"/>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14:sizeRelH relativeFrom="page">
              <wp14:pctWidth>0</wp14:pctWidth>
            </wp14:sizeRelH>
            <wp14:sizeRelV relativeFrom="page">
              <wp14:pctHeight>0</wp14:pctHeight>
            </wp14:sizeRelV>
          </wp:anchor>
        </w:drawing>
      </w:r>
      <w:r w:rsidR="00824726">
        <w:rPr>
          <w:noProof/>
          <w:lang w:eastAsia="en-GB"/>
        </w:rPr>
        <mc:AlternateContent>
          <mc:Choice Requires="wps">
            <w:drawing>
              <wp:anchor distT="0" distB="0" distL="114300" distR="114300" simplePos="0" relativeHeight="251701248" behindDoc="0" locked="0" layoutInCell="1" allowOverlap="1" wp14:anchorId="0531F3C5" wp14:editId="17863653">
                <wp:simplePos x="0" y="0"/>
                <wp:positionH relativeFrom="column">
                  <wp:posOffset>-288925</wp:posOffset>
                </wp:positionH>
                <wp:positionV relativeFrom="paragraph">
                  <wp:posOffset>4128135</wp:posOffset>
                </wp:positionV>
                <wp:extent cx="6172200" cy="457200"/>
                <wp:effectExtent l="0" t="0" r="0" b="0"/>
                <wp:wrapSquare wrapText="bothSides"/>
                <wp:docPr id="38" name="Text Box 38"/>
                <wp:cNvGraphicFramePr/>
                <a:graphic xmlns:a="http://schemas.openxmlformats.org/drawingml/2006/main">
                  <a:graphicData uri="http://schemas.microsoft.com/office/word/2010/wordprocessingShape">
                    <wps:wsp>
                      <wps:cNvSpPr txBox="1"/>
                      <wps:spPr>
                        <a:xfrm>
                          <a:off x="0" y="0"/>
                          <a:ext cx="6172200" cy="4572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32CF83B1" w14:textId="3A70506F" w:rsidR="000E1085" w:rsidRPr="00E075ED" w:rsidRDefault="000E1085">
                            <w:r w:rsidRPr="00E075ED">
                              <w:rPr>
                                <w:b/>
                              </w:rPr>
                              <w:t>F</w:t>
                            </w:r>
                            <w:r>
                              <w:rPr>
                                <w:b/>
                              </w:rPr>
                              <w:t>igure 2.8</w:t>
                            </w:r>
                            <w:r w:rsidRPr="00E075ED">
                              <w:rPr>
                                <w:b/>
                              </w:rPr>
                              <w:t xml:space="preserve"> </w:t>
                            </w:r>
                            <w:r>
                              <w:t xml:space="preserve">Graph to show the number of Swansea residents that can speak, read and write Welsh compared to usual resident population. Data source: Office for National Statistics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531F3C5" id="Text Box 38" o:spid="_x0000_s1043" type="#_x0000_t202" style="position:absolute;margin-left:-22.75pt;margin-top:325.05pt;width:486pt;height:36pt;z-index:2517012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" filled="f" stroked="f">
                <v:textbox>
                  <w:txbxContent>
                    <w:p w14:paraId="32CF83B1" w14:textId="3A70506F" w:rsidR="000E1085" w:rsidRPr="00E075ED" w:rsidRDefault="000E1085">
                      <w:r w:rsidRPr="00E075ED">
                        <w:rPr>
                          <w:b/>
                        </w:rPr>
                        <w:t>F</w:t>
                      </w:r>
                      <w:r>
                        <w:rPr>
                          <w:b/>
                        </w:rPr>
                        <w:t>igure 2.8</w:t>
                      </w:r>
                      <w:r w:rsidRPr="00E075ED">
                        <w:rPr>
                          <w:b/>
                        </w:rPr>
                        <w:t xml:space="preserve"> </w:t>
                      </w:r>
                      <w:r>
                        <w:t xml:space="preserve">Graph to show the number of Swansea residents that can speak, read and write Welsh compared to usual resident population. Data source: Office for National Statistics </w:t>
                      </w:r>
                    </w:p>
                  </w:txbxContent>
                </v:textbox>
                <w10:wrap type="square"/>
              </v:shape>
            </w:pict>
          </mc:Fallback>
        </mc:AlternateContent>
      </w:r>
      <w:r w:rsidR="00824726">
        <w:rPr>
          <w:noProof/>
          <w:lang w:eastAsia="en-GB"/>
        </w:rPr>
        <w:drawing>
          <wp:anchor distT="0" distB="0" distL="114300" distR="114300" simplePos="0" relativeHeight="251700224" behindDoc="0" locked="0" layoutInCell="1" allowOverlap="1" wp14:anchorId="18C040CD" wp14:editId="578061EC">
            <wp:simplePos x="0" y="0"/>
            <wp:positionH relativeFrom="column">
              <wp:posOffset>-298450</wp:posOffset>
            </wp:positionH>
            <wp:positionV relativeFrom="paragraph">
              <wp:posOffset>2540</wp:posOffset>
            </wp:positionV>
            <wp:extent cx="6292850" cy="4013200"/>
            <wp:effectExtent l="0" t="0" r="6350" b="0"/>
            <wp:wrapTight wrapText="bothSides">
              <wp:wrapPolygon edited="0">
                <wp:start x="0" y="0"/>
                <wp:lineTo x="0" y="21463"/>
                <wp:lineTo x="21535" y="21463"/>
                <wp:lineTo x="21535" y="0"/>
                <wp:lineTo x="0" y="0"/>
              </wp:wrapPolygon>
            </wp:wrapTight>
            <wp:docPr id="37" name="Chart 37"/>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14:sizeRelH relativeFrom="page">
              <wp14:pctWidth>0</wp14:pctWidth>
            </wp14:sizeRelH>
            <wp14:sizeRelV relativeFrom="page">
              <wp14:pctHeight>0</wp14:pctHeight>
            </wp14:sizeRelV>
          </wp:anchor>
        </w:drawing>
      </w:r>
      <w:r w:rsidR="00824726">
        <w:rPr>
          <w:noProof/>
          <w:lang w:eastAsia="en-GB"/>
        </w:rPr>
        <mc:AlternateContent>
          <mc:Choice Requires="wps">
            <w:drawing>
              <wp:anchor distT="0" distB="0" distL="114300" distR="114300" simplePos="0" relativeHeight="251699200" behindDoc="0" locked="0" layoutInCell="1" allowOverlap="1" wp14:anchorId="3479F99C" wp14:editId="65BA2DA3">
                <wp:simplePos x="0" y="0"/>
                <wp:positionH relativeFrom="column">
                  <wp:posOffset>53975</wp:posOffset>
                </wp:positionH>
                <wp:positionV relativeFrom="paragraph">
                  <wp:posOffset>3557905</wp:posOffset>
                </wp:positionV>
                <wp:extent cx="5600700" cy="457200"/>
                <wp:effectExtent l="0" t="0" r="0" b="0"/>
                <wp:wrapSquare wrapText="bothSides"/>
                <wp:docPr id="36" name="Text Box 36"/>
                <wp:cNvGraphicFramePr/>
                <a:graphic xmlns:a="http://schemas.openxmlformats.org/drawingml/2006/main">
                  <a:graphicData uri="http://schemas.microsoft.com/office/word/2010/wordprocessingShape">
                    <wps:wsp>
                      <wps:cNvSpPr txBox="1"/>
                      <wps:spPr>
                        <a:xfrm>
                          <a:off x="0" y="0"/>
                          <a:ext cx="5600700" cy="4572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100F26C1" w14:textId="77AB9ABD" w:rsidR="000E1085" w:rsidRPr="009A084F" w:rsidRDefault="000E1085">
                            <w:r w:rsidRPr="009A084F">
                              <w:rPr>
                                <w:b/>
                              </w:rPr>
                              <w:t>Figure 2.8</w:t>
                            </w:r>
                            <w:r>
                              <w:rPr>
                                <w:b/>
                              </w:rPr>
                              <w:t xml:space="preserve"> </w:t>
                            </w:r>
                            <w:r>
                              <w:t xml:space="preserve">Graph showing the percentage of welsh speakers in Wales and Swansea from 2001 – 2013. Data source: </w:t>
                            </w:r>
                            <w:proofErr w:type="spellStart"/>
                            <w:proofErr w:type="gramStart"/>
                            <w:r>
                              <w:t>gov.wales</w:t>
                            </w:r>
                            <w:proofErr w:type="spellEnd"/>
                            <w:proofErr w:type="gram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479F99C" id="Text Box 36" o:spid="_x0000_s1044" type="#_x0000_t202" style="position:absolute;margin-left:4.25pt;margin-top:280.15pt;width:441pt;height:36pt;z-index:2516992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" filled="f" stroked="f">
                <v:textbox>
                  <w:txbxContent>
                    <w:p w14:paraId="100F26C1" w14:textId="77AB9ABD" w:rsidR="000E1085" w:rsidRPr="009A084F" w:rsidRDefault="000E1085">
                      <w:r w:rsidRPr="009A084F">
                        <w:rPr>
                          <w:b/>
                        </w:rPr>
                        <w:t>Figure 2.8</w:t>
                      </w:r>
                      <w:r>
                        <w:rPr>
                          <w:b/>
                        </w:rPr>
                        <w:t xml:space="preserve"> </w:t>
                      </w:r>
                      <w:r>
                        <w:t xml:space="preserve">Graph showing the percentage of welsh speakers in Wales and Swansea from 2001 – 2013. Data source: </w:t>
                      </w:r>
                      <w:proofErr w:type="spellStart"/>
                      <w:proofErr w:type="gramStart"/>
                      <w:r>
                        <w:t>gov.wales</w:t>
                      </w:r>
                      <w:proofErr w:type="spellEnd"/>
                      <w:proofErr w:type="gramEnd"/>
                    </w:p>
                  </w:txbxContent>
                </v:textbox>
                <w10:wrap type="square"/>
              </v:shape>
            </w:pict>
          </mc:Fallback>
        </mc:AlternateContent>
      </w:r>
      <w:r w:rsidR="00824726">
        <w:rPr>
          <w:noProof/>
          <w:lang w:eastAsia="en-GB"/>
        </w:rPr>
        <w:drawing>
          <wp:anchor distT="0" distB="0" distL="114300" distR="114300" simplePos="0" relativeHeight="251698176" behindDoc="0" locked="0" layoutInCell="1" allowOverlap="1" wp14:anchorId="2DEAEE64" wp14:editId="1C26BBDE">
            <wp:simplePos x="0" y="0"/>
            <wp:positionH relativeFrom="column">
              <wp:posOffset>-62865</wp:posOffset>
            </wp:positionH>
            <wp:positionV relativeFrom="paragraph">
              <wp:posOffset>2540</wp:posOffset>
            </wp:positionV>
            <wp:extent cx="5828665" cy="3556000"/>
            <wp:effectExtent l="0" t="0" r="13335" b="0"/>
            <wp:wrapTight wrapText="bothSides">
              <wp:wrapPolygon edited="0">
                <wp:start x="0" y="0"/>
                <wp:lineTo x="0" y="21446"/>
                <wp:lineTo x="21555" y="21446"/>
                <wp:lineTo x="21555" y="0"/>
                <wp:lineTo x="0" y="0"/>
              </wp:wrapPolygon>
            </wp:wrapTight>
            <wp:docPr id="35" name="Chart 35"/>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14:sizeRelH relativeFrom="page">
              <wp14:pctWidth>0</wp14:pctWidth>
            </wp14:sizeRelH>
            <wp14:sizeRelV relativeFrom="page">
              <wp14:pctHeight>0</wp14:pctHeight>
            </wp14:sizeRelV>
          </wp:anchor>
        </w:drawing>
      </w:r>
    </w:p>
    <w:p w14:paraId="7A7E94FA" w14:textId="5975D41E" w:rsidR="00E31CE4" w:rsidRDefault="00261B0A" w:rsidP="001A7C58">
      <w:pPr>
        <w:tabs>
          <w:tab w:val="left" w:pos="2869"/>
        </w:tabs>
      </w:pPr>
      <w:r>
        <w:lastRenderedPageBreak/>
        <w:t>Figure 2.7 shows the percentage of welsh speakers per region in Wales in 2011.</w:t>
      </w:r>
      <w:r w:rsidR="00A34AAE">
        <w:t xml:space="preserve"> </w:t>
      </w:r>
      <w:r w:rsidR="0004232C">
        <w:t>The graph shows that the whole of Wales has less than half of their population speaking Welsh with the exception of the Isle of Anglesey.</w:t>
      </w:r>
      <w:r>
        <w:t xml:space="preserve"> Swansea has the eighth worst percentage of Welsh </w:t>
      </w:r>
      <w:r w:rsidR="0004232C">
        <w:t>speakers in Wales with 11 percent</w:t>
      </w:r>
      <w:r>
        <w:t xml:space="preserve">. </w:t>
      </w:r>
      <w:r w:rsidR="0004232C">
        <w:t xml:space="preserve">Figure 2.9 breaks down the number of residents in Swansea </w:t>
      </w:r>
      <w:r w:rsidR="00006FAC">
        <w:t>that can speak, read and write W</w:t>
      </w:r>
      <w:r w:rsidR="0004232C">
        <w:t xml:space="preserve">elsh. The data indicates that every ward in Swansea has a minute percentage of residents that can speak, read and write welsh. The only wards in Swansea that have more than 20 percent are </w:t>
      </w:r>
      <w:proofErr w:type="spellStart"/>
      <w:r w:rsidR="0004232C">
        <w:t>Townhill</w:t>
      </w:r>
      <w:proofErr w:type="spellEnd"/>
      <w:r w:rsidR="0004232C">
        <w:t xml:space="preserve"> and </w:t>
      </w:r>
      <w:proofErr w:type="spellStart"/>
      <w:r w:rsidR="0004232C">
        <w:t>Landore</w:t>
      </w:r>
      <w:proofErr w:type="spellEnd"/>
      <w:r w:rsidR="0004232C">
        <w:t>. The data implicates a possible issue in both Wales and Swansea as the numbers of welsh speakers are extremely l</w:t>
      </w:r>
      <w:r w:rsidR="00AB5199">
        <w:t>ow. The residents of Swansea are missing out on the potential benefits of learning the Welsh language. Firstly, learning languages can improve brain function and the ability to learn. Also knowing another language can reduce mental decline as people get older, this is supported by Devine (2016).</w:t>
      </w:r>
      <w:r w:rsidR="001C1F95">
        <w:t xml:space="preserve"> This suggests that an increase </w:t>
      </w:r>
      <w:r w:rsidR="00006FAC">
        <w:t>in uptake of the W</w:t>
      </w:r>
      <w:r w:rsidR="001C1F95">
        <w:t xml:space="preserve">elsh language in Swansea could have a positive effect on the poor mental health. </w:t>
      </w:r>
      <w:r w:rsidR="00AB5199">
        <w:t xml:space="preserve"> </w:t>
      </w:r>
      <w:r w:rsidR="00155472">
        <w:t>Furthermore, on top of improving attention</w:t>
      </w:r>
      <w:r w:rsidR="00006FAC">
        <w:t xml:space="preserve"> spans and brain activity, the W</w:t>
      </w:r>
      <w:r w:rsidR="00155472">
        <w:t>elsh language is part of the culture, the low number of welsh speakers in Swansea signifies a loss of c</w:t>
      </w:r>
      <w:r w:rsidR="001C1F95">
        <w:t>ultural i</w:t>
      </w:r>
      <w:r w:rsidR="00006FAC">
        <w:t>dentity. The popularity of the W</w:t>
      </w:r>
      <w:r w:rsidR="001C1F95">
        <w:t xml:space="preserve">elsh language </w:t>
      </w:r>
      <w:r w:rsidR="00155472">
        <w:t xml:space="preserve">is a key issue in Swansea that needs to be addressed. </w:t>
      </w:r>
      <w:r w:rsidR="00006FAC">
        <w:t>Finally speaking W</w:t>
      </w:r>
      <w:r w:rsidR="00B8188E">
        <w:t xml:space="preserve">elsh can improve employability as it is part of welsh law that both English and welsh be treated </w:t>
      </w:r>
      <w:r w:rsidR="00006FAC">
        <w:t>equally,</w:t>
      </w:r>
      <w:r w:rsidR="00B8188E">
        <w:t xml:space="preserve"> this is supported by </w:t>
      </w:r>
      <w:proofErr w:type="spellStart"/>
      <w:r w:rsidR="00006FAC">
        <w:t>Cymraeg.gov.wales</w:t>
      </w:r>
      <w:proofErr w:type="spellEnd"/>
      <w:r w:rsidR="00006FAC">
        <w:t xml:space="preserve"> (2015)</w:t>
      </w:r>
      <w:r w:rsidR="00B8188E">
        <w:t xml:space="preserve">. An increase in Welsh speakers could have a positive effect on the poor employment in Swansea. </w:t>
      </w:r>
    </w:p>
    <w:p w14:paraId="652632B4" w14:textId="179D4D34" w:rsidR="00E31CE4" w:rsidRDefault="00E31CE4" w:rsidP="001A7C58">
      <w:pPr>
        <w:tabs>
          <w:tab w:val="left" w:pos="2869"/>
        </w:tabs>
      </w:pPr>
    </w:p>
    <w:p w14:paraId="30F0404A" w14:textId="77777777" w:rsidR="00414BA8" w:rsidRDefault="00414BA8" w:rsidP="001A7C58">
      <w:pPr>
        <w:tabs>
          <w:tab w:val="left" w:pos="2869"/>
        </w:tabs>
      </w:pPr>
    </w:p>
    <w:p w14:paraId="0BDF2F3A" w14:textId="77777777" w:rsidR="00414BA8" w:rsidRDefault="00414BA8" w:rsidP="001A7C58">
      <w:pPr>
        <w:tabs>
          <w:tab w:val="left" w:pos="2869"/>
        </w:tabs>
      </w:pPr>
    </w:p>
    <w:p w14:paraId="0C237D78" w14:textId="77777777" w:rsidR="00414BA8" w:rsidRDefault="00414BA8" w:rsidP="001A7C58">
      <w:pPr>
        <w:tabs>
          <w:tab w:val="left" w:pos="2869"/>
        </w:tabs>
      </w:pPr>
    </w:p>
    <w:p w14:paraId="48911D50" w14:textId="77777777" w:rsidR="00414BA8" w:rsidRDefault="00414BA8" w:rsidP="001A7C58">
      <w:pPr>
        <w:tabs>
          <w:tab w:val="left" w:pos="2869"/>
        </w:tabs>
      </w:pPr>
    </w:p>
    <w:p w14:paraId="021E732A" w14:textId="77777777" w:rsidR="00414BA8" w:rsidRDefault="00414BA8" w:rsidP="001A7C58">
      <w:pPr>
        <w:tabs>
          <w:tab w:val="left" w:pos="2869"/>
        </w:tabs>
      </w:pPr>
    </w:p>
    <w:p w14:paraId="6534B15A" w14:textId="77777777" w:rsidR="00414BA8" w:rsidRDefault="00414BA8" w:rsidP="001A7C58">
      <w:pPr>
        <w:tabs>
          <w:tab w:val="left" w:pos="2869"/>
        </w:tabs>
      </w:pPr>
    </w:p>
    <w:p w14:paraId="3184B226" w14:textId="77777777" w:rsidR="00414BA8" w:rsidRDefault="00414BA8" w:rsidP="001A7C58">
      <w:pPr>
        <w:tabs>
          <w:tab w:val="left" w:pos="2869"/>
        </w:tabs>
      </w:pPr>
    </w:p>
    <w:p w14:paraId="4AB32E3A" w14:textId="77777777" w:rsidR="00414BA8" w:rsidRDefault="00414BA8" w:rsidP="001A7C58">
      <w:pPr>
        <w:tabs>
          <w:tab w:val="left" w:pos="2869"/>
        </w:tabs>
      </w:pPr>
    </w:p>
    <w:p w14:paraId="5701396A" w14:textId="77777777" w:rsidR="00414BA8" w:rsidRDefault="00414BA8" w:rsidP="001A7C58">
      <w:pPr>
        <w:tabs>
          <w:tab w:val="left" w:pos="2869"/>
        </w:tabs>
      </w:pPr>
    </w:p>
    <w:p w14:paraId="6504893F" w14:textId="77777777" w:rsidR="00414BA8" w:rsidRDefault="00414BA8" w:rsidP="001A7C58">
      <w:pPr>
        <w:tabs>
          <w:tab w:val="left" w:pos="2869"/>
        </w:tabs>
      </w:pPr>
    </w:p>
    <w:p w14:paraId="7A122BBF" w14:textId="77777777" w:rsidR="00414BA8" w:rsidRDefault="00414BA8" w:rsidP="001A7C58">
      <w:pPr>
        <w:tabs>
          <w:tab w:val="left" w:pos="2869"/>
        </w:tabs>
      </w:pPr>
    </w:p>
    <w:p w14:paraId="262533E0" w14:textId="77777777" w:rsidR="00414BA8" w:rsidRDefault="00414BA8" w:rsidP="001A7C58">
      <w:pPr>
        <w:tabs>
          <w:tab w:val="left" w:pos="2869"/>
        </w:tabs>
      </w:pPr>
    </w:p>
    <w:p w14:paraId="7C43EB04" w14:textId="77777777" w:rsidR="00414BA8" w:rsidRDefault="00414BA8" w:rsidP="001A7C58">
      <w:pPr>
        <w:tabs>
          <w:tab w:val="left" w:pos="2869"/>
        </w:tabs>
      </w:pPr>
    </w:p>
    <w:p w14:paraId="549C0611" w14:textId="77777777" w:rsidR="00414BA8" w:rsidRDefault="00414BA8" w:rsidP="001A7C58">
      <w:pPr>
        <w:tabs>
          <w:tab w:val="left" w:pos="2869"/>
        </w:tabs>
      </w:pPr>
    </w:p>
    <w:p w14:paraId="00A19FB5" w14:textId="77777777" w:rsidR="00414BA8" w:rsidRDefault="00414BA8" w:rsidP="001A7C58">
      <w:pPr>
        <w:tabs>
          <w:tab w:val="left" w:pos="2869"/>
        </w:tabs>
      </w:pPr>
    </w:p>
    <w:p w14:paraId="53789AF3" w14:textId="77777777" w:rsidR="00414BA8" w:rsidRDefault="00414BA8" w:rsidP="001A7C58">
      <w:pPr>
        <w:tabs>
          <w:tab w:val="left" w:pos="2869"/>
        </w:tabs>
      </w:pPr>
    </w:p>
    <w:p w14:paraId="54DD3EF5" w14:textId="77777777" w:rsidR="00414BA8" w:rsidRDefault="00414BA8" w:rsidP="001A7C58">
      <w:pPr>
        <w:tabs>
          <w:tab w:val="left" w:pos="2869"/>
        </w:tabs>
      </w:pPr>
    </w:p>
    <w:p w14:paraId="46C52AC6" w14:textId="77777777" w:rsidR="00414BA8" w:rsidRDefault="00414BA8" w:rsidP="001A7C58">
      <w:pPr>
        <w:tabs>
          <w:tab w:val="left" w:pos="2869"/>
        </w:tabs>
      </w:pPr>
    </w:p>
    <w:p w14:paraId="1506CBBE" w14:textId="77777777" w:rsidR="00414BA8" w:rsidRDefault="00414BA8" w:rsidP="001A7C58">
      <w:pPr>
        <w:tabs>
          <w:tab w:val="left" w:pos="2869"/>
        </w:tabs>
      </w:pPr>
    </w:p>
    <w:p w14:paraId="40C2FB62" w14:textId="77777777" w:rsidR="00414BA8" w:rsidRDefault="00414BA8" w:rsidP="001A7C58">
      <w:pPr>
        <w:tabs>
          <w:tab w:val="left" w:pos="2869"/>
        </w:tabs>
      </w:pPr>
    </w:p>
    <w:p w14:paraId="1332C3C2" w14:textId="77777777" w:rsidR="00414BA8" w:rsidRDefault="00414BA8" w:rsidP="001A7C58">
      <w:pPr>
        <w:tabs>
          <w:tab w:val="left" w:pos="2869"/>
        </w:tabs>
      </w:pPr>
    </w:p>
    <w:p w14:paraId="1D8CA532" w14:textId="77777777" w:rsidR="00414BA8" w:rsidRDefault="00414BA8" w:rsidP="001A7C58">
      <w:pPr>
        <w:tabs>
          <w:tab w:val="left" w:pos="2869"/>
        </w:tabs>
      </w:pPr>
    </w:p>
    <w:p w14:paraId="37AA4016" w14:textId="77777777" w:rsidR="00414BA8" w:rsidRDefault="00414BA8" w:rsidP="001A7C58">
      <w:pPr>
        <w:tabs>
          <w:tab w:val="left" w:pos="2869"/>
        </w:tabs>
      </w:pPr>
    </w:p>
    <w:p w14:paraId="19696C6D" w14:textId="77777777" w:rsidR="00414BA8" w:rsidRDefault="00414BA8" w:rsidP="001A7C58">
      <w:pPr>
        <w:tabs>
          <w:tab w:val="left" w:pos="2869"/>
        </w:tabs>
      </w:pPr>
    </w:p>
    <w:p w14:paraId="7C7162AB" w14:textId="77777777" w:rsidR="00414BA8" w:rsidRDefault="00414BA8" w:rsidP="001A7C58">
      <w:pPr>
        <w:tabs>
          <w:tab w:val="left" w:pos="2869"/>
        </w:tabs>
      </w:pPr>
    </w:p>
    <w:p w14:paraId="24E3287E" w14:textId="77777777" w:rsidR="00414BA8" w:rsidRDefault="00414BA8" w:rsidP="001A7C58">
      <w:pPr>
        <w:tabs>
          <w:tab w:val="left" w:pos="2869"/>
        </w:tabs>
      </w:pPr>
    </w:p>
    <w:p w14:paraId="67EB10DA" w14:textId="05AA5217" w:rsidR="00414BA8" w:rsidRDefault="00183FFF" w:rsidP="007956F7">
      <w:pPr>
        <w:tabs>
          <w:tab w:val="left" w:pos="2869"/>
        </w:tabs>
        <w:outlineLvl w:val="0"/>
        <w:rPr>
          <w:u w:val="single"/>
        </w:rPr>
      </w:pPr>
      <w:r>
        <w:rPr>
          <w:noProof/>
          <w:lang w:eastAsia="en-GB"/>
        </w:rPr>
        <w:lastRenderedPageBreak/>
        <w:drawing>
          <wp:anchor distT="0" distB="0" distL="114300" distR="114300" simplePos="0" relativeHeight="251704320" behindDoc="0" locked="0" layoutInCell="1" allowOverlap="1" wp14:anchorId="091590E6" wp14:editId="3CE70EF0">
            <wp:simplePos x="0" y="0"/>
            <wp:positionH relativeFrom="column">
              <wp:posOffset>-637540</wp:posOffset>
            </wp:positionH>
            <wp:positionV relativeFrom="paragraph">
              <wp:posOffset>245110</wp:posOffset>
            </wp:positionV>
            <wp:extent cx="7089140" cy="5142230"/>
            <wp:effectExtent l="0" t="0" r="22860" b="13970"/>
            <wp:wrapTight wrapText="bothSides">
              <wp:wrapPolygon edited="0">
                <wp:start x="0" y="0"/>
                <wp:lineTo x="0" y="21552"/>
                <wp:lineTo x="21592" y="21552"/>
                <wp:lineTo x="21592" y="0"/>
                <wp:lineTo x="0" y="0"/>
              </wp:wrapPolygon>
            </wp:wrapTight>
            <wp:docPr id="41" name="Chart 41"/>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14:sizeRelH relativeFrom="page">
              <wp14:pctWidth>0</wp14:pctWidth>
            </wp14:sizeRelH>
            <wp14:sizeRelV relativeFrom="page">
              <wp14:pctHeight>0</wp14:pctHeight>
            </wp14:sizeRelV>
          </wp:anchor>
        </w:drawing>
      </w:r>
      <w:r w:rsidR="00DB3863" w:rsidRPr="00414BA8">
        <w:rPr>
          <w:u w:val="single"/>
        </w:rPr>
        <w:t>HOMELESSNESS</w:t>
      </w:r>
    </w:p>
    <w:p w14:paraId="51868B7B" w14:textId="63B64060" w:rsidR="00414BA8" w:rsidRDefault="00AB5BC4" w:rsidP="001A7C58">
      <w:pPr>
        <w:tabs>
          <w:tab w:val="left" w:pos="2869"/>
        </w:tabs>
        <w:rPr>
          <w:u w:val="single"/>
        </w:rPr>
      </w:pPr>
      <w:r>
        <w:rPr>
          <w:noProof/>
          <w:u w:val="single"/>
          <w:lang w:eastAsia="en-GB"/>
        </w:rPr>
        <mc:AlternateContent>
          <mc:Choice Requires="wps">
            <w:drawing>
              <wp:anchor distT="0" distB="0" distL="114300" distR="114300" simplePos="0" relativeHeight="251705344" behindDoc="0" locked="0" layoutInCell="1" allowOverlap="1" wp14:anchorId="632F6487" wp14:editId="1B916D80">
                <wp:simplePos x="0" y="0"/>
                <wp:positionH relativeFrom="column">
                  <wp:posOffset>-634365</wp:posOffset>
                </wp:positionH>
                <wp:positionV relativeFrom="paragraph">
                  <wp:posOffset>5316220</wp:posOffset>
                </wp:positionV>
                <wp:extent cx="7086600" cy="457200"/>
                <wp:effectExtent l="0" t="0" r="0" b="0"/>
                <wp:wrapSquare wrapText="bothSides"/>
                <wp:docPr id="42" name="Text Box 42"/>
                <wp:cNvGraphicFramePr/>
                <a:graphic xmlns:a="http://schemas.openxmlformats.org/drawingml/2006/main">
                  <a:graphicData uri="http://schemas.microsoft.com/office/word/2010/wordprocessingShape">
                    <wps:wsp>
                      <wps:cNvSpPr txBox="1"/>
                      <wps:spPr>
                        <a:xfrm>
                          <a:off x="0" y="0"/>
                          <a:ext cx="7086600" cy="4572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0AC2736E" w14:textId="33D6044E" w:rsidR="000E1085" w:rsidRPr="00AB5BC4" w:rsidRDefault="000E1085">
                            <w:r w:rsidRPr="00AB5BC4">
                              <w:rPr>
                                <w:b/>
                              </w:rPr>
                              <w:t>F</w:t>
                            </w:r>
                            <w:r>
                              <w:rPr>
                                <w:b/>
                              </w:rPr>
                              <w:t xml:space="preserve">igure 3.0 </w:t>
                            </w:r>
                            <w:r>
                              <w:t>Shows the monthly mean number of rough sleepers in Swansea contacted per day. Data source: www.thewallich.com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32F6487" id="Text Box 42" o:spid="_x0000_s1045" type="#_x0000_t202" style="position:absolute;margin-left:-49.95pt;margin-top:418.6pt;width:558pt;height:36pt;z-index:2517053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" filled="f" stroked="f">
                <v:textbox>
                  <w:txbxContent>
                    <w:p w14:paraId="0AC2736E" w14:textId="33D6044E" w:rsidR="000E1085" w:rsidRPr="00AB5BC4" w:rsidRDefault="000E1085">
                      <w:r w:rsidRPr="00AB5BC4">
                        <w:rPr>
                          <w:b/>
                        </w:rPr>
                        <w:t>F</w:t>
                      </w:r>
                      <w:r>
                        <w:rPr>
                          <w:b/>
                        </w:rPr>
                        <w:t xml:space="preserve">igure 3.0 </w:t>
                      </w:r>
                      <w:r>
                        <w:t>Shows the monthly mean number of rough sleepers in Swansea contacted per day. Data source: www.thewallich.com</w:t>
                      </w:r>
                    </w:p>
                  </w:txbxContent>
                </v:textbox>
                <w10:wrap type="square"/>
              </v:shape>
            </w:pict>
          </mc:Fallback>
        </mc:AlternateContent>
      </w:r>
    </w:p>
    <w:p w14:paraId="31A1C87F" w14:textId="77777777" w:rsidR="00414BA8" w:rsidRPr="00414BA8" w:rsidRDefault="00414BA8" w:rsidP="001A7C58">
      <w:pPr>
        <w:tabs>
          <w:tab w:val="left" w:pos="2869"/>
        </w:tabs>
      </w:pPr>
    </w:p>
    <w:p w14:paraId="05741536" w14:textId="28C929BC" w:rsidR="00E31CE4" w:rsidRDefault="00E31CE4" w:rsidP="001A7C58">
      <w:pPr>
        <w:tabs>
          <w:tab w:val="left" w:pos="2869"/>
        </w:tabs>
      </w:pPr>
    </w:p>
    <w:p w14:paraId="515E68B8" w14:textId="6070C3C3" w:rsidR="00E31CE4" w:rsidRDefault="00E31CE4" w:rsidP="001A7C58">
      <w:pPr>
        <w:tabs>
          <w:tab w:val="left" w:pos="2869"/>
        </w:tabs>
      </w:pPr>
    </w:p>
    <w:p w14:paraId="104236C8" w14:textId="77777777" w:rsidR="000D7518" w:rsidRDefault="000D7518" w:rsidP="001A7C58">
      <w:pPr>
        <w:tabs>
          <w:tab w:val="left" w:pos="2869"/>
        </w:tabs>
      </w:pPr>
    </w:p>
    <w:p w14:paraId="573C4F9A" w14:textId="77777777" w:rsidR="000D7518" w:rsidRDefault="000D7518" w:rsidP="001A7C58">
      <w:pPr>
        <w:tabs>
          <w:tab w:val="left" w:pos="2869"/>
        </w:tabs>
      </w:pPr>
    </w:p>
    <w:p w14:paraId="3FC6A295" w14:textId="77777777" w:rsidR="000D7518" w:rsidRDefault="000D7518" w:rsidP="001A7C58">
      <w:pPr>
        <w:tabs>
          <w:tab w:val="left" w:pos="2869"/>
        </w:tabs>
      </w:pPr>
    </w:p>
    <w:p w14:paraId="42580D96" w14:textId="77777777" w:rsidR="000D7518" w:rsidRDefault="000D7518" w:rsidP="001A7C58">
      <w:pPr>
        <w:tabs>
          <w:tab w:val="left" w:pos="2869"/>
        </w:tabs>
      </w:pPr>
    </w:p>
    <w:p w14:paraId="470E1D11" w14:textId="77777777" w:rsidR="000D7518" w:rsidRDefault="000D7518" w:rsidP="001A7C58">
      <w:pPr>
        <w:tabs>
          <w:tab w:val="left" w:pos="2869"/>
        </w:tabs>
      </w:pPr>
    </w:p>
    <w:p w14:paraId="037DEC65" w14:textId="77777777" w:rsidR="000D7518" w:rsidRDefault="000D7518" w:rsidP="001A7C58">
      <w:pPr>
        <w:tabs>
          <w:tab w:val="left" w:pos="2869"/>
        </w:tabs>
      </w:pPr>
    </w:p>
    <w:p w14:paraId="10E2A2A8" w14:textId="77777777" w:rsidR="000D7518" w:rsidRDefault="000D7518" w:rsidP="001A7C58">
      <w:pPr>
        <w:tabs>
          <w:tab w:val="left" w:pos="2869"/>
        </w:tabs>
      </w:pPr>
    </w:p>
    <w:p w14:paraId="6186B0D7" w14:textId="77777777" w:rsidR="000D7518" w:rsidRDefault="000D7518" w:rsidP="001A7C58">
      <w:pPr>
        <w:tabs>
          <w:tab w:val="left" w:pos="2869"/>
        </w:tabs>
      </w:pPr>
    </w:p>
    <w:p w14:paraId="073B0F96" w14:textId="77777777" w:rsidR="000D7518" w:rsidRDefault="000D7518" w:rsidP="001A7C58">
      <w:pPr>
        <w:tabs>
          <w:tab w:val="left" w:pos="2869"/>
        </w:tabs>
      </w:pPr>
    </w:p>
    <w:p w14:paraId="7FD19B0C" w14:textId="77777777" w:rsidR="000D7518" w:rsidRDefault="000D7518" w:rsidP="001A7C58">
      <w:pPr>
        <w:tabs>
          <w:tab w:val="left" w:pos="2869"/>
        </w:tabs>
      </w:pPr>
    </w:p>
    <w:p w14:paraId="273605FC" w14:textId="77777777" w:rsidR="000D7518" w:rsidRDefault="000D7518" w:rsidP="001A7C58">
      <w:pPr>
        <w:tabs>
          <w:tab w:val="left" w:pos="2869"/>
        </w:tabs>
      </w:pPr>
    </w:p>
    <w:p w14:paraId="5E905A4E" w14:textId="34DCF16E" w:rsidR="000D7518" w:rsidRDefault="00DB3863" w:rsidP="001A7C58">
      <w:pPr>
        <w:tabs>
          <w:tab w:val="left" w:pos="2869"/>
        </w:tabs>
      </w:pPr>
      <w:r>
        <w:rPr>
          <w:noProof/>
          <w:lang w:eastAsia="en-GB"/>
        </w:rPr>
        <w:lastRenderedPageBreak/>
        <w:drawing>
          <wp:anchor distT="0" distB="0" distL="114300" distR="114300" simplePos="0" relativeHeight="251706368" behindDoc="0" locked="0" layoutInCell="1" allowOverlap="1" wp14:anchorId="75D3DC48" wp14:editId="10C27C9B">
            <wp:simplePos x="0" y="0"/>
            <wp:positionH relativeFrom="column">
              <wp:posOffset>-64770</wp:posOffset>
            </wp:positionH>
            <wp:positionV relativeFrom="paragraph">
              <wp:posOffset>13335</wp:posOffset>
            </wp:positionV>
            <wp:extent cx="5356860" cy="2872740"/>
            <wp:effectExtent l="0" t="0" r="15240" b="3810"/>
            <wp:wrapTight wrapText="bothSides">
              <wp:wrapPolygon edited="0">
                <wp:start x="0" y="0"/>
                <wp:lineTo x="0" y="21485"/>
                <wp:lineTo x="21585" y="21485"/>
                <wp:lineTo x="21585" y="0"/>
                <wp:lineTo x="0" y="0"/>
              </wp:wrapPolygon>
            </wp:wrapTight>
            <wp:docPr id="43" name="Chart 43"/>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14:sizeRelH relativeFrom="page">
              <wp14:pctWidth>0</wp14:pctWidth>
            </wp14:sizeRelH>
            <wp14:sizeRelV relativeFrom="page">
              <wp14:pctHeight>0</wp14:pctHeight>
            </wp14:sizeRelV>
          </wp:anchor>
        </w:drawing>
      </w:r>
      <w:r w:rsidR="001B5AD0">
        <w:rPr>
          <w:noProof/>
          <w:lang w:eastAsia="en-GB"/>
        </w:rPr>
        <mc:AlternateContent>
          <mc:Choice Requires="wps">
            <w:drawing>
              <wp:anchor distT="0" distB="0" distL="114300" distR="114300" simplePos="0" relativeHeight="251710464" behindDoc="0" locked="0" layoutInCell="1" allowOverlap="1" wp14:anchorId="12352D4B" wp14:editId="3F76EDB3">
                <wp:simplePos x="0" y="0"/>
                <wp:positionH relativeFrom="column">
                  <wp:posOffset>-62865</wp:posOffset>
                </wp:positionH>
                <wp:positionV relativeFrom="paragraph">
                  <wp:posOffset>7673975</wp:posOffset>
                </wp:positionV>
                <wp:extent cx="5829300" cy="571500"/>
                <wp:effectExtent l="0" t="0" r="0" b="12700"/>
                <wp:wrapSquare wrapText="bothSides"/>
                <wp:docPr id="46" name="Text Box 46"/>
                <wp:cNvGraphicFramePr/>
                <a:graphic xmlns:a="http://schemas.openxmlformats.org/drawingml/2006/main">
                  <a:graphicData uri="http://schemas.microsoft.com/office/word/2010/wordprocessingShape">
                    <wps:wsp>
                      <wps:cNvSpPr txBox="1"/>
                      <wps:spPr>
                        <a:xfrm>
                          <a:off x="0" y="0"/>
                          <a:ext cx="5829300" cy="5715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09E24094" w14:textId="63A76ED3" w:rsidR="000E1085" w:rsidRPr="001B5AD0" w:rsidRDefault="000E1085">
                            <w:r w:rsidRPr="001B5AD0">
                              <w:rPr>
                                <w:b/>
                              </w:rPr>
                              <w:t>Figure 3.2</w:t>
                            </w:r>
                            <w:r>
                              <w:rPr>
                                <w:b/>
                              </w:rPr>
                              <w:t xml:space="preserve"> </w:t>
                            </w:r>
                            <w:r>
                              <w:t xml:space="preserve">Graph showing the estimated number of rough sleepers in Wales by local authority in 2011. Data Source: </w:t>
                            </w:r>
                            <w:proofErr w:type="spellStart"/>
                            <w:proofErr w:type="gramStart"/>
                            <w:r>
                              <w:t>stats.Wales</w:t>
                            </w:r>
                            <w:proofErr w:type="spellEnd"/>
                            <w:proofErr w:type="gram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2352D4B" id="Text Box 46" o:spid="_x0000_s1046" type="#_x0000_t202" style="position:absolute;margin-left:-4.95pt;margin-top:604.25pt;width:459pt;height:45pt;z-index:2517104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" filled="f" stroked="f">
                <v:textbox>
                  <w:txbxContent>
                    <w:p w14:paraId="09E24094" w14:textId="63A76ED3" w:rsidR="000E1085" w:rsidRPr="001B5AD0" w:rsidRDefault="000E1085">
                      <w:r w:rsidRPr="001B5AD0">
                        <w:rPr>
                          <w:b/>
                        </w:rPr>
                        <w:t>Figure 3.2</w:t>
                      </w:r>
                      <w:r>
                        <w:rPr>
                          <w:b/>
                        </w:rPr>
                        <w:t xml:space="preserve"> </w:t>
                      </w:r>
                      <w:r>
                        <w:t xml:space="preserve">Graph showing the estimated number of rough sleepers in Wales by local authority in 2011. Data Source: </w:t>
                      </w:r>
                      <w:proofErr w:type="spellStart"/>
                      <w:proofErr w:type="gramStart"/>
                      <w:r>
                        <w:t>stats.Wales</w:t>
                      </w:r>
                      <w:proofErr w:type="spellEnd"/>
                      <w:proofErr w:type="gramEnd"/>
                    </w:p>
                  </w:txbxContent>
                </v:textbox>
                <w10:wrap type="square"/>
              </v:shape>
            </w:pict>
          </mc:Fallback>
        </mc:AlternateContent>
      </w:r>
      <w:r w:rsidR="001B5AD0">
        <w:rPr>
          <w:noProof/>
          <w:lang w:eastAsia="en-GB"/>
        </w:rPr>
        <w:drawing>
          <wp:anchor distT="0" distB="0" distL="114300" distR="114300" simplePos="0" relativeHeight="251709440" behindDoc="0" locked="0" layoutInCell="1" allowOverlap="1" wp14:anchorId="6790BEC2" wp14:editId="1B26E74C">
            <wp:simplePos x="0" y="0"/>
            <wp:positionH relativeFrom="column">
              <wp:posOffset>-62865</wp:posOffset>
            </wp:positionH>
            <wp:positionV relativeFrom="paragraph">
              <wp:posOffset>4016375</wp:posOffset>
            </wp:positionV>
            <wp:extent cx="5828665" cy="3511550"/>
            <wp:effectExtent l="0" t="0" r="13335" b="19050"/>
            <wp:wrapTight wrapText="bothSides">
              <wp:wrapPolygon edited="0">
                <wp:start x="0" y="0"/>
                <wp:lineTo x="0" y="21561"/>
                <wp:lineTo x="21555" y="21561"/>
                <wp:lineTo x="21555" y="0"/>
                <wp:lineTo x="0" y="0"/>
              </wp:wrapPolygon>
            </wp:wrapTight>
            <wp:docPr id="45" name="Chart 45"/>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14:sizeRelH relativeFrom="page">
              <wp14:pctWidth>0</wp14:pctWidth>
            </wp14:sizeRelH>
            <wp14:sizeRelV relativeFrom="page">
              <wp14:pctHeight>0</wp14:pctHeight>
            </wp14:sizeRelV>
          </wp:anchor>
        </w:drawing>
      </w:r>
    </w:p>
    <w:p w14:paraId="62E5404B" w14:textId="4AC7C4EE" w:rsidR="000D7518" w:rsidRDefault="000D7518" w:rsidP="001A7C58">
      <w:pPr>
        <w:tabs>
          <w:tab w:val="left" w:pos="2869"/>
        </w:tabs>
      </w:pPr>
    </w:p>
    <w:p w14:paraId="2DE44C36" w14:textId="488FE531" w:rsidR="00E31CE4" w:rsidRDefault="00E31CE4" w:rsidP="001A7C58">
      <w:pPr>
        <w:tabs>
          <w:tab w:val="left" w:pos="2869"/>
        </w:tabs>
      </w:pPr>
    </w:p>
    <w:p w14:paraId="721BE15E" w14:textId="77777777" w:rsidR="00DB3863" w:rsidRDefault="00DB3863" w:rsidP="001A7C58">
      <w:pPr>
        <w:tabs>
          <w:tab w:val="left" w:pos="2869"/>
        </w:tabs>
      </w:pPr>
    </w:p>
    <w:p w14:paraId="32A1C903" w14:textId="77777777" w:rsidR="00DB3863" w:rsidRDefault="00DB3863" w:rsidP="001A7C58">
      <w:pPr>
        <w:tabs>
          <w:tab w:val="left" w:pos="2869"/>
        </w:tabs>
      </w:pPr>
    </w:p>
    <w:p w14:paraId="03A9474B" w14:textId="77777777" w:rsidR="00DB3863" w:rsidRDefault="00DB3863" w:rsidP="001A7C58">
      <w:pPr>
        <w:tabs>
          <w:tab w:val="left" w:pos="2869"/>
        </w:tabs>
      </w:pPr>
    </w:p>
    <w:p w14:paraId="1020BB80" w14:textId="77777777" w:rsidR="00DB3863" w:rsidRDefault="00DB3863" w:rsidP="001A7C58">
      <w:pPr>
        <w:tabs>
          <w:tab w:val="left" w:pos="2869"/>
        </w:tabs>
      </w:pPr>
    </w:p>
    <w:p w14:paraId="52C5DA44" w14:textId="77777777" w:rsidR="00DB3863" w:rsidRDefault="00DB3863" w:rsidP="001A7C58">
      <w:pPr>
        <w:tabs>
          <w:tab w:val="left" w:pos="2869"/>
        </w:tabs>
      </w:pPr>
    </w:p>
    <w:p w14:paraId="0B534876" w14:textId="77777777" w:rsidR="00DB3863" w:rsidRDefault="00DB3863" w:rsidP="001A7C58">
      <w:pPr>
        <w:tabs>
          <w:tab w:val="left" w:pos="2869"/>
        </w:tabs>
      </w:pPr>
    </w:p>
    <w:p w14:paraId="150F7D9C" w14:textId="2CAB58D4" w:rsidR="00DB3863" w:rsidRDefault="00DB3863" w:rsidP="001A7C58">
      <w:pPr>
        <w:tabs>
          <w:tab w:val="left" w:pos="2869"/>
        </w:tabs>
      </w:pPr>
      <w:r>
        <w:rPr>
          <w:noProof/>
          <w:lang w:eastAsia="en-GB"/>
        </w:rPr>
        <mc:AlternateContent>
          <mc:Choice Requires="wps">
            <w:drawing>
              <wp:anchor distT="0" distB="0" distL="114300" distR="114300" simplePos="0" relativeHeight="251708416" behindDoc="0" locked="0" layoutInCell="1" allowOverlap="1" wp14:anchorId="3A178457" wp14:editId="5BF4D9AB">
                <wp:simplePos x="0" y="0"/>
                <wp:positionH relativeFrom="column">
                  <wp:posOffset>-78740</wp:posOffset>
                </wp:positionH>
                <wp:positionV relativeFrom="paragraph">
                  <wp:posOffset>1535430</wp:posOffset>
                </wp:positionV>
                <wp:extent cx="5600700" cy="457200"/>
                <wp:effectExtent l="0" t="0" r="0" b="0"/>
                <wp:wrapSquare wrapText="bothSides"/>
                <wp:docPr id="44" name="Text Box 44"/>
                <wp:cNvGraphicFramePr/>
                <a:graphic xmlns:a="http://schemas.openxmlformats.org/drawingml/2006/main">
                  <a:graphicData uri="http://schemas.microsoft.com/office/word/2010/wordprocessingShape">
                    <wps:wsp>
                      <wps:cNvSpPr txBox="1"/>
                      <wps:spPr>
                        <a:xfrm>
                          <a:off x="0" y="0"/>
                          <a:ext cx="5600700" cy="4572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4663E786" w14:textId="2E8215D3" w:rsidR="000E1085" w:rsidRPr="001B5AD0" w:rsidRDefault="000E1085">
                            <w:r w:rsidRPr="002C4EEE">
                              <w:rPr>
                                <w:b/>
                              </w:rPr>
                              <w:t>Figure 3.1</w:t>
                            </w:r>
                            <w:r>
                              <w:rPr>
                                <w:b/>
                              </w:rPr>
                              <w:t xml:space="preserve"> </w:t>
                            </w:r>
                            <w:r>
                              <w:t xml:space="preserve">Graph showing newly homeless households in Wales by local authority in 2011. Data source: </w:t>
                            </w:r>
                            <w:proofErr w:type="spellStart"/>
                            <w:r>
                              <w:t>Stats.Wales</w:t>
                            </w:r>
                            <w:proofErr w:type="spell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A178457" id="Text Box 44" o:spid="_x0000_s1047" type="#_x0000_t202" style="position:absolute;margin-left:-6.2pt;margin-top:120.9pt;width:441pt;height:36pt;z-index:2517084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" filled="f" stroked="f">
                <v:textbox>
                  <w:txbxContent>
                    <w:p w14:paraId="4663E786" w14:textId="2E8215D3" w:rsidR="000E1085" w:rsidRPr="001B5AD0" w:rsidRDefault="000E1085">
                      <w:r w:rsidRPr="002C4EEE">
                        <w:rPr>
                          <w:b/>
                        </w:rPr>
                        <w:t>Figure 3.1</w:t>
                      </w:r>
                      <w:r>
                        <w:rPr>
                          <w:b/>
                        </w:rPr>
                        <w:t xml:space="preserve"> </w:t>
                      </w:r>
                      <w:r>
                        <w:t xml:space="preserve">Graph showing newly homeless households in Wales by local authority in 2011. Data source: </w:t>
                      </w:r>
                      <w:proofErr w:type="spellStart"/>
                      <w:r>
                        <w:t>Stats.Wales</w:t>
                      </w:r>
                      <w:proofErr w:type="spellEnd"/>
                    </w:p>
                  </w:txbxContent>
                </v:textbox>
                <w10:wrap type="square"/>
              </v:shape>
            </w:pict>
          </mc:Fallback>
        </mc:AlternateContent>
      </w:r>
    </w:p>
    <w:p w14:paraId="5B4F6E21" w14:textId="77777777" w:rsidR="00DB3863" w:rsidRDefault="00DB3863" w:rsidP="001A7C58">
      <w:pPr>
        <w:tabs>
          <w:tab w:val="left" w:pos="2869"/>
        </w:tabs>
      </w:pPr>
    </w:p>
    <w:p w14:paraId="1140CF3E" w14:textId="77777777" w:rsidR="00DB3863" w:rsidRDefault="00DB3863" w:rsidP="001A7C58">
      <w:pPr>
        <w:tabs>
          <w:tab w:val="left" w:pos="2869"/>
        </w:tabs>
      </w:pPr>
    </w:p>
    <w:p w14:paraId="7E5B3C89" w14:textId="77777777" w:rsidR="00DB3863" w:rsidRDefault="00DB3863" w:rsidP="001A7C58">
      <w:pPr>
        <w:tabs>
          <w:tab w:val="left" w:pos="2869"/>
        </w:tabs>
      </w:pPr>
    </w:p>
    <w:p w14:paraId="0D2E4AC2" w14:textId="77777777" w:rsidR="00DB3863" w:rsidRDefault="00DB3863" w:rsidP="001A7C58">
      <w:pPr>
        <w:tabs>
          <w:tab w:val="left" w:pos="2869"/>
        </w:tabs>
      </w:pPr>
    </w:p>
    <w:p w14:paraId="364F902F" w14:textId="77777777" w:rsidR="00DB3863" w:rsidRDefault="00DB3863" w:rsidP="001A7C58">
      <w:pPr>
        <w:tabs>
          <w:tab w:val="left" w:pos="2869"/>
        </w:tabs>
      </w:pPr>
    </w:p>
    <w:p w14:paraId="255B216F" w14:textId="77777777" w:rsidR="00DB3863" w:rsidRDefault="00DB3863" w:rsidP="001A7C58">
      <w:pPr>
        <w:tabs>
          <w:tab w:val="left" w:pos="2869"/>
        </w:tabs>
      </w:pPr>
    </w:p>
    <w:p w14:paraId="341E684E" w14:textId="77777777" w:rsidR="00DB3863" w:rsidRDefault="00DB3863" w:rsidP="001A7C58">
      <w:pPr>
        <w:tabs>
          <w:tab w:val="left" w:pos="2869"/>
        </w:tabs>
      </w:pPr>
    </w:p>
    <w:p w14:paraId="0D944F08" w14:textId="77777777" w:rsidR="00DB3863" w:rsidRDefault="00DB3863" w:rsidP="001A7C58">
      <w:pPr>
        <w:tabs>
          <w:tab w:val="left" w:pos="2869"/>
        </w:tabs>
      </w:pPr>
    </w:p>
    <w:p w14:paraId="0DA89F74" w14:textId="77777777" w:rsidR="00DB3863" w:rsidRDefault="00DB3863" w:rsidP="001A7C58">
      <w:pPr>
        <w:tabs>
          <w:tab w:val="left" w:pos="2869"/>
        </w:tabs>
      </w:pPr>
    </w:p>
    <w:p w14:paraId="18F9EBCD" w14:textId="77777777" w:rsidR="00DB3863" w:rsidRDefault="00DB3863" w:rsidP="001A7C58">
      <w:pPr>
        <w:tabs>
          <w:tab w:val="left" w:pos="2869"/>
        </w:tabs>
      </w:pPr>
    </w:p>
    <w:p w14:paraId="46D7D5F6" w14:textId="77777777" w:rsidR="00DB3863" w:rsidRDefault="00DB3863" w:rsidP="001A7C58">
      <w:pPr>
        <w:tabs>
          <w:tab w:val="left" w:pos="2869"/>
        </w:tabs>
      </w:pPr>
    </w:p>
    <w:p w14:paraId="61382AF0" w14:textId="77777777" w:rsidR="00DB3863" w:rsidRDefault="00DB3863" w:rsidP="001A7C58">
      <w:pPr>
        <w:tabs>
          <w:tab w:val="left" w:pos="2869"/>
        </w:tabs>
      </w:pPr>
    </w:p>
    <w:p w14:paraId="2A4C86A4" w14:textId="7EB50D31" w:rsidR="00E31CE4" w:rsidRDefault="001B5AD0" w:rsidP="001A7C58">
      <w:pPr>
        <w:tabs>
          <w:tab w:val="left" w:pos="2869"/>
        </w:tabs>
      </w:pPr>
      <w:r>
        <w:t xml:space="preserve">Figure 3.0 shows the mean monthly number of rough sleepers in Swansea per day, from October 2013 to December 2017. The data shows that the number of rough </w:t>
      </w:r>
      <w:r w:rsidR="0097328F">
        <w:t>sleeper</w:t>
      </w:r>
      <w:r w:rsidR="00C07CE1">
        <w:t>s</w:t>
      </w:r>
      <w:r w:rsidR="0097328F">
        <w:t xml:space="preserve"> in Swansea has increased steadily from 2013 to 2017. This indicates that homelessness is an issue in Swansea. </w:t>
      </w:r>
      <w:r w:rsidR="0097328F">
        <w:lastRenderedPageBreak/>
        <w:t xml:space="preserve">Furthermore </w:t>
      </w:r>
      <w:r w:rsidR="0022683A">
        <w:t>figure 3.1 shows that Swansea had the highest number of newly homeless household</w:t>
      </w:r>
      <w:r w:rsidR="00C07CE1">
        <w:t xml:space="preserve">s in Wales in 2011.More recent data shown in figure 3.2 shows that Swansea had the fifth largest number of rough sleepers in 2016-17. The issue of homelessness in Swansea </w:t>
      </w:r>
      <w:r w:rsidR="00364399">
        <w:t>needs addressing as it</w:t>
      </w:r>
      <w:r w:rsidR="00C07CE1">
        <w:t xml:space="preserve"> can affect mental healt</w:t>
      </w:r>
      <w:r w:rsidR="005447DD">
        <w:t>h. Figure 2.5 supports this as It shows that Swansea has the second worst mental health and wellb</w:t>
      </w:r>
      <w:r w:rsidR="001752BD">
        <w:t>eing in Wales. Furthermore, homelessness is linked to</w:t>
      </w:r>
      <w:r w:rsidR="007E0EB0">
        <w:t xml:space="preserve"> high levels of unemployment. Figure 2.5 shows that Wales</w:t>
      </w:r>
      <w:r w:rsidR="0086364B">
        <w:t>’</w:t>
      </w:r>
      <w:r w:rsidR="007E0EB0">
        <w:t xml:space="preserve"> employment rate has continuously fallen below the Welsh average since 2007, which may be linked to the increase in homelessness. </w:t>
      </w:r>
      <w:r w:rsidR="005447DD">
        <w:t xml:space="preserve"> </w:t>
      </w:r>
      <w:r w:rsidR="00C07CE1">
        <w:t xml:space="preserve"> </w:t>
      </w:r>
    </w:p>
    <w:p w14:paraId="54D5FEF2" w14:textId="6F7B4D15" w:rsidR="00E31CE4" w:rsidRDefault="00E31CE4" w:rsidP="001A7C58">
      <w:pPr>
        <w:tabs>
          <w:tab w:val="left" w:pos="2869"/>
        </w:tabs>
      </w:pPr>
    </w:p>
    <w:p w14:paraId="60D5EEAD" w14:textId="7CE88198" w:rsidR="004A3B6E" w:rsidRDefault="007E0EB0" w:rsidP="001A7C58">
      <w:pPr>
        <w:tabs>
          <w:tab w:val="left" w:pos="2869"/>
        </w:tabs>
      </w:pPr>
      <w:r>
        <w:t>In c</w:t>
      </w:r>
      <w:r w:rsidR="00D12E50">
        <w:t>onclusion, this needs analysis</w:t>
      </w:r>
      <w:r>
        <w:t xml:space="preserve"> has highlighted a few of the key issues</w:t>
      </w:r>
      <w:r w:rsidR="0086364B">
        <w:t xml:space="preserve"> that</w:t>
      </w:r>
      <w:r>
        <w:t xml:space="preserve"> Swansea is currently experiencing. Firstly, although Swansea’s population is a fraction of the United Kingdoms, it is the second most populated region in Wales. In terms of employment, Swansea has fallen below the Welsh average since 2007. Furthermore, the data has indicated that Swansea’s mental health and wellbeing is the second worst in Wales, which may be linked to the low levels of employment. Secondly the amount of Welsh speakers in Swansea is extremely low, indicating that the language may be dying out in the region. Homelessness within Swansea is an issue that has been increasing since 2013. The number of rough sleepers in Swansea at the end of 2017 was the </w:t>
      </w:r>
      <w:r w:rsidR="0086364B">
        <w:t>highest recorded in four years.</w:t>
      </w:r>
      <w:r>
        <w:t xml:space="preserve"> </w:t>
      </w:r>
      <w:r w:rsidR="00310AB5">
        <w:t>Swansea recorded the highest number of newly homeless households in Wales in 2011.</w:t>
      </w:r>
      <w:r w:rsidR="00153E04">
        <w:t xml:space="preserve"> Finally, the data has indicated that Swansea has an ageing population with almost one fifth being over the age of 65. The possible implications of this are that the National Health and Social services will have an increased demand.</w:t>
      </w:r>
      <w:r w:rsidR="0086364B">
        <w:t xml:space="preserve"> </w:t>
      </w:r>
      <w:r w:rsidR="00153E04">
        <w:t>The issues high</w:t>
      </w:r>
      <w:r w:rsidR="00D12E50">
        <w:t>lighted in this needs analysis</w:t>
      </w:r>
      <w:r w:rsidR="00153E04">
        <w:t xml:space="preserve"> are some of the major issues being experienced in Swansea currently. </w:t>
      </w:r>
    </w:p>
    <w:p w14:paraId="2B6ED5C9" w14:textId="77777777" w:rsidR="007956F7" w:rsidRDefault="007956F7" w:rsidP="001A7C58">
      <w:pPr>
        <w:tabs>
          <w:tab w:val="left" w:pos="2869"/>
        </w:tabs>
      </w:pPr>
    </w:p>
    <w:p w14:paraId="560C390A" w14:textId="77777777" w:rsidR="007956F7" w:rsidRDefault="007956F7" w:rsidP="001A7C58">
      <w:pPr>
        <w:tabs>
          <w:tab w:val="left" w:pos="2869"/>
        </w:tabs>
      </w:pPr>
    </w:p>
    <w:p w14:paraId="2DF5173D" w14:textId="77777777" w:rsidR="007956F7" w:rsidRDefault="007956F7" w:rsidP="001A7C58">
      <w:pPr>
        <w:tabs>
          <w:tab w:val="left" w:pos="2869"/>
        </w:tabs>
      </w:pPr>
    </w:p>
    <w:p w14:paraId="2E895A80" w14:textId="77777777" w:rsidR="007956F7" w:rsidRDefault="007956F7" w:rsidP="001A7C58">
      <w:pPr>
        <w:tabs>
          <w:tab w:val="left" w:pos="2869"/>
        </w:tabs>
      </w:pPr>
    </w:p>
    <w:p w14:paraId="6661A415" w14:textId="77777777" w:rsidR="007956F7" w:rsidRDefault="007956F7" w:rsidP="001A7C58">
      <w:pPr>
        <w:tabs>
          <w:tab w:val="left" w:pos="2869"/>
        </w:tabs>
      </w:pPr>
    </w:p>
    <w:p w14:paraId="4AE0B3B0" w14:textId="77777777" w:rsidR="007956F7" w:rsidRDefault="007956F7" w:rsidP="001A7C58">
      <w:pPr>
        <w:tabs>
          <w:tab w:val="left" w:pos="2869"/>
        </w:tabs>
      </w:pPr>
    </w:p>
    <w:p w14:paraId="295A3CA8" w14:textId="77777777" w:rsidR="007956F7" w:rsidRDefault="007956F7" w:rsidP="001A7C58">
      <w:pPr>
        <w:tabs>
          <w:tab w:val="left" w:pos="2869"/>
        </w:tabs>
      </w:pPr>
    </w:p>
    <w:p w14:paraId="05D5CB15" w14:textId="77777777" w:rsidR="007956F7" w:rsidRDefault="007956F7" w:rsidP="001A7C58">
      <w:pPr>
        <w:tabs>
          <w:tab w:val="left" w:pos="2869"/>
        </w:tabs>
      </w:pPr>
    </w:p>
    <w:p w14:paraId="75DC9421" w14:textId="77777777" w:rsidR="007956F7" w:rsidRDefault="007956F7" w:rsidP="001A7C58">
      <w:pPr>
        <w:tabs>
          <w:tab w:val="left" w:pos="2869"/>
        </w:tabs>
      </w:pPr>
    </w:p>
    <w:p w14:paraId="2A2BBC56" w14:textId="77777777" w:rsidR="007956F7" w:rsidRDefault="007956F7" w:rsidP="001A7C58">
      <w:pPr>
        <w:tabs>
          <w:tab w:val="left" w:pos="2869"/>
        </w:tabs>
      </w:pPr>
    </w:p>
    <w:p w14:paraId="6AE4FCF1" w14:textId="77777777" w:rsidR="007956F7" w:rsidRDefault="007956F7" w:rsidP="001A7C58">
      <w:pPr>
        <w:tabs>
          <w:tab w:val="left" w:pos="2869"/>
        </w:tabs>
      </w:pPr>
    </w:p>
    <w:p w14:paraId="6DC89140" w14:textId="77777777" w:rsidR="007956F7" w:rsidRDefault="007956F7" w:rsidP="001A7C58">
      <w:pPr>
        <w:tabs>
          <w:tab w:val="left" w:pos="2869"/>
        </w:tabs>
      </w:pPr>
    </w:p>
    <w:p w14:paraId="42792D13" w14:textId="77777777" w:rsidR="007956F7" w:rsidRDefault="007956F7" w:rsidP="001A7C58">
      <w:pPr>
        <w:tabs>
          <w:tab w:val="left" w:pos="2869"/>
        </w:tabs>
      </w:pPr>
    </w:p>
    <w:p w14:paraId="3DC3103D" w14:textId="77777777" w:rsidR="007956F7" w:rsidRDefault="007956F7" w:rsidP="001A7C58">
      <w:pPr>
        <w:tabs>
          <w:tab w:val="left" w:pos="2869"/>
        </w:tabs>
      </w:pPr>
    </w:p>
    <w:p w14:paraId="7F52C1EF" w14:textId="77777777" w:rsidR="007956F7" w:rsidRDefault="007956F7" w:rsidP="001A7C58">
      <w:pPr>
        <w:tabs>
          <w:tab w:val="left" w:pos="2869"/>
        </w:tabs>
      </w:pPr>
    </w:p>
    <w:p w14:paraId="24E6DC7F" w14:textId="77777777" w:rsidR="007956F7" w:rsidRDefault="007956F7" w:rsidP="001A7C58">
      <w:pPr>
        <w:tabs>
          <w:tab w:val="left" w:pos="2869"/>
        </w:tabs>
      </w:pPr>
    </w:p>
    <w:p w14:paraId="47A5B28D" w14:textId="77777777" w:rsidR="007956F7" w:rsidRDefault="007956F7" w:rsidP="001A7C58">
      <w:pPr>
        <w:tabs>
          <w:tab w:val="left" w:pos="2869"/>
        </w:tabs>
      </w:pPr>
    </w:p>
    <w:p w14:paraId="3ABFB0D3" w14:textId="42D41A98" w:rsidR="00DB3863" w:rsidRDefault="00DB3863">
      <w:r>
        <w:br w:type="page"/>
      </w:r>
    </w:p>
    <w:p w14:paraId="241FF323" w14:textId="77777777" w:rsidR="007956F7" w:rsidRDefault="007956F7" w:rsidP="007956F7">
      <w:pPr>
        <w:tabs>
          <w:tab w:val="left" w:pos="2869"/>
        </w:tabs>
        <w:rPr>
          <w:u w:val="single"/>
        </w:rPr>
      </w:pPr>
      <w:r w:rsidRPr="00F746E6">
        <w:rPr>
          <w:u w:val="single"/>
        </w:rPr>
        <w:lastRenderedPageBreak/>
        <w:t>Reference List</w:t>
      </w:r>
      <w:r>
        <w:rPr>
          <w:u w:val="single"/>
        </w:rPr>
        <w:t xml:space="preserve"> </w:t>
      </w:r>
    </w:p>
    <w:p w14:paraId="5E4EF873" w14:textId="77777777" w:rsidR="007956F7" w:rsidRPr="00F746E6" w:rsidRDefault="007956F7" w:rsidP="007956F7">
      <w:pPr>
        <w:tabs>
          <w:tab w:val="left" w:pos="2869"/>
        </w:tabs>
        <w:rPr>
          <w:u w:val="single"/>
        </w:rPr>
      </w:pPr>
    </w:p>
    <w:p w14:paraId="17CC0D30" w14:textId="77777777" w:rsidR="007956F7" w:rsidRDefault="007956F7" w:rsidP="007956F7">
      <w:pPr>
        <w:rPr>
          <w:rFonts w:eastAsia="Times New Roman" w:cs="Arial"/>
          <w:color w:val="000000" w:themeColor="text1"/>
          <w:shd w:val="clear" w:color="auto" w:fill="FFFFFF"/>
          <w:lang w:eastAsia="en-GB"/>
        </w:rPr>
      </w:pPr>
      <w:r w:rsidRPr="00007610">
        <w:rPr>
          <w:rFonts w:eastAsia="Times New Roman" w:cs="Arial"/>
          <w:color w:val="000000" w:themeColor="text1"/>
          <w:shd w:val="clear" w:color="auto" w:fill="FFFFFF"/>
          <w:lang w:eastAsia="en-GB"/>
        </w:rPr>
        <w:t>BBC News. (2018). </w:t>
      </w:r>
      <w:r w:rsidRPr="00007610">
        <w:rPr>
          <w:rFonts w:eastAsia="Times New Roman" w:cs="Arial"/>
          <w:i/>
          <w:iCs/>
          <w:color w:val="000000" w:themeColor="text1"/>
          <w:lang w:eastAsia="en-GB"/>
        </w:rPr>
        <w:t>Cities face 'wider' economy gap</w:t>
      </w:r>
      <w:r w:rsidRPr="00007610">
        <w:rPr>
          <w:rFonts w:eastAsia="Times New Roman" w:cs="Arial"/>
          <w:color w:val="000000" w:themeColor="text1"/>
          <w:shd w:val="clear" w:color="auto" w:fill="FFFFFF"/>
          <w:lang w:eastAsia="en-GB"/>
        </w:rPr>
        <w:t>. [online] Available at: http://www.bbc.co.uk/news/uk-wales-16676564 [Accessed 10 Jan. 2018].</w:t>
      </w:r>
    </w:p>
    <w:p w14:paraId="0A22B9DD" w14:textId="77777777" w:rsidR="007956F7" w:rsidRDefault="007956F7" w:rsidP="007956F7">
      <w:pPr>
        <w:rPr>
          <w:rFonts w:eastAsia="Times New Roman" w:cs="Arial"/>
          <w:color w:val="000000" w:themeColor="text1"/>
          <w:shd w:val="clear" w:color="auto" w:fill="FFFFFF"/>
          <w:lang w:eastAsia="en-GB"/>
        </w:rPr>
      </w:pPr>
    </w:p>
    <w:p w14:paraId="71411B70" w14:textId="77777777" w:rsidR="007956F7" w:rsidRDefault="007956F7" w:rsidP="007956F7">
      <w:pPr>
        <w:rPr>
          <w:rFonts w:eastAsia="Times New Roman" w:cs="Arial"/>
          <w:color w:val="000000" w:themeColor="text1"/>
          <w:shd w:val="clear" w:color="auto" w:fill="FFFFFF"/>
          <w:lang w:eastAsia="en-GB"/>
        </w:rPr>
      </w:pPr>
    </w:p>
    <w:p w14:paraId="69C694D1" w14:textId="77777777" w:rsidR="007956F7" w:rsidRDefault="007956F7" w:rsidP="007956F7">
      <w:pPr>
        <w:rPr>
          <w:rFonts w:eastAsia="Times New Roman" w:cs="Arial"/>
          <w:color w:val="000000" w:themeColor="text1"/>
          <w:shd w:val="clear" w:color="auto" w:fill="FFFFFF"/>
          <w:lang w:eastAsia="en-GB"/>
        </w:rPr>
      </w:pPr>
      <w:r w:rsidRPr="00007610">
        <w:rPr>
          <w:rFonts w:eastAsia="Times New Roman" w:cs="Arial"/>
          <w:color w:val="000000" w:themeColor="text1"/>
          <w:shd w:val="clear" w:color="auto" w:fill="FFFFFF"/>
          <w:lang w:eastAsia="en-GB"/>
        </w:rPr>
        <w:t>Cpa.org.uk. (2018). </w:t>
      </w:r>
      <w:r w:rsidRPr="00007610">
        <w:rPr>
          <w:rFonts w:eastAsia="Times New Roman" w:cs="Arial"/>
          <w:i/>
          <w:iCs/>
          <w:color w:val="000000" w:themeColor="text1"/>
          <w:lang w:eastAsia="en-GB"/>
        </w:rPr>
        <w:t>Ageing well in Wales 2014-19</w:t>
      </w:r>
      <w:r w:rsidRPr="00007610">
        <w:rPr>
          <w:rFonts w:eastAsia="Times New Roman" w:cs="Arial"/>
          <w:color w:val="000000" w:themeColor="text1"/>
          <w:shd w:val="clear" w:color="auto" w:fill="FFFFFF"/>
          <w:lang w:eastAsia="en-GB"/>
        </w:rPr>
        <w:t>. [online] Available at: http://www.cpa.org.uk/cpa-lga-evidence/Merthyr_Tydfil_County_Borough_Council/Ageing_Well_in_Wales_Programme.pdf [Accessed 10 Jan. 2018].</w:t>
      </w:r>
    </w:p>
    <w:p w14:paraId="0247FCF5" w14:textId="77777777" w:rsidR="007956F7" w:rsidRDefault="007956F7" w:rsidP="007956F7">
      <w:pPr>
        <w:rPr>
          <w:rFonts w:eastAsia="Times New Roman" w:cs="Arial"/>
          <w:color w:val="000000" w:themeColor="text1"/>
          <w:shd w:val="clear" w:color="auto" w:fill="FFFFFF"/>
          <w:lang w:eastAsia="en-GB"/>
        </w:rPr>
      </w:pPr>
    </w:p>
    <w:p w14:paraId="43F84E86" w14:textId="77777777" w:rsidR="007956F7" w:rsidRDefault="007956F7" w:rsidP="007956F7">
      <w:pPr>
        <w:rPr>
          <w:rFonts w:eastAsia="Times New Roman" w:cs="Arial"/>
          <w:color w:val="000000" w:themeColor="text1"/>
          <w:lang w:eastAsia="en-GB"/>
        </w:rPr>
      </w:pPr>
      <w:r w:rsidRPr="00007610">
        <w:rPr>
          <w:rFonts w:ascii="Arial" w:eastAsia="Times New Roman" w:hAnsi="Arial" w:cs="Arial"/>
          <w:b/>
          <w:bCs/>
          <w:color w:val="666666"/>
          <w:sz w:val="20"/>
          <w:szCs w:val="20"/>
          <w:lang w:eastAsia="en-GB"/>
        </w:rPr>
        <w:t> </w:t>
      </w:r>
      <w:r w:rsidRPr="00007610">
        <w:rPr>
          <w:rFonts w:eastAsia="Times New Roman" w:cs="Arial"/>
          <w:color w:val="000000" w:themeColor="text1"/>
          <w:lang w:eastAsia="en-GB"/>
        </w:rPr>
        <w:t>Mentalhealth.org.uk. (2018). </w:t>
      </w:r>
      <w:r w:rsidRPr="00007610">
        <w:rPr>
          <w:rFonts w:eastAsia="Times New Roman" w:cs="Arial"/>
          <w:i/>
          <w:iCs/>
          <w:color w:val="000000" w:themeColor="text1"/>
          <w:lang w:eastAsia="en-GB"/>
        </w:rPr>
        <w:t>Mental Health in Wales: Fundamental Facts 2016</w:t>
      </w:r>
      <w:r w:rsidRPr="00007610">
        <w:rPr>
          <w:rFonts w:eastAsia="Times New Roman" w:cs="Arial"/>
          <w:color w:val="000000" w:themeColor="text1"/>
          <w:lang w:eastAsia="en-GB"/>
        </w:rPr>
        <w:t>. [online] Available at: https://www.mentalhealth.org.uk/sites/default/files/FF16%20Wales.pdf [Accessed 10 Jan. 2018].</w:t>
      </w:r>
    </w:p>
    <w:p w14:paraId="27E9451F" w14:textId="77777777" w:rsidR="007956F7" w:rsidRDefault="007956F7" w:rsidP="007956F7">
      <w:pPr>
        <w:rPr>
          <w:rFonts w:eastAsia="Times New Roman" w:cs="Arial"/>
          <w:color w:val="000000" w:themeColor="text1"/>
          <w:lang w:eastAsia="en-GB"/>
        </w:rPr>
      </w:pPr>
    </w:p>
    <w:p w14:paraId="0DFFD96E" w14:textId="77777777" w:rsidR="007956F7" w:rsidRPr="00AC5C05" w:rsidRDefault="007956F7" w:rsidP="007956F7">
      <w:pPr>
        <w:rPr>
          <w:rFonts w:eastAsia="Times New Roman" w:cs="Times New Roman"/>
          <w:color w:val="000000" w:themeColor="text1"/>
          <w:lang w:eastAsia="en-GB"/>
        </w:rPr>
      </w:pPr>
      <w:r w:rsidRPr="00AC5C05">
        <w:rPr>
          <w:rFonts w:eastAsia="Times New Roman" w:cs="Arial"/>
          <w:color w:val="000000" w:themeColor="text1"/>
          <w:shd w:val="clear" w:color="auto" w:fill="FFFFFF"/>
          <w:lang w:eastAsia="en-GB"/>
        </w:rPr>
        <w:t>Who.int. (2018). </w:t>
      </w:r>
      <w:r w:rsidRPr="00AC5C05">
        <w:rPr>
          <w:rFonts w:eastAsia="Times New Roman" w:cs="Arial"/>
          <w:i/>
          <w:iCs/>
          <w:color w:val="000000" w:themeColor="text1"/>
          <w:lang w:eastAsia="en-GB"/>
        </w:rPr>
        <w:t>WHO | Mental health: a state of well-being</w:t>
      </w:r>
      <w:r w:rsidRPr="00AC5C05">
        <w:rPr>
          <w:rFonts w:eastAsia="Times New Roman" w:cs="Arial"/>
          <w:color w:val="000000" w:themeColor="text1"/>
          <w:shd w:val="clear" w:color="auto" w:fill="FFFFFF"/>
          <w:lang w:eastAsia="en-GB"/>
        </w:rPr>
        <w:t>. [online] Available at: http://www.who.int/features/factfiles/mental_health/en/ [Accessed 10 Jan. 2018].</w:t>
      </w:r>
    </w:p>
    <w:p w14:paraId="2B44FBD2" w14:textId="77777777" w:rsidR="007956F7" w:rsidRDefault="007956F7" w:rsidP="007956F7">
      <w:pPr>
        <w:rPr>
          <w:rFonts w:eastAsia="Times New Roman" w:cs="Times New Roman"/>
          <w:color w:val="000000" w:themeColor="text1"/>
          <w:lang w:eastAsia="en-GB"/>
        </w:rPr>
      </w:pPr>
    </w:p>
    <w:p w14:paraId="393A2763" w14:textId="77777777" w:rsidR="007956F7" w:rsidRPr="00AC5C05" w:rsidRDefault="007956F7" w:rsidP="007956F7">
      <w:pPr>
        <w:rPr>
          <w:rFonts w:eastAsia="Times New Roman" w:cs="Times New Roman"/>
          <w:color w:val="000000" w:themeColor="text1"/>
          <w:lang w:eastAsia="en-GB"/>
        </w:rPr>
      </w:pPr>
      <w:proofErr w:type="spellStart"/>
      <w:r w:rsidRPr="00AC5C05">
        <w:rPr>
          <w:rFonts w:eastAsia="Times New Roman" w:cs="Arial"/>
          <w:color w:val="000000" w:themeColor="text1"/>
          <w:shd w:val="clear" w:color="auto" w:fill="FFFFFF"/>
          <w:lang w:eastAsia="en-GB"/>
        </w:rPr>
        <w:t>Statswales.gov.wales</w:t>
      </w:r>
      <w:proofErr w:type="spellEnd"/>
      <w:r w:rsidRPr="00AC5C05">
        <w:rPr>
          <w:rFonts w:eastAsia="Times New Roman" w:cs="Arial"/>
          <w:color w:val="000000" w:themeColor="text1"/>
          <w:shd w:val="clear" w:color="auto" w:fill="FFFFFF"/>
          <w:lang w:eastAsia="en-GB"/>
        </w:rPr>
        <w:t>. (2018). [online] Available at: https://statswales.gov.wales/Catalogue/Health-and-Social-Care/Mental-Health/Admissions-to-Mental-Health-Facilities/admissionstomentalhealthfacilitiesbylhb [Accessed 10 Jan. 2018].</w:t>
      </w:r>
    </w:p>
    <w:p w14:paraId="0705CA79" w14:textId="77777777" w:rsidR="007956F7" w:rsidRDefault="007956F7" w:rsidP="007956F7">
      <w:pPr>
        <w:rPr>
          <w:rFonts w:eastAsia="Times New Roman" w:cs="Times New Roman"/>
          <w:color w:val="000000" w:themeColor="text1"/>
          <w:lang w:eastAsia="en-GB"/>
        </w:rPr>
      </w:pPr>
    </w:p>
    <w:p w14:paraId="09B34275" w14:textId="77777777" w:rsidR="007956F7" w:rsidRPr="00AC5C05" w:rsidRDefault="007956F7" w:rsidP="007956F7">
      <w:pPr>
        <w:rPr>
          <w:rFonts w:eastAsia="Times New Roman" w:cs="Times New Roman"/>
          <w:color w:val="000000" w:themeColor="text1"/>
          <w:lang w:eastAsia="en-GB"/>
        </w:rPr>
      </w:pPr>
      <w:r w:rsidRPr="00AC5C05">
        <w:rPr>
          <w:rFonts w:eastAsia="Times New Roman" w:cs="Arial"/>
          <w:color w:val="000000" w:themeColor="text1"/>
          <w:shd w:val="clear" w:color="auto" w:fill="FFFFFF"/>
          <w:lang w:eastAsia="en-GB"/>
        </w:rPr>
        <w:t>Devine, D. (2018). </w:t>
      </w:r>
      <w:r w:rsidRPr="00AC5C05">
        <w:rPr>
          <w:rFonts w:eastAsia="Times New Roman" w:cs="Arial"/>
          <w:i/>
          <w:iCs/>
          <w:color w:val="000000" w:themeColor="text1"/>
          <w:lang w:eastAsia="en-GB"/>
        </w:rPr>
        <w:t>Why speaking Welsh is good for your health and the language must be saved</w:t>
      </w:r>
      <w:r w:rsidRPr="00AC5C05">
        <w:rPr>
          <w:rFonts w:eastAsia="Times New Roman" w:cs="Arial"/>
          <w:color w:val="000000" w:themeColor="text1"/>
          <w:shd w:val="clear" w:color="auto" w:fill="FFFFFF"/>
          <w:lang w:eastAsia="en-GB"/>
        </w:rPr>
        <w:t xml:space="preserve">. [online] </w:t>
      </w:r>
      <w:proofErr w:type="spellStart"/>
      <w:r w:rsidRPr="00AC5C05">
        <w:rPr>
          <w:rFonts w:eastAsia="Times New Roman" w:cs="Arial"/>
          <w:color w:val="000000" w:themeColor="text1"/>
          <w:shd w:val="clear" w:color="auto" w:fill="FFFFFF"/>
          <w:lang w:eastAsia="en-GB"/>
        </w:rPr>
        <w:t>walesonline</w:t>
      </w:r>
      <w:proofErr w:type="spellEnd"/>
      <w:r w:rsidRPr="00AC5C05">
        <w:rPr>
          <w:rFonts w:eastAsia="Times New Roman" w:cs="Arial"/>
          <w:color w:val="000000" w:themeColor="text1"/>
          <w:shd w:val="clear" w:color="auto" w:fill="FFFFFF"/>
          <w:lang w:eastAsia="en-GB"/>
        </w:rPr>
        <w:t>. Available at: http://www.walesonline.co.uk/news/health/speaking-welsh-good-your-health-10890612 [Accessed 10 Jan. 2018].</w:t>
      </w:r>
    </w:p>
    <w:p w14:paraId="3D09256C" w14:textId="77777777" w:rsidR="007956F7" w:rsidRDefault="007956F7" w:rsidP="007956F7">
      <w:pPr>
        <w:rPr>
          <w:rFonts w:eastAsia="Times New Roman" w:cs="Times New Roman"/>
          <w:color w:val="000000" w:themeColor="text1"/>
          <w:lang w:eastAsia="en-GB"/>
        </w:rPr>
      </w:pPr>
    </w:p>
    <w:p w14:paraId="0965D41D" w14:textId="77777777" w:rsidR="007956F7" w:rsidRPr="00AC5C05" w:rsidRDefault="007956F7" w:rsidP="007956F7">
      <w:pPr>
        <w:rPr>
          <w:rFonts w:eastAsia="Times New Roman" w:cs="Times New Roman"/>
          <w:color w:val="000000" w:themeColor="text1"/>
          <w:lang w:eastAsia="en-GB"/>
        </w:rPr>
      </w:pPr>
      <w:r w:rsidRPr="00AC5C05">
        <w:rPr>
          <w:rFonts w:eastAsia="Times New Roman" w:cs="Arial"/>
          <w:color w:val="000000" w:themeColor="text1"/>
          <w:shd w:val="clear" w:color="auto" w:fill="FFFFFF"/>
          <w:lang w:eastAsia="en-GB"/>
        </w:rPr>
        <w:t>Thewallich.com. (2018). </w:t>
      </w:r>
      <w:r w:rsidRPr="00AC5C05">
        <w:rPr>
          <w:rFonts w:eastAsia="Times New Roman" w:cs="Arial"/>
          <w:i/>
          <w:iCs/>
          <w:color w:val="000000" w:themeColor="text1"/>
          <w:lang w:eastAsia="en-GB"/>
        </w:rPr>
        <w:t>Preventing Homelessness in Wales</w:t>
      </w:r>
      <w:r w:rsidRPr="00AC5C05">
        <w:rPr>
          <w:rFonts w:eastAsia="Times New Roman" w:cs="Arial"/>
          <w:color w:val="000000" w:themeColor="text1"/>
          <w:shd w:val="clear" w:color="auto" w:fill="FFFFFF"/>
          <w:lang w:eastAsia="en-GB"/>
        </w:rPr>
        <w:t>. [online] Available at: https://thewallich.com/wp-content/uploads/2016/02/RSIT_Swansea_Dec_17.jpg [Accessed 10 Jan. 2018].</w:t>
      </w:r>
    </w:p>
    <w:p w14:paraId="228724B1" w14:textId="77777777" w:rsidR="007956F7" w:rsidRPr="00007610" w:rsidRDefault="007956F7" w:rsidP="007956F7">
      <w:pPr>
        <w:rPr>
          <w:rFonts w:eastAsia="Times New Roman" w:cs="Times New Roman"/>
          <w:color w:val="000000" w:themeColor="text1"/>
          <w:lang w:eastAsia="en-GB"/>
        </w:rPr>
      </w:pPr>
    </w:p>
    <w:p w14:paraId="6C125B9F" w14:textId="77777777" w:rsidR="007956F7" w:rsidRDefault="007956F7" w:rsidP="007956F7">
      <w:pPr>
        <w:rPr>
          <w:rFonts w:eastAsia="Times New Roman" w:cs="Arial"/>
          <w:color w:val="000000" w:themeColor="text1"/>
          <w:shd w:val="clear" w:color="auto" w:fill="FFFFFF"/>
          <w:lang w:eastAsia="en-GB"/>
        </w:rPr>
      </w:pPr>
      <w:proofErr w:type="spellStart"/>
      <w:r w:rsidRPr="00AC5C05">
        <w:rPr>
          <w:rFonts w:eastAsia="Times New Roman" w:cs="Arial"/>
          <w:color w:val="000000" w:themeColor="text1"/>
          <w:shd w:val="clear" w:color="auto" w:fill="FFFFFF"/>
          <w:lang w:eastAsia="en-GB"/>
        </w:rPr>
        <w:t>Gov.wales</w:t>
      </w:r>
      <w:proofErr w:type="spellEnd"/>
      <w:r w:rsidRPr="00AC5C05">
        <w:rPr>
          <w:rFonts w:eastAsia="Times New Roman" w:cs="Arial"/>
          <w:color w:val="000000" w:themeColor="text1"/>
          <w:shd w:val="clear" w:color="auto" w:fill="FFFFFF"/>
          <w:lang w:eastAsia="en-GB"/>
        </w:rPr>
        <w:t>. (2018). </w:t>
      </w:r>
      <w:r w:rsidRPr="00AC5C05">
        <w:rPr>
          <w:rFonts w:eastAsia="Times New Roman" w:cs="Arial"/>
          <w:i/>
          <w:iCs/>
          <w:color w:val="000000" w:themeColor="text1"/>
          <w:lang w:eastAsia="en-GB"/>
        </w:rPr>
        <w:t>Welsh Health survey 2015: Health status, illnesses and other conditions</w:t>
      </w:r>
      <w:r w:rsidRPr="00AC5C05">
        <w:rPr>
          <w:rFonts w:eastAsia="Times New Roman" w:cs="Arial"/>
          <w:color w:val="000000" w:themeColor="text1"/>
          <w:shd w:val="clear" w:color="auto" w:fill="FFFFFF"/>
          <w:lang w:eastAsia="en-GB"/>
        </w:rPr>
        <w:t>. [online] Available at: http://gov.wales/docs/statistics/2016/160622-welsh-health-survey-2015-health-status-illnesses-other-conditions-en.pdf [Accessed 10 Jan. 2018].</w:t>
      </w:r>
    </w:p>
    <w:p w14:paraId="37721E09" w14:textId="77777777" w:rsidR="007956F7" w:rsidRDefault="007956F7" w:rsidP="007956F7">
      <w:pPr>
        <w:rPr>
          <w:rFonts w:eastAsia="Times New Roman" w:cs="Arial"/>
          <w:color w:val="000000" w:themeColor="text1"/>
          <w:shd w:val="clear" w:color="auto" w:fill="FFFFFF"/>
          <w:lang w:eastAsia="en-GB"/>
        </w:rPr>
      </w:pPr>
    </w:p>
    <w:p w14:paraId="2FF7130A" w14:textId="77777777" w:rsidR="007956F7" w:rsidRPr="00AC5C05" w:rsidRDefault="007956F7" w:rsidP="007956F7">
      <w:pPr>
        <w:rPr>
          <w:rFonts w:eastAsia="Times New Roman" w:cs="Times New Roman"/>
          <w:color w:val="000000" w:themeColor="text1"/>
          <w:lang w:eastAsia="en-GB"/>
        </w:rPr>
      </w:pPr>
      <w:r w:rsidRPr="00AC5C05">
        <w:rPr>
          <w:rFonts w:eastAsia="Times New Roman" w:cs="Arial"/>
          <w:color w:val="000000" w:themeColor="text1"/>
          <w:shd w:val="clear" w:color="auto" w:fill="FFFFFF"/>
          <w:lang w:eastAsia="en-GB"/>
        </w:rPr>
        <w:t>Nomisweb.co.uk. (2018). </w:t>
      </w:r>
      <w:proofErr w:type="spellStart"/>
      <w:r w:rsidRPr="00AC5C05">
        <w:rPr>
          <w:rFonts w:eastAsia="Times New Roman" w:cs="Arial"/>
          <w:i/>
          <w:iCs/>
          <w:color w:val="000000" w:themeColor="text1"/>
          <w:lang w:eastAsia="en-GB"/>
        </w:rPr>
        <w:t>Nomis</w:t>
      </w:r>
      <w:proofErr w:type="spellEnd"/>
      <w:r w:rsidRPr="00AC5C05">
        <w:rPr>
          <w:rFonts w:eastAsia="Times New Roman" w:cs="Arial"/>
          <w:i/>
          <w:iCs/>
          <w:color w:val="000000" w:themeColor="text1"/>
          <w:lang w:eastAsia="en-GB"/>
        </w:rPr>
        <w:t xml:space="preserve"> - </w:t>
      </w:r>
      <w:proofErr w:type="spellStart"/>
      <w:r w:rsidRPr="00AC5C05">
        <w:rPr>
          <w:rFonts w:eastAsia="Times New Roman" w:cs="Arial"/>
          <w:i/>
          <w:iCs/>
          <w:color w:val="000000" w:themeColor="text1"/>
          <w:lang w:eastAsia="en-GB"/>
        </w:rPr>
        <w:t>Nomis</w:t>
      </w:r>
      <w:proofErr w:type="spellEnd"/>
      <w:r w:rsidRPr="00AC5C05">
        <w:rPr>
          <w:rFonts w:eastAsia="Times New Roman" w:cs="Arial"/>
          <w:i/>
          <w:iCs/>
          <w:color w:val="000000" w:themeColor="text1"/>
          <w:lang w:eastAsia="en-GB"/>
        </w:rPr>
        <w:t xml:space="preserve"> - Official Labour Market Statistics</w:t>
      </w:r>
      <w:r w:rsidRPr="00AC5C05">
        <w:rPr>
          <w:rFonts w:eastAsia="Times New Roman" w:cs="Arial"/>
          <w:color w:val="000000" w:themeColor="text1"/>
          <w:shd w:val="clear" w:color="auto" w:fill="FFFFFF"/>
          <w:lang w:eastAsia="en-GB"/>
        </w:rPr>
        <w:t>. [online] Available at: https://www.nomisweb.co.uk [Accessed 10 Jan. 2018].</w:t>
      </w:r>
    </w:p>
    <w:p w14:paraId="4FFD6EB7" w14:textId="77777777" w:rsidR="007956F7" w:rsidRDefault="007956F7" w:rsidP="007956F7">
      <w:pPr>
        <w:rPr>
          <w:rFonts w:eastAsia="Times New Roman" w:cs="Times New Roman"/>
          <w:color w:val="000000" w:themeColor="text1"/>
          <w:lang w:eastAsia="en-GB"/>
        </w:rPr>
      </w:pPr>
    </w:p>
    <w:p w14:paraId="488D38B9" w14:textId="77777777" w:rsidR="007956F7" w:rsidRDefault="007956F7" w:rsidP="007956F7">
      <w:pPr>
        <w:rPr>
          <w:rFonts w:eastAsia="Times New Roman" w:cs="Arial"/>
          <w:color w:val="000000" w:themeColor="text1"/>
          <w:shd w:val="clear" w:color="auto" w:fill="FFFFFF"/>
          <w:lang w:eastAsia="en-GB"/>
        </w:rPr>
      </w:pPr>
      <w:r w:rsidRPr="00AC5C05">
        <w:rPr>
          <w:rFonts w:eastAsia="Times New Roman" w:cs="Arial"/>
          <w:color w:val="000000" w:themeColor="text1"/>
          <w:shd w:val="clear" w:color="auto" w:fill="FFFFFF"/>
          <w:lang w:eastAsia="en-GB"/>
        </w:rPr>
        <w:t>Ons.gov.uk. (2018). </w:t>
      </w:r>
      <w:r w:rsidRPr="00AC5C05">
        <w:rPr>
          <w:rFonts w:eastAsia="Times New Roman" w:cs="Arial"/>
          <w:i/>
          <w:iCs/>
          <w:color w:val="000000" w:themeColor="text1"/>
          <w:lang w:eastAsia="en-GB"/>
        </w:rPr>
        <w:t>Home - Office for National Statistics</w:t>
      </w:r>
      <w:r w:rsidRPr="00AC5C05">
        <w:rPr>
          <w:rFonts w:eastAsia="Times New Roman" w:cs="Arial"/>
          <w:color w:val="000000" w:themeColor="text1"/>
          <w:shd w:val="clear" w:color="auto" w:fill="FFFFFF"/>
          <w:lang w:eastAsia="en-GB"/>
        </w:rPr>
        <w:t>. [online] Available at: https://www.ons.gov.uk [Accessed 10 Jan. 2018].</w:t>
      </w:r>
    </w:p>
    <w:p w14:paraId="6CC5EDAB" w14:textId="77777777" w:rsidR="007956F7" w:rsidRDefault="007956F7" w:rsidP="007956F7">
      <w:pPr>
        <w:rPr>
          <w:rFonts w:eastAsia="Times New Roman" w:cs="Arial"/>
          <w:color w:val="000000" w:themeColor="text1"/>
          <w:shd w:val="clear" w:color="auto" w:fill="FFFFFF"/>
          <w:lang w:eastAsia="en-GB"/>
        </w:rPr>
      </w:pPr>
    </w:p>
    <w:p w14:paraId="003B9882" w14:textId="77777777" w:rsidR="007956F7" w:rsidRDefault="007956F7" w:rsidP="007956F7">
      <w:pPr>
        <w:rPr>
          <w:rFonts w:eastAsia="Times New Roman" w:cs="Arial"/>
          <w:color w:val="000000" w:themeColor="text1"/>
          <w:shd w:val="clear" w:color="auto" w:fill="FFFFFF"/>
          <w:lang w:eastAsia="en-GB"/>
        </w:rPr>
      </w:pPr>
    </w:p>
    <w:p w14:paraId="09566F8C" w14:textId="77777777" w:rsidR="007956F7" w:rsidRPr="00AC5C05" w:rsidRDefault="007956F7" w:rsidP="007956F7">
      <w:pPr>
        <w:rPr>
          <w:rFonts w:eastAsia="Times New Roman" w:cs="Times New Roman"/>
          <w:color w:val="000000" w:themeColor="text1"/>
          <w:lang w:eastAsia="en-GB"/>
        </w:rPr>
      </w:pPr>
      <w:proofErr w:type="spellStart"/>
      <w:r w:rsidRPr="00AC5C05">
        <w:rPr>
          <w:rFonts w:eastAsia="Times New Roman" w:cs="Arial"/>
          <w:color w:val="000000" w:themeColor="text1"/>
          <w:shd w:val="clear" w:color="auto" w:fill="FFFFFF"/>
          <w:lang w:eastAsia="en-GB"/>
        </w:rPr>
        <w:t>Statswales.gov.wales</w:t>
      </w:r>
      <w:proofErr w:type="spellEnd"/>
      <w:r w:rsidRPr="00AC5C05">
        <w:rPr>
          <w:rFonts w:eastAsia="Times New Roman" w:cs="Arial"/>
          <w:color w:val="000000" w:themeColor="text1"/>
          <w:shd w:val="clear" w:color="auto" w:fill="FFFFFF"/>
          <w:lang w:eastAsia="en-GB"/>
        </w:rPr>
        <w:t>. (2018). [online] Available at: https://statswales.gov.wales [Accessed 10 Jan. 2018].</w:t>
      </w:r>
    </w:p>
    <w:p w14:paraId="540209CD" w14:textId="77777777" w:rsidR="007956F7" w:rsidRPr="00AC5C05" w:rsidRDefault="007956F7" w:rsidP="007956F7">
      <w:pPr>
        <w:rPr>
          <w:rFonts w:eastAsia="Times New Roman" w:cs="Times New Roman"/>
          <w:color w:val="000000" w:themeColor="text1"/>
          <w:lang w:eastAsia="en-GB"/>
        </w:rPr>
      </w:pPr>
    </w:p>
    <w:p w14:paraId="6D3EF1AD" w14:textId="77777777" w:rsidR="007956F7" w:rsidRPr="00AC5C05" w:rsidRDefault="007956F7" w:rsidP="007956F7">
      <w:pPr>
        <w:rPr>
          <w:rFonts w:eastAsia="Times New Roman" w:cs="Times New Roman"/>
          <w:color w:val="000000" w:themeColor="text1"/>
          <w:lang w:eastAsia="en-GB"/>
        </w:rPr>
      </w:pPr>
    </w:p>
    <w:p w14:paraId="22CA6034" w14:textId="77777777" w:rsidR="007956F7" w:rsidRPr="00AC5C05" w:rsidRDefault="007956F7" w:rsidP="007956F7">
      <w:pPr>
        <w:tabs>
          <w:tab w:val="left" w:pos="2869"/>
        </w:tabs>
        <w:rPr>
          <w:color w:val="000000" w:themeColor="text1"/>
        </w:rPr>
      </w:pPr>
    </w:p>
    <w:p w14:paraId="078641E0" w14:textId="77777777" w:rsidR="003F02DD" w:rsidRDefault="003F02DD" w:rsidP="001A7C58">
      <w:pPr>
        <w:tabs>
          <w:tab w:val="left" w:pos="2869"/>
        </w:tabs>
      </w:pPr>
    </w:p>
    <w:p w14:paraId="5D3E1F16" w14:textId="77777777" w:rsidR="003F02DD" w:rsidRPr="001A7C58" w:rsidRDefault="003F02DD" w:rsidP="001A7C58">
      <w:pPr>
        <w:tabs>
          <w:tab w:val="left" w:pos="2869"/>
        </w:tabs>
      </w:pPr>
      <w:bookmarkStart w:id="0" w:name="_GoBack"/>
      <w:bookmarkEnd w:id="0"/>
    </w:p>
    <w:sectPr w:rsidR="003F02DD" w:rsidRPr="001A7C58" w:rsidSect="00F1184B">
      <w:headerReference w:type="default" r:id="rId28"/>
      <w:footerReference w:type="even" r:id="rId29"/>
      <w:footerReference w:type="default" r:id="rId30"/>
      <w:pgSz w:w="11900" w:h="16840"/>
      <w:pgMar w:top="1191" w:right="987" w:bottom="1191" w:left="1134"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35329DC" w14:textId="77777777" w:rsidR="009631D3" w:rsidRDefault="009631D3" w:rsidP="006578D6">
      <w:r>
        <w:separator/>
      </w:r>
    </w:p>
  </w:endnote>
  <w:endnote w:type="continuationSeparator" w:id="0">
    <w:p w14:paraId="0F2EB67B" w14:textId="77777777" w:rsidR="009631D3" w:rsidRDefault="009631D3" w:rsidP="006578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E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32543CF" w14:textId="77777777" w:rsidR="000E1085" w:rsidRDefault="000E1085" w:rsidP="001A0CCA">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B01E7C4" w14:textId="77777777" w:rsidR="000E1085" w:rsidRDefault="000E1085" w:rsidP="00395910">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98B1D9B" w14:textId="77777777" w:rsidR="000E1085" w:rsidRDefault="000E1085" w:rsidP="001A0CCA">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2D621A">
      <w:rPr>
        <w:rStyle w:val="PageNumber"/>
        <w:noProof/>
      </w:rPr>
      <w:t>20</w:t>
    </w:r>
    <w:r>
      <w:rPr>
        <w:rStyle w:val="PageNumber"/>
      </w:rPr>
      <w:fldChar w:fldCharType="end"/>
    </w:r>
  </w:p>
  <w:p w14:paraId="696E5A4D" w14:textId="77777777" w:rsidR="000E1085" w:rsidRDefault="000E1085" w:rsidP="00395910">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341EB8F" w14:textId="77777777" w:rsidR="009631D3" w:rsidRDefault="009631D3" w:rsidP="006578D6">
      <w:r>
        <w:separator/>
      </w:r>
    </w:p>
  </w:footnote>
  <w:footnote w:type="continuationSeparator" w:id="0">
    <w:p w14:paraId="396F7BD1" w14:textId="77777777" w:rsidR="009631D3" w:rsidRDefault="009631D3" w:rsidP="006578D6">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8C610C7" w14:textId="1F066502" w:rsidR="000E1085" w:rsidRDefault="000E1085">
    <w:pPr>
      <w:pStyle w:val="Header"/>
    </w:pPr>
    <w:r>
      <w:t>P148069</w:t>
    </w:r>
  </w:p>
  <w:p w14:paraId="03CE5E5A" w14:textId="77777777" w:rsidR="000E1085" w:rsidRDefault="000E1085">
    <w:pPr>
      <w:pStyle w:val="Header"/>
    </w:pPr>
  </w:p>
  <w:p w14:paraId="2BB7512C" w14:textId="77777777" w:rsidR="000E1085" w:rsidRDefault="000E1085">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B4CDA"/>
    <w:rsid w:val="00001990"/>
    <w:rsid w:val="000024D1"/>
    <w:rsid w:val="00006FAC"/>
    <w:rsid w:val="000158F4"/>
    <w:rsid w:val="00015B27"/>
    <w:rsid w:val="00030E47"/>
    <w:rsid w:val="00037D31"/>
    <w:rsid w:val="0004232C"/>
    <w:rsid w:val="0005546F"/>
    <w:rsid w:val="000749BF"/>
    <w:rsid w:val="00087725"/>
    <w:rsid w:val="000908BE"/>
    <w:rsid w:val="000A0C34"/>
    <w:rsid w:val="000A4BF7"/>
    <w:rsid w:val="000A572C"/>
    <w:rsid w:val="000A5BF7"/>
    <w:rsid w:val="000C11D2"/>
    <w:rsid w:val="000C5889"/>
    <w:rsid w:val="000D7518"/>
    <w:rsid w:val="000E1085"/>
    <w:rsid w:val="000F054C"/>
    <w:rsid w:val="00113A70"/>
    <w:rsid w:val="0012789B"/>
    <w:rsid w:val="00143A8D"/>
    <w:rsid w:val="00143CB3"/>
    <w:rsid w:val="00153E04"/>
    <w:rsid w:val="00154B98"/>
    <w:rsid w:val="00155472"/>
    <w:rsid w:val="001752BD"/>
    <w:rsid w:val="00183FFF"/>
    <w:rsid w:val="001868CB"/>
    <w:rsid w:val="00186B95"/>
    <w:rsid w:val="001A0CCA"/>
    <w:rsid w:val="001A7C58"/>
    <w:rsid w:val="001B5AD0"/>
    <w:rsid w:val="001C1F95"/>
    <w:rsid w:val="001C4079"/>
    <w:rsid w:val="001C5CAF"/>
    <w:rsid w:val="001D5073"/>
    <w:rsid w:val="001E61DB"/>
    <w:rsid w:val="001F06BA"/>
    <w:rsid w:val="00220D43"/>
    <w:rsid w:val="00225620"/>
    <w:rsid w:val="0022683A"/>
    <w:rsid w:val="00235F43"/>
    <w:rsid w:val="00236CD5"/>
    <w:rsid w:val="00261B0A"/>
    <w:rsid w:val="002851DB"/>
    <w:rsid w:val="002C4EEE"/>
    <w:rsid w:val="002C7A92"/>
    <w:rsid w:val="002D621A"/>
    <w:rsid w:val="00310AB5"/>
    <w:rsid w:val="00310FB6"/>
    <w:rsid w:val="00312475"/>
    <w:rsid w:val="00314552"/>
    <w:rsid w:val="00364399"/>
    <w:rsid w:val="00371631"/>
    <w:rsid w:val="00395910"/>
    <w:rsid w:val="003B5246"/>
    <w:rsid w:val="003C16BC"/>
    <w:rsid w:val="003C5818"/>
    <w:rsid w:val="003D3C30"/>
    <w:rsid w:val="003E23C3"/>
    <w:rsid w:val="003E2D85"/>
    <w:rsid w:val="003F02DD"/>
    <w:rsid w:val="00403B95"/>
    <w:rsid w:val="00414BA8"/>
    <w:rsid w:val="004318B4"/>
    <w:rsid w:val="004359C1"/>
    <w:rsid w:val="00435A94"/>
    <w:rsid w:val="00461877"/>
    <w:rsid w:val="00497980"/>
    <w:rsid w:val="004A023B"/>
    <w:rsid w:val="004A3B6E"/>
    <w:rsid w:val="004B5A5B"/>
    <w:rsid w:val="004C321D"/>
    <w:rsid w:val="004C3C17"/>
    <w:rsid w:val="004C5B32"/>
    <w:rsid w:val="004C78D7"/>
    <w:rsid w:val="005018C0"/>
    <w:rsid w:val="00503D8C"/>
    <w:rsid w:val="0050552B"/>
    <w:rsid w:val="005268F0"/>
    <w:rsid w:val="005354CF"/>
    <w:rsid w:val="005447DD"/>
    <w:rsid w:val="005750F3"/>
    <w:rsid w:val="00585B96"/>
    <w:rsid w:val="005919BF"/>
    <w:rsid w:val="005A1C83"/>
    <w:rsid w:val="005B16AB"/>
    <w:rsid w:val="005C081F"/>
    <w:rsid w:val="005D07F0"/>
    <w:rsid w:val="00645FA5"/>
    <w:rsid w:val="006578D6"/>
    <w:rsid w:val="0069108F"/>
    <w:rsid w:val="00691509"/>
    <w:rsid w:val="006B4CDA"/>
    <w:rsid w:val="006D38D5"/>
    <w:rsid w:val="007239AC"/>
    <w:rsid w:val="007307FD"/>
    <w:rsid w:val="007502A6"/>
    <w:rsid w:val="007536A8"/>
    <w:rsid w:val="007677BE"/>
    <w:rsid w:val="00773AFF"/>
    <w:rsid w:val="00781811"/>
    <w:rsid w:val="00787CE8"/>
    <w:rsid w:val="007956F7"/>
    <w:rsid w:val="007B32CD"/>
    <w:rsid w:val="007B3A8B"/>
    <w:rsid w:val="007D4093"/>
    <w:rsid w:val="007E0EB0"/>
    <w:rsid w:val="007F4564"/>
    <w:rsid w:val="00807289"/>
    <w:rsid w:val="00811280"/>
    <w:rsid w:val="00816D0B"/>
    <w:rsid w:val="00824726"/>
    <w:rsid w:val="00842261"/>
    <w:rsid w:val="008607CE"/>
    <w:rsid w:val="008616E3"/>
    <w:rsid w:val="0086251B"/>
    <w:rsid w:val="0086364B"/>
    <w:rsid w:val="00866C98"/>
    <w:rsid w:val="00884AE0"/>
    <w:rsid w:val="0088652F"/>
    <w:rsid w:val="00893CAE"/>
    <w:rsid w:val="008A50C4"/>
    <w:rsid w:val="008A5C03"/>
    <w:rsid w:val="008B551C"/>
    <w:rsid w:val="008C520E"/>
    <w:rsid w:val="008E7BD9"/>
    <w:rsid w:val="0090147B"/>
    <w:rsid w:val="00901CEA"/>
    <w:rsid w:val="009330E4"/>
    <w:rsid w:val="00941EDE"/>
    <w:rsid w:val="009631D3"/>
    <w:rsid w:val="0096352E"/>
    <w:rsid w:val="0097328F"/>
    <w:rsid w:val="009762FF"/>
    <w:rsid w:val="009A084F"/>
    <w:rsid w:val="009A3C2E"/>
    <w:rsid w:val="009C33DC"/>
    <w:rsid w:val="009D45D4"/>
    <w:rsid w:val="009E0CFB"/>
    <w:rsid w:val="009E27C0"/>
    <w:rsid w:val="009F63D5"/>
    <w:rsid w:val="00A1217A"/>
    <w:rsid w:val="00A207BB"/>
    <w:rsid w:val="00A34AAE"/>
    <w:rsid w:val="00A35D12"/>
    <w:rsid w:val="00A56F51"/>
    <w:rsid w:val="00A9670B"/>
    <w:rsid w:val="00AB5199"/>
    <w:rsid w:val="00AB5BC4"/>
    <w:rsid w:val="00AC57C5"/>
    <w:rsid w:val="00AC64F9"/>
    <w:rsid w:val="00AE1CC1"/>
    <w:rsid w:val="00AF4660"/>
    <w:rsid w:val="00AF5815"/>
    <w:rsid w:val="00B16DE3"/>
    <w:rsid w:val="00B25602"/>
    <w:rsid w:val="00B5169D"/>
    <w:rsid w:val="00B53B78"/>
    <w:rsid w:val="00B652A2"/>
    <w:rsid w:val="00B6698E"/>
    <w:rsid w:val="00B71237"/>
    <w:rsid w:val="00B81398"/>
    <w:rsid w:val="00B8188E"/>
    <w:rsid w:val="00B82D50"/>
    <w:rsid w:val="00B9412A"/>
    <w:rsid w:val="00B96A2F"/>
    <w:rsid w:val="00BA235E"/>
    <w:rsid w:val="00C00086"/>
    <w:rsid w:val="00C07CE1"/>
    <w:rsid w:val="00C34A6C"/>
    <w:rsid w:val="00C57412"/>
    <w:rsid w:val="00C72A87"/>
    <w:rsid w:val="00C75E57"/>
    <w:rsid w:val="00C921A4"/>
    <w:rsid w:val="00CC4C6A"/>
    <w:rsid w:val="00D12E50"/>
    <w:rsid w:val="00D13D3F"/>
    <w:rsid w:val="00D16AB9"/>
    <w:rsid w:val="00D32D60"/>
    <w:rsid w:val="00D6613D"/>
    <w:rsid w:val="00DA1E05"/>
    <w:rsid w:val="00DA7B10"/>
    <w:rsid w:val="00DB0F0F"/>
    <w:rsid w:val="00DB3863"/>
    <w:rsid w:val="00DD29ED"/>
    <w:rsid w:val="00DD416E"/>
    <w:rsid w:val="00DF650B"/>
    <w:rsid w:val="00E075ED"/>
    <w:rsid w:val="00E110E7"/>
    <w:rsid w:val="00E13202"/>
    <w:rsid w:val="00E15657"/>
    <w:rsid w:val="00E31CE4"/>
    <w:rsid w:val="00E55A64"/>
    <w:rsid w:val="00E67941"/>
    <w:rsid w:val="00E97153"/>
    <w:rsid w:val="00EA1126"/>
    <w:rsid w:val="00EA2B7E"/>
    <w:rsid w:val="00EA32E1"/>
    <w:rsid w:val="00EB72E1"/>
    <w:rsid w:val="00ED04B8"/>
    <w:rsid w:val="00ED2168"/>
    <w:rsid w:val="00ED552F"/>
    <w:rsid w:val="00F02EC0"/>
    <w:rsid w:val="00F1184B"/>
    <w:rsid w:val="00F2488E"/>
    <w:rsid w:val="00F26023"/>
    <w:rsid w:val="00F2668F"/>
    <w:rsid w:val="00F424E9"/>
    <w:rsid w:val="00F4543C"/>
    <w:rsid w:val="00F45CA3"/>
    <w:rsid w:val="00F57FD0"/>
    <w:rsid w:val="00F83AAA"/>
    <w:rsid w:val="00F83C20"/>
    <w:rsid w:val="00F94468"/>
    <w:rsid w:val="00FE24FC"/>
    <w:rsid w:val="00FE40B7"/>
    <w:rsid w:val="00FF1F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A29946"/>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578D6"/>
    <w:pPr>
      <w:tabs>
        <w:tab w:val="center" w:pos="4513"/>
        <w:tab w:val="right" w:pos="9026"/>
      </w:tabs>
    </w:pPr>
  </w:style>
  <w:style w:type="character" w:customStyle="1" w:styleId="HeaderChar">
    <w:name w:val="Header Char"/>
    <w:basedOn w:val="DefaultParagraphFont"/>
    <w:link w:val="Header"/>
    <w:uiPriority w:val="99"/>
    <w:rsid w:val="006578D6"/>
  </w:style>
  <w:style w:type="paragraph" w:styleId="Footer">
    <w:name w:val="footer"/>
    <w:basedOn w:val="Normal"/>
    <w:link w:val="FooterChar"/>
    <w:uiPriority w:val="99"/>
    <w:unhideWhenUsed/>
    <w:rsid w:val="006578D6"/>
    <w:pPr>
      <w:tabs>
        <w:tab w:val="center" w:pos="4513"/>
        <w:tab w:val="right" w:pos="9026"/>
      </w:tabs>
    </w:pPr>
  </w:style>
  <w:style w:type="character" w:customStyle="1" w:styleId="FooterChar">
    <w:name w:val="Footer Char"/>
    <w:basedOn w:val="DefaultParagraphFont"/>
    <w:link w:val="Footer"/>
    <w:uiPriority w:val="99"/>
    <w:rsid w:val="006578D6"/>
  </w:style>
  <w:style w:type="character" w:styleId="PageNumber">
    <w:name w:val="page number"/>
    <w:basedOn w:val="DefaultParagraphFont"/>
    <w:uiPriority w:val="99"/>
    <w:semiHidden/>
    <w:unhideWhenUsed/>
    <w:rsid w:val="00395910"/>
  </w:style>
  <w:style w:type="table" w:styleId="TableGrid">
    <w:name w:val="Table Grid"/>
    <w:basedOn w:val="TableNormal"/>
    <w:uiPriority w:val="39"/>
    <w:rsid w:val="0012789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910543">
      <w:bodyDiv w:val="1"/>
      <w:marLeft w:val="0"/>
      <w:marRight w:val="0"/>
      <w:marTop w:val="0"/>
      <w:marBottom w:val="0"/>
      <w:divBdr>
        <w:top w:val="none" w:sz="0" w:space="0" w:color="auto"/>
        <w:left w:val="none" w:sz="0" w:space="0" w:color="auto"/>
        <w:bottom w:val="none" w:sz="0" w:space="0" w:color="auto"/>
        <w:right w:val="none" w:sz="0" w:space="0" w:color="auto"/>
      </w:divBdr>
    </w:div>
    <w:div w:id="875460539">
      <w:bodyDiv w:val="1"/>
      <w:marLeft w:val="0"/>
      <w:marRight w:val="0"/>
      <w:marTop w:val="0"/>
      <w:marBottom w:val="0"/>
      <w:divBdr>
        <w:top w:val="none" w:sz="0" w:space="0" w:color="auto"/>
        <w:left w:val="none" w:sz="0" w:space="0" w:color="auto"/>
        <w:bottom w:val="none" w:sz="0" w:space="0" w:color="auto"/>
        <w:right w:val="none" w:sz="0" w:space="0" w:color="auto"/>
      </w:divBdr>
    </w:div>
    <w:div w:id="968438925">
      <w:bodyDiv w:val="1"/>
      <w:marLeft w:val="0"/>
      <w:marRight w:val="0"/>
      <w:marTop w:val="0"/>
      <w:marBottom w:val="0"/>
      <w:divBdr>
        <w:top w:val="none" w:sz="0" w:space="0" w:color="auto"/>
        <w:left w:val="none" w:sz="0" w:space="0" w:color="auto"/>
        <w:bottom w:val="none" w:sz="0" w:space="0" w:color="auto"/>
        <w:right w:val="none" w:sz="0" w:space="0" w:color="auto"/>
      </w:divBdr>
    </w:div>
    <w:div w:id="995304462">
      <w:bodyDiv w:val="1"/>
      <w:marLeft w:val="0"/>
      <w:marRight w:val="0"/>
      <w:marTop w:val="0"/>
      <w:marBottom w:val="0"/>
      <w:divBdr>
        <w:top w:val="none" w:sz="0" w:space="0" w:color="auto"/>
        <w:left w:val="none" w:sz="0" w:space="0" w:color="auto"/>
        <w:bottom w:val="none" w:sz="0" w:space="0" w:color="auto"/>
        <w:right w:val="none" w:sz="0" w:space="0" w:color="auto"/>
      </w:divBdr>
    </w:div>
    <w:div w:id="1061249139">
      <w:bodyDiv w:val="1"/>
      <w:marLeft w:val="0"/>
      <w:marRight w:val="0"/>
      <w:marTop w:val="0"/>
      <w:marBottom w:val="0"/>
      <w:divBdr>
        <w:top w:val="none" w:sz="0" w:space="0" w:color="auto"/>
        <w:left w:val="none" w:sz="0" w:space="0" w:color="auto"/>
        <w:bottom w:val="none" w:sz="0" w:space="0" w:color="auto"/>
        <w:right w:val="none" w:sz="0" w:space="0" w:color="auto"/>
      </w:divBdr>
    </w:div>
    <w:div w:id="1085372184">
      <w:bodyDiv w:val="1"/>
      <w:marLeft w:val="0"/>
      <w:marRight w:val="0"/>
      <w:marTop w:val="0"/>
      <w:marBottom w:val="0"/>
      <w:divBdr>
        <w:top w:val="none" w:sz="0" w:space="0" w:color="auto"/>
        <w:left w:val="none" w:sz="0" w:space="0" w:color="auto"/>
        <w:bottom w:val="none" w:sz="0" w:space="0" w:color="auto"/>
        <w:right w:val="none" w:sz="0" w:space="0" w:color="auto"/>
      </w:divBdr>
    </w:div>
    <w:div w:id="1465269997">
      <w:bodyDiv w:val="1"/>
      <w:marLeft w:val="0"/>
      <w:marRight w:val="0"/>
      <w:marTop w:val="0"/>
      <w:marBottom w:val="0"/>
      <w:divBdr>
        <w:top w:val="none" w:sz="0" w:space="0" w:color="auto"/>
        <w:left w:val="none" w:sz="0" w:space="0" w:color="auto"/>
        <w:bottom w:val="none" w:sz="0" w:space="0" w:color="auto"/>
        <w:right w:val="none" w:sz="0" w:space="0" w:color="auto"/>
      </w:divBdr>
    </w:div>
    <w:div w:id="1769346687">
      <w:bodyDiv w:val="1"/>
      <w:marLeft w:val="0"/>
      <w:marRight w:val="0"/>
      <w:marTop w:val="0"/>
      <w:marBottom w:val="0"/>
      <w:divBdr>
        <w:top w:val="none" w:sz="0" w:space="0" w:color="auto"/>
        <w:left w:val="none" w:sz="0" w:space="0" w:color="auto"/>
        <w:bottom w:val="none" w:sz="0" w:space="0" w:color="auto"/>
        <w:right w:val="none" w:sz="0" w:space="0" w:color="auto"/>
      </w:divBdr>
    </w:div>
    <w:div w:id="1813520898">
      <w:bodyDiv w:val="1"/>
      <w:marLeft w:val="0"/>
      <w:marRight w:val="0"/>
      <w:marTop w:val="0"/>
      <w:marBottom w:val="0"/>
      <w:divBdr>
        <w:top w:val="none" w:sz="0" w:space="0" w:color="auto"/>
        <w:left w:val="none" w:sz="0" w:space="0" w:color="auto"/>
        <w:bottom w:val="none" w:sz="0" w:space="0" w:color="auto"/>
        <w:right w:val="none" w:sz="0" w:space="0" w:color="auto"/>
      </w:divBdr>
    </w:div>
    <w:div w:id="193759509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chart" Target="charts/chart3.xml"/><Relationship Id="rId20" Type="http://schemas.openxmlformats.org/officeDocument/2006/relationships/chart" Target="charts/chart14.xml"/><Relationship Id="rId21" Type="http://schemas.openxmlformats.org/officeDocument/2006/relationships/chart" Target="charts/chart15.xml"/><Relationship Id="rId22" Type="http://schemas.openxmlformats.org/officeDocument/2006/relationships/chart" Target="charts/chart16.xml"/><Relationship Id="rId23" Type="http://schemas.openxmlformats.org/officeDocument/2006/relationships/chart" Target="charts/chart17.xml"/><Relationship Id="rId24" Type="http://schemas.openxmlformats.org/officeDocument/2006/relationships/chart" Target="charts/chart18.xml"/><Relationship Id="rId25" Type="http://schemas.openxmlformats.org/officeDocument/2006/relationships/chart" Target="charts/chart19.xml"/><Relationship Id="rId26" Type="http://schemas.openxmlformats.org/officeDocument/2006/relationships/chart" Target="charts/chart20.xml"/><Relationship Id="rId27" Type="http://schemas.openxmlformats.org/officeDocument/2006/relationships/chart" Target="charts/chart21.xml"/><Relationship Id="rId28" Type="http://schemas.openxmlformats.org/officeDocument/2006/relationships/header" Target="header1.xml"/><Relationship Id="rId29" Type="http://schemas.openxmlformats.org/officeDocument/2006/relationships/footer" Target="footer1.xml"/><Relationship Id="rId30" Type="http://schemas.openxmlformats.org/officeDocument/2006/relationships/footer" Target="footer2.xml"/><Relationship Id="rId31" Type="http://schemas.openxmlformats.org/officeDocument/2006/relationships/fontTable" Target="fontTable.xml"/><Relationship Id="rId32" Type="http://schemas.openxmlformats.org/officeDocument/2006/relationships/theme" Target="theme/theme1.xml"/><Relationship Id="rId10" Type="http://schemas.openxmlformats.org/officeDocument/2006/relationships/chart" Target="charts/chart4.xml"/><Relationship Id="rId11" Type="http://schemas.openxmlformats.org/officeDocument/2006/relationships/chart" Target="charts/chart5.xml"/><Relationship Id="rId12" Type="http://schemas.openxmlformats.org/officeDocument/2006/relationships/chart" Target="charts/chart6.xml"/><Relationship Id="rId13" Type="http://schemas.openxmlformats.org/officeDocument/2006/relationships/chart" Target="charts/chart7.xml"/><Relationship Id="rId14" Type="http://schemas.openxmlformats.org/officeDocument/2006/relationships/chart" Target="charts/chart8.xml"/><Relationship Id="rId15" Type="http://schemas.openxmlformats.org/officeDocument/2006/relationships/chart" Target="charts/chart9.xml"/><Relationship Id="rId16" Type="http://schemas.openxmlformats.org/officeDocument/2006/relationships/chart" Target="charts/chart10.xml"/><Relationship Id="rId17" Type="http://schemas.openxmlformats.org/officeDocument/2006/relationships/chart" Target="charts/chart11.xml"/><Relationship Id="rId18" Type="http://schemas.openxmlformats.org/officeDocument/2006/relationships/chart" Target="charts/chart12.xml"/><Relationship Id="rId19" Type="http://schemas.openxmlformats.org/officeDocument/2006/relationships/chart" Target="charts/chart13.xml"/><Relationship Id="rId1" Type="http://schemas.openxmlformats.org/officeDocument/2006/relationships/customXml" Target="../customXml/item1.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chart" Target="charts/chart1.xml"/><Relationship Id="rId8" Type="http://schemas.openxmlformats.org/officeDocument/2006/relationships/chart" Target="charts/chart2.xml"/></Relationships>
</file>

<file path=word/charts/_rels/chart1.xml.rels><?xml version="1.0" encoding="UTF-8" standalone="yes"?>
<Relationships xmlns="http://schemas.openxmlformats.org/package/2006/relationships"><Relationship Id="rId1" Type="http://schemas.microsoft.com/office/2011/relationships/chartStyle" Target="style1.xml"/><Relationship Id="rId2" Type="http://schemas.microsoft.com/office/2011/relationships/chartColorStyle" Target="colors1.xml"/><Relationship Id="rId3" Type="http://schemas.openxmlformats.org/officeDocument/2006/relationships/oleObject" Target="file:////Users\Lewis\Documents\excel%20graph%202.xlsx" TargetMode="External"/></Relationships>
</file>

<file path=word/charts/_rels/chart2.xml.rels><?xml version="1.0" encoding="UTF-8" standalone="yes"?>
<Relationships xmlns="http://schemas.openxmlformats.org/package/2006/relationships"><Relationship Id="rId1" Type="http://schemas.microsoft.com/office/2011/relationships/chartStyle" Target="style2.xml"/><Relationship Id="rId2" Type="http://schemas.microsoft.com/office/2011/relationships/chartColorStyle" Target="colors2.xml"/><Relationship Id="rId3" Type="http://schemas.openxmlformats.org/officeDocument/2006/relationships/oleObject" Target="Workbook2" TargetMode="External"/></Relationships>
</file>

<file path=word/charts/_rels/chart3.xml.rels><?xml version="1.0" encoding="UTF-8" standalone="yes"?>
<Relationships xmlns="http://schemas.openxmlformats.org/package/2006/relationships"><Relationship Id="rId1" Type="http://schemas.microsoft.com/office/2011/relationships/chartStyle" Target="style3.xml"/><Relationship Id="rId2" Type="http://schemas.microsoft.com/office/2011/relationships/chartColorStyle" Target="colors3.xml"/><Relationship Id="rId3" Type="http://schemas.openxmlformats.org/officeDocument/2006/relationships/oleObject" Target="Libro1" TargetMode="External"/></Relationships>
</file>

<file path=word/charts/_rels/chart4.xml.rels><?xml version="1.0" encoding="UTF-8" standalone="yes"?>
<Relationships xmlns="http://schemas.openxmlformats.org/package/2006/relationships"><Relationship Id="rId1" Type="http://schemas.microsoft.com/office/2011/relationships/chartStyle" Target="style4.xml"/><Relationship Id="rId2" Type="http://schemas.microsoft.com/office/2011/relationships/chartColorStyle" Target="colors4.xml"/><Relationship Id="rId3" Type="http://schemas.openxmlformats.org/officeDocument/2006/relationships/oleObject" Target="Libro2" TargetMode="External"/></Relationships>
</file>

<file path=word/charts/_rels/chart5.xml.rels><?xml version="1.0" encoding="UTF-8" standalone="yes"?>
<Relationships xmlns="http://schemas.openxmlformats.org/package/2006/relationships"><Relationship Id="rId1" Type="http://schemas.microsoft.com/office/2011/relationships/chartStyle" Target="style5.xml"/><Relationship Id="rId2" Type="http://schemas.microsoft.com/office/2011/relationships/chartColorStyle" Target="colors5.xml"/><Relationship Id="rId3" Type="http://schemas.openxmlformats.org/officeDocument/2006/relationships/oleObject" Target="Libro2" TargetMode="External"/></Relationships>
</file>

<file path=word/charts/_rels/chart6.xml.rels><?xml version="1.0" encoding="UTF-8" standalone="yes"?>
<Relationships xmlns="http://schemas.openxmlformats.org/package/2006/relationships"><Relationship Id="rId1" Type="http://schemas.microsoft.com/office/2011/relationships/chartStyle" Target="style6.xml"/><Relationship Id="rId2" Type="http://schemas.microsoft.com/office/2011/relationships/chartColorStyle" Target="colors6.xml"/><Relationship Id="rId3" Type="http://schemas.openxmlformats.org/officeDocument/2006/relationships/oleObject" Target="file:////Users\Lewis\Documents\excel%20graph%202.xlsx" TargetMode="External"/></Relationships>
</file>

<file path=word/charts/_rels/chart7.xml.rels><?xml version="1.0" encoding="UTF-8" standalone="yes"?>
<Relationships xmlns="http://schemas.openxmlformats.org/package/2006/relationships"><Relationship Id="rId1" Type="http://schemas.microsoft.com/office/2011/relationships/chartStyle" Target="style7.xml"/><Relationship Id="rId2" Type="http://schemas.microsoft.com/office/2011/relationships/chartColorStyle" Target="colors7.xml"/><Relationship Id="rId3" Type="http://schemas.openxmlformats.org/officeDocument/2006/relationships/oleObject" Target="file:////Users\Lewis\Documents\excel%20graph%202.xlsx" TargetMode="External"/></Relationships>
</file>

<file path=word/charts/_rels/chart8.xml.rels><?xml version="1.0" encoding="UTF-8" standalone="yes"?>
<Relationships xmlns="http://schemas.openxmlformats.org/package/2006/relationships"><Relationship Id="rId1" Type="http://schemas.microsoft.com/office/2011/relationships/chartStyle" Target="style8.xml"/><Relationship Id="rId2" Type="http://schemas.microsoft.com/office/2011/relationships/chartColorStyle" Target="colors8.xml"/><Relationship Id="rId3" Type="http://schemas.openxmlformats.org/officeDocument/2006/relationships/oleObject" Target="file:////Users\Lewis\Documents\excel%20graph%202.xlsx" TargetMode="External"/></Relationships>
</file>

<file path=word/charts/_rels/chart9.xml.rels><?xml version="1.0" encoding="UTF-8" standalone="yes"?>
<Relationships xmlns="http://schemas.openxmlformats.org/package/2006/relationships"><Relationship Id="rId1" Type="http://schemas.microsoft.com/office/2011/relationships/chartStyle" Target="style9.xml"/><Relationship Id="rId2" Type="http://schemas.microsoft.com/office/2011/relationships/chartColorStyle" Target="colors9.xml"/><Relationship Id="rId3" Type="http://schemas.openxmlformats.org/officeDocument/2006/relationships/oleObject" Target="file:////Users\Lewis\Documents\excel%20graph%202.xlsx" TargetMode="External"/></Relationships>
</file>

<file path=word/charts/_rels/chart10.xml.rels><?xml version="1.0" encoding="UTF-8" standalone="yes"?>
<Relationships xmlns="http://schemas.openxmlformats.org/package/2006/relationships"><Relationship Id="rId1" Type="http://schemas.microsoft.com/office/2011/relationships/chartStyle" Target="style10.xml"/><Relationship Id="rId2" Type="http://schemas.microsoft.com/office/2011/relationships/chartColorStyle" Target="colors10.xml"/><Relationship Id="rId3" Type="http://schemas.openxmlformats.org/officeDocument/2006/relationships/oleObject" Target="file:////Users\Lewis\Documents\excel%20graph%202.xlsx" TargetMode="External"/></Relationships>
</file>

<file path=word/charts/_rels/chart11.xml.rels><?xml version="1.0" encoding="UTF-8" standalone="yes"?>
<Relationships xmlns="http://schemas.openxmlformats.org/package/2006/relationships"><Relationship Id="rId1" Type="http://schemas.microsoft.com/office/2011/relationships/chartStyle" Target="style11.xml"/><Relationship Id="rId2" Type="http://schemas.microsoft.com/office/2011/relationships/chartColorStyle" Target="colors11.xml"/><Relationship Id="rId3" Type="http://schemas.openxmlformats.org/officeDocument/2006/relationships/oleObject" Target="file:////Users\Lewis\Documents\excel%20graph%202.xlsx" TargetMode="External"/></Relationships>
</file>

<file path=word/charts/_rels/chart12.xml.rels><?xml version="1.0" encoding="UTF-8" standalone="yes"?>
<Relationships xmlns="http://schemas.openxmlformats.org/package/2006/relationships"><Relationship Id="rId1" Type="http://schemas.microsoft.com/office/2011/relationships/chartStyle" Target="style12.xml"/><Relationship Id="rId2" Type="http://schemas.microsoft.com/office/2011/relationships/chartColorStyle" Target="colors12.xml"/><Relationship Id="rId3" Type="http://schemas.openxmlformats.org/officeDocument/2006/relationships/oleObject" Target="file:////Users\Lewis\Documents\excel%20graph%202.xlsx" TargetMode="External"/></Relationships>
</file>

<file path=word/charts/_rels/chart13.xml.rels><?xml version="1.0" encoding="UTF-8" standalone="yes"?>
<Relationships xmlns="http://schemas.openxmlformats.org/package/2006/relationships"><Relationship Id="rId1" Type="http://schemas.microsoft.com/office/2011/relationships/chartStyle" Target="style13.xml"/><Relationship Id="rId2" Type="http://schemas.microsoft.com/office/2011/relationships/chartColorStyle" Target="colors13.xml"/><Relationship Id="rId3" Type="http://schemas.openxmlformats.org/officeDocument/2006/relationships/oleObject" Target="file:////Users\Lewis\Documents\excel%20graph%202.xlsx" TargetMode="External"/></Relationships>
</file>

<file path=word/charts/_rels/chart14.xml.rels><?xml version="1.0" encoding="UTF-8" standalone="yes"?>
<Relationships xmlns="http://schemas.openxmlformats.org/package/2006/relationships"><Relationship Id="rId1" Type="http://schemas.microsoft.com/office/2011/relationships/chartStyle" Target="style14.xml"/><Relationship Id="rId2" Type="http://schemas.microsoft.com/office/2011/relationships/chartColorStyle" Target="colors14.xml"/><Relationship Id="rId3" Type="http://schemas.openxmlformats.org/officeDocument/2006/relationships/oleObject" Target="file:////Users\Lewis\Documents\excel%20graph%202.xlsx" TargetMode="External"/></Relationships>
</file>

<file path=word/charts/_rels/chart15.xml.rels><?xml version="1.0" encoding="UTF-8" standalone="yes"?>
<Relationships xmlns="http://schemas.openxmlformats.org/package/2006/relationships"><Relationship Id="rId1" Type="http://schemas.microsoft.com/office/2011/relationships/chartStyle" Target="style15.xml"/><Relationship Id="rId2" Type="http://schemas.microsoft.com/office/2011/relationships/chartColorStyle" Target="colors15.xml"/><Relationship Id="rId3" Type="http://schemas.openxmlformats.org/officeDocument/2006/relationships/oleObject" Target="file:////Users\Lewis\Documents\excel%20graph%202.xlsx" TargetMode="External"/></Relationships>
</file>

<file path=word/charts/_rels/chart16.xml.rels><?xml version="1.0" encoding="UTF-8" standalone="yes"?>
<Relationships xmlns="http://schemas.openxmlformats.org/package/2006/relationships"><Relationship Id="rId1" Type="http://schemas.microsoft.com/office/2011/relationships/chartStyle" Target="style16.xml"/><Relationship Id="rId2" Type="http://schemas.microsoft.com/office/2011/relationships/chartColorStyle" Target="colors16.xml"/><Relationship Id="rId3" Type="http://schemas.openxmlformats.org/officeDocument/2006/relationships/oleObject" Target="file:////Users\Lewis\Documents\excel%20graph%202.xlsx" TargetMode="External"/></Relationships>
</file>

<file path=word/charts/_rels/chart17.xml.rels><?xml version="1.0" encoding="UTF-8" standalone="yes"?>
<Relationships xmlns="http://schemas.openxmlformats.org/package/2006/relationships"><Relationship Id="rId1" Type="http://schemas.microsoft.com/office/2011/relationships/chartStyle" Target="style17.xml"/><Relationship Id="rId2" Type="http://schemas.microsoft.com/office/2011/relationships/chartColorStyle" Target="colors17.xml"/><Relationship Id="rId3" Type="http://schemas.openxmlformats.org/officeDocument/2006/relationships/oleObject" Target="file:////Users\Lewis\Documents\excel%20graph%202.xlsx" TargetMode="External"/></Relationships>
</file>

<file path=word/charts/_rels/chart18.xml.rels><?xml version="1.0" encoding="UTF-8" standalone="yes"?>
<Relationships xmlns="http://schemas.openxmlformats.org/package/2006/relationships"><Relationship Id="rId1" Type="http://schemas.microsoft.com/office/2011/relationships/chartStyle" Target="style18.xml"/><Relationship Id="rId2" Type="http://schemas.microsoft.com/office/2011/relationships/chartColorStyle" Target="colors18.xml"/><Relationship Id="rId3" Type="http://schemas.openxmlformats.org/officeDocument/2006/relationships/oleObject" Target="file:////Users\Lewis\Documents\excel%20graph%202.xlsx" TargetMode="External"/></Relationships>
</file>

<file path=word/charts/_rels/chart19.xml.rels><?xml version="1.0" encoding="UTF-8" standalone="yes"?>
<Relationships xmlns="http://schemas.openxmlformats.org/package/2006/relationships"><Relationship Id="rId1" Type="http://schemas.microsoft.com/office/2011/relationships/chartStyle" Target="style19.xml"/><Relationship Id="rId2" Type="http://schemas.microsoft.com/office/2011/relationships/chartColorStyle" Target="colors19.xml"/><Relationship Id="rId3" Type="http://schemas.openxmlformats.org/officeDocument/2006/relationships/oleObject" Target="file:////Users\Lewis\Documents\excel%20graph%202.xlsx" TargetMode="External"/></Relationships>
</file>

<file path=word/charts/_rels/chart20.xml.rels><?xml version="1.0" encoding="UTF-8" standalone="yes"?>
<Relationships xmlns="http://schemas.openxmlformats.org/package/2006/relationships"><Relationship Id="rId1" Type="http://schemas.microsoft.com/office/2011/relationships/chartStyle" Target="style20.xml"/><Relationship Id="rId2" Type="http://schemas.microsoft.com/office/2011/relationships/chartColorStyle" Target="colors20.xml"/><Relationship Id="rId3" Type="http://schemas.openxmlformats.org/officeDocument/2006/relationships/oleObject" Target="file:////Users\Lewis\Documents\excel%20graph%202.xlsx" TargetMode="External"/></Relationships>
</file>

<file path=word/charts/_rels/chart21.xml.rels><?xml version="1.0" encoding="UTF-8" standalone="yes"?>
<Relationships xmlns="http://schemas.openxmlformats.org/package/2006/relationships"><Relationship Id="rId1" Type="http://schemas.microsoft.com/office/2011/relationships/chartStyle" Target="style21.xml"/><Relationship Id="rId2" Type="http://schemas.microsoft.com/office/2011/relationships/chartColorStyle" Target="colors21.xml"/><Relationship Id="rId3" Type="http://schemas.openxmlformats.org/officeDocument/2006/relationships/oleObject" Target="file:////Users\Lewis\Documents\excel%20graph%202.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United Kingdom population mid-year</a:t>
            </a:r>
            <a:r>
              <a:rPr lang="en-US" baseline="0"/>
              <a:t> estimate from 1995 - 2016</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GB"/>
        </a:p>
      </c:txPr>
    </c:title>
    <c:autoTitleDeleted val="0"/>
    <c:plotArea>
      <c:layout/>
      <c:lineChart>
        <c:grouping val="standard"/>
        <c:varyColors val="0"/>
        <c:ser>
          <c:idx val="0"/>
          <c:order val="0"/>
          <c:spPr>
            <a:ln w="28575" cap="rnd">
              <a:solidFill>
                <a:srgbClr val="00B050"/>
              </a:solidFill>
              <a:round/>
            </a:ln>
            <a:effectLst/>
          </c:spPr>
          <c:marker>
            <c:symbol val="none"/>
          </c:marker>
          <c:cat>
            <c:numRef>
              <c:f>Sheet1!$Q$1:$Q$8</c:f>
              <c:numCache>
                <c:formatCode>General</c:formatCode>
                <c:ptCount val="8"/>
                <c:pt idx="0">
                  <c:v>1995.0</c:v>
                </c:pt>
                <c:pt idx="1">
                  <c:v>1998.0</c:v>
                </c:pt>
                <c:pt idx="2">
                  <c:v>2001.0</c:v>
                </c:pt>
                <c:pt idx="3">
                  <c:v>2004.0</c:v>
                </c:pt>
                <c:pt idx="4">
                  <c:v>2007.0</c:v>
                </c:pt>
                <c:pt idx="5">
                  <c:v>2010.0</c:v>
                </c:pt>
                <c:pt idx="6">
                  <c:v>2013.0</c:v>
                </c:pt>
                <c:pt idx="7">
                  <c:v>2016.0</c:v>
                </c:pt>
              </c:numCache>
            </c:numRef>
          </c:cat>
          <c:val>
            <c:numRef>
              <c:f>Sheet1!$R$1:$R$8</c:f>
              <c:numCache>
                <c:formatCode>General</c:formatCode>
                <c:ptCount val="8"/>
                <c:pt idx="0">
                  <c:v>58.0</c:v>
                </c:pt>
                <c:pt idx="1">
                  <c:v>59.0</c:v>
                </c:pt>
                <c:pt idx="2">
                  <c:v>60.0</c:v>
                </c:pt>
                <c:pt idx="3">
                  <c:v>60.0</c:v>
                </c:pt>
                <c:pt idx="4">
                  <c:v>61.0</c:v>
                </c:pt>
                <c:pt idx="5">
                  <c:v>63.0</c:v>
                </c:pt>
                <c:pt idx="6">
                  <c:v>64.0</c:v>
                </c:pt>
                <c:pt idx="7">
                  <c:v>65.0</c:v>
                </c:pt>
              </c:numCache>
            </c:numRef>
          </c:val>
          <c:smooth val="0"/>
        </c:ser>
        <c:dLbls>
          <c:showLegendKey val="0"/>
          <c:showVal val="0"/>
          <c:showCatName val="0"/>
          <c:showSerName val="0"/>
          <c:showPercent val="0"/>
          <c:showBubbleSize val="0"/>
        </c:dLbls>
        <c:smooth val="0"/>
        <c:axId val="1303736048"/>
        <c:axId val="1303739168"/>
      </c:lineChart>
      <c:catAx>
        <c:axId val="1303736048"/>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Year</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GB"/>
          </a:p>
        </c:txPr>
        <c:crossAx val="1303739168"/>
        <c:crosses val="autoZero"/>
        <c:auto val="1"/>
        <c:lblAlgn val="ctr"/>
        <c:lblOffset val="100"/>
        <c:noMultiLvlLbl val="0"/>
      </c:catAx>
      <c:valAx>
        <c:axId val="130373916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Population</a:t>
                </a:r>
                <a:r>
                  <a:rPr lang="en-US" baseline="0"/>
                  <a:t> in millions</a:t>
                </a:r>
                <a:endParaRPr lang="en-US"/>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numFmt formatCode="General"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GB"/>
          </a:p>
        </c:txPr>
        <c:crossAx val="130373604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GB"/>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Graph to</a:t>
            </a:r>
            <a:r>
              <a:rPr lang="en-US" baseline="0"/>
              <a:t> show population estimates in Wales regions</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GB"/>
        </a:p>
      </c:txPr>
    </c:title>
    <c:autoTitleDeleted val="0"/>
    <c:plotArea>
      <c:layout/>
      <c:barChart>
        <c:barDir val="col"/>
        <c:grouping val="clustered"/>
        <c:varyColors val="0"/>
        <c:ser>
          <c:idx val="0"/>
          <c:order val="0"/>
          <c:tx>
            <c:strRef>
              <c:f>Sheet1!$B$1</c:f>
              <c:strCache>
                <c:ptCount val="1"/>
                <c:pt idx="0">
                  <c:v>Mid-year 1991</c:v>
                </c:pt>
              </c:strCache>
            </c:strRef>
          </c:tx>
          <c:spPr>
            <a:solidFill>
              <a:schemeClr val="accent1"/>
            </a:solidFill>
            <a:ln>
              <a:noFill/>
            </a:ln>
            <a:effectLst/>
          </c:spPr>
          <c:invertIfNegative val="0"/>
          <c:cat>
            <c:strRef>
              <c:f>Sheet1!$A$2:$A$23</c:f>
              <c:strCache>
                <c:ptCount val="22"/>
                <c:pt idx="0">
                  <c:v>Isle of Anglesey</c:v>
                </c:pt>
                <c:pt idx="1">
                  <c:v>Gwynedd</c:v>
                </c:pt>
                <c:pt idx="2">
                  <c:v>Conwy</c:v>
                </c:pt>
                <c:pt idx="3">
                  <c:v>Denbighshire</c:v>
                </c:pt>
                <c:pt idx="4">
                  <c:v>Flintshire</c:v>
                </c:pt>
                <c:pt idx="5">
                  <c:v>Wrexham</c:v>
                </c:pt>
                <c:pt idx="6">
                  <c:v>Powys</c:v>
                </c:pt>
                <c:pt idx="7">
                  <c:v>Ceredigion</c:v>
                </c:pt>
                <c:pt idx="8">
                  <c:v>Pembrokeshire</c:v>
                </c:pt>
                <c:pt idx="9">
                  <c:v>Carmarthenshire</c:v>
                </c:pt>
                <c:pt idx="10">
                  <c:v>Swansea</c:v>
                </c:pt>
                <c:pt idx="11">
                  <c:v>Neath Port Talbot</c:v>
                </c:pt>
                <c:pt idx="12">
                  <c:v>Bridgend</c:v>
                </c:pt>
                <c:pt idx="13">
                  <c:v>Vale of Glamorgan</c:v>
                </c:pt>
                <c:pt idx="14">
                  <c:v>Cardiff</c:v>
                </c:pt>
                <c:pt idx="15">
                  <c:v>Rhondda Cynon Taf</c:v>
                </c:pt>
                <c:pt idx="16">
                  <c:v>Merthyr Tydfil</c:v>
                </c:pt>
                <c:pt idx="17">
                  <c:v>Caerphilly</c:v>
                </c:pt>
                <c:pt idx="18">
                  <c:v>Blaenau Gwent</c:v>
                </c:pt>
                <c:pt idx="19">
                  <c:v>Torfaen</c:v>
                </c:pt>
                <c:pt idx="20">
                  <c:v>Monmouthshire</c:v>
                </c:pt>
                <c:pt idx="21">
                  <c:v>Newport</c:v>
                </c:pt>
              </c:strCache>
            </c:strRef>
          </c:cat>
          <c:val>
            <c:numRef>
              <c:f>Sheet1!$B$2:$B$23</c:f>
              <c:numCache>
                <c:formatCode>#,##0</c:formatCode>
                <c:ptCount val="22"/>
                <c:pt idx="0">
                  <c:v>69123.0</c:v>
                </c:pt>
                <c:pt idx="1">
                  <c:v>115007.0</c:v>
                </c:pt>
                <c:pt idx="2">
                  <c:v>107951.0</c:v>
                </c:pt>
                <c:pt idx="3">
                  <c:v>89395.0</c:v>
                </c:pt>
                <c:pt idx="4">
                  <c:v>142036.0</c:v>
                </c:pt>
                <c:pt idx="5">
                  <c:v>124180.0</c:v>
                </c:pt>
                <c:pt idx="6">
                  <c:v>119703.0</c:v>
                </c:pt>
                <c:pt idx="7">
                  <c:v>65933.0</c:v>
                </c:pt>
                <c:pt idx="8">
                  <c:v>112446.0</c:v>
                </c:pt>
                <c:pt idx="9">
                  <c:v>169725.0</c:v>
                </c:pt>
                <c:pt idx="10">
                  <c:v>229743.0</c:v>
                </c:pt>
                <c:pt idx="11">
                  <c:v>138844.0</c:v>
                </c:pt>
                <c:pt idx="12">
                  <c:v>129477.0</c:v>
                </c:pt>
                <c:pt idx="13">
                  <c:v>118053.0</c:v>
                </c:pt>
                <c:pt idx="14">
                  <c:v>296941.0</c:v>
                </c:pt>
                <c:pt idx="15">
                  <c:v>234917.0</c:v>
                </c:pt>
                <c:pt idx="16">
                  <c:v>59594.0</c:v>
                </c:pt>
                <c:pt idx="17">
                  <c:v>170615.0</c:v>
                </c:pt>
                <c:pt idx="18">
                  <c:v>72666.0</c:v>
                </c:pt>
                <c:pt idx="19">
                  <c:v>90961.0</c:v>
                </c:pt>
                <c:pt idx="20">
                  <c:v>80209.0</c:v>
                </c:pt>
                <c:pt idx="21">
                  <c:v>135479.0</c:v>
                </c:pt>
              </c:numCache>
            </c:numRef>
          </c:val>
        </c:ser>
        <c:ser>
          <c:idx val="1"/>
          <c:order val="1"/>
          <c:tx>
            <c:strRef>
              <c:f>Sheet1!$C$1</c:f>
              <c:strCache>
                <c:ptCount val="1"/>
                <c:pt idx="0">
                  <c:v>Mid-year 2001</c:v>
                </c:pt>
              </c:strCache>
            </c:strRef>
          </c:tx>
          <c:spPr>
            <a:solidFill>
              <a:schemeClr val="accent2"/>
            </a:solidFill>
            <a:ln>
              <a:noFill/>
            </a:ln>
            <a:effectLst/>
          </c:spPr>
          <c:invertIfNegative val="0"/>
          <c:cat>
            <c:strRef>
              <c:f>Sheet1!$A$2:$A$23</c:f>
              <c:strCache>
                <c:ptCount val="22"/>
                <c:pt idx="0">
                  <c:v>Isle of Anglesey</c:v>
                </c:pt>
                <c:pt idx="1">
                  <c:v>Gwynedd</c:v>
                </c:pt>
                <c:pt idx="2">
                  <c:v>Conwy</c:v>
                </c:pt>
                <c:pt idx="3">
                  <c:v>Denbighshire</c:v>
                </c:pt>
                <c:pt idx="4">
                  <c:v>Flintshire</c:v>
                </c:pt>
                <c:pt idx="5">
                  <c:v>Wrexham</c:v>
                </c:pt>
                <c:pt idx="6">
                  <c:v>Powys</c:v>
                </c:pt>
                <c:pt idx="7">
                  <c:v>Ceredigion</c:v>
                </c:pt>
                <c:pt idx="8">
                  <c:v>Pembrokeshire</c:v>
                </c:pt>
                <c:pt idx="9">
                  <c:v>Carmarthenshire</c:v>
                </c:pt>
                <c:pt idx="10">
                  <c:v>Swansea</c:v>
                </c:pt>
                <c:pt idx="11">
                  <c:v>Neath Port Talbot</c:v>
                </c:pt>
                <c:pt idx="12">
                  <c:v>Bridgend</c:v>
                </c:pt>
                <c:pt idx="13">
                  <c:v>Vale of Glamorgan</c:v>
                </c:pt>
                <c:pt idx="14">
                  <c:v>Cardiff</c:v>
                </c:pt>
                <c:pt idx="15">
                  <c:v>Rhondda Cynon Taf</c:v>
                </c:pt>
                <c:pt idx="16">
                  <c:v>Merthyr Tydfil</c:v>
                </c:pt>
                <c:pt idx="17">
                  <c:v>Caerphilly</c:v>
                </c:pt>
                <c:pt idx="18">
                  <c:v>Blaenau Gwent</c:v>
                </c:pt>
                <c:pt idx="19">
                  <c:v>Torfaen</c:v>
                </c:pt>
                <c:pt idx="20">
                  <c:v>Monmouthshire</c:v>
                </c:pt>
                <c:pt idx="21">
                  <c:v>Newport</c:v>
                </c:pt>
              </c:strCache>
            </c:strRef>
          </c:cat>
          <c:val>
            <c:numRef>
              <c:f>Sheet1!$C$2:$C$23</c:f>
              <c:numCache>
                <c:formatCode>#,##0</c:formatCode>
                <c:ptCount val="22"/>
                <c:pt idx="0">
                  <c:v>67806.0</c:v>
                </c:pt>
                <c:pt idx="1">
                  <c:v>116844.0</c:v>
                </c:pt>
                <c:pt idx="2">
                  <c:v>109674.0</c:v>
                </c:pt>
                <c:pt idx="3">
                  <c:v>93070.0</c:v>
                </c:pt>
                <c:pt idx="4">
                  <c:v>148629.0</c:v>
                </c:pt>
                <c:pt idx="5">
                  <c:v>128540.0</c:v>
                </c:pt>
                <c:pt idx="6">
                  <c:v>126398.0</c:v>
                </c:pt>
                <c:pt idx="7">
                  <c:v>75417.0</c:v>
                </c:pt>
                <c:pt idx="8">
                  <c:v>113058.0</c:v>
                </c:pt>
                <c:pt idx="9">
                  <c:v>173652.0</c:v>
                </c:pt>
                <c:pt idx="10">
                  <c:v>223463.0</c:v>
                </c:pt>
                <c:pt idx="11">
                  <c:v>134380.0</c:v>
                </c:pt>
                <c:pt idx="12">
                  <c:v>128735.0</c:v>
                </c:pt>
                <c:pt idx="13">
                  <c:v>119277.0</c:v>
                </c:pt>
                <c:pt idx="14">
                  <c:v>310088.0</c:v>
                </c:pt>
                <c:pt idx="15">
                  <c:v>231910.0</c:v>
                </c:pt>
                <c:pt idx="16">
                  <c:v>56207.0</c:v>
                </c:pt>
                <c:pt idx="17">
                  <c:v>169546.0</c:v>
                </c:pt>
                <c:pt idx="18">
                  <c:v>70000.0</c:v>
                </c:pt>
                <c:pt idx="19">
                  <c:v>90912.0</c:v>
                </c:pt>
                <c:pt idx="20">
                  <c:v>84984.0</c:v>
                </c:pt>
                <c:pt idx="21">
                  <c:v>137642.0</c:v>
                </c:pt>
              </c:numCache>
            </c:numRef>
          </c:val>
        </c:ser>
        <c:ser>
          <c:idx val="2"/>
          <c:order val="2"/>
          <c:tx>
            <c:strRef>
              <c:f>Sheet1!$D$1</c:f>
              <c:strCache>
                <c:ptCount val="1"/>
                <c:pt idx="0">
                  <c:v>Mid-year 2011</c:v>
                </c:pt>
              </c:strCache>
            </c:strRef>
          </c:tx>
          <c:spPr>
            <a:solidFill>
              <a:schemeClr val="accent3"/>
            </a:solidFill>
            <a:ln>
              <a:noFill/>
            </a:ln>
            <a:effectLst/>
          </c:spPr>
          <c:invertIfNegative val="0"/>
          <c:cat>
            <c:strRef>
              <c:f>Sheet1!$A$2:$A$23</c:f>
              <c:strCache>
                <c:ptCount val="22"/>
                <c:pt idx="0">
                  <c:v>Isle of Anglesey</c:v>
                </c:pt>
                <c:pt idx="1">
                  <c:v>Gwynedd</c:v>
                </c:pt>
                <c:pt idx="2">
                  <c:v>Conwy</c:v>
                </c:pt>
                <c:pt idx="3">
                  <c:v>Denbighshire</c:v>
                </c:pt>
                <c:pt idx="4">
                  <c:v>Flintshire</c:v>
                </c:pt>
                <c:pt idx="5">
                  <c:v>Wrexham</c:v>
                </c:pt>
                <c:pt idx="6">
                  <c:v>Powys</c:v>
                </c:pt>
                <c:pt idx="7">
                  <c:v>Ceredigion</c:v>
                </c:pt>
                <c:pt idx="8">
                  <c:v>Pembrokeshire</c:v>
                </c:pt>
                <c:pt idx="9">
                  <c:v>Carmarthenshire</c:v>
                </c:pt>
                <c:pt idx="10">
                  <c:v>Swansea</c:v>
                </c:pt>
                <c:pt idx="11">
                  <c:v>Neath Port Talbot</c:v>
                </c:pt>
                <c:pt idx="12">
                  <c:v>Bridgend</c:v>
                </c:pt>
                <c:pt idx="13">
                  <c:v>Vale of Glamorgan</c:v>
                </c:pt>
                <c:pt idx="14">
                  <c:v>Cardiff</c:v>
                </c:pt>
                <c:pt idx="15">
                  <c:v>Rhondda Cynon Taf</c:v>
                </c:pt>
                <c:pt idx="16">
                  <c:v>Merthyr Tydfil</c:v>
                </c:pt>
                <c:pt idx="17">
                  <c:v>Caerphilly</c:v>
                </c:pt>
                <c:pt idx="18">
                  <c:v>Blaenau Gwent</c:v>
                </c:pt>
                <c:pt idx="19">
                  <c:v>Torfaen</c:v>
                </c:pt>
                <c:pt idx="20">
                  <c:v>Monmouthshire</c:v>
                </c:pt>
                <c:pt idx="21">
                  <c:v>Newport</c:v>
                </c:pt>
              </c:strCache>
            </c:strRef>
          </c:cat>
          <c:val>
            <c:numRef>
              <c:f>Sheet1!$D$2:$D$23</c:f>
              <c:numCache>
                <c:formatCode>#,##0</c:formatCode>
                <c:ptCount val="22"/>
                <c:pt idx="0">
                  <c:v>69913.0</c:v>
                </c:pt>
                <c:pt idx="1">
                  <c:v>121523.0</c:v>
                </c:pt>
                <c:pt idx="2">
                  <c:v>115326.0</c:v>
                </c:pt>
                <c:pt idx="3">
                  <c:v>93919.0</c:v>
                </c:pt>
                <c:pt idx="4">
                  <c:v>152666.0</c:v>
                </c:pt>
                <c:pt idx="5">
                  <c:v>135070.0</c:v>
                </c:pt>
                <c:pt idx="6">
                  <c:v>133071.0</c:v>
                </c:pt>
                <c:pt idx="7">
                  <c:v>75293.0</c:v>
                </c:pt>
                <c:pt idx="8">
                  <c:v>122613.0</c:v>
                </c:pt>
                <c:pt idx="9">
                  <c:v>183961.0</c:v>
                </c:pt>
                <c:pt idx="10">
                  <c:v>238691.0</c:v>
                </c:pt>
                <c:pt idx="11">
                  <c:v>139880.0</c:v>
                </c:pt>
                <c:pt idx="12">
                  <c:v>139410.0</c:v>
                </c:pt>
                <c:pt idx="13">
                  <c:v>126679.0</c:v>
                </c:pt>
                <c:pt idx="14">
                  <c:v>345442.0</c:v>
                </c:pt>
                <c:pt idx="15">
                  <c:v>234373.0</c:v>
                </c:pt>
                <c:pt idx="16">
                  <c:v>58851.0</c:v>
                </c:pt>
                <c:pt idx="17">
                  <c:v>178782.0</c:v>
                </c:pt>
                <c:pt idx="18">
                  <c:v>69812.0</c:v>
                </c:pt>
                <c:pt idx="19">
                  <c:v>91190.0</c:v>
                </c:pt>
                <c:pt idx="20">
                  <c:v>91508.0</c:v>
                </c:pt>
                <c:pt idx="21">
                  <c:v>145785.0</c:v>
                </c:pt>
              </c:numCache>
            </c:numRef>
          </c:val>
        </c:ser>
        <c:ser>
          <c:idx val="3"/>
          <c:order val="3"/>
          <c:tx>
            <c:strRef>
              <c:f>Sheet1!$E$1</c:f>
              <c:strCache>
                <c:ptCount val="1"/>
                <c:pt idx="0">
                  <c:v>Mid-year 2012</c:v>
                </c:pt>
              </c:strCache>
            </c:strRef>
          </c:tx>
          <c:spPr>
            <a:solidFill>
              <a:schemeClr val="accent4"/>
            </a:solidFill>
            <a:ln>
              <a:noFill/>
            </a:ln>
            <a:effectLst/>
          </c:spPr>
          <c:invertIfNegative val="0"/>
          <c:cat>
            <c:strRef>
              <c:f>Sheet1!$A$2:$A$23</c:f>
              <c:strCache>
                <c:ptCount val="22"/>
                <c:pt idx="0">
                  <c:v>Isle of Anglesey</c:v>
                </c:pt>
                <c:pt idx="1">
                  <c:v>Gwynedd</c:v>
                </c:pt>
                <c:pt idx="2">
                  <c:v>Conwy</c:v>
                </c:pt>
                <c:pt idx="3">
                  <c:v>Denbighshire</c:v>
                </c:pt>
                <c:pt idx="4">
                  <c:v>Flintshire</c:v>
                </c:pt>
                <c:pt idx="5">
                  <c:v>Wrexham</c:v>
                </c:pt>
                <c:pt idx="6">
                  <c:v>Powys</c:v>
                </c:pt>
                <c:pt idx="7">
                  <c:v>Ceredigion</c:v>
                </c:pt>
                <c:pt idx="8">
                  <c:v>Pembrokeshire</c:v>
                </c:pt>
                <c:pt idx="9">
                  <c:v>Carmarthenshire</c:v>
                </c:pt>
                <c:pt idx="10">
                  <c:v>Swansea</c:v>
                </c:pt>
                <c:pt idx="11">
                  <c:v>Neath Port Talbot</c:v>
                </c:pt>
                <c:pt idx="12">
                  <c:v>Bridgend</c:v>
                </c:pt>
                <c:pt idx="13">
                  <c:v>Vale of Glamorgan</c:v>
                </c:pt>
                <c:pt idx="14">
                  <c:v>Cardiff</c:v>
                </c:pt>
                <c:pt idx="15">
                  <c:v>Rhondda Cynon Taf</c:v>
                </c:pt>
                <c:pt idx="16">
                  <c:v>Merthyr Tydfil</c:v>
                </c:pt>
                <c:pt idx="17">
                  <c:v>Caerphilly</c:v>
                </c:pt>
                <c:pt idx="18">
                  <c:v>Blaenau Gwent</c:v>
                </c:pt>
                <c:pt idx="19">
                  <c:v>Torfaen</c:v>
                </c:pt>
                <c:pt idx="20">
                  <c:v>Monmouthshire</c:v>
                </c:pt>
                <c:pt idx="21">
                  <c:v>Newport</c:v>
                </c:pt>
              </c:strCache>
            </c:strRef>
          </c:cat>
          <c:val>
            <c:numRef>
              <c:f>Sheet1!$E$2:$E$23</c:f>
              <c:numCache>
                <c:formatCode>#,##0</c:formatCode>
                <c:ptCount val="22"/>
                <c:pt idx="0">
                  <c:v>70049.0</c:v>
                </c:pt>
                <c:pt idx="1">
                  <c:v>122142.0</c:v>
                </c:pt>
                <c:pt idx="2">
                  <c:v>115515.0</c:v>
                </c:pt>
                <c:pt idx="3">
                  <c:v>94066.0</c:v>
                </c:pt>
                <c:pt idx="4">
                  <c:v>152743.0</c:v>
                </c:pt>
                <c:pt idx="5">
                  <c:v>135919.0</c:v>
                </c:pt>
                <c:pt idx="6">
                  <c:v>132952.0</c:v>
                </c:pt>
                <c:pt idx="7">
                  <c:v>76046.0</c:v>
                </c:pt>
                <c:pt idx="8">
                  <c:v>123035.0</c:v>
                </c:pt>
                <c:pt idx="9">
                  <c:v>184317.0</c:v>
                </c:pt>
                <c:pt idx="10">
                  <c:v>239633.0</c:v>
                </c:pt>
                <c:pt idx="11">
                  <c:v>140108.0</c:v>
                </c:pt>
                <c:pt idx="12">
                  <c:v>139740.0</c:v>
                </c:pt>
                <c:pt idx="13">
                  <c:v>126831.0</c:v>
                </c:pt>
                <c:pt idx="14">
                  <c:v>348493.0</c:v>
                </c:pt>
                <c:pt idx="15">
                  <c:v>235599.0</c:v>
                </c:pt>
                <c:pt idx="16">
                  <c:v>58898.0</c:v>
                </c:pt>
                <c:pt idx="17">
                  <c:v>179022.0</c:v>
                </c:pt>
                <c:pt idx="18">
                  <c:v>69822.0</c:v>
                </c:pt>
                <c:pt idx="19">
                  <c:v>91372.0</c:v>
                </c:pt>
                <c:pt idx="20">
                  <c:v>91659.0</c:v>
                </c:pt>
                <c:pt idx="21">
                  <c:v>146106.0</c:v>
                </c:pt>
              </c:numCache>
            </c:numRef>
          </c:val>
        </c:ser>
        <c:ser>
          <c:idx val="4"/>
          <c:order val="4"/>
          <c:tx>
            <c:strRef>
              <c:f>Sheet1!$F$1</c:f>
              <c:strCache>
                <c:ptCount val="1"/>
                <c:pt idx="0">
                  <c:v>Mid-year 2013</c:v>
                </c:pt>
              </c:strCache>
            </c:strRef>
          </c:tx>
          <c:spPr>
            <a:solidFill>
              <a:schemeClr val="accent5"/>
            </a:solidFill>
            <a:ln>
              <a:noFill/>
            </a:ln>
            <a:effectLst/>
          </c:spPr>
          <c:invertIfNegative val="0"/>
          <c:cat>
            <c:strRef>
              <c:f>Sheet1!$A$2:$A$23</c:f>
              <c:strCache>
                <c:ptCount val="22"/>
                <c:pt idx="0">
                  <c:v>Isle of Anglesey</c:v>
                </c:pt>
                <c:pt idx="1">
                  <c:v>Gwynedd</c:v>
                </c:pt>
                <c:pt idx="2">
                  <c:v>Conwy</c:v>
                </c:pt>
                <c:pt idx="3">
                  <c:v>Denbighshire</c:v>
                </c:pt>
                <c:pt idx="4">
                  <c:v>Flintshire</c:v>
                </c:pt>
                <c:pt idx="5">
                  <c:v>Wrexham</c:v>
                </c:pt>
                <c:pt idx="6">
                  <c:v>Powys</c:v>
                </c:pt>
                <c:pt idx="7">
                  <c:v>Ceredigion</c:v>
                </c:pt>
                <c:pt idx="8">
                  <c:v>Pembrokeshire</c:v>
                </c:pt>
                <c:pt idx="9">
                  <c:v>Carmarthenshire</c:v>
                </c:pt>
                <c:pt idx="10">
                  <c:v>Swansea</c:v>
                </c:pt>
                <c:pt idx="11">
                  <c:v>Neath Port Talbot</c:v>
                </c:pt>
                <c:pt idx="12">
                  <c:v>Bridgend</c:v>
                </c:pt>
                <c:pt idx="13">
                  <c:v>Vale of Glamorgan</c:v>
                </c:pt>
                <c:pt idx="14">
                  <c:v>Cardiff</c:v>
                </c:pt>
                <c:pt idx="15">
                  <c:v>Rhondda Cynon Taf</c:v>
                </c:pt>
                <c:pt idx="16">
                  <c:v>Merthyr Tydfil</c:v>
                </c:pt>
                <c:pt idx="17">
                  <c:v>Caerphilly</c:v>
                </c:pt>
                <c:pt idx="18">
                  <c:v>Blaenau Gwent</c:v>
                </c:pt>
                <c:pt idx="19">
                  <c:v>Torfaen</c:v>
                </c:pt>
                <c:pt idx="20">
                  <c:v>Monmouthshire</c:v>
                </c:pt>
                <c:pt idx="21">
                  <c:v>Newport</c:v>
                </c:pt>
              </c:strCache>
            </c:strRef>
          </c:cat>
          <c:val>
            <c:numRef>
              <c:f>Sheet1!$F$2:$F$23</c:f>
              <c:numCache>
                <c:formatCode>#,##0</c:formatCode>
                <c:ptCount val="22"/>
                <c:pt idx="0">
                  <c:v>70091.0</c:v>
                </c:pt>
                <c:pt idx="1">
                  <c:v>121911.0</c:v>
                </c:pt>
                <c:pt idx="2">
                  <c:v>115835.0</c:v>
                </c:pt>
                <c:pt idx="3">
                  <c:v>94510.0</c:v>
                </c:pt>
                <c:pt idx="4">
                  <c:v>153240.0</c:v>
                </c:pt>
                <c:pt idx="5">
                  <c:v>136399.0</c:v>
                </c:pt>
                <c:pt idx="6">
                  <c:v>132705.0</c:v>
                </c:pt>
                <c:pt idx="7">
                  <c:v>75964.0</c:v>
                </c:pt>
                <c:pt idx="8">
                  <c:v>123261.0</c:v>
                </c:pt>
                <c:pt idx="9">
                  <c:v>184681.0</c:v>
                </c:pt>
                <c:pt idx="10">
                  <c:v>240332.0</c:v>
                </c:pt>
                <c:pt idx="11">
                  <c:v>139898.0</c:v>
                </c:pt>
                <c:pt idx="12">
                  <c:v>140480.0</c:v>
                </c:pt>
                <c:pt idx="13">
                  <c:v>127159.0</c:v>
                </c:pt>
                <c:pt idx="14">
                  <c:v>351710.0</c:v>
                </c:pt>
                <c:pt idx="15">
                  <c:v>236114.0</c:v>
                </c:pt>
                <c:pt idx="16">
                  <c:v>59021.0</c:v>
                </c:pt>
                <c:pt idx="17">
                  <c:v>179247.0</c:v>
                </c:pt>
                <c:pt idx="18">
                  <c:v>69789.0</c:v>
                </c:pt>
                <c:pt idx="19">
                  <c:v>91407.0</c:v>
                </c:pt>
                <c:pt idx="20">
                  <c:v>92100.0</c:v>
                </c:pt>
                <c:pt idx="21">
                  <c:v>146558.0</c:v>
                </c:pt>
              </c:numCache>
            </c:numRef>
          </c:val>
        </c:ser>
        <c:ser>
          <c:idx val="5"/>
          <c:order val="5"/>
          <c:tx>
            <c:strRef>
              <c:f>Sheet1!$G$1</c:f>
              <c:strCache>
                <c:ptCount val="1"/>
                <c:pt idx="0">
                  <c:v>Mid-year 2014</c:v>
                </c:pt>
              </c:strCache>
            </c:strRef>
          </c:tx>
          <c:spPr>
            <a:solidFill>
              <a:schemeClr val="accent6"/>
            </a:solidFill>
            <a:ln>
              <a:noFill/>
            </a:ln>
            <a:effectLst/>
          </c:spPr>
          <c:invertIfNegative val="0"/>
          <c:cat>
            <c:strRef>
              <c:f>Sheet1!$A$2:$A$23</c:f>
              <c:strCache>
                <c:ptCount val="22"/>
                <c:pt idx="0">
                  <c:v>Isle of Anglesey</c:v>
                </c:pt>
                <c:pt idx="1">
                  <c:v>Gwynedd</c:v>
                </c:pt>
                <c:pt idx="2">
                  <c:v>Conwy</c:v>
                </c:pt>
                <c:pt idx="3">
                  <c:v>Denbighshire</c:v>
                </c:pt>
                <c:pt idx="4">
                  <c:v>Flintshire</c:v>
                </c:pt>
                <c:pt idx="5">
                  <c:v>Wrexham</c:v>
                </c:pt>
                <c:pt idx="6">
                  <c:v>Powys</c:v>
                </c:pt>
                <c:pt idx="7">
                  <c:v>Ceredigion</c:v>
                </c:pt>
                <c:pt idx="8">
                  <c:v>Pembrokeshire</c:v>
                </c:pt>
                <c:pt idx="9">
                  <c:v>Carmarthenshire</c:v>
                </c:pt>
                <c:pt idx="10">
                  <c:v>Swansea</c:v>
                </c:pt>
                <c:pt idx="11">
                  <c:v>Neath Port Talbot</c:v>
                </c:pt>
                <c:pt idx="12">
                  <c:v>Bridgend</c:v>
                </c:pt>
                <c:pt idx="13">
                  <c:v>Vale of Glamorgan</c:v>
                </c:pt>
                <c:pt idx="14">
                  <c:v>Cardiff</c:v>
                </c:pt>
                <c:pt idx="15">
                  <c:v>Rhondda Cynon Taf</c:v>
                </c:pt>
                <c:pt idx="16">
                  <c:v>Merthyr Tydfil</c:v>
                </c:pt>
                <c:pt idx="17">
                  <c:v>Caerphilly</c:v>
                </c:pt>
                <c:pt idx="18">
                  <c:v>Blaenau Gwent</c:v>
                </c:pt>
                <c:pt idx="19">
                  <c:v>Torfaen</c:v>
                </c:pt>
                <c:pt idx="20">
                  <c:v>Monmouthshire</c:v>
                </c:pt>
                <c:pt idx="21">
                  <c:v>Newport</c:v>
                </c:pt>
              </c:strCache>
            </c:strRef>
          </c:cat>
          <c:val>
            <c:numRef>
              <c:f>Sheet1!$G$2:$G$23</c:f>
              <c:numCache>
                <c:formatCode>#,##0</c:formatCode>
                <c:ptCount val="22"/>
                <c:pt idx="0">
                  <c:v>70169.0</c:v>
                </c:pt>
                <c:pt idx="1">
                  <c:v>122273.0</c:v>
                </c:pt>
                <c:pt idx="2">
                  <c:v>116287.0</c:v>
                </c:pt>
                <c:pt idx="3">
                  <c:v>94791.0</c:v>
                </c:pt>
                <c:pt idx="4">
                  <c:v>153804.0</c:v>
                </c:pt>
                <c:pt idx="5">
                  <c:v>136714.0</c:v>
                </c:pt>
                <c:pt idx="6">
                  <c:v>132675.0</c:v>
                </c:pt>
                <c:pt idx="7">
                  <c:v>75425.0</c:v>
                </c:pt>
                <c:pt idx="8">
                  <c:v>123666.0</c:v>
                </c:pt>
                <c:pt idx="9">
                  <c:v>184898.0</c:v>
                </c:pt>
                <c:pt idx="10">
                  <c:v>241297.0</c:v>
                </c:pt>
                <c:pt idx="11">
                  <c:v>140490.0</c:v>
                </c:pt>
                <c:pt idx="12">
                  <c:v>141214.0</c:v>
                </c:pt>
                <c:pt idx="13">
                  <c:v>127685.0</c:v>
                </c:pt>
                <c:pt idx="14">
                  <c:v>354294.0</c:v>
                </c:pt>
                <c:pt idx="15">
                  <c:v>236888.0</c:v>
                </c:pt>
                <c:pt idx="16">
                  <c:v>59065.0</c:v>
                </c:pt>
                <c:pt idx="17">
                  <c:v>179941.0</c:v>
                </c:pt>
                <c:pt idx="18">
                  <c:v>69674.0</c:v>
                </c:pt>
                <c:pt idx="19">
                  <c:v>91609.0</c:v>
                </c:pt>
                <c:pt idx="20">
                  <c:v>92336.0</c:v>
                </c:pt>
                <c:pt idx="21">
                  <c:v>146841.0</c:v>
                </c:pt>
              </c:numCache>
            </c:numRef>
          </c:val>
        </c:ser>
        <c:ser>
          <c:idx val="6"/>
          <c:order val="6"/>
          <c:tx>
            <c:strRef>
              <c:f>Sheet1!$H$1</c:f>
              <c:strCache>
                <c:ptCount val="1"/>
                <c:pt idx="0">
                  <c:v>Mid-year 2015</c:v>
                </c:pt>
              </c:strCache>
            </c:strRef>
          </c:tx>
          <c:spPr>
            <a:solidFill>
              <a:schemeClr val="accent1">
                <a:lumMod val="60000"/>
              </a:schemeClr>
            </a:solidFill>
            <a:ln>
              <a:noFill/>
            </a:ln>
            <a:effectLst/>
          </c:spPr>
          <c:invertIfNegative val="0"/>
          <c:cat>
            <c:strRef>
              <c:f>Sheet1!$A$2:$A$23</c:f>
              <c:strCache>
                <c:ptCount val="22"/>
                <c:pt idx="0">
                  <c:v>Isle of Anglesey</c:v>
                </c:pt>
                <c:pt idx="1">
                  <c:v>Gwynedd</c:v>
                </c:pt>
                <c:pt idx="2">
                  <c:v>Conwy</c:v>
                </c:pt>
                <c:pt idx="3">
                  <c:v>Denbighshire</c:v>
                </c:pt>
                <c:pt idx="4">
                  <c:v>Flintshire</c:v>
                </c:pt>
                <c:pt idx="5">
                  <c:v>Wrexham</c:v>
                </c:pt>
                <c:pt idx="6">
                  <c:v>Powys</c:v>
                </c:pt>
                <c:pt idx="7">
                  <c:v>Ceredigion</c:v>
                </c:pt>
                <c:pt idx="8">
                  <c:v>Pembrokeshire</c:v>
                </c:pt>
                <c:pt idx="9">
                  <c:v>Carmarthenshire</c:v>
                </c:pt>
                <c:pt idx="10">
                  <c:v>Swansea</c:v>
                </c:pt>
                <c:pt idx="11">
                  <c:v>Neath Port Talbot</c:v>
                </c:pt>
                <c:pt idx="12">
                  <c:v>Bridgend</c:v>
                </c:pt>
                <c:pt idx="13">
                  <c:v>Vale of Glamorgan</c:v>
                </c:pt>
                <c:pt idx="14">
                  <c:v>Cardiff</c:v>
                </c:pt>
                <c:pt idx="15">
                  <c:v>Rhondda Cynon Taf</c:v>
                </c:pt>
                <c:pt idx="16">
                  <c:v>Merthyr Tydfil</c:v>
                </c:pt>
                <c:pt idx="17">
                  <c:v>Caerphilly</c:v>
                </c:pt>
                <c:pt idx="18">
                  <c:v>Blaenau Gwent</c:v>
                </c:pt>
                <c:pt idx="19">
                  <c:v>Torfaen</c:v>
                </c:pt>
                <c:pt idx="20">
                  <c:v>Monmouthshire</c:v>
                </c:pt>
                <c:pt idx="21">
                  <c:v>Newport</c:v>
                </c:pt>
              </c:strCache>
            </c:strRef>
          </c:cat>
          <c:val>
            <c:numRef>
              <c:f>Sheet1!$H$2:$H$23</c:f>
              <c:numCache>
                <c:formatCode>#,##0</c:formatCode>
                <c:ptCount val="22"/>
                <c:pt idx="0">
                  <c:v>69979.0</c:v>
                </c:pt>
                <c:pt idx="1">
                  <c:v>122864.0</c:v>
                </c:pt>
                <c:pt idx="2">
                  <c:v>116218.0</c:v>
                </c:pt>
                <c:pt idx="3">
                  <c:v>94691.0</c:v>
                </c:pt>
                <c:pt idx="4">
                  <c:v>154074.0</c:v>
                </c:pt>
                <c:pt idx="5">
                  <c:v>136647.0</c:v>
                </c:pt>
                <c:pt idx="6">
                  <c:v>132642.0</c:v>
                </c:pt>
                <c:pt idx="7">
                  <c:v>74642.0</c:v>
                </c:pt>
                <c:pt idx="8">
                  <c:v>123464.0</c:v>
                </c:pt>
                <c:pt idx="9">
                  <c:v>185123.0</c:v>
                </c:pt>
                <c:pt idx="10">
                  <c:v>242382.0</c:v>
                </c:pt>
                <c:pt idx="11">
                  <c:v>140992.0</c:v>
                </c:pt>
                <c:pt idx="12">
                  <c:v>142092.0</c:v>
                </c:pt>
                <c:pt idx="13">
                  <c:v>127592.0</c:v>
                </c:pt>
                <c:pt idx="14">
                  <c:v>357160.0</c:v>
                </c:pt>
                <c:pt idx="15">
                  <c:v>237411.0</c:v>
                </c:pt>
                <c:pt idx="16">
                  <c:v>59324.0</c:v>
                </c:pt>
                <c:pt idx="17">
                  <c:v>180164.0</c:v>
                </c:pt>
                <c:pt idx="18">
                  <c:v>69544.0</c:v>
                </c:pt>
                <c:pt idx="19">
                  <c:v>91836.0</c:v>
                </c:pt>
                <c:pt idx="20">
                  <c:v>92476.0</c:v>
                </c:pt>
                <c:pt idx="21">
                  <c:v>147769.0</c:v>
                </c:pt>
              </c:numCache>
            </c:numRef>
          </c:val>
        </c:ser>
        <c:ser>
          <c:idx val="7"/>
          <c:order val="7"/>
          <c:tx>
            <c:strRef>
              <c:f>Sheet1!$I$1</c:f>
              <c:strCache>
                <c:ptCount val="1"/>
                <c:pt idx="0">
                  <c:v>Mid-year 2016</c:v>
                </c:pt>
              </c:strCache>
            </c:strRef>
          </c:tx>
          <c:spPr>
            <a:solidFill>
              <a:schemeClr val="accent2">
                <a:lumMod val="60000"/>
              </a:schemeClr>
            </a:solidFill>
            <a:ln>
              <a:noFill/>
            </a:ln>
            <a:effectLst/>
          </c:spPr>
          <c:invertIfNegative val="0"/>
          <c:cat>
            <c:strRef>
              <c:f>Sheet1!$A$2:$A$23</c:f>
              <c:strCache>
                <c:ptCount val="22"/>
                <c:pt idx="0">
                  <c:v>Isle of Anglesey</c:v>
                </c:pt>
                <c:pt idx="1">
                  <c:v>Gwynedd</c:v>
                </c:pt>
                <c:pt idx="2">
                  <c:v>Conwy</c:v>
                </c:pt>
                <c:pt idx="3">
                  <c:v>Denbighshire</c:v>
                </c:pt>
                <c:pt idx="4">
                  <c:v>Flintshire</c:v>
                </c:pt>
                <c:pt idx="5">
                  <c:v>Wrexham</c:v>
                </c:pt>
                <c:pt idx="6">
                  <c:v>Powys</c:v>
                </c:pt>
                <c:pt idx="7">
                  <c:v>Ceredigion</c:v>
                </c:pt>
                <c:pt idx="8">
                  <c:v>Pembrokeshire</c:v>
                </c:pt>
                <c:pt idx="9">
                  <c:v>Carmarthenshire</c:v>
                </c:pt>
                <c:pt idx="10">
                  <c:v>Swansea</c:v>
                </c:pt>
                <c:pt idx="11">
                  <c:v>Neath Port Talbot</c:v>
                </c:pt>
                <c:pt idx="12">
                  <c:v>Bridgend</c:v>
                </c:pt>
                <c:pt idx="13">
                  <c:v>Vale of Glamorgan</c:v>
                </c:pt>
                <c:pt idx="14">
                  <c:v>Cardiff</c:v>
                </c:pt>
                <c:pt idx="15">
                  <c:v>Rhondda Cynon Taf</c:v>
                </c:pt>
                <c:pt idx="16">
                  <c:v>Merthyr Tydfil</c:v>
                </c:pt>
                <c:pt idx="17">
                  <c:v>Caerphilly</c:v>
                </c:pt>
                <c:pt idx="18">
                  <c:v>Blaenau Gwent</c:v>
                </c:pt>
                <c:pt idx="19">
                  <c:v>Torfaen</c:v>
                </c:pt>
                <c:pt idx="20">
                  <c:v>Monmouthshire</c:v>
                </c:pt>
                <c:pt idx="21">
                  <c:v>Newport</c:v>
                </c:pt>
              </c:strCache>
            </c:strRef>
          </c:cat>
          <c:val>
            <c:numRef>
              <c:f>Sheet1!$I$2:$I$23</c:f>
              <c:numCache>
                <c:formatCode>#,##0</c:formatCode>
                <c:ptCount val="22"/>
                <c:pt idx="0">
                  <c:v>69723.0</c:v>
                </c:pt>
                <c:pt idx="1">
                  <c:v>123627.0</c:v>
                </c:pt>
                <c:pt idx="2">
                  <c:v>116538.0</c:v>
                </c:pt>
                <c:pt idx="3">
                  <c:v>94805.0</c:v>
                </c:pt>
                <c:pt idx="4">
                  <c:v>154419.0</c:v>
                </c:pt>
                <c:pt idx="5">
                  <c:v>136710.0</c:v>
                </c:pt>
                <c:pt idx="6">
                  <c:v>132160.0</c:v>
                </c:pt>
                <c:pt idx="7">
                  <c:v>74146.0</c:v>
                </c:pt>
                <c:pt idx="8">
                  <c:v>123954.0</c:v>
                </c:pt>
                <c:pt idx="9">
                  <c:v>185610.0</c:v>
                </c:pt>
                <c:pt idx="10">
                  <c:v>244513.0</c:v>
                </c:pt>
                <c:pt idx="11">
                  <c:v>141588.0</c:v>
                </c:pt>
                <c:pt idx="12">
                  <c:v>143177.0</c:v>
                </c:pt>
                <c:pt idx="13">
                  <c:v>128463.0</c:v>
                </c:pt>
                <c:pt idx="14">
                  <c:v>361468.0</c:v>
                </c:pt>
                <c:pt idx="15">
                  <c:v>238306.0</c:v>
                </c:pt>
                <c:pt idx="16">
                  <c:v>59810.0</c:v>
                </c:pt>
                <c:pt idx="17">
                  <c:v>180462.0</c:v>
                </c:pt>
                <c:pt idx="18">
                  <c:v>69628.0</c:v>
                </c:pt>
                <c:pt idx="19">
                  <c:v>92052.0</c:v>
                </c:pt>
                <c:pt idx="20">
                  <c:v>92843.0</c:v>
                </c:pt>
                <c:pt idx="21">
                  <c:v>149148.0</c:v>
                </c:pt>
              </c:numCache>
            </c:numRef>
          </c:val>
        </c:ser>
        <c:dLbls>
          <c:showLegendKey val="0"/>
          <c:showVal val="0"/>
          <c:showCatName val="0"/>
          <c:showSerName val="0"/>
          <c:showPercent val="0"/>
          <c:showBubbleSize val="0"/>
        </c:dLbls>
        <c:gapWidth val="219"/>
        <c:overlap val="-27"/>
        <c:axId val="1394565760"/>
        <c:axId val="1358260528"/>
      </c:barChart>
      <c:catAx>
        <c:axId val="1394565760"/>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Wales</a:t>
                </a:r>
                <a:r>
                  <a:rPr lang="en-US" baseline="0"/>
                  <a:t> Regions</a:t>
                </a:r>
                <a:endParaRPr lang="en-US"/>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GB"/>
          </a:p>
        </c:txPr>
        <c:crossAx val="1358260528"/>
        <c:crosses val="autoZero"/>
        <c:auto val="1"/>
        <c:lblAlgn val="ctr"/>
        <c:lblOffset val="100"/>
        <c:noMultiLvlLbl val="0"/>
      </c:catAx>
      <c:valAx>
        <c:axId val="135826052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Population</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GB"/>
          </a:p>
        </c:txPr>
        <c:crossAx val="139456576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GB"/>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GB"/>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s-ES"/>
              <a:t>Population</a:t>
            </a:r>
            <a:r>
              <a:rPr lang="es-ES" baseline="0"/>
              <a:t> in Swansea 1992 -2016</a:t>
            </a:r>
            <a:endParaRPr lang="es-E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GB"/>
        </a:p>
      </c:txPr>
    </c:title>
    <c:autoTitleDeleted val="0"/>
    <c:plotArea>
      <c:layout/>
      <c:lineChart>
        <c:grouping val="standard"/>
        <c:varyColors val="0"/>
        <c:ser>
          <c:idx val="0"/>
          <c:order val="0"/>
          <c:spPr>
            <a:ln w="28575" cap="rnd">
              <a:solidFill>
                <a:schemeClr val="accent1"/>
              </a:solidFill>
              <a:round/>
            </a:ln>
            <a:effectLst/>
          </c:spPr>
          <c:marker>
            <c:symbol val="none"/>
          </c:marker>
          <c:cat>
            <c:strRef>
              <c:f>Hoja1!$A$2:$A$25</c:f>
              <c:strCache>
                <c:ptCount val="24"/>
                <c:pt idx="0">
                  <c:v>1992 to 1993</c:v>
                </c:pt>
                <c:pt idx="1">
                  <c:v>1993 to 1994</c:v>
                </c:pt>
                <c:pt idx="2">
                  <c:v>1994 to 1995</c:v>
                </c:pt>
                <c:pt idx="3">
                  <c:v>1995 to 1996</c:v>
                </c:pt>
                <c:pt idx="4">
                  <c:v>1996 to 1997</c:v>
                </c:pt>
                <c:pt idx="5">
                  <c:v>1997 to 1998</c:v>
                </c:pt>
                <c:pt idx="6">
                  <c:v>1998 to 1999</c:v>
                </c:pt>
                <c:pt idx="7">
                  <c:v>1999 to 2000</c:v>
                </c:pt>
                <c:pt idx="8">
                  <c:v>2000 to 2001</c:v>
                </c:pt>
                <c:pt idx="9">
                  <c:v>2001 to 2002</c:v>
                </c:pt>
                <c:pt idx="10">
                  <c:v>2002 to 2003</c:v>
                </c:pt>
                <c:pt idx="11">
                  <c:v>2003 to 2004</c:v>
                </c:pt>
                <c:pt idx="12">
                  <c:v>2004 to 2005</c:v>
                </c:pt>
                <c:pt idx="13">
                  <c:v>2005 to 2006</c:v>
                </c:pt>
                <c:pt idx="14">
                  <c:v>2006 to 2007</c:v>
                </c:pt>
                <c:pt idx="15">
                  <c:v>2007 to 2008</c:v>
                </c:pt>
                <c:pt idx="16">
                  <c:v>2008 to 2009</c:v>
                </c:pt>
                <c:pt idx="17">
                  <c:v>2009 to 2010</c:v>
                </c:pt>
                <c:pt idx="18">
                  <c:v>2010 to 2011</c:v>
                </c:pt>
                <c:pt idx="19">
                  <c:v>2011 to 2012</c:v>
                </c:pt>
                <c:pt idx="20">
                  <c:v>2012 to 2013</c:v>
                </c:pt>
                <c:pt idx="21">
                  <c:v>2013 to 2014</c:v>
                </c:pt>
                <c:pt idx="22">
                  <c:v>2014 to 2015</c:v>
                </c:pt>
                <c:pt idx="23">
                  <c:v>2015 to 2016</c:v>
                </c:pt>
              </c:strCache>
            </c:strRef>
          </c:cat>
          <c:val>
            <c:numRef>
              <c:f>Hoja1!$B$2:$B$25</c:f>
              <c:numCache>
                <c:formatCode>General</c:formatCode>
                <c:ptCount val="24"/>
                <c:pt idx="0">
                  <c:v>229.349</c:v>
                </c:pt>
                <c:pt idx="1">
                  <c:v>228.239</c:v>
                </c:pt>
                <c:pt idx="2">
                  <c:v>227.765</c:v>
                </c:pt>
                <c:pt idx="3">
                  <c:v>227.199</c:v>
                </c:pt>
                <c:pt idx="4">
                  <c:v>226.764</c:v>
                </c:pt>
                <c:pt idx="5">
                  <c:v>225.702</c:v>
                </c:pt>
                <c:pt idx="6">
                  <c:v>225.08</c:v>
                </c:pt>
                <c:pt idx="7">
                  <c:v>224.475</c:v>
                </c:pt>
                <c:pt idx="8">
                  <c:v>223.463</c:v>
                </c:pt>
                <c:pt idx="9">
                  <c:v>224.755</c:v>
                </c:pt>
                <c:pt idx="10">
                  <c:v>226.35</c:v>
                </c:pt>
                <c:pt idx="11">
                  <c:v>228.176</c:v>
                </c:pt>
                <c:pt idx="12">
                  <c:v>229.347</c:v>
                </c:pt>
                <c:pt idx="13">
                  <c:v>230.793</c:v>
                </c:pt>
                <c:pt idx="14">
                  <c:v>232.46</c:v>
                </c:pt>
                <c:pt idx="15">
                  <c:v>234.139</c:v>
                </c:pt>
                <c:pt idx="16">
                  <c:v>235.601</c:v>
                </c:pt>
                <c:pt idx="17">
                  <c:v>237.311</c:v>
                </c:pt>
                <c:pt idx="18">
                  <c:v>238.691</c:v>
                </c:pt>
                <c:pt idx="19">
                  <c:v>239.633</c:v>
                </c:pt>
                <c:pt idx="20">
                  <c:v>240.332</c:v>
                </c:pt>
                <c:pt idx="21">
                  <c:v>241.297</c:v>
                </c:pt>
                <c:pt idx="22">
                  <c:v>242.382</c:v>
                </c:pt>
                <c:pt idx="23">
                  <c:v>244.513</c:v>
                </c:pt>
              </c:numCache>
            </c:numRef>
          </c:val>
          <c:smooth val="0"/>
        </c:ser>
        <c:dLbls>
          <c:showLegendKey val="0"/>
          <c:showVal val="0"/>
          <c:showCatName val="0"/>
          <c:showSerName val="0"/>
          <c:showPercent val="0"/>
          <c:showBubbleSize val="0"/>
        </c:dLbls>
        <c:smooth val="0"/>
        <c:axId val="1334140112"/>
        <c:axId val="1334143504"/>
      </c:lineChart>
      <c:catAx>
        <c:axId val="1334140112"/>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Year</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GB"/>
          </a:p>
        </c:txPr>
        <c:crossAx val="1334143504"/>
        <c:crosses val="autoZero"/>
        <c:auto val="1"/>
        <c:lblAlgn val="ctr"/>
        <c:lblOffset val="100"/>
        <c:noMultiLvlLbl val="0"/>
      </c:catAx>
      <c:valAx>
        <c:axId val="1334143504"/>
        <c:scaling>
          <c:orientation val="minMax"/>
        </c:scaling>
        <c:delete val="0"/>
        <c:axPos val="l"/>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s-ES"/>
                  <a:t>Population</a:t>
                </a:r>
                <a:r>
                  <a:rPr lang="es-ES" baseline="0"/>
                  <a:t> (000s)</a:t>
                </a:r>
                <a:endParaRPr lang="es-ES"/>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GB"/>
          </a:p>
        </c:txPr>
        <c:crossAx val="133414011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GB"/>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dk1">
                    <a:lumMod val="75000"/>
                    <a:lumOff val="25000"/>
                  </a:schemeClr>
                </a:solidFill>
                <a:latin typeface="+mn-lt"/>
                <a:ea typeface="+mn-ea"/>
                <a:cs typeface="+mn-cs"/>
              </a:defRPr>
            </a:pPr>
            <a:r>
              <a:rPr lang="es-ES" sz="1600"/>
              <a:t>Male Population in Swansea by Age 2016</a:t>
            </a:r>
          </a:p>
        </c:rich>
      </c:tx>
      <c:overlay val="0"/>
      <c:spPr>
        <a:noFill/>
        <a:ln>
          <a:noFill/>
        </a:ln>
        <a:effectLst/>
      </c:spPr>
      <c:txPr>
        <a:bodyPr rot="0" spcFirstLastPara="1" vertOverflow="ellipsis" vert="horz" wrap="square" anchor="ctr" anchorCtr="1"/>
        <a:lstStyle/>
        <a:p>
          <a:pPr>
            <a:defRPr sz="1600" b="1" i="0" u="none" strike="noStrike" kern="1200" baseline="0">
              <a:solidFill>
                <a:schemeClr val="dk1">
                  <a:lumMod val="75000"/>
                  <a:lumOff val="25000"/>
                </a:schemeClr>
              </a:solidFill>
              <a:latin typeface="+mn-lt"/>
              <a:ea typeface="+mn-ea"/>
              <a:cs typeface="+mn-cs"/>
            </a:defRPr>
          </a:pPr>
          <a:endParaRPr lang="en-GB"/>
        </a:p>
      </c:txPr>
    </c:title>
    <c:autoTitleDeleted val="0"/>
    <c:plotArea>
      <c:layout/>
      <c:pie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c:spPr>
          </c:dPt>
          <c:dPt>
            <c:idx val="1"/>
            <c:bubble3D val="0"/>
            <c:spPr>
              <a:solidFill>
                <a:schemeClr val="accent2"/>
              </a:solidFill>
              <a:ln>
                <a:noFill/>
              </a:ln>
              <a:effectLst>
                <a:outerShdw blurRad="254000" sx="102000" sy="102000" algn="ctr" rotWithShape="0">
                  <a:prstClr val="black">
                    <a:alpha val="20000"/>
                  </a:prstClr>
                </a:outerShdw>
              </a:effectLst>
            </c:spPr>
          </c:dPt>
          <c:dPt>
            <c:idx val="2"/>
            <c:bubble3D val="0"/>
            <c:spPr>
              <a:solidFill>
                <a:schemeClr val="accent3"/>
              </a:solidFill>
              <a:ln>
                <a:noFill/>
              </a:ln>
              <a:effectLst>
                <a:outerShdw blurRad="254000" sx="102000" sy="102000" algn="ctr" rotWithShape="0">
                  <a:prstClr val="black">
                    <a:alpha val="20000"/>
                  </a:prstClr>
                </a:outerShdw>
              </a:effectLst>
            </c:spPr>
          </c:dPt>
          <c:dPt>
            <c:idx val="3"/>
            <c:bubble3D val="0"/>
            <c:spPr>
              <a:solidFill>
                <a:schemeClr val="accent4"/>
              </a:solidFill>
              <a:ln>
                <a:noFill/>
              </a:ln>
              <a:effectLst>
                <a:outerShdw blurRad="254000" sx="102000" sy="102000" algn="ctr" rotWithShape="0">
                  <a:prstClr val="black">
                    <a:alpha val="20000"/>
                  </a:prstClr>
                </a:outerShdw>
              </a:effectLst>
            </c:spPr>
          </c:dPt>
          <c:dPt>
            <c:idx val="4"/>
            <c:bubble3D val="0"/>
            <c:spPr>
              <a:solidFill>
                <a:schemeClr val="accent5"/>
              </a:solidFill>
              <a:ln>
                <a:noFill/>
              </a:ln>
              <a:effectLst>
                <a:outerShdw blurRad="254000" sx="102000" sy="102000" algn="ctr" rotWithShape="0">
                  <a:prstClr val="black">
                    <a:alpha val="20000"/>
                  </a:prstClr>
                </a:outerShdw>
              </a:effectLst>
            </c:spPr>
          </c:dPt>
          <c:dPt>
            <c:idx val="5"/>
            <c:bubble3D val="0"/>
            <c:spPr>
              <a:solidFill>
                <a:schemeClr val="accent6"/>
              </a:solidFill>
              <a:ln>
                <a:noFill/>
              </a:ln>
              <a:effectLst>
                <a:outerShdw blurRad="254000" sx="102000" sy="102000" algn="ctr" rotWithShape="0">
                  <a:prstClr val="black">
                    <a:alpha val="20000"/>
                  </a:prstClr>
                </a:outerShdw>
              </a:effectLst>
            </c:spPr>
          </c:dPt>
          <c:dLbls>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GB"/>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Hoja1!$C$1:$C$6</c:f>
              <c:strCache>
                <c:ptCount val="6"/>
                <c:pt idx="0">
                  <c:v>0-14</c:v>
                </c:pt>
                <c:pt idx="1">
                  <c:v>15-29</c:v>
                </c:pt>
                <c:pt idx="2">
                  <c:v>30-44</c:v>
                </c:pt>
                <c:pt idx="3">
                  <c:v>45-64</c:v>
                </c:pt>
                <c:pt idx="4">
                  <c:v>65-74</c:v>
                </c:pt>
                <c:pt idx="5">
                  <c:v>Over 75</c:v>
                </c:pt>
              </c:strCache>
            </c:strRef>
          </c:cat>
          <c:val>
            <c:numRef>
              <c:f>Hoja1!$D$1:$D$6</c:f>
              <c:numCache>
                <c:formatCode>General</c:formatCode>
                <c:ptCount val="6"/>
                <c:pt idx="0">
                  <c:v>16.8</c:v>
                </c:pt>
                <c:pt idx="1">
                  <c:v>24.0</c:v>
                </c:pt>
                <c:pt idx="2">
                  <c:v>18.1</c:v>
                </c:pt>
                <c:pt idx="3">
                  <c:v>24.0</c:v>
                </c:pt>
                <c:pt idx="4">
                  <c:v>9.8</c:v>
                </c:pt>
                <c:pt idx="5">
                  <c:v>7.3</c:v>
                </c:pt>
              </c:numCache>
            </c:numRef>
          </c:val>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GB"/>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GB"/>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s-ES"/>
              <a:t>Female population</a:t>
            </a:r>
            <a:r>
              <a:rPr lang="es-ES" baseline="0"/>
              <a:t> in Swansea by Age  2016</a:t>
            </a:r>
            <a:endParaRPr lang="es-ES"/>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GB"/>
        </a:p>
      </c:txPr>
    </c:title>
    <c:autoTitleDeleted val="0"/>
    <c:plotArea>
      <c:layout/>
      <c:pie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c:spPr>
          </c:dPt>
          <c:dPt>
            <c:idx val="1"/>
            <c:bubble3D val="0"/>
            <c:spPr>
              <a:solidFill>
                <a:schemeClr val="accent2"/>
              </a:solidFill>
              <a:ln>
                <a:noFill/>
              </a:ln>
              <a:effectLst>
                <a:outerShdw blurRad="254000" sx="102000" sy="102000" algn="ctr" rotWithShape="0">
                  <a:prstClr val="black">
                    <a:alpha val="20000"/>
                  </a:prstClr>
                </a:outerShdw>
              </a:effectLst>
            </c:spPr>
          </c:dPt>
          <c:dPt>
            <c:idx val="2"/>
            <c:bubble3D val="0"/>
            <c:spPr>
              <a:solidFill>
                <a:schemeClr val="accent3"/>
              </a:solidFill>
              <a:ln>
                <a:noFill/>
              </a:ln>
              <a:effectLst>
                <a:outerShdw blurRad="254000" sx="102000" sy="102000" algn="ctr" rotWithShape="0">
                  <a:prstClr val="black">
                    <a:alpha val="20000"/>
                  </a:prstClr>
                </a:outerShdw>
              </a:effectLst>
            </c:spPr>
          </c:dPt>
          <c:dPt>
            <c:idx val="3"/>
            <c:bubble3D val="0"/>
            <c:spPr>
              <a:solidFill>
                <a:schemeClr val="accent4"/>
              </a:solidFill>
              <a:ln>
                <a:noFill/>
              </a:ln>
              <a:effectLst>
                <a:outerShdw blurRad="254000" sx="102000" sy="102000" algn="ctr" rotWithShape="0">
                  <a:prstClr val="black">
                    <a:alpha val="20000"/>
                  </a:prstClr>
                </a:outerShdw>
              </a:effectLst>
            </c:spPr>
          </c:dPt>
          <c:dPt>
            <c:idx val="4"/>
            <c:bubble3D val="0"/>
            <c:spPr>
              <a:solidFill>
                <a:schemeClr val="accent5"/>
              </a:solidFill>
              <a:ln>
                <a:noFill/>
              </a:ln>
              <a:effectLst>
                <a:outerShdw blurRad="254000" sx="102000" sy="102000" algn="ctr" rotWithShape="0">
                  <a:prstClr val="black">
                    <a:alpha val="20000"/>
                  </a:prstClr>
                </a:outerShdw>
              </a:effectLst>
            </c:spPr>
          </c:dPt>
          <c:dPt>
            <c:idx val="5"/>
            <c:bubble3D val="0"/>
            <c:spPr>
              <a:solidFill>
                <a:schemeClr val="accent6"/>
              </a:solidFill>
              <a:ln>
                <a:noFill/>
              </a:ln>
              <a:effectLst>
                <a:outerShdw blurRad="254000" sx="102000" sy="102000" algn="ctr" rotWithShape="0">
                  <a:prstClr val="black">
                    <a:alpha val="20000"/>
                  </a:prstClr>
                </a:outerShdw>
              </a:effectLst>
            </c:spPr>
          </c:dPt>
          <c:dLbls>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GB"/>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Hoja2!$F$4:$F$9</c:f>
              <c:strCache>
                <c:ptCount val="6"/>
                <c:pt idx="0">
                  <c:v>0-14</c:v>
                </c:pt>
                <c:pt idx="1">
                  <c:v>15-29</c:v>
                </c:pt>
                <c:pt idx="2">
                  <c:v>30-44</c:v>
                </c:pt>
                <c:pt idx="3">
                  <c:v>45-64</c:v>
                </c:pt>
                <c:pt idx="4">
                  <c:v>65-74</c:v>
                </c:pt>
                <c:pt idx="5">
                  <c:v>Over 75</c:v>
                </c:pt>
              </c:strCache>
            </c:strRef>
          </c:cat>
          <c:val>
            <c:numRef>
              <c:f>Hoja2!$G$4:$G$9</c:f>
              <c:numCache>
                <c:formatCode>General</c:formatCode>
                <c:ptCount val="6"/>
                <c:pt idx="0">
                  <c:v>15.4</c:v>
                </c:pt>
                <c:pt idx="1">
                  <c:v>20.3</c:v>
                </c:pt>
                <c:pt idx="2">
                  <c:v>17.4</c:v>
                </c:pt>
                <c:pt idx="3">
                  <c:v>25.3</c:v>
                </c:pt>
                <c:pt idx="4">
                  <c:v>11.1</c:v>
                </c:pt>
                <c:pt idx="5">
                  <c:v>10.4</c:v>
                </c:pt>
              </c:numCache>
            </c:numRef>
          </c:val>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GB"/>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GB"/>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Graph</a:t>
            </a:r>
            <a:r>
              <a:rPr lang="en-US" baseline="0"/>
              <a:t> to show employment rates in Wales regions as of 2013</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GB"/>
        </a:p>
      </c:txPr>
    </c:title>
    <c:autoTitleDeleted val="0"/>
    <c:plotArea>
      <c:layout/>
      <c:barChart>
        <c:barDir val="col"/>
        <c:grouping val="clustered"/>
        <c:varyColors val="0"/>
        <c:ser>
          <c:idx val="0"/>
          <c:order val="0"/>
          <c:spPr>
            <a:solidFill>
              <a:schemeClr val="accent2"/>
            </a:solidFill>
            <a:ln>
              <a:noFill/>
            </a:ln>
            <a:effectLst/>
          </c:spPr>
          <c:invertIfNegative val="0"/>
          <c:dPt>
            <c:idx val="0"/>
            <c:invertIfNegative val="0"/>
            <c:bubble3D val="0"/>
            <c:spPr>
              <a:solidFill>
                <a:srgbClr val="00B0F0"/>
              </a:solidFill>
              <a:ln>
                <a:noFill/>
              </a:ln>
              <a:effectLst/>
            </c:spPr>
          </c:dPt>
          <c:dPt>
            <c:idx val="1"/>
            <c:invertIfNegative val="0"/>
            <c:bubble3D val="0"/>
            <c:spPr>
              <a:solidFill>
                <a:srgbClr val="ED656E"/>
              </a:solidFill>
              <a:ln>
                <a:noFill/>
              </a:ln>
              <a:effectLst/>
            </c:spPr>
          </c:dPt>
          <c:dPt>
            <c:idx val="2"/>
            <c:invertIfNegative val="0"/>
            <c:bubble3D val="0"/>
            <c:spPr>
              <a:solidFill>
                <a:srgbClr val="7030A0"/>
              </a:solidFill>
              <a:ln>
                <a:noFill/>
              </a:ln>
              <a:effectLst/>
            </c:spPr>
          </c:dPt>
          <c:dPt>
            <c:idx val="3"/>
            <c:invertIfNegative val="0"/>
            <c:bubble3D val="0"/>
            <c:spPr>
              <a:solidFill>
                <a:srgbClr val="C00000"/>
              </a:solidFill>
              <a:ln>
                <a:noFill/>
              </a:ln>
              <a:effectLst/>
            </c:spPr>
          </c:dPt>
          <c:dPt>
            <c:idx val="4"/>
            <c:invertIfNegative val="0"/>
            <c:bubble3D val="0"/>
            <c:spPr>
              <a:solidFill>
                <a:schemeClr val="accent1">
                  <a:lumMod val="60000"/>
                  <a:lumOff val="40000"/>
                </a:schemeClr>
              </a:solidFill>
              <a:ln>
                <a:noFill/>
              </a:ln>
              <a:effectLst/>
            </c:spPr>
          </c:dPt>
          <c:dPt>
            <c:idx val="5"/>
            <c:invertIfNegative val="0"/>
            <c:bubble3D val="0"/>
            <c:spPr>
              <a:solidFill>
                <a:schemeClr val="accent6"/>
              </a:solidFill>
              <a:ln>
                <a:noFill/>
              </a:ln>
              <a:effectLst/>
            </c:spPr>
          </c:dPt>
          <c:dPt>
            <c:idx val="6"/>
            <c:invertIfNegative val="0"/>
            <c:bubble3D val="0"/>
            <c:spPr>
              <a:solidFill>
                <a:schemeClr val="accent4"/>
              </a:solidFill>
              <a:ln>
                <a:noFill/>
              </a:ln>
              <a:effectLst/>
            </c:spPr>
          </c:dPt>
          <c:dPt>
            <c:idx val="7"/>
            <c:invertIfNegative val="0"/>
            <c:bubble3D val="0"/>
            <c:spPr>
              <a:solidFill>
                <a:schemeClr val="accent1"/>
              </a:solidFill>
              <a:ln>
                <a:noFill/>
              </a:ln>
              <a:effectLst/>
            </c:spPr>
          </c:dPt>
          <c:dPt>
            <c:idx val="8"/>
            <c:invertIfNegative val="0"/>
            <c:bubble3D val="0"/>
            <c:spPr>
              <a:solidFill>
                <a:schemeClr val="accent4">
                  <a:lumMod val="75000"/>
                </a:schemeClr>
              </a:solidFill>
              <a:ln>
                <a:noFill/>
              </a:ln>
              <a:effectLst/>
            </c:spPr>
          </c:dPt>
          <c:dPt>
            <c:idx val="10"/>
            <c:invertIfNegative val="0"/>
            <c:bubble3D val="0"/>
            <c:spPr>
              <a:solidFill>
                <a:srgbClr val="002060"/>
              </a:solidFill>
              <a:ln>
                <a:noFill/>
              </a:ln>
              <a:effectLst/>
            </c:spPr>
          </c:dPt>
          <c:dPt>
            <c:idx val="11"/>
            <c:invertIfNegative val="0"/>
            <c:bubble3D val="0"/>
            <c:spPr>
              <a:solidFill>
                <a:srgbClr val="5B0F0A"/>
              </a:solidFill>
              <a:ln>
                <a:noFill/>
              </a:ln>
              <a:effectLst/>
            </c:spPr>
          </c:dPt>
          <c:dPt>
            <c:idx val="12"/>
            <c:invertIfNegative val="0"/>
            <c:bubble3D val="0"/>
            <c:spPr>
              <a:solidFill>
                <a:srgbClr val="E39BED"/>
              </a:solidFill>
              <a:ln>
                <a:noFill/>
              </a:ln>
              <a:effectLst/>
            </c:spPr>
          </c:dPt>
          <c:dPt>
            <c:idx val="13"/>
            <c:invertIfNegative val="0"/>
            <c:bubble3D val="0"/>
            <c:spPr>
              <a:solidFill>
                <a:srgbClr val="202BCC"/>
              </a:solidFill>
              <a:ln>
                <a:noFill/>
              </a:ln>
              <a:effectLst/>
            </c:spPr>
          </c:dPt>
          <c:dPt>
            <c:idx val="14"/>
            <c:invertIfNegative val="0"/>
            <c:bubble3D val="0"/>
            <c:spPr>
              <a:solidFill>
                <a:schemeClr val="accent3"/>
              </a:solidFill>
              <a:ln>
                <a:noFill/>
              </a:ln>
              <a:effectLst/>
            </c:spPr>
          </c:dPt>
          <c:dPt>
            <c:idx val="15"/>
            <c:invertIfNegative val="0"/>
            <c:bubble3D val="0"/>
            <c:spPr>
              <a:solidFill>
                <a:srgbClr val="23E5ED"/>
              </a:solidFill>
              <a:ln>
                <a:noFill/>
              </a:ln>
              <a:effectLst/>
            </c:spPr>
          </c:dPt>
          <c:dPt>
            <c:idx val="16"/>
            <c:invertIfNegative val="0"/>
            <c:bubble3D val="0"/>
            <c:spPr>
              <a:solidFill>
                <a:srgbClr val="FF09EE"/>
              </a:solidFill>
              <a:ln>
                <a:noFill/>
              </a:ln>
              <a:effectLst/>
            </c:spPr>
          </c:dPt>
          <c:dPt>
            <c:idx val="17"/>
            <c:invertIfNegative val="0"/>
            <c:bubble3D val="0"/>
            <c:spPr>
              <a:solidFill>
                <a:srgbClr val="0B5731"/>
              </a:solidFill>
              <a:ln>
                <a:noFill/>
              </a:ln>
              <a:effectLst/>
            </c:spPr>
          </c:dPt>
          <c:dPt>
            <c:idx val="18"/>
            <c:invertIfNegative val="0"/>
            <c:bubble3D val="0"/>
            <c:spPr>
              <a:solidFill>
                <a:srgbClr val="84B876"/>
              </a:solidFill>
              <a:ln>
                <a:noFill/>
              </a:ln>
              <a:effectLst/>
            </c:spPr>
          </c:dPt>
          <c:dPt>
            <c:idx val="19"/>
            <c:invertIfNegative val="0"/>
            <c:bubble3D val="0"/>
            <c:spPr>
              <a:solidFill>
                <a:schemeClr val="tx1">
                  <a:lumMod val="95000"/>
                  <a:lumOff val="5000"/>
                </a:schemeClr>
              </a:solidFill>
              <a:ln>
                <a:noFill/>
              </a:ln>
              <a:effectLst/>
            </c:spPr>
          </c:dPt>
          <c:dPt>
            <c:idx val="20"/>
            <c:invertIfNegative val="0"/>
            <c:bubble3D val="0"/>
            <c:spPr>
              <a:solidFill>
                <a:schemeClr val="tx2">
                  <a:lumMod val="75000"/>
                </a:schemeClr>
              </a:solidFill>
              <a:ln>
                <a:noFill/>
              </a:ln>
              <a:effectLst/>
            </c:spPr>
          </c:dPt>
          <c:cat>
            <c:strRef>
              <c:f>Sheet1!$A$2:$A$23</c:f>
              <c:strCache>
                <c:ptCount val="22"/>
                <c:pt idx="0">
                  <c:v>Powys</c:v>
                </c:pt>
                <c:pt idx="1">
                  <c:v>Monmouthshire</c:v>
                </c:pt>
                <c:pt idx="2">
                  <c:v>Wrexham</c:v>
                </c:pt>
                <c:pt idx="3">
                  <c:v>Flintshire</c:v>
                </c:pt>
                <c:pt idx="4">
                  <c:v>Bridgend</c:v>
                </c:pt>
                <c:pt idx="5">
                  <c:v>Conwy</c:v>
                </c:pt>
                <c:pt idx="6">
                  <c:v>Denbighshire</c:v>
                </c:pt>
                <c:pt idx="7">
                  <c:v>Gwynedd</c:v>
                </c:pt>
                <c:pt idx="8">
                  <c:v>Caerphilly</c:v>
                </c:pt>
                <c:pt idx="9">
                  <c:v>Isle of Anglesey</c:v>
                </c:pt>
                <c:pt idx="10">
                  <c:v>Pembrokeshire</c:v>
                </c:pt>
                <c:pt idx="11">
                  <c:v>Cardiff</c:v>
                </c:pt>
                <c:pt idx="12">
                  <c:v>Carmarthenshire</c:v>
                </c:pt>
                <c:pt idx="13">
                  <c:v>Newport</c:v>
                </c:pt>
                <c:pt idx="14">
                  <c:v>Neath Port Talbot</c:v>
                </c:pt>
                <c:pt idx="15">
                  <c:v>Torfaen</c:v>
                </c:pt>
                <c:pt idx="16">
                  <c:v>Rhondda Cynon Taf</c:v>
                </c:pt>
                <c:pt idx="17">
                  <c:v>Swansea</c:v>
                </c:pt>
                <c:pt idx="18">
                  <c:v>Merthyr Tydfil</c:v>
                </c:pt>
                <c:pt idx="19">
                  <c:v>Ceredigion</c:v>
                </c:pt>
                <c:pt idx="20">
                  <c:v>Blaenau Gwent</c:v>
                </c:pt>
                <c:pt idx="21">
                  <c:v>Vale of Glamorgan</c:v>
                </c:pt>
              </c:strCache>
            </c:strRef>
          </c:cat>
          <c:val>
            <c:numRef>
              <c:f>Sheet1!$B$2:$B$23</c:f>
              <c:numCache>
                <c:formatCode>#,##0</c:formatCode>
                <c:ptCount val="22"/>
                <c:pt idx="0">
                  <c:v>76.0</c:v>
                </c:pt>
                <c:pt idx="1">
                  <c:v>75.0</c:v>
                </c:pt>
                <c:pt idx="2">
                  <c:v>74.0</c:v>
                </c:pt>
                <c:pt idx="3">
                  <c:v>73.0</c:v>
                </c:pt>
                <c:pt idx="4">
                  <c:v>72.0</c:v>
                </c:pt>
                <c:pt idx="5">
                  <c:v>71.0</c:v>
                </c:pt>
                <c:pt idx="6">
                  <c:v>71.0</c:v>
                </c:pt>
                <c:pt idx="7">
                  <c:v>70.0</c:v>
                </c:pt>
                <c:pt idx="8">
                  <c:v>70.0</c:v>
                </c:pt>
                <c:pt idx="9">
                  <c:v>69.0</c:v>
                </c:pt>
                <c:pt idx="10">
                  <c:v>69.0</c:v>
                </c:pt>
                <c:pt idx="11">
                  <c:v>68.0</c:v>
                </c:pt>
                <c:pt idx="12">
                  <c:v>67.0</c:v>
                </c:pt>
                <c:pt idx="13">
                  <c:v>67.0</c:v>
                </c:pt>
                <c:pt idx="14">
                  <c:v>66.0</c:v>
                </c:pt>
                <c:pt idx="15">
                  <c:v>66.0</c:v>
                </c:pt>
                <c:pt idx="16">
                  <c:v>65.0</c:v>
                </c:pt>
                <c:pt idx="17">
                  <c:v>64.0</c:v>
                </c:pt>
                <c:pt idx="18">
                  <c:v>63.0</c:v>
                </c:pt>
                <c:pt idx="19">
                  <c:v>62.0</c:v>
                </c:pt>
                <c:pt idx="20">
                  <c:v>61.0</c:v>
                </c:pt>
              </c:numCache>
            </c:numRef>
          </c:val>
        </c:ser>
        <c:dLbls>
          <c:showLegendKey val="0"/>
          <c:showVal val="0"/>
          <c:showCatName val="0"/>
          <c:showSerName val="0"/>
          <c:showPercent val="0"/>
          <c:showBubbleSize val="0"/>
        </c:dLbls>
        <c:gapWidth val="219"/>
        <c:overlap val="-27"/>
        <c:axId val="1338616608"/>
        <c:axId val="1338619968"/>
      </c:barChart>
      <c:catAx>
        <c:axId val="1338616608"/>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Wales</a:t>
                </a:r>
                <a:r>
                  <a:rPr lang="en-US" baseline="0"/>
                  <a:t> Regions </a:t>
                </a:r>
                <a:endParaRPr lang="en-US"/>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GB"/>
          </a:p>
        </c:txPr>
        <c:crossAx val="1338619968"/>
        <c:crosses val="autoZero"/>
        <c:auto val="1"/>
        <c:lblAlgn val="ctr"/>
        <c:lblOffset val="100"/>
        <c:noMultiLvlLbl val="0"/>
      </c:catAx>
      <c:valAx>
        <c:axId val="133861996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Percentage</a:t>
                </a:r>
                <a:r>
                  <a:rPr lang="en-US" baseline="0"/>
                  <a:t> of working age population</a:t>
                </a:r>
                <a:endParaRPr lang="en-US"/>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numFmt formatCode="#,##0"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GB"/>
          </a:p>
        </c:txPr>
        <c:crossAx val="133861660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GB"/>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Graph</a:t>
            </a:r>
            <a:r>
              <a:rPr lang="en-US" baseline="0"/>
              <a:t> to show employment rates in Wales and Swansea from 2001 to 2013</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GB"/>
        </a:p>
      </c:txPr>
    </c:title>
    <c:autoTitleDeleted val="0"/>
    <c:plotArea>
      <c:layout/>
      <c:lineChart>
        <c:grouping val="standard"/>
        <c:varyColors val="0"/>
        <c:ser>
          <c:idx val="0"/>
          <c:order val="0"/>
          <c:tx>
            <c:strRef>
              <c:f>Sheet1!$M$1</c:f>
              <c:strCache>
                <c:ptCount val="1"/>
                <c:pt idx="0">
                  <c:v>Wales</c:v>
                </c:pt>
              </c:strCache>
            </c:strRef>
          </c:tx>
          <c:spPr>
            <a:ln w="28575" cap="rnd">
              <a:solidFill>
                <a:schemeClr val="accent1"/>
              </a:solidFill>
              <a:round/>
            </a:ln>
            <a:effectLst/>
          </c:spPr>
          <c:marker>
            <c:symbol val="none"/>
          </c:marker>
          <c:cat>
            <c:numRef>
              <c:f>Sheet1!$L$2:$L$14</c:f>
              <c:numCache>
                <c:formatCode>General</c:formatCode>
                <c:ptCount val="13"/>
                <c:pt idx="0">
                  <c:v>2001.0</c:v>
                </c:pt>
                <c:pt idx="1">
                  <c:v>2002.0</c:v>
                </c:pt>
                <c:pt idx="2">
                  <c:v>2003.0</c:v>
                </c:pt>
                <c:pt idx="3">
                  <c:v>2004.0</c:v>
                </c:pt>
                <c:pt idx="4">
                  <c:v>2005.0</c:v>
                </c:pt>
                <c:pt idx="5">
                  <c:v>2006.0</c:v>
                </c:pt>
                <c:pt idx="6">
                  <c:v>2007.0</c:v>
                </c:pt>
                <c:pt idx="7">
                  <c:v>2008.0</c:v>
                </c:pt>
                <c:pt idx="8">
                  <c:v>2009.0</c:v>
                </c:pt>
                <c:pt idx="9">
                  <c:v>2010.0</c:v>
                </c:pt>
                <c:pt idx="10">
                  <c:v>2011.0</c:v>
                </c:pt>
                <c:pt idx="11">
                  <c:v>2012.0</c:v>
                </c:pt>
                <c:pt idx="12">
                  <c:v>2013.0</c:v>
                </c:pt>
              </c:numCache>
            </c:numRef>
          </c:cat>
          <c:val>
            <c:numRef>
              <c:f>Sheet1!$M$2:$M$14</c:f>
              <c:numCache>
                <c:formatCode>General</c:formatCode>
                <c:ptCount val="13"/>
                <c:pt idx="0">
                  <c:v>66.0</c:v>
                </c:pt>
                <c:pt idx="1">
                  <c:v>68.0</c:v>
                </c:pt>
                <c:pt idx="2">
                  <c:v>68.0</c:v>
                </c:pt>
                <c:pt idx="3">
                  <c:v>69.0</c:v>
                </c:pt>
                <c:pt idx="4">
                  <c:v>69.0</c:v>
                </c:pt>
                <c:pt idx="5">
                  <c:v>69.0</c:v>
                </c:pt>
                <c:pt idx="6">
                  <c:v>69.0</c:v>
                </c:pt>
                <c:pt idx="7">
                  <c:v>68.0</c:v>
                </c:pt>
                <c:pt idx="8">
                  <c:v>66.0</c:v>
                </c:pt>
                <c:pt idx="9">
                  <c:v>66.0</c:v>
                </c:pt>
                <c:pt idx="10">
                  <c:v>66.0</c:v>
                </c:pt>
                <c:pt idx="11">
                  <c:v>67.0</c:v>
                </c:pt>
                <c:pt idx="12">
                  <c:v>68.0</c:v>
                </c:pt>
              </c:numCache>
            </c:numRef>
          </c:val>
          <c:smooth val="0"/>
        </c:ser>
        <c:ser>
          <c:idx val="1"/>
          <c:order val="1"/>
          <c:tx>
            <c:strRef>
              <c:f>Sheet1!$N$1</c:f>
              <c:strCache>
                <c:ptCount val="1"/>
                <c:pt idx="0">
                  <c:v>Swansea</c:v>
                </c:pt>
              </c:strCache>
            </c:strRef>
          </c:tx>
          <c:spPr>
            <a:ln w="28575" cap="rnd">
              <a:solidFill>
                <a:schemeClr val="accent2"/>
              </a:solidFill>
              <a:round/>
            </a:ln>
            <a:effectLst/>
          </c:spPr>
          <c:marker>
            <c:symbol val="none"/>
          </c:marker>
          <c:cat>
            <c:numRef>
              <c:f>Sheet1!$L$2:$L$14</c:f>
              <c:numCache>
                <c:formatCode>General</c:formatCode>
                <c:ptCount val="13"/>
                <c:pt idx="0">
                  <c:v>2001.0</c:v>
                </c:pt>
                <c:pt idx="1">
                  <c:v>2002.0</c:v>
                </c:pt>
                <c:pt idx="2">
                  <c:v>2003.0</c:v>
                </c:pt>
                <c:pt idx="3">
                  <c:v>2004.0</c:v>
                </c:pt>
                <c:pt idx="4">
                  <c:v>2005.0</c:v>
                </c:pt>
                <c:pt idx="5">
                  <c:v>2006.0</c:v>
                </c:pt>
                <c:pt idx="6">
                  <c:v>2007.0</c:v>
                </c:pt>
                <c:pt idx="7">
                  <c:v>2008.0</c:v>
                </c:pt>
                <c:pt idx="8">
                  <c:v>2009.0</c:v>
                </c:pt>
                <c:pt idx="9">
                  <c:v>2010.0</c:v>
                </c:pt>
                <c:pt idx="10">
                  <c:v>2011.0</c:v>
                </c:pt>
                <c:pt idx="11">
                  <c:v>2012.0</c:v>
                </c:pt>
                <c:pt idx="12">
                  <c:v>2013.0</c:v>
                </c:pt>
              </c:numCache>
            </c:numRef>
          </c:cat>
          <c:val>
            <c:numRef>
              <c:f>Sheet1!$N$2:$N$14</c:f>
              <c:numCache>
                <c:formatCode>General</c:formatCode>
                <c:ptCount val="13"/>
                <c:pt idx="0">
                  <c:v>68.0</c:v>
                </c:pt>
                <c:pt idx="1">
                  <c:v>68.0</c:v>
                </c:pt>
                <c:pt idx="2">
                  <c:v>69.0</c:v>
                </c:pt>
                <c:pt idx="3">
                  <c:v>70.0</c:v>
                </c:pt>
                <c:pt idx="4">
                  <c:v>68.0</c:v>
                </c:pt>
                <c:pt idx="5">
                  <c:v>68.0</c:v>
                </c:pt>
                <c:pt idx="6">
                  <c:v>69.0</c:v>
                </c:pt>
                <c:pt idx="7">
                  <c:v>65.0</c:v>
                </c:pt>
                <c:pt idx="8">
                  <c:v>64.0</c:v>
                </c:pt>
                <c:pt idx="9">
                  <c:v>60.0</c:v>
                </c:pt>
                <c:pt idx="10">
                  <c:v>63.0</c:v>
                </c:pt>
                <c:pt idx="11">
                  <c:v>63.0</c:v>
                </c:pt>
                <c:pt idx="12">
                  <c:v>64.0</c:v>
                </c:pt>
              </c:numCache>
            </c:numRef>
          </c:val>
          <c:smooth val="0"/>
        </c:ser>
        <c:dLbls>
          <c:showLegendKey val="0"/>
          <c:showVal val="0"/>
          <c:showCatName val="0"/>
          <c:showSerName val="0"/>
          <c:showPercent val="0"/>
          <c:showBubbleSize val="0"/>
        </c:dLbls>
        <c:smooth val="0"/>
        <c:axId val="1338575888"/>
        <c:axId val="1338579008"/>
      </c:lineChart>
      <c:catAx>
        <c:axId val="1338575888"/>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Year</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GB"/>
          </a:p>
        </c:txPr>
        <c:crossAx val="1338579008"/>
        <c:crosses val="autoZero"/>
        <c:auto val="1"/>
        <c:lblAlgn val="ctr"/>
        <c:lblOffset val="100"/>
        <c:noMultiLvlLbl val="0"/>
      </c:catAx>
      <c:valAx>
        <c:axId val="133857900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Percentage</a:t>
                </a:r>
                <a:r>
                  <a:rPr lang="en-US" baseline="0"/>
                  <a:t> of working age population</a:t>
                </a:r>
                <a:endParaRPr lang="en-US"/>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GB"/>
          </a:p>
        </c:txPr>
        <c:crossAx val="133857588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GB"/>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GB"/>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Graph</a:t>
            </a:r>
            <a:r>
              <a:rPr lang="en-US" baseline="0"/>
              <a:t> to show average gross weekly full time earnings in Wales regions as of 2013</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GB"/>
        </a:p>
      </c:txPr>
    </c:title>
    <c:autoTitleDeleted val="0"/>
    <c:plotArea>
      <c:layout/>
      <c:barChart>
        <c:barDir val="col"/>
        <c:grouping val="clustered"/>
        <c:varyColors val="0"/>
        <c:ser>
          <c:idx val="0"/>
          <c:order val="0"/>
          <c:spPr>
            <a:solidFill>
              <a:schemeClr val="accent1"/>
            </a:solidFill>
            <a:ln>
              <a:noFill/>
            </a:ln>
            <a:effectLst/>
          </c:spPr>
          <c:invertIfNegative val="0"/>
          <c:dPt>
            <c:idx val="1"/>
            <c:invertIfNegative val="0"/>
            <c:bubble3D val="0"/>
            <c:spPr>
              <a:solidFill>
                <a:schemeClr val="tx1"/>
              </a:solidFill>
              <a:ln>
                <a:noFill/>
              </a:ln>
              <a:effectLst/>
            </c:spPr>
          </c:dPt>
          <c:dPt>
            <c:idx val="2"/>
            <c:invertIfNegative val="0"/>
            <c:bubble3D val="0"/>
            <c:spPr>
              <a:solidFill>
                <a:schemeClr val="bg2">
                  <a:lumMod val="75000"/>
                </a:schemeClr>
              </a:solidFill>
              <a:ln>
                <a:noFill/>
              </a:ln>
              <a:effectLst/>
            </c:spPr>
          </c:dPt>
          <c:dPt>
            <c:idx val="3"/>
            <c:invertIfNegative val="0"/>
            <c:bubble3D val="0"/>
            <c:spPr>
              <a:solidFill>
                <a:schemeClr val="tx2"/>
              </a:solidFill>
              <a:ln>
                <a:noFill/>
              </a:ln>
              <a:effectLst/>
            </c:spPr>
          </c:dPt>
          <c:dPt>
            <c:idx val="4"/>
            <c:invertIfNegative val="0"/>
            <c:bubble3D val="0"/>
            <c:spPr>
              <a:solidFill>
                <a:schemeClr val="accent2"/>
              </a:solidFill>
              <a:ln>
                <a:noFill/>
              </a:ln>
              <a:effectLst/>
            </c:spPr>
          </c:dPt>
          <c:dPt>
            <c:idx val="5"/>
            <c:invertIfNegative val="0"/>
            <c:bubble3D val="0"/>
            <c:spPr>
              <a:solidFill>
                <a:schemeClr val="accent3">
                  <a:lumMod val="50000"/>
                </a:schemeClr>
              </a:solidFill>
              <a:ln>
                <a:noFill/>
              </a:ln>
              <a:effectLst/>
            </c:spPr>
          </c:dPt>
          <c:dPt>
            <c:idx val="6"/>
            <c:invertIfNegative val="0"/>
            <c:bubble3D val="0"/>
            <c:spPr>
              <a:solidFill>
                <a:schemeClr val="accent4"/>
              </a:solidFill>
              <a:ln>
                <a:noFill/>
              </a:ln>
              <a:effectLst/>
            </c:spPr>
          </c:dPt>
          <c:dPt>
            <c:idx val="7"/>
            <c:invertIfNegative val="0"/>
            <c:bubble3D val="0"/>
            <c:spPr>
              <a:solidFill>
                <a:schemeClr val="accent5"/>
              </a:solidFill>
              <a:ln>
                <a:noFill/>
              </a:ln>
              <a:effectLst/>
            </c:spPr>
          </c:dPt>
          <c:dPt>
            <c:idx val="8"/>
            <c:invertIfNegative val="0"/>
            <c:bubble3D val="0"/>
            <c:spPr>
              <a:solidFill>
                <a:schemeClr val="accent6"/>
              </a:solidFill>
              <a:ln>
                <a:noFill/>
              </a:ln>
              <a:effectLst/>
            </c:spPr>
          </c:dPt>
          <c:dPt>
            <c:idx val="9"/>
            <c:invertIfNegative val="0"/>
            <c:bubble3D val="0"/>
            <c:spPr>
              <a:solidFill>
                <a:srgbClr val="202BCC"/>
              </a:solidFill>
              <a:ln>
                <a:noFill/>
              </a:ln>
              <a:effectLst/>
            </c:spPr>
          </c:dPt>
          <c:dPt>
            <c:idx val="10"/>
            <c:invertIfNegative val="0"/>
            <c:bubble3D val="0"/>
            <c:spPr>
              <a:solidFill>
                <a:srgbClr val="ED656E"/>
              </a:solidFill>
              <a:ln>
                <a:noFill/>
              </a:ln>
              <a:effectLst/>
            </c:spPr>
          </c:dPt>
          <c:dPt>
            <c:idx val="11"/>
            <c:invertIfNegative val="0"/>
            <c:bubble3D val="0"/>
            <c:spPr>
              <a:solidFill>
                <a:srgbClr val="23E5ED"/>
              </a:solidFill>
              <a:ln>
                <a:noFill/>
              </a:ln>
              <a:effectLst/>
            </c:spPr>
          </c:dPt>
          <c:dPt>
            <c:idx val="12"/>
            <c:invertIfNegative val="0"/>
            <c:bubble3D val="0"/>
            <c:spPr>
              <a:solidFill>
                <a:srgbClr val="202BCC"/>
              </a:solidFill>
              <a:ln>
                <a:noFill/>
              </a:ln>
              <a:effectLst/>
            </c:spPr>
          </c:dPt>
          <c:dPt>
            <c:idx val="13"/>
            <c:invertIfNegative val="0"/>
            <c:bubble3D val="0"/>
            <c:spPr>
              <a:solidFill>
                <a:srgbClr val="572E12"/>
              </a:solidFill>
              <a:ln>
                <a:noFill/>
              </a:ln>
              <a:effectLst/>
            </c:spPr>
          </c:dPt>
          <c:dPt>
            <c:idx val="14"/>
            <c:invertIfNegative val="0"/>
            <c:bubble3D val="0"/>
            <c:spPr>
              <a:solidFill>
                <a:srgbClr val="84B876"/>
              </a:solidFill>
              <a:ln>
                <a:noFill/>
              </a:ln>
              <a:effectLst/>
            </c:spPr>
          </c:dPt>
          <c:dPt>
            <c:idx val="15"/>
            <c:invertIfNegative val="0"/>
            <c:bubble3D val="0"/>
            <c:spPr>
              <a:solidFill>
                <a:srgbClr val="BB6327"/>
              </a:solidFill>
              <a:ln>
                <a:noFill/>
              </a:ln>
              <a:effectLst/>
            </c:spPr>
          </c:dPt>
          <c:dPt>
            <c:idx val="16"/>
            <c:invertIfNegative val="0"/>
            <c:bubble3D val="0"/>
            <c:spPr>
              <a:solidFill>
                <a:srgbClr val="FF09EE"/>
              </a:solidFill>
              <a:ln>
                <a:noFill/>
              </a:ln>
              <a:effectLst/>
            </c:spPr>
          </c:dPt>
          <c:dPt>
            <c:idx val="17"/>
            <c:invertIfNegative val="0"/>
            <c:bubble3D val="0"/>
            <c:spPr>
              <a:solidFill>
                <a:srgbClr val="0B054E"/>
              </a:solidFill>
              <a:ln>
                <a:noFill/>
              </a:ln>
              <a:effectLst/>
            </c:spPr>
          </c:dPt>
          <c:dPt>
            <c:idx val="18"/>
            <c:invertIfNegative val="0"/>
            <c:bubble3D val="0"/>
            <c:spPr>
              <a:solidFill>
                <a:srgbClr val="0B5731"/>
              </a:solidFill>
              <a:ln>
                <a:noFill/>
              </a:ln>
              <a:effectLst/>
            </c:spPr>
          </c:dPt>
          <c:dPt>
            <c:idx val="19"/>
            <c:invertIfNegative val="0"/>
            <c:bubble3D val="0"/>
            <c:spPr>
              <a:solidFill>
                <a:srgbClr val="FF0000"/>
              </a:solidFill>
              <a:ln>
                <a:noFill/>
              </a:ln>
              <a:effectLst/>
            </c:spPr>
          </c:dPt>
          <c:dPt>
            <c:idx val="20"/>
            <c:invertIfNegative val="0"/>
            <c:bubble3D val="0"/>
            <c:spPr>
              <a:solidFill>
                <a:srgbClr val="7030A0"/>
              </a:solidFill>
              <a:ln>
                <a:noFill/>
              </a:ln>
              <a:effectLst/>
            </c:spPr>
          </c:dPt>
          <c:dPt>
            <c:idx val="21"/>
            <c:invertIfNegative val="0"/>
            <c:bubble3D val="0"/>
            <c:spPr>
              <a:solidFill>
                <a:srgbClr val="FFC000"/>
              </a:solidFill>
              <a:ln>
                <a:noFill/>
              </a:ln>
              <a:effectLst/>
            </c:spPr>
          </c:dPt>
          <c:trendline>
            <c:spPr>
              <a:ln w="19050" cap="rnd">
                <a:solidFill>
                  <a:schemeClr val="accent1"/>
                </a:solidFill>
                <a:prstDash val="sysDot"/>
              </a:ln>
              <a:effectLst/>
            </c:spPr>
            <c:trendlineType val="linear"/>
            <c:dispRSqr val="0"/>
            <c:dispEq val="0"/>
          </c:trendline>
          <c:cat>
            <c:strRef>
              <c:f>Sheet1!$AJ$1:$AJ$22</c:f>
              <c:strCache>
                <c:ptCount val="22"/>
                <c:pt idx="0">
                  <c:v>Cardiff</c:v>
                </c:pt>
                <c:pt idx="1">
                  <c:v>Vale of Glamorgan</c:v>
                </c:pt>
                <c:pt idx="2">
                  <c:v>Flintshire</c:v>
                </c:pt>
                <c:pt idx="3">
                  <c:v>Denbighshire</c:v>
                </c:pt>
                <c:pt idx="4">
                  <c:v>Pembrokeshire</c:v>
                </c:pt>
                <c:pt idx="5">
                  <c:v>Newport</c:v>
                </c:pt>
                <c:pt idx="6">
                  <c:v>Neath Port Talbot</c:v>
                </c:pt>
                <c:pt idx="7">
                  <c:v>Bridgend</c:v>
                </c:pt>
                <c:pt idx="8">
                  <c:v>Rhondda Cynon Taf</c:v>
                </c:pt>
                <c:pt idx="9">
                  <c:v>Caerphilly</c:v>
                </c:pt>
                <c:pt idx="10">
                  <c:v>Torfaen</c:v>
                </c:pt>
                <c:pt idx="11">
                  <c:v>Carmarthenshire</c:v>
                </c:pt>
                <c:pt idx="12">
                  <c:v>Conwy</c:v>
                </c:pt>
                <c:pt idx="13">
                  <c:v>Wrexham</c:v>
                </c:pt>
                <c:pt idx="14">
                  <c:v>Swansea</c:v>
                </c:pt>
                <c:pt idx="15">
                  <c:v>Isle of Anglesey</c:v>
                </c:pt>
                <c:pt idx="16">
                  <c:v>Ceredigion</c:v>
                </c:pt>
                <c:pt idx="17">
                  <c:v>Gwynedd</c:v>
                </c:pt>
                <c:pt idx="18">
                  <c:v>Merthyr Tydfil</c:v>
                </c:pt>
                <c:pt idx="19">
                  <c:v>Powys</c:v>
                </c:pt>
                <c:pt idx="20">
                  <c:v>Monmouthshire</c:v>
                </c:pt>
                <c:pt idx="21">
                  <c:v>Blaenau Gwent</c:v>
                </c:pt>
              </c:strCache>
            </c:strRef>
          </c:cat>
          <c:val>
            <c:numRef>
              <c:f>Sheet1!$AK$1:$AK$22</c:f>
              <c:numCache>
                <c:formatCode>General</c:formatCode>
                <c:ptCount val="22"/>
                <c:pt idx="0">
                  <c:v>590.0</c:v>
                </c:pt>
                <c:pt idx="1">
                  <c:v>582.0</c:v>
                </c:pt>
                <c:pt idx="2">
                  <c:v>580.0</c:v>
                </c:pt>
                <c:pt idx="3">
                  <c:v>550.0</c:v>
                </c:pt>
                <c:pt idx="4">
                  <c:v>550.0</c:v>
                </c:pt>
                <c:pt idx="5">
                  <c:v>547.0</c:v>
                </c:pt>
                <c:pt idx="6">
                  <c:v>541.0</c:v>
                </c:pt>
                <c:pt idx="7">
                  <c:v>541.0</c:v>
                </c:pt>
                <c:pt idx="8">
                  <c:v>541.0</c:v>
                </c:pt>
                <c:pt idx="9">
                  <c:v>533.0</c:v>
                </c:pt>
                <c:pt idx="10">
                  <c:v>529.0</c:v>
                </c:pt>
                <c:pt idx="11">
                  <c:v>520.0</c:v>
                </c:pt>
                <c:pt idx="12">
                  <c:v>510.0</c:v>
                </c:pt>
                <c:pt idx="13">
                  <c:v>505.0</c:v>
                </c:pt>
                <c:pt idx="14">
                  <c:v>502.0</c:v>
                </c:pt>
                <c:pt idx="15">
                  <c:v>500.0</c:v>
                </c:pt>
                <c:pt idx="16">
                  <c:v>499.0</c:v>
                </c:pt>
                <c:pt idx="17">
                  <c:v>498.0</c:v>
                </c:pt>
                <c:pt idx="18">
                  <c:v>496.0</c:v>
                </c:pt>
                <c:pt idx="19">
                  <c:v>495.0</c:v>
                </c:pt>
                <c:pt idx="20">
                  <c:v>490.0</c:v>
                </c:pt>
                <c:pt idx="21">
                  <c:v>475.0</c:v>
                </c:pt>
              </c:numCache>
            </c:numRef>
          </c:val>
        </c:ser>
        <c:dLbls>
          <c:showLegendKey val="0"/>
          <c:showVal val="0"/>
          <c:showCatName val="0"/>
          <c:showSerName val="0"/>
          <c:showPercent val="0"/>
          <c:showBubbleSize val="0"/>
        </c:dLbls>
        <c:gapWidth val="219"/>
        <c:overlap val="-27"/>
        <c:axId val="1338541808"/>
        <c:axId val="1338545712"/>
      </c:barChart>
      <c:catAx>
        <c:axId val="1338541808"/>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Wales</a:t>
                </a:r>
                <a:r>
                  <a:rPr lang="en-US" baseline="0"/>
                  <a:t> Regions</a:t>
                </a:r>
                <a:endParaRPr lang="en-US"/>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GB"/>
          </a:p>
        </c:txPr>
        <c:crossAx val="1338545712"/>
        <c:crosses val="autoZero"/>
        <c:auto val="1"/>
        <c:lblAlgn val="ctr"/>
        <c:lblOffset val="100"/>
        <c:noMultiLvlLbl val="0"/>
      </c:catAx>
      <c:valAx>
        <c:axId val="133854571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Pounds</a:t>
                </a:r>
                <a:r>
                  <a:rPr lang="en-US" baseline="0"/>
                  <a:t> Sterling</a:t>
                </a:r>
                <a:endParaRPr lang="en-US"/>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GB"/>
          </a:p>
        </c:txPr>
        <c:crossAx val="133854180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GB"/>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Graph</a:t>
            </a:r>
            <a:r>
              <a:rPr lang="en-US" baseline="0"/>
              <a:t> showing gross disposable household income per head in Wales regions in 2012</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GB"/>
        </a:p>
      </c:txPr>
    </c:title>
    <c:autoTitleDeleted val="0"/>
    <c:plotArea>
      <c:layout/>
      <c:barChart>
        <c:barDir val="bar"/>
        <c:grouping val="clustered"/>
        <c:varyColors val="0"/>
        <c:ser>
          <c:idx val="0"/>
          <c:order val="0"/>
          <c:spPr>
            <a:solidFill>
              <a:schemeClr val="accent1"/>
            </a:solidFill>
            <a:ln>
              <a:noFill/>
            </a:ln>
            <a:effectLst/>
          </c:spPr>
          <c:invertIfNegative val="0"/>
          <c:dPt>
            <c:idx val="0"/>
            <c:invertIfNegative val="0"/>
            <c:bubble3D val="0"/>
            <c:spPr>
              <a:solidFill>
                <a:srgbClr val="FFC000"/>
              </a:solidFill>
              <a:ln>
                <a:noFill/>
              </a:ln>
              <a:effectLst/>
            </c:spPr>
          </c:dPt>
          <c:dPt>
            <c:idx val="1"/>
            <c:invertIfNegative val="0"/>
            <c:bubble3D val="0"/>
            <c:spPr>
              <a:solidFill>
                <a:srgbClr val="5B0F0A"/>
              </a:solidFill>
              <a:ln>
                <a:noFill/>
              </a:ln>
              <a:effectLst/>
            </c:spPr>
          </c:dPt>
          <c:dPt>
            <c:idx val="2"/>
            <c:invertIfNegative val="0"/>
            <c:bubble3D val="0"/>
            <c:spPr>
              <a:solidFill>
                <a:srgbClr val="C00000"/>
              </a:solidFill>
              <a:ln>
                <a:noFill/>
              </a:ln>
              <a:effectLst/>
            </c:spPr>
          </c:dPt>
          <c:dPt>
            <c:idx val="3"/>
            <c:invertIfNegative val="0"/>
            <c:bubble3D val="0"/>
            <c:spPr>
              <a:solidFill>
                <a:srgbClr val="0B5731"/>
              </a:solidFill>
              <a:ln>
                <a:noFill/>
              </a:ln>
              <a:effectLst/>
            </c:spPr>
          </c:dPt>
          <c:dPt>
            <c:idx val="4"/>
            <c:invertIfNegative val="0"/>
            <c:bubble3D val="0"/>
            <c:spPr>
              <a:solidFill>
                <a:srgbClr val="00B050"/>
              </a:solidFill>
              <a:ln>
                <a:noFill/>
              </a:ln>
              <a:effectLst/>
            </c:spPr>
          </c:dPt>
          <c:dPt>
            <c:idx val="5"/>
            <c:invertIfNegative val="0"/>
            <c:bubble3D val="0"/>
            <c:spPr>
              <a:solidFill>
                <a:srgbClr val="FF09EE"/>
              </a:solidFill>
              <a:ln>
                <a:noFill/>
              </a:ln>
              <a:effectLst/>
            </c:spPr>
          </c:dPt>
          <c:dPt>
            <c:idx val="6"/>
            <c:invertIfNegative val="0"/>
            <c:bubble3D val="0"/>
            <c:spPr>
              <a:solidFill>
                <a:srgbClr val="BB6327"/>
              </a:solidFill>
              <a:ln>
                <a:noFill/>
              </a:ln>
              <a:effectLst/>
            </c:spPr>
          </c:dPt>
          <c:dPt>
            <c:idx val="7"/>
            <c:invertIfNegative val="0"/>
            <c:bubble3D val="0"/>
            <c:spPr>
              <a:solidFill>
                <a:srgbClr val="5B0F0A"/>
              </a:solidFill>
              <a:ln>
                <a:noFill/>
              </a:ln>
              <a:effectLst/>
            </c:spPr>
          </c:dPt>
          <c:dPt>
            <c:idx val="8"/>
            <c:invertIfNegative val="0"/>
            <c:bubble3D val="0"/>
            <c:spPr>
              <a:solidFill>
                <a:srgbClr val="202BCC"/>
              </a:solidFill>
              <a:ln>
                <a:noFill/>
              </a:ln>
              <a:effectLst/>
            </c:spPr>
          </c:dPt>
          <c:dPt>
            <c:idx val="9"/>
            <c:invertIfNegative val="0"/>
            <c:bubble3D val="0"/>
            <c:spPr>
              <a:solidFill>
                <a:srgbClr val="84B876"/>
              </a:solidFill>
              <a:ln>
                <a:noFill/>
              </a:ln>
              <a:effectLst/>
            </c:spPr>
          </c:dPt>
          <c:dPt>
            <c:idx val="10"/>
            <c:invertIfNegative val="0"/>
            <c:bubble3D val="0"/>
            <c:spPr>
              <a:solidFill>
                <a:srgbClr val="23E5ED"/>
              </a:solidFill>
              <a:ln>
                <a:noFill/>
              </a:ln>
              <a:effectLst/>
            </c:spPr>
          </c:dPt>
          <c:dPt>
            <c:idx val="11"/>
            <c:invertIfNegative val="0"/>
            <c:bubble3D val="0"/>
            <c:spPr>
              <a:solidFill>
                <a:srgbClr val="FF09EE"/>
              </a:solidFill>
              <a:ln>
                <a:noFill/>
              </a:ln>
              <a:effectLst/>
            </c:spPr>
          </c:dPt>
          <c:dPt>
            <c:idx val="12"/>
            <c:invertIfNegative val="0"/>
            <c:bubble3D val="0"/>
            <c:spPr>
              <a:solidFill>
                <a:srgbClr val="0B5731"/>
              </a:solidFill>
              <a:ln>
                <a:noFill/>
              </a:ln>
              <a:effectLst/>
            </c:spPr>
          </c:dPt>
          <c:dPt>
            <c:idx val="13"/>
            <c:invertIfNegative val="0"/>
            <c:bubble3D val="0"/>
            <c:spPr>
              <a:solidFill>
                <a:srgbClr val="C00000"/>
              </a:solidFill>
              <a:ln>
                <a:noFill/>
              </a:ln>
              <a:effectLst/>
            </c:spPr>
          </c:dPt>
          <c:dPt>
            <c:idx val="14"/>
            <c:invertIfNegative val="0"/>
            <c:bubble3D val="0"/>
            <c:spPr>
              <a:solidFill>
                <a:schemeClr val="accent6"/>
              </a:solidFill>
              <a:ln>
                <a:noFill/>
              </a:ln>
              <a:effectLst/>
            </c:spPr>
          </c:dPt>
          <c:dPt>
            <c:idx val="15"/>
            <c:invertIfNegative val="0"/>
            <c:bubble3D val="0"/>
            <c:spPr>
              <a:solidFill>
                <a:schemeClr val="accent5"/>
              </a:solidFill>
              <a:ln>
                <a:noFill/>
              </a:ln>
              <a:effectLst/>
            </c:spPr>
          </c:dPt>
          <c:dPt>
            <c:idx val="16"/>
            <c:invertIfNegative val="0"/>
            <c:bubble3D val="0"/>
            <c:spPr>
              <a:solidFill>
                <a:schemeClr val="accent4"/>
              </a:solidFill>
              <a:ln>
                <a:noFill/>
              </a:ln>
              <a:effectLst/>
            </c:spPr>
          </c:dPt>
          <c:dPt>
            <c:idx val="17"/>
            <c:invertIfNegative val="0"/>
            <c:bubble3D val="0"/>
            <c:spPr>
              <a:solidFill>
                <a:schemeClr val="accent2"/>
              </a:solidFill>
              <a:ln>
                <a:noFill/>
              </a:ln>
              <a:effectLst/>
            </c:spPr>
          </c:dPt>
          <c:dPt>
            <c:idx val="18"/>
            <c:invertIfNegative val="0"/>
            <c:bubble3D val="0"/>
            <c:spPr>
              <a:solidFill>
                <a:schemeClr val="tx2"/>
              </a:solidFill>
              <a:ln>
                <a:noFill/>
              </a:ln>
              <a:effectLst/>
            </c:spPr>
          </c:dPt>
          <c:dPt>
            <c:idx val="19"/>
            <c:invertIfNegative val="0"/>
            <c:bubble3D val="0"/>
            <c:spPr>
              <a:solidFill>
                <a:schemeClr val="bg2">
                  <a:lumMod val="75000"/>
                </a:schemeClr>
              </a:solidFill>
              <a:ln>
                <a:noFill/>
              </a:ln>
              <a:effectLst/>
            </c:spPr>
          </c:dPt>
          <c:dPt>
            <c:idx val="20"/>
            <c:invertIfNegative val="0"/>
            <c:bubble3D val="0"/>
            <c:spPr>
              <a:solidFill>
                <a:schemeClr val="tx1"/>
              </a:solidFill>
              <a:ln>
                <a:noFill/>
              </a:ln>
              <a:effectLst/>
            </c:spPr>
          </c:dPt>
          <c:cat>
            <c:strRef>
              <c:f>Sheet1!$AR$3:$AR$24</c:f>
              <c:strCache>
                <c:ptCount val="22"/>
                <c:pt idx="0">
                  <c:v>Newport</c:v>
                </c:pt>
                <c:pt idx="1">
                  <c:v>Monmouthshire</c:v>
                </c:pt>
                <c:pt idx="2">
                  <c:v>Cardiff</c:v>
                </c:pt>
                <c:pt idx="3">
                  <c:v>Vale of Glamorgan</c:v>
                </c:pt>
                <c:pt idx="4">
                  <c:v>Denbighshire</c:v>
                </c:pt>
                <c:pt idx="5">
                  <c:v>Conwy</c:v>
                </c:pt>
                <c:pt idx="6">
                  <c:v>Powys</c:v>
                </c:pt>
                <c:pt idx="7">
                  <c:v>Flintshire</c:v>
                </c:pt>
                <c:pt idx="8">
                  <c:v>Wrexham</c:v>
                </c:pt>
                <c:pt idx="9">
                  <c:v>Isle of Anglesey</c:v>
                </c:pt>
                <c:pt idx="10">
                  <c:v>Ceredigion</c:v>
                </c:pt>
                <c:pt idx="11">
                  <c:v>Pembrokeshire</c:v>
                </c:pt>
                <c:pt idx="12">
                  <c:v>Carmarthenshire</c:v>
                </c:pt>
                <c:pt idx="13">
                  <c:v>Neath Port Talbot</c:v>
                </c:pt>
                <c:pt idx="14">
                  <c:v>Bridgend</c:v>
                </c:pt>
                <c:pt idx="15">
                  <c:v>Swansea</c:v>
                </c:pt>
                <c:pt idx="16">
                  <c:v>Gwynedd</c:v>
                </c:pt>
                <c:pt idx="17">
                  <c:v>Rhondda Cynon Taf</c:v>
                </c:pt>
                <c:pt idx="18">
                  <c:v>Merthyr Tydfil</c:v>
                </c:pt>
                <c:pt idx="19">
                  <c:v>Caerphilly</c:v>
                </c:pt>
                <c:pt idx="20">
                  <c:v>Torfaen</c:v>
                </c:pt>
                <c:pt idx="21">
                  <c:v>Blaenau Gwent</c:v>
                </c:pt>
              </c:strCache>
            </c:strRef>
          </c:cat>
          <c:val>
            <c:numRef>
              <c:f>Sheet1!$AS$3:$AS$24</c:f>
              <c:numCache>
                <c:formatCode>#,##0</c:formatCode>
                <c:ptCount val="22"/>
                <c:pt idx="0">
                  <c:v>15800.0</c:v>
                </c:pt>
                <c:pt idx="1">
                  <c:v>15800.0</c:v>
                </c:pt>
                <c:pt idx="2">
                  <c:v>15500.0</c:v>
                </c:pt>
                <c:pt idx="3">
                  <c:v>15500.0</c:v>
                </c:pt>
                <c:pt idx="4">
                  <c:v>15400.0</c:v>
                </c:pt>
                <c:pt idx="5">
                  <c:v>15400.0</c:v>
                </c:pt>
                <c:pt idx="6">
                  <c:v>15300.0</c:v>
                </c:pt>
                <c:pt idx="7">
                  <c:v>15000.0</c:v>
                </c:pt>
                <c:pt idx="8">
                  <c:v>15000.0</c:v>
                </c:pt>
                <c:pt idx="9">
                  <c:v>15000.0</c:v>
                </c:pt>
                <c:pt idx="10">
                  <c:v>14700.0</c:v>
                </c:pt>
                <c:pt idx="11">
                  <c:v>14600.0</c:v>
                </c:pt>
                <c:pt idx="12">
                  <c:v>14200.0</c:v>
                </c:pt>
                <c:pt idx="13">
                  <c:v>14100.0</c:v>
                </c:pt>
                <c:pt idx="14">
                  <c:v>14100.0</c:v>
                </c:pt>
                <c:pt idx="15">
                  <c:v>14050.0</c:v>
                </c:pt>
                <c:pt idx="16">
                  <c:v>13900.0</c:v>
                </c:pt>
                <c:pt idx="17">
                  <c:v>13500.0</c:v>
                </c:pt>
                <c:pt idx="18">
                  <c:v>13500.0</c:v>
                </c:pt>
                <c:pt idx="19">
                  <c:v>13450.0</c:v>
                </c:pt>
                <c:pt idx="20">
                  <c:v>13450.0</c:v>
                </c:pt>
                <c:pt idx="21">
                  <c:v>13450.0</c:v>
                </c:pt>
              </c:numCache>
            </c:numRef>
          </c:val>
        </c:ser>
        <c:dLbls>
          <c:showLegendKey val="0"/>
          <c:showVal val="0"/>
          <c:showCatName val="0"/>
          <c:showSerName val="0"/>
          <c:showPercent val="0"/>
          <c:showBubbleSize val="0"/>
        </c:dLbls>
        <c:gapWidth val="182"/>
        <c:axId val="1399661760"/>
        <c:axId val="1399665120"/>
      </c:barChart>
      <c:catAx>
        <c:axId val="1399661760"/>
        <c:scaling>
          <c:orientation val="minMax"/>
        </c:scaling>
        <c:delete val="0"/>
        <c:axPos val="l"/>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Wales</a:t>
                </a:r>
                <a:r>
                  <a:rPr lang="en-US" baseline="0"/>
                  <a:t> Regions</a:t>
                </a:r>
                <a:endParaRPr lang="en-US"/>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GB"/>
          </a:p>
        </c:txPr>
        <c:crossAx val="1399665120"/>
        <c:crosses val="autoZero"/>
        <c:auto val="1"/>
        <c:lblAlgn val="ctr"/>
        <c:lblOffset val="100"/>
        <c:noMultiLvlLbl val="0"/>
      </c:catAx>
      <c:valAx>
        <c:axId val="1399665120"/>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Pound</a:t>
                </a:r>
                <a:r>
                  <a:rPr lang="en-US" baseline="0"/>
                  <a:t> Sterling per head </a:t>
                </a:r>
                <a:endParaRPr lang="en-US"/>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GB"/>
          </a:p>
        </c:txPr>
        <c:crossAx val="1399661760"/>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GB"/>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US"/>
              <a:t>Pie chart showing the age structure in Swansea in 2016</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GB"/>
        </a:p>
      </c:txPr>
    </c:title>
    <c:autoTitleDeleted val="0"/>
    <c:plotArea>
      <c:layout/>
      <c:pie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c:spPr>
          </c:dPt>
          <c:dPt>
            <c:idx val="1"/>
            <c:bubble3D val="0"/>
            <c:spPr>
              <a:solidFill>
                <a:schemeClr val="accent2"/>
              </a:solidFill>
              <a:ln>
                <a:noFill/>
              </a:ln>
              <a:effectLst>
                <a:outerShdw blurRad="254000" sx="102000" sy="102000" algn="ctr" rotWithShape="0">
                  <a:prstClr val="black">
                    <a:alpha val="20000"/>
                  </a:prstClr>
                </a:outerShdw>
              </a:effectLst>
            </c:spPr>
          </c:dPt>
          <c:dPt>
            <c:idx val="2"/>
            <c:bubble3D val="0"/>
            <c:spPr>
              <a:solidFill>
                <a:schemeClr val="accent3"/>
              </a:solidFill>
              <a:ln>
                <a:noFill/>
              </a:ln>
              <a:effectLst>
                <a:outerShdw blurRad="254000" sx="102000" sy="102000" algn="ctr" rotWithShape="0">
                  <a:prstClr val="black">
                    <a:alpha val="20000"/>
                  </a:prstClr>
                </a:outerShdw>
              </a:effectLst>
            </c:spPr>
          </c:dPt>
          <c:dPt>
            <c:idx val="3"/>
            <c:bubble3D val="0"/>
            <c:spPr>
              <a:solidFill>
                <a:schemeClr val="accent4"/>
              </a:solidFill>
              <a:ln>
                <a:noFill/>
              </a:ln>
              <a:effectLst>
                <a:outerShdw blurRad="254000" sx="102000" sy="102000" algn="ctr" rotWithShape="0">
                  <a:prstClr val="black">
                    <a:alpha val="20000"/>
                  </a:prstClr>
                </a:outerShdw>
              </a:effectLst>
            </c:spPr>
          </c:dPt>
          <c:dPt>
            <c:idx val="4"/>
            <c:bubble3D val="0"/>
            <c:spPr>
              <a:solidFill>
                <a:schemeClr val="accent5"/>
              </a:solidFill>
              <a:ln>
                <a:noFill/>
              </a:ln>
              <a:effectLst>
                <a:outerShdw blurRad="254000" sx="102000" sy="102000" algn="ctr" rotWithShape="0">
                  <a:prstClr val="black">
                    <a:alpha val="20000"/>
                  </a:prstClr>
                </a:outerShdw>
              </a:effectLst>
            </c:spPr>
          </c:dPt>
          <c:dPt>
            <c:idx val="5"/>
            <c:bubble3D val="0"/>
            <c:spPr>
              <a:solidFill>
                <a:schemeClr val="accent6"/>
              </a:solidFill>
              <a:ln>
                <a:noFill/>
              </a:ln>
              <a:effectLst>
                <a:outerShdw blurRad="254000" sx="102000" sy="102000" algn="ctr" rotWithShape="0">
                  <a:prstClr val="black">
                    <a:alpha val="20000"/>
                  </a:prstClr>
                </a:outerShdw>
              </a:effectLst>
            </c:spPr>
          </c:dPt>
          <c:dPt>
            <c:idx val="6"/>
            <c:bubble3D val="0"/>
            <c:spPr>
              <a:solidFill>
                <a:schemeClr val="accent1">
                  <a:lumMod val="60000"/>
                </a:schemeClr>
              </a:solidFill>
              <a:ln>
                <a:noFill/>
              </a:ln>
              <a:effectLst>
                <a:outerShdw blurRad="254000" sx="102000" sy="102000" algn="ctr" rotWithShape="0">
                  <a:prstClr val="black">
                    <a:alpha val="20000"/>
                  </a:prstClr>
                </a:outerShdw>
              </a:effectLst>
            </c:spPr>
          </c:dPt>
          <c:dPt>
            <c:idx val="7"/>
            <c:bubble3D val="0"/>
            <c:spPr>
              <a:solidFill>
                <a:schemeClr val="accent2">
                  <a:lumMod val="60000"/>
                </a:schemeClr>
              </a:solidFill>
              <a:ln>
                <a:noFill/>
              </a:ln>
              <a:effectLst>
                <a:outerShdw blurRad="254000" sx="102000" sy="102000" algn="ctr" rotWithShape="0">
                  <a:prstClr val="black">
                    <a:alpha val="20000"/>
                  </a:prstClr>
                </a:outerShdw>
              </a:effectLst>
            </c:spPr>
          </c:dPt>
          <c:dPt>
            <c:idx val="8"/>
            <c:bubble3D val="0"/>
            <c:spPr>
              <a:solidFill>
                <a:schemeClr val="accent3">
                  <a:lumMod val="60000"/>
                </a:schemeClr>
              </a:solidFill>
              <a:ln>
                <a:noFill/>
              </a:ln>
              <a:effectLst>
                <a:outerShdw blurRad="254000" sx="102000" sy="102000" algn="ctr" rotWithShape="0">
                  <a:prstClr val="black">
                    <a:alpha val="20000"/>
                  </a:prstClr>
                </a:outerShdw>
              </a:effectLst>
            </c:spPr>
          </c:dPt>
          <c:dPt>
            <c:idx val="9"/>
            <c:bubble3D val="0"/>
            <c:spPr>
              <a:solidFill>
                <a:schemeClr val="accent4">
                  <a:lumMod val="60000"/>
                </a:schemeClr>
              </a:solidFill>
              <a:ln>
                <a:noFill/>
              </a:ln>
              <a:effectLst>
                <a:outerShdw blurRad="254000" sx="102000" sy="102000" algn="ctr" rotWithShape="0">
                  <a:prstClr val="black">
                    <a:alpha val="20000"/>
                  </a:prstClr>
                </a:outerShdw>
              </a:effectLst>
            </c:spPr>
          </c:dPt>
          <c:dPt>
            <c:idx val="10"/>
            <c:bubble3D val="0"/>
            <c:spPr>
              <a:solidFill>
                <a:schemeClr val="accent5">
                  <a:lumMod val="60000"/>
                </a:schemeClr>
              </a:solidFill>
              <a:ln>
                <a:noFill/>
              </a:ln>
              <a:effectLst>
                <a:outerShdw blurRad="254000" sx="102000" sy="102000" algn="ctr" rotWithShape="0">
                  <a:prstClr val="black">
                    <a:alpha val="20000"/>
                  </a:prstClr>
                </a:outerShdw>
              </a:effectLst>
            </c:spPr>
          </c:dPt>
          <c:dPt>
            <c:idx val="11"/>
            <c:bubble3D val="0"/>
            <c:spPr>
              <a:solidFill>
                <a:schemeClr val="accent6">
                  <a:lumMod val="60000"/>
                </a:schemeClr>
              </a:solidFill>
              <a:ln>
                <a:noFill/>
              </a:ln>
              <a:effectLst>
                <a:outerShdw blurRad="254000" sx="102000" sy="102000" algn="ctr" rotWithShape="0">
                  <a:prstClr val="black">
                    <a:alpha val="20000"/>
                  </a:prstClr>
                </a:outerShdw>
              </a:effectLst>
            </c:spPr>
          </c:dPt>
          <c:dPt>
            <c:idx val="12"/>
            <c:bubble3D val="0"/>
            <c:spPr>
              <a:solidFill>
                <a:schemeClr val="accent1">
                  <a:lumMod val="80000"/>
                  <a:lumOff val="20000"/>
                </a:schemeClr>
              </a:solidFill>
              <a:ln>
                <a:noFill/>
              </a:ln>
              <a:effectLst>
                <a:outerShdw blurRad="254000" sx="102000" sy="102000" algn="ctr" rotWithShape="0">
                  <a:prstClr val="black">
                    <a:alpha val="20000"/>
                  </a:prstClr>
                </a:outerShdw>
              </a:effectLst>
            </c:spPr>
          </c:dPt>
          <c:dPt>
            <c:idx val="13"/>
            <c:bubble3D val="0"/>
            <c:spPr>
              <a:solidFill>
                <a:schemeClr val="accent2">
                  <a:lumMod val="80000"/>
                  <a:lumOff val="20000"/>
                </a:schemeClr>
              </a:solidFill>
              <a:ln>
                <a:noFill/>
              </a:ln>
              <a:effectLst>
                <a:outerShdw blurRad="254000" sx="102000" sy="102000" algn="ctr" rotWithShape="0">
                  <a:prstClr val="black">
                    <a:alpha val="20000"/>
                  </a:prstClr>
                </a:outerShdw>
              </a:effectLst>
            </c:spPr>
          </c:dPt>
          <c:dPt>
            <c:idx val="14"/>
            <c:bubble3D val="0"/>
            <c:spPr>
              <a:solidFill>
                <a:schemeClr val="accent3">
                  <a:lumMod val="80000"/>
                  <a:lumOff val="20000"/>
                </a:schemeClr>
              </a:solidFill>
              <a:ln>
                <a:noFill/>
              </a:ln>
              <a:effectLst>
                <a:outerShdw blurRad="254000" sx="102000" sy="102000" algn="ctr" rotWithShape="0">
                  <a:prstClr val="black">
                    <a:alpha val="20000"/>
                  </a:prstClr>
                </a:outerShdw>
              </a:effectLst>
            </c:spPr>
          </c:dPt>
          <c:dPt>
            <c:idx val="15"/>
            <c:bubble3D val="0"/>
            <c:spPr>
              <a:solidFill>
                <a:schemeClr val="accent4">
                  <a:lumMod val="80000"/>
                  <a:lumOff val="20000"/>
                </a:schemeClr>
              </a:solidFill>
              <a:ln>
                <a:noFill/>
              </a:ln>
              <a:effectLst>
                <a:outerShdw blurRad="254000" sx="102000" sy="102000" algn="ctr" rotWithShape="0">
                  <a:prstClr val="black">
                    <a:alpha val="20000"/>
                  </a:prstClr>
                </a:outerShdw>
              </a:effectLst>
            </c:spPr>
          </c:dPt>
          <c:dLbls>
            <c:dLbl>
              <c:idx val="2"/>
              <c:layout>
                <c:manualLayout>
                  <c:x val="-0.0556838695502429"/>
                  <c:y val="0.102215828790632"/>
                </c:manualLayout>
              </c:layout>
              <c:dLblPos val="bestFit"/>
              <c:showLegendKey val="0"/>
              <c:showVal val="0"/>
              <c:showCatName val="0"/>
              <c:showSerName val="0"/>
              <c:showPercent val="1"/>
              <c:showBubbleSize val="0"/>
              <c:extLst>
                <c:ext xmlns:c15="http://schemas.microsoft.com/office/drawing/2012/chart" uri="{CE6537A1-D6FC-4f65-9D91-7224C49458BB}"/>
              </c:extLst>
            </c:dLbl>
            <c:dLbl>
              <c:idx val="4"/>
              <c:layout>
                <c:manualLayout>
                  <c:x val="-0.0580812579423047"/>
                  <c:y val="0.0401298203109227"/>
                </c:manualLayout>
              </c:layout>
              <c:dLblPos val="bestFit"/>
              <c:showLegendKey val="0"/>
              <c:showVal val="0"/>
              <c:showCatName val="0"/>
              <c:showSerName val="0"/>
              <c:showPercent val="1"/>
              <c:showBubbleSize val="0"/>
              <c:extLst>
                <c:ext xmlns:c15="http://schemas.microsoft.com/office/drawing/2012/chart" uri="{CE6537A1-D6FC-4f65-9D91-7224C49458BB}"/>
              </c:extLst>
            </c:dLbl>
            <c:dLbl>
              <c:idx val="5"/>
              <c:layout>
                <c:manualLayout>
                  <c:x val="-0.0836104975000297"/>
                  <c:y val="0.0546719160104987"/>
                </c:manualLayout>
              </c:layout>
              <c:dLblPos val="bestFit"/>
              <c:showLegendKey val="0"/>
              <c:showVal val="0"/>
              <c:showCatName val="0"/>
              <c:showSerName val="0"/>
              <c:showPercent val="1"/>
              <c:showBubbleSize val="0"/>
              <c:extLst>
                <c:ext xmlns:c15="http://schemas.microsoft.com/office/drawing/2012/chart" uri="{CE6537A1-D6FC-4f65-9D91-7224C49458BB}"/>
              </c:extLst>
            </c:dLbl>
            <c:dLbl>
              <c:idx val="14"/>
              <c:layout>
                <c:manualLayout>
                  <c:x val="0.019133383213976"/>
                  <c:y val="0.197794467999192"/>
                </c:manualLayout>
              </c:layout>
              <c:dLblPos val="bestFit"/>
              <c:showLegendKey val="0"/>
              <c:showVal val="0"/>
              <c:showCatName val="0"/>
              <c:showSerName val="0"/>
              <c:showPercent val="1"/>
              <c:showBubbleSize val="0"/>
              <c:extLst>
                <c:ext xmlns:c15="http://schemas.microsoft.com/office/drawing/2012/chart" uri="{CE6537A1-D6FC-4f65-9D91-7224C49458BB}"/>
              </c:extLst>
            </c:dLbl>
            <c:dLbl>
              <c:idx val="15"/>
              <c:layout>
                <c:manualLayout>
                  <c:x val="7.20003325375492E-5"/>
                  <c:y val="0.0809501312335958"/>
                </c:manualLayout>
              </c:layout>
              <c:dLblPos val="bestFit"/>
              <c:showLegendKey val="0"/>
              <c:showVal val="0"/>
              <c:showCatName val="0"/>
              <c:showSerName val="0"/>
              <c:showPercent val="1"/>
              <c:showBubbleSize val="0"/>
              <c:extLst>
                <c:ext xmlns:c15="http://schemas.microsoft.com/office/drawing/2012/chart" uri="{CE6537A1-D6FC-4f65-9D91-7224C49458BB}"/>
              </c:extLst>
            </c:dLbl>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GB"/>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Sheet1!$BO$4:$BO$19</c:f>
              <c:strCache>
                <c:ptCount val="16"/>
                <c:pt idx="0">
                  <c:v>Age 0 to 4</c:v>
                </c:pt>
                <c:pt idx="1">
                  <c:v>Age 5 to 7</c:v>
                </c:pt>
                <c:pt idx="2">
                  <c:v>Age 8 to 9</c:v>
                </c:pt>
                <c:pt idx="3">
                  <c:v>Age 10 to 14</c:v>
                </c:pt>
                <c:pt idx="4">
                  <c:v>Age 15</c:v>
                </c:pt>
                <c:pt idx="5">
                  <c:v>Age 16 to 17</c:v>
                </c:pt>
                <c:pt idx="6">
                  <c:v>Age 18 to 19</c:v>
                </c:pt>
                <c:pt idx="7">
                  <c:v>Age 20 to 24</c:v>
                </c:pt>
                <c:pt idx="8">
                  <c:v>Age 25 to 29</c:v>
                </c:pt>
                <c:pt idx="9">
                  <c:v>Age 30 to 44</c:v>
                </c:pt>
                <c:pt idx="10">
                  <c:v>Age 45 to 59</c:v>
                </c:pt>
                <c:pt idx="11">
                  <c:v>Age 60 to 64</c:v>
                </c:pt>
                <c:pt idx="12">
                  <c:v>Age 65 to 74</c:v>
                </c:pt>
                <c:pt idx="13">
                  <c:v>Age 75 to 84</c:v>
                </c:pt>
                <c:pt idx="14">
                  <c:v>Age 85 to 89</c:v>
                </c:pt>
                <c:pt idx="15">
                  <c:v>Age 90 and over</c:v>
                </c:pt>
              </c:strCache>
            </c:strRef>
          </c:cat>
          <c:val>
            <c:numRef>
              <c:f>Sheet1!$BP$4:$BP$19</c:f>
              <c:numCache>
                <c:formatCode>General</c:formatCode>
                <c:ptCount val="16"/>
                <c:pt idx="0">
                  <c:v>5.5</c:v>
                </c:pt>
                <c:pt idx="1">
                  <c:v>3.0</c:v>
                </c:pt>
                <c:pt idx="2">
                  <c:v>2.0</c:v>
                </c:pt>
                <c:pt idx="3">
                  <c:v>5.3</c:v>
                </c:pt>
                <c:pt idx="4">
                  <c:v>1.1</c:v>
                </c:pt>
                <c:pt idx="5">
                  <c:v>2.2</c:v>
                </c:pt>
                <c:pt idx="6">
                  <c:v>3.8</c:v>
                </c:pt>
                <c:pt idx="7">
                  <c:v>9.8</c:v>
                </c:pt>
                <c:pt idx="8">
                  <c:v>6.9</c:v>
                </c:pt>
                <c:pt idx="9">
                  <c:v>18.7</c:v>
                </c:pt>
                <c:pt idx="10">
                  <c:v>18.4</c:v>
                </c:pt>
                <c:pt idx="11">
                  <c:v>6.0</c:v>
                </c:pt>
                <c:pt idx="12">
                  <c:v>8.8</c:v>
                </c:pt>
                <c:pt idx="13">
                  <c:v>6.1</c:v>
                </c:pt>
                <c:pt idx="14">
                  <c:v>1.6</c:v>
                </c:pt>
                <c:pt idx="15">
                  <c:v>0.8</c:v>
                </c:pt>
              </c:numCache>
            </c:numRef>
          </c:val>
        </c:ser>
        <c:dLbls>
          <c:dLblPos val="ctr"/>
          <c:showLegendKey val="0"/>
          <c:showVal val="1"/>
          <c:showCatName val="0"/>
          <c:showSerName val="0"/>
          <c:showPercent val="0"/>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GB"/>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GB"/>
    </a:p>
  </c:txPr>
  <c:externalData r:id="rId3">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Older</a:t>
            </a:r>
            <a:r>
              <a:rPr lang="en-US" baseline="0"/>
              <a:t> people supported in the community in Wales Regions in 2013-2014</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GB"/>
        </a:p>
      </c:txPr>
    </c:title>
    <c:autoTitleDeleted val="0"/>
    <c:plotArea>
      <c:layout/>
      <c:barChart>
        <c:barDir val="bar"/>
        <c:grouping val="clustered"/>
        <c:varyColors val="0"/>
        <c:ser>
          <c:idx val="0"/>
          <c:order val="0"/>
          <c:spPr>
            <a:solidFill>
              <a:schemeClr val="accent1"/>
            </a:solidFill>
            <a:ln>
              <a:noFill/>
            </a:ln>
            <a:effectLst/>
          </c:spPr>
          <c:invertIfNegative val="0"/>
          <c:dPt>
            <c:idx val="0"/>
            <c:invertIfNegative val="0"/>
            <c:bubble3D val="0"/>
            <c:spPr>
              <a:solidFill>
                <a:schemeClr val="accent6">
                  <a:lumMod val="75000"/>
                </a:schemeClr>
              </a:solidFill>
              <a:ln>
                <a:noFill/>
              </a:ln>
              <a:effectLst/>
            </c:spPr>
          </c:dPt>
          <c:dPt>
            <c:idx val="1"/>
            <c:invertIfNegative val="0"/>
            <c:bubble3D val="0"/>
            <c:spPr>
              <a:solidFill>
                <a:schemeClr val="accent2"/>
              </a:solidFill>
              <a:ln>
                <a:noFill/>
              </a:ln>
              <a:effectLst/>
            </c:spPr>
          </c:dPt>
          <c:dPt>
            <c:idx val="2"/>
            <c:invertIfNegative val="0"/>
            <c:bubble3D val="0"/>
            <c:spPr>
              <a:solidFill>
                <a:srgbClr val="FFC000"/>
              </a:solidFill>
              <a:ln>
                <a:noFill/>
              </a:ln>
              <a:effectLst/>
            </c:spPr>
          </c:dPt>
          <c:dPt>
            <c:idx val="3"/>
            <c:invertIfNegative val="0"/>
            <c:bubble3D val="0"/>
            <c:spPr>
              <a:solidFill>
                <a:srgbClr val="BB6327"/>
              </a:solidFill>
              <a:ln>
                <a:noFill/>
              </a:ln>
              <a:effectLst/>
            </c:spPr>
          </c:dPt>
          <c:dPt>
            <c:idx val="4"/>
            <c:invertIfNegative val="0"/>
            <c:bubble3D val="0"/>
            <c:spPr>
              <a:solidFill>
                <a:srgbClr val="002060"/>
              </a:solidFill>
              <a:ln>
                <a:noFill/>
              </a:ln>
              <a:effectLst/>
            </c:spPr>
          </c:dPt>
          <c:dPt>
            <c:idx val="5"/>
            <c:invertIfNegative val="0"/>
            <c:bubble3D val="0"/>
            <c:spPr>
              <a:solidFill>
                <a:schemeClr val="bg2">
                  <a:lumMod val="50000"/>
                </a:schemeClr>
              </a:solidFill>
              <a:ln>
                <a:noFill/>
              </a:ln>
              <a:effectLst/>
            </c:spPr>
          </c:dPt>
          <c:dPt>
            <c:idx val="6"/>
            <c:invertIfNegative val="0"/>
            <c:bubble3D val="0"/>
            <c:spPr>
              <a:solidFill>
                <a:srgbClr val="00B0F0"/>
              </a:solidFill>
              <a:ln>
                <a:noFill/>
              </a:ln>
              <a:effectLst/>
            </c:spPr>
          </c:dPt>
          <c:dPt>
            <c:idx val="7"/>
            <c:invertIfNegative val="0"/>
            <c:bubble3D val="0"/>
            <c:spPr>
              <a:solidFill>
                <a:srgbClr val="FFFF00"/>
              </a:solidFill>
              <a:ln>
                <a:noFill/>
              </a:ln>
              <a:effectLst/>
            </c:spPr>
          </c:dPt>
          <c:dPt>
            <c:idx val="8"/>
            <c:invertIfNegative val="0"/>
            <c:bubble3D val="0"/>
            <c:spPr>
              <a:solidFill>
                <a:srgbClr val="7030A0"/>
              </a:solidFill>
              <a:ln>
                <a:noFill/>
              </a:ln>
              <a:effectLst/>
            </c:spPr>
          </c:dPt>
          <c:dPt>
            <c:idx val="9"/>
            <c:invertIfNegative val="0"/>
            <c:bubble3D val="0"/>
            <c:spPr>
              <a:solidFill>
                <a:schemeClr val="accent6">
                  <a:lumMod val="60000"/>
                  <a:lumOff val="40000"/>
                </a:schemeClr>
              </a:solidFill>
              <a:ln>
                <a:noFill/>
              </a:ln>
              <a:effectLst/>
            </c:spPr>
          </c:dPt>
          <c:dPt>
            <c:idx val="10"/>
            <c:invertIfNegative val="0"/>
            <c:bubble3D val="0"/>
            <c:spPr>
              <a:solidFill>
                <a:srgbClr val="ED656E"/>
              </a:solidFill>
              <a:ln>
                <a:noFill/>
              </a:ln>
              <a:effectLst/>
            </c:spPr>
          </c:dPt>
          <c:dPt>
            <c:idx val="11"/>
            <c:invertIfNegative val="0"/>
            <c:bubble3D val="0"/>
            <c:spPr>
              <a:solidFill>
                <a:srgbClr val="202BCC"/>
              </a:solidFill>
              <a:ln>
                <a:noFill/>
              </a:ln>
              <a:effectLst/>
            </c:spPr>
          </c:dPt>
          <c:dPt>
            <c:idx val="12"/>
            <c:invertIfNegative val="0"/>
            <c:bubble3D val="0"/>
            <c:spPr>
              <a:solidFill>
                <a:srgbClr val="FF09EE"/>
              </a:solidFill>
              <a:ln>
                <a:noFill/>
              </a:ln>
              <a:effectLst/>
            </c:spPr>
          </c:dPt>
          <c:dPt>
            <c:idx val="13"/>
            <c:invertIfNegative val="0"/>
            <c:bubble3D val="0"/>
            <c:spPr>
              <a:solidFill>
                <a:srgbClr val="23E5ED"/>
              </a:solidFill>
              <a:ln>
                <a:noFill/>
              </a:ln>
              <a:effectLst/>
            </c:spPr>
          </c:dPt>
          <c:dPt>
            <c:idx val="14"/>
            <c:invertIfNegative val="0"/>
            <c:bubble3D val="0"/>
            <c:spPr>
              <a:solidFill>
                <a:srgbClr val="C00000"/>
              </a:solidFill>
              <a:ln>
                <a:noFill/>
              </a:ln>
              <a:effectLst/>
            </c:spPr>
          </c:dPt>
          <c:dPt>
            <c:idx val="15"/>
            <c:invertIfNegative val="0"/>
            <c:bubble3D val="0"/>
            <c:spPr>
              <a:solidFill>
                <a:schemeClr val="accent6"/>
              </a:solidFill>
              <a:ln>
                <a:noFill/>
              </a:ln>
              <a:effectLst/>
            </c:spPr>
          </c:dPt>
          <c:dPt>
            <c:idx val="16"/>
            <c:invertIfNegative val="0"/>
            <c:bubble3D val="0"/>
            <c:spPr>
              <a:solidFill>
                <a:schemeClr val="accent5"/>
              </a:solidFill>
              <a:ln>
                <a:noFill/>
              </a:ln>
              <a:effectLst/>
            </c:spPr>
          </c:dPt>
          <c:dPt>
            <c:idx val="17"/>
            <c:invertIfNegative val="0"/>
            <c:bubble3D val="0"/>
            <c:spPr>
              <a:solidFill>
                <a:schemeClr val="accent4"/>
              </a:solidFill>
              <a:ln>
                <a:noFill/>
              </a:ln>
              <a:effectLst/>
            </c:spPr>
          </c:dPt>
          <c:dPt>
            <c:idx val="18"/>
            <c:invertIfNegative val="0"/>
            <c:bubble3D val="0"/>
            <c:spPr>
              <a:solidFill>
                <a:schemeClr val="accent3"/>
              </a:solidFill>
              <a:ln>
                <a:noFill/>
              </a:ln>
              <a:effectLst/>
            </c:spPr>
          </c:dPt>
          <c:dPt>
            <c:idx val="19"/>
            <c:invertIfNegative val="0"/>
            <c:bubble3D val="0"/>
            <c:spPr>
              <a:solidFill>
                <a:schemeClr val="accent2"/>
              </a:solidFill>
              <a:ln>
                <a:noFill/>
              </a:ln>
              <a:effectLst/>
            </c:spPr>
          </c:dPt>
          <c:dPt>
            <c:idx val="20"/>
            <c:invertIfNegative val="0"/>
            <c:bubble3D val="0"/>
            <c:spPr>
              <a:solidFill>
                <a:schemeClr val="tx1"/>
              </a:solidFill>
              <a:ln>
                <a:noFill/>
              </a:ln>
              <a:effectLst/>
            </c:spPr>
          </c:dPt>
          <c:cat>
            <c:strRef>
              <c:f>Sheet1!$CB$2:$CB$23</c:f>
              <c:strCache>
                <c:ptCount val="22"/>
                <c:pt idx="0">
                  <c:v>Torfaen</c:v>
                </c:pt>
                <c:pt idx="1">
                  <c:v>Blaenau Gwent</c:v>
                </c:pt>
                <c:pt idx="2">
                  <c:v>Caerphilly</c:v>
                </c:pt>
                <c:pt idx="3">
                  <c:v>Merthyr Tydfil</c:v>
                </c:pt>
                <c:pt idx="4">
                  <c:v>Neath Port Talbot</c:v>
                </c:pt>
                <c:pt idx="5">
                  <c:v>Rhondda Cynon Taf</c:v>
                </c:pt>
                <c:pt idx="6">
                  <c:v>Bridgend</c:v>
                </c:pt>
                <c:pt idx="7">
                  <c:v>Pembrokeshire</c:v>
                </c:pt>
                <c:pt idx="8">
                  <c:v>Powys</c:v>
                </c:pt>
                <c:pt idx="9">
                  <c:v>Swansea</c:v>
                </c:pt>
                <c:pt idx="10">
                  <c:v>Wrexham</c:v>
                </c:pt>
                <c:pt idx="11">
                  <c:v>Flintshire</c:v>
                </c:pt>
                <c:pt idx="12">
                  <c:v>Conwy</c:v>
                </c:pt>
                <c:pt idx="13">
                  <c:v>Newport</c:v>
                </c:pt>
                <c:pt idx="14">
                  <c:v>Carmarthenshire</c:v>
                </c:pt>
                <c:pt idx="15">
                  <c:v>Monmouthshire</c:v>
                </c:pt>
                <c:pt idx="16">
                  <c:v>Isle of Anglesey</c:v>
                </c:pt>
                <c:pt idx="17">
                  <c:v>Ceredigion</c:v>
                </c:pt>
                <c:pt idx="18">
                  <c:v>Denbighshire</c:v>
                </c:pt>
                <c:pt idx="19">
                  <c:v>Gwynedd</c:v>
                </c:pt>
                <c:pt idx="20">
                  <c:v>Cardiff</c:v>
                </c:pt>
                <c:pt idx="21">
                  <c:v>Vale of Glamorgan</c:v>
                </c:pt>
              </c:strCache>
            </c:strRef>
          </c:cat>
          <c:val>
            <c:numRef>
              <c:f>Sheet1!$CC$2:$CC$23</c:f>
              <c:numCache>
                <c:formatCode>General</c:formatCode>
                <c:ptCount val="22"/>
                <c:pt idx="0">
                  <c:v>131.0</c:v>
                </c:pt>
                <c:pt idx="1">
                  <c:v>129.0</c:v>
                </c:pt>
                <c:pt idx="2">
                  <c:v>121.0</c:v>
                </c:pt>
                <c:pt idx="3">
                  <c:v>109.0</c:v>
                </c:pt>
                <c:pt idx="4">
                  <c:v>108.0</c:v>
                </c:pt>
                <c:pt idx="5">
                  <c:v>107.0</c:v>
                </c:pt>
                <c:pt idx="6">
                  <c:v>82.0</c:v>
                </c:pt>
                <c:pt idx="7">
                  <c:v>73.0</c:v>
                </c:pt>
                <c:pt idx="8">
                  <c:v>72.0</c:v>
                </c:pt>
                <c:pt idx="9">
                  <c:v>71.0</c:v>
                </c:pt>
                <c:pt idx="10">
                  <c:v>70.0</c:v>
                </c:pt>
                <c:pt idx="11">
                  <c:v>65.0</c:v>
                </c:pt>
                <c:pt idx="12">
                  <c:v>62.0</c:v>
                </c:pt>
                <c:pt idx="13">
                  <c:v>62.0</c:v>
                </c:pt>
                <c:pt idx="14">
                  <c:v>61.0</c:v>
                </c:pt>
                <c:pt idx="15">
                  <c:v>58.0</c:v>
                </c:pt>
                <c:pt idx="16">
                  <c:v>56.0</c:v>
                </c:pt>
                <c:pt idx="17">
                  <c:v>53.0</c:v>
                </c:pt>
                <c:pt idx="18">
                  <c:v>50.0</c:v>
                </c:pt>
                <c:pt idx="19">
                  <c:v>48.0</c:v>
                </c:pt>
                <c:pt idx="20">
                  <c:v>48.0</c:v>
                </c:pt>
                <c:pt idx="21">
                  <c:v>48.0</c:v>
                </c:pt>
              </c:numCache>
            </c:numRef>
          </c:val>
        </c:ser>
        <c:dLbls>
          <c:showLegendKey val="0"/>
          <c:showVal val="0"/>
          <c:showCatName val="0"/>
          <c:showSerName val="0"/>
          <c:showPercent val="0"/>
          <c:showBubbleSize val="0"/>
        </c:dLbls>
        <c:gapWidth val="182"/>
        <c:axId val="1400435792"/>
        <c:axId val="1400439424"/>
      </c:barChart>
      <c:catAx>
        <c:axId val="1400435792"/>
        <c:scaling>
          <c:orientation val="minMax"/>
        </c:scaling>
        <c:delete val="0"/>
        <c:axPos val="l"/>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Wales</a:t>
                </a:r>
                <a:r>
                  <a:rPr lang="en-US" baseline="0"/>
                  <a:t> Regions</a:t>
                </a:r>
                <a:endParaRPr lang="en-US"/>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GB"/>
          </a:p>
        </c:txPr>
        <c:crossAx val="1400439424"/>
        <c:crosses val="autoZero"/>
        <c:auto val="1"/>
        <c:lblAlgn val="ctr"/>
        <c:lblOffset val="100"/>
        <c:noMultiLvlLbl val="0"/>
      </c:catAx>
      <c:valAx>
        <c:axId val="1400439424"/>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Rate</a:t>
                </a:r>
                <a:r>
                  <a:rPr lang="en-US" baseline="0"/>
                  <a:t> per 1000 aged 65+</a:t>
                </a:r>
                <a:endParaRPr lang="en-US"/>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GB"/>
          </a:p>
        </c:txPr>
        <c:crossAx val="140043579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GB"/>
    </a:p>
  </c:txPr>
  <c:externalData r:id="rId3">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Graph</a:t>
            </a:r>
            <a:r>
              <a:rPr lang="en-US" baseline="0"/>
              <a:t> showing estimates of Swansea population mid-year 2016 </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GB"/>
        </a:p>
      </c:txPr>
    </c:title>
    <c:autoTitleDeleted val="0"/>
    <c:plotArea>
      <c:layout/>
      <c:barChart>
        <c:barDir val="col"/>
        <c:grouping val="clustered"/>
        <c:varyColors val="0"/>
        <c:ser>
          <c:idx val="0"/>
          <c:order val="0"/>
          <c:spPr>
            <a:solidFill>
              <a:schemeClr val="accent1"/>
            </a:solidFill>
            <a:ln>
              <a:noFill/>
            </a:ln>
            <a:effectLst/>
          </c:spPr>
          <c:invertIfNegative val="0"/>
          <c:dPt>
            <c:idx val="1"/>
            <c:invertIfNegative val="0"/>
            <c:bubble3D val="0"/>
            <c:spPr>
              <a:solidFill>
                <a:srgbClr val="FF0000"/>
              </a:solidFill>
              <a:ln>
                <a:noFill/>
              </a:ln>
              <a:effectLst/>
            </c:spPr>
          </c:dPt>
          <c:dPt>
            <c:idx val="2"/>
            <c:invertIfNegative val="0"/>
            <c:bubble3D val="0"/>
            <c:spPr>
              <a:solidFill>
                <a:srgbClr val="00B050"/>
              </a:solidFill>
              <a:ln>
                <a:noFill/>
              </a:ln>
              <a:effectLst/>
            </c:spPr>
          </c:dPt>
          <c:dPt>
            <c:idx val="3"/>
            <c:invertIfNegative val="0"/>
            <c:bubble3D val="0"/>
            <c:spPr>
              <a:solidFill>
                <a:srgbClr val="7030A0"/>
              </a:solidFill>
              <a:ln>
                <a:noFill/>
              </a:ln>
              <a:effectLst/>
            </c:spPr>
          </c:dPt>
          <c:cat>
            <c:strRef>
              <c:f>Sheet1!$CP$1:$CS$1</c:f>
              <c:strCache>
                <c:ptCount val="4"/>
                <c:pt idx="0">
                  <c:v>All ages </c:v>
                </c:pt>
                <c:pt idx="1">
                  <c:v>0-15</c:v>
                </c:pt>
                <c:pt idx="2">
                  <c:v>16-64</c:v>
                </c:pt>
                <c:pt idx="3">
                  <c:v>65+</c:v>
                </c:pt>
              </c:strCache>
            </c:strRef>
          </c:cat>
          <c:val>
            <c:numRef>
              <c:f>Sheet1!$CP$2:$CS$2</c:f>
              <c:numCache>
                <c:formatCode>#,##0</c:formatCode>
                <c:ptCount val="4"/>
                <c:pt idx="0">
                  <c:v>244513.0</c:v>
                </c:pt>
                <c:pt idx="1">
                  <c:v>42962.0</c:v>
                </c:pt>
                <c:pt idx="2">
                  <c:v>155331.0</c:v>
                </c:pt>
                <c:pt idx="3">
                  <c:v>47220.0</c:v>
                </c:pt>
              </c:numCache>
            </c:numRef>
          </c:val>
        </c:ser>
        <c:dLbls>
          <c:showLegendKey val="0"/>
          <c:showVal val="0"/>
          <c:showCatName val="0"/>
          <c:showSerName val="0"/>
          <c:showPercent val="0"/>
          <c:showBubbleSize val="0"/>
        </c:dLbls>
        <c:gapWidth val="219"/>
        <c:overlap val="-27"/>
        <c:axId val="1400563568"/>
        <c:axId val="1400581264"/>
      </c:barChart>
      <c:catAx>
        <c:axId val="1400563568"/>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Age</a:t>
                </a:r>
                <a:r>
                  <a:rPr lang="en-US" baseline="0"/>
                  <a:t> Group</a:t>
                </a:r>
                <a:endParaRPr lang="en-US"/>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GB"/>
          </a:p>
        </c:txPr>
        <c:crossAx val="1400581264"/>
        <c:crosses val="autoZero"/>
        <c:auto val="1"/>
        <c:lblAlgn val="ctr"/>
        <c:lblOffset val="100"/>
        <c:noMultiLvlLbl val="0"/>
      </c:catAx>
      <c:valAx>
        <c:axId val="140058126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Population</a:t>
                </a:r>
                <a:r>
                  <a:rPr lang="en-US" baseline="0"/>
                  <a:t> estimate</a:t>
                </a:r>
                <a:endParaRPr lang="en-US"/>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numFmt formatCode="#,##0"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GB"/>
          </a:p>
        </c:txPr>
        <c:crossAx val="140056356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GB"/>
    </a:p>
  </c:txPr>
  <c:externalData r:id="rId3">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Mental</a:t>
            </a:r>
            <a:r>
              <a:rPr lang="en-US" baseline="0"/>
              <a:t> component summary score in 2012 and 2013 </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GB"/>
        </a:p>
      </c:txPr>
    </c:title>
    <c:autoTitleDeleted val="0"/>
    <c:plotArea>
      <c:layout/>
      <c:barChart>
        <c:barDir val="col"/>
        <c:grouping val="clustered"/>
        <c:varyColors val="0"/>
        <c:ser>
          <c:idx val="0"/>
          <c:order val="0"/>
          <c:spPr>
            <a:solidFill>
              <a:schemeClr val="accent1"/>
            </a:solidFill>
            <a:ln>
              <a:noFill/>
            </a:ln>
            <a:effectLst/>
          </c:spPr>
          <c:invertIfNegative val="0"/>
          <c:dPt>
            <c:idx val="1"/>
            <c:invertIfNegative val="0"/>
            <c:bubble3D val="0"/>
            <c:spPr>
              <a:solidFill>
                <a:schemeClr val="tx1"/>
              </a:solidFill>
              <a:ln>
                <a:noFill/>
              </a:ln>
              <a:effectLst/>
            </c:spPr>
          </c:dPt>
          <c:dPt>
            <c:idx val="2"/>
            <c:invertIfNegative val="0"/>
            <c:bubble3D val="0"/>
            <c:spPr>
              <a:solidFill>
                <a:schemeClr val="bg2"/>
              </a:solidFill>
              <a:ln>
                <a:noFill/>
              </a:ln>
              <a:effectLst/>
            </c:spPr>
          </c:dPt>
          <c:dPt>
            <c:idx val="3"/>
            <c:invertIfNegative val="0"/>
            <c:bubble3D val="0"/>
            <c:spPr>
              <a:solidFill>
                <a:schemeClr val="accent2"/>
              </a:solidFill>
              <a:ln>
                <a:noFill/>
              </a:ln>
              <a:effectLst/>
            </c:spPr>
          </c:dPt>
          <c:dPt>
            <c:idx val="4"/>
            <c:invertIfNegative val="0"/>
            <c:bubble3D val="0"/>
            <c:spPr>
              <a:solidFill>
                <a:schemeClr val="accent3"/>
              </a:solidFill>
              <a:ln>
                <a:noFill/>
              </a:ln>
              <a:effectLst/>
            </c:spPr>
          </c:dPt>
          <c:dPt>
            <c:idx val="5"/>
            <c:invertIfNegative val="0"/>
            <c:bubble3D val="0"/>
            <c:spPr>
              <a:solidFill>
                <a:schemeClr val="accent4"/>
              </a:solidFill>
              <a:ln>
                <a:noFill/>
              </a:ln>
              <a:effectLst/>
            </c:spPr>
          </c:dPt>
          <c:dPt>
            <c:idx val="6"/>
            <c:invertIfNegative val="0"/>
            <c:bubble3D val="0"/>
            <c:spPr>
              <a:solidFill>
                <a:schemeClr val="accent5"/>
              </a:solidFill>
              <a:ln>
                <a:noFill/>
              </a:ln>
              <a:effectLst/>
            </c:spPr>
          </c:dPt>
          <c:dPt>
            <c:idx val="7"/>
            <c:invertIfNegative val="0"/>
            <c:bubble3D val="0"/>
            <c:spPr>
              <a:solidFill>
                <a:schemeClr val="accent6"/>
              </a:solidFill>
              <a:ln>
                <a:noFill/>
              </a:ln>
              <a:effectLst/>
            </c:spPr>
          </c:dPt>
          <c:dPt>
            <c:idx val="8"/>
            <c:invertIfNegative val="0"/>
            <c:bubble3D val="0"/>
            <c:spPr>
              <a:solidFill>
                <a:srgbClr val="C00000"/>
              </a:solidFill>
              <a:ln>
                <a:noFill/>
              </a:ln>
              <a:effectLst/>
            </c:spPr>
          </c:dPt>
          <c:dPt>
            <c:idx val="9"/>
            <c:invertIfNegative val="0"/>
            <c:bubble3D val="0"/>
            <c:spPr>
              <a:solidFill>
                <a:srgbClr val="FFC000"/>
              </a:solidFill>
              <a:ln>
                <a:noFill/>
              </a:ln>
              <a:effectLst/>
            </c:spPr>
          </c:dPt>
          <c:dPt>
            <c:idx val="10"/>
            <c:invertIfNegative val="0"/>
            <c:bubble3D val="0"/>
            <c:spPr>
              <a:solidFill>
                <a:srgbClr val="92D050"/>
              </a:solidFill>
              <a:ln>
                <a:noFill/>
              </a:ln>
              <a:effectLst/>
            </c:spPr>
          </c:dPt>
          <c:dPt>
            <c:idx val="11"/>
            <c:invertIfNegative val="0"/>
            <c:bubble3D val="0"/>
            <c:spPr>
              <a:solidFill>
                <a:srgbClr val="ED656E"/>
              </a:solidFill>
              <a:ln>
                <a:noFill/>
              </a:ln>
              <a:effectLst/>
            </c:spPr>
          </c:dPt>
          <c:dPt>
            <c:idx val="12"/>
            <c:invertIfNegative val="0"/>
            <c:bubble3D val="0"/>
            <c:spPr>
              <a:solidFill>
                <a:srgbClr val="202BCC"/>
              </a:solidFill>
              <a:ln>
                <a:noFill/>
              </a:ln>
              <a:effectLst/>
            </c:spPr>
          </c:dPt>
          <c:dPt>
            <c:idx val="13"/>
            <c:invertIfNegative val="0"/>
            <c:bubble3D val="0"/>
            <c:spPr>
              <a:solidFill>
                <a:srgbClr val="FF09EE"/>
              </a:solidFill>
              <a:ln>
                <a:noFill/>
              </a:ln>
              <a:effectLst/>
            </c:spPr>
          </c:dPt>
          <c:dPt>
            <c:idx val="14"/>
            <c:invertIfNegative val="0"/>
            <c:bubble3D val="0"/>
            <c:spPr>
              <a:solidFill>
                <a:srgbClr val="23E5ED"/>
              </a:solidFill>
              <a:ln>
                <a:noFill/>
              </a:ln>
              <a:effectLst/>
            </c:spPr>
          </c:dPt>
          <c:dPt>
            <c:idx val="15"/>
            <c:invertIfNegative val="0"/>
            <c:bubble3D val="0"/>
            <c:spPr>
              <a:solidFill>
                <a:srgbClr val="572E12"/>
              </a:solidFill>
              <a:ln>
                <a:noFill/>
              </a:ln>
              <a:effectLst/>
            </c:spPr>
          </c:dPt>
          <c:dPt>
            <c:idx val="16"/>
            <c:invertIfNegative val="0"/>
            <c:bubble3D val="0"/>
            <c:spPr>
              <a:solidFill>
                <a:srgbClr val="7030A0"/>
              </a:solidFill>
              <a:ln>
                <a:noFill/>
              </a:ln>
              <a:effectLst/>
            </c:spPr>
          </c:dPt>
          <c:dPt>
            <c:idx val="17"/>
            <c:invertIfNegative val="0"/>
            <c:bubble3D val="0"/>
            <c:spPr>
              <a:solidFill>
                <a:srgbClr val="FFFF00"/>
              </a:solidFill>
              <a:ln>
                <a:noFill/>
              </a:ln>
              <a:effectLst/>
            </c:spPr>
          </c:dPt>
          <c:dPt>
            <c:idx val="18"/>
            <c:invertIfNegative val="0"/>
            <c:bubble3D val="0"/>
            <c:spPr>
              <a:solidFill>
                <a:schemeClr val="accent5">
                  <a:lumMod val="60000"/>
                  <a:lumOff val="40000"/>
                </a:schemeClr>
              </a:solidFill>
              <a:ln>
                <a:noFill/>
              </a:ln>
              <a:effectLst/>
            </c:spPr>
          </c:dPt>
          <c:dPt>
            <c:idx val="19"/>
            <c:invertIfNegative val="0"/>
            <c:bubble3D val="0"/>
            <c:spPr>
              <a:solidFill>
                <a:srgbClr val="FF0000"/>
              </a:solidFill>
              <a:ln>
                <a:noFill/>
              </a:ln>
              <a:effectLst/>
            </c:spPr>
          </c:dPt>
          <c:dPt>
            <c:idx val="20"/>
            <c:invertIfNegative val="0"/>
            <c:bubble3D val="0"/>
            <c:spPr>
              <a:solidFill>
                <a:srgbClr val="002060"/>
              </a:solidFill>
              <a:ln>
                <a:noFill/>
              </a:ln>
              <a:effectLst/>
            </c:spPr>
          </c:dPt>
          <c:cat>
            <c:strRef>
              <c:f>Sheet1!$CX$2:$CX$23</c:f>
              <c:strCache>
                <c:ptCount val="22"/>
                <c:pt idx="0">
                  <c:v>Isle of Anglesey</c:v>
                </c:pt>
                <c:pt idx="1">
                  <c:v>Gwynedd</c:v>
                </c:pt>
                <c:pt idx="2">
                  <c:v>Powys</c:v>
                </c:pt>
                <c:pt idx="3">
                  <c:v>Monmouthshire</c:v>
                </c:pt>
                <c:pt idx="4">
                  <c:v>Flintshire</c:v>
                </c:pt>
                <c:pt idx="5">
                  <c:v>Ceredigion</c:v>
                </c:pt>
                <c:pt idx="6">
                  <c:v>Pembrokeshire</c:v>
                </c:pt>
                <c:pt idx="7">
                  <c:v>Conwy</c:v>
                </c:pt>
                <c:pt idx="8">
                  <c:v>Vale of Glamorgan</c:v>
                </c:pt>
                <c:pt idx="9">
                  <c:v>Denbighshire</c:v>
                </c:pt>
                <c:pt idx="10">
                  <c:v>Cardiff</c:v>
                </c:pt>
                <c:pt idx="11">
                  <c:v>Carmarthenshire</c:v>
                </c:pt>
                <c:pt idx="12">
                  <c:v>Newport</c:v>
                </c:pt>
                <c:pt idx="13">
                  <c:v>Bridgend</c:v>
                </c:pt>
                <c:pt idx="14">
                  <c:v>Wrexham</c:v>
                </c:pt>
                <c:pt idx="15">
                  <c:v>Caerphilly</c:v>
                </c:pt>
                <c:pt idx="16">
                  <c:v>Torfaen</c:v>
                </c:pt>
                <c:pt idx="17">
                  <c:v>Merthyr Tydfil</c:v>
                </c:pt>
                <c:pt idx="18">
                  <c:v>Neath Port Talbot</c:v>
                </c:pt>
                <c:pt idx="19">
                  <c:v>Rhondda Cynon Taf</c:v>
                </c:pt>
                <c:pt idx="20">
                  <c:v>Swansea</c:v>
                </c:pt>
                <c:pt idx="21">
                  <c:v>Blaenau Gwent</c:v>
                </c:pt>
              </c:strCache>
            </c:strRef>
          </c:cat>
          <c:val>
            <c:numRef>
              <c:f>Sheet1!$CY$2:$CY$23</c:f>
              <c:numCache>
                <c:formatCode>General</c:formatCode>
                <c:ptCount val="22"/>
                <c:pt idx="0">
                  <c:v>51.4</c:v>
                </c:pt>
                <c:pt idx="1">
                  <c:v>51.3</c:v>
                </c:pt>
                <c:pt idx="2">
                  <c:v>51.2</c:v>
                </c:pt>
                <c:pt idx="3">
                  <c:v>50.9</c:v>
                </c:pt>
                <c:pt idx="4">
                  <c:v>50.7</c:v>
                </c:pt>
                <c:pt idx="5">
                  <c:v>50.7</c:v>
                </c:pt>
                <c:pt idx="6">
                  <c:v>50.5</c:v>
                </c:pt>
                <c:pt idx="7">
                  <c:v>50.1</c:v>
                </c:pt>
                <c:pt idx="8">
                  <c:v>50.1</c:v>
                </c:pt>
                <c:pt idx="9">
                  <c:v>50.0</c:v>
                </c:pt>
                <c:pt idx="10">
                  <c:v>49.9</c:v>
                </c:pt>
                <c:pt idx="11">
                  <c:v>49.6</c:v>
                </c:pt>
                <c:pt idx="12">
                  <c:v>49.5</c:v>
                </c:pt>
                <c:pt idx="13">
                  <c:v>49.4</c:v>
                </c:pt>
                <c:pt idx="14">
                  <c:v>49.3</c:v>
                </c:pt>
                <c:pt idx="15">
                  <c:v>48.9</c:v>
                </c:pt>
                <c:pt idx="16">
                  <c:v>48.7</c:v>
                </c:pt>
                <c:pt idx="17">
                  <c:v>48.4</c:v>
                </c:pt>
                <c:pt idx="18">
                  <c:v>48.3</c:v>
                </c:pt>
                <c:pt idx="19">
                  <c:v>48.3</c:v>
                </c:pt>
                <c:pt idx="20">
                  <c:v>48.3</c:v>
                </c:pt>
                <c:pt idx="21">
                  <c:v>47.4</c:v>
                </c:pt>
              </c:numCache>
            </c:numRef>
          </c:val>
        </c:ser>
        <c:dLbls>
          <c:showLegendKey val="0"/>
          <c:showVal val="0"/>
          <c:showCatName val="0"/>
          <c:showSerName val="0"/>
          <c:showPercent val="0"/>
          <c:showBubbleSize val="0"/>
        </c:dLbls>
        <c:gapWidth val="219"/>
        <c:overlap val="-27"/>
        <c:axId val="1400514016"/>
        <c:axId val="1400517648"/>
      </c:barChart>
      <c:catAx>
        <c:axId val="1400514016"/>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Wales</a:t>
                </a:r>
                <a:r>
                  <a:rPr lang="en-US" baseline="0"/>
                  <a:t> Regions</a:t>
                </a:r>
                <a:endParaRPr lang="en-US"/>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GB"/>
          </a:p>
        </c:txPr>
        <c:crossAx val="1400517648"/>
        <c:crosses val="autoZero"/>
        <c:auto val="1"/>
        <c:lblAlgn val="ctr"/>
        <c:lblOffset val="100"/>
        <c:noMultiLvlLbl val="0"/>
      </c:catAx>
      <c:valAx>
        <c:axId val="140051764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Age</a:t>
                </a:r>
                <a:r>
                  <a:rPr lang="en-US" baseline="0"/>
                  <a:t>-standardised mean score </a:t>
                </a:r>
                <a:endParaRPr lang="en-US"/>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GB"/>
          </a:p>
        </c:txPr>
        <c:crossAx val="140051401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GB"/>
    </a:p>
  </c:txPr>
  <c:externalData r:id="rId3">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US"/>
              <a:t>Pie chart showing the total admissions to mental health facilities by local health board in 2015-2016 </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GB"/>
        </a:p>
      </c:txPr>
    </c:title>
    <c:autoTitleDeleted val="0"/>
    <c:plotArea>
      <c:layout/>
      <c:pie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c:spPr>
          </c:dPt>
          <c:dPt>
            <c:idx val="1"/>
            <c:bubble3D val="0"/>
            <c:spPr>
              <a:solidFill>
                <a:schemeClr val="accent2"/>
              </a:solidFill>
              <a:ln>
                <a:noFill/>
              </a:ln>
              <a:effectLst>
                <a:outerShdw blurRad="254000" sx="102000" sy="102000" algn="ctr" rotWithShape="0">
                  <a:prstClr val="black">
                    <a:alpha val="20000"/>
                  </a:prstClr>
                </a:outerShdw>
              </a:effectLst>
            </c:spPr>
          </c:dPt>
          <c:dPt>
            <c:idx val="2"/>
            <c:bubble3D val="0"/>
            <c:spPr>
              <a:solidFill>
                <a:schemeClr val="accent3"/>
              </a:solidFill>
              <a:ln>
                <a:noFill/>
              </a:ln>
              <a:effectLst>
                <a:outerShdw blurRad="254000" sx="102000" sy="102000" algn="ctr" rotWithShape="0">
                  <a:prstClr val="black">
                    <a:alpha val="20000"/>
                  </a:prstClr>
                </a:outerShdw>
              </a:effectLst>
            </c:spPr>
          </c:dPt>
          <c:dPt>
            <c:idx val="3"/>
            <c:bubble3D val="0"/>
            <c:spPr>
              <a:solidFill>
                <a:schemeClr val="accent4"/>
              </a:solidFill>
              <a:ln>
                <a:noFill/>
              </a:ln>
              <a:effectLst>
                <a:outerShdw blurRad="254000" sx="102000" sy="102000" algn="ctr" rotWithShape="0">
                  <a:prstClr val="black">
                    <a:alpha val="20000"/>
                  </a:prstClr>
                </a:outerShdw>
              </a:effectLst>
            </c:spPr>
          </c:dPt>
          <c:dPt>
            <c:idx val="4"/>
            <c:bubble3D val="0"/>
            <c:spPr>
              <a:solidFill>
                <a:schemeClr val="accent5"/>
              </a:solidFill>
              <a:ln>
                <a:noFill/>
              </a:ln>
              <a:effectLst>
                <a:outerShdw blurRad="254000" sx="102000" sy="102000" algn="ctr" rotWithShape="0">
                  <a:prstClr val="black">
                    <a:alpha val="20000"/>
                  </a:prstClr>
                </a:outerShdw>
              </a:effectLst>
            </c:spPr>
          </c:dPt>
          <c:dPt>
            <c:idx val="5"/>
            <c:bubble3D val="0"/>
            <c:spPr>
              <a:solidFill>
                <a:schemeClr val="accent6"/>
              </a:solidFill>
              <a:ln>
                <a:noFill/>
              </a:ln>
              <a:effectLst>
                <a:outerShdw blurRad="254000" sx="102000" sy="102000" algn="ctr" rotWithShape="0">
                  <a:prstClr val="black">
                    <a:alpha val="20000"/>
                  </a:prstClr>
                </a:outerShdw>
              </a:effectLst>
            </c:spPr>
          </c:dPt>
          <c:dPt>
            <c:idx val="6"/>
            <c:bubble3D val="0"/>
            <c:spPr>
              <a:solidFill>
                <a:schemeClr val="accent1">
                  <a:lumMod val="60000"/>
                </a:schemeClr>
              </a:solidFill>
              <a:ln>
                <a:noFill/>
              </a:ln>
              <a:effectLst>
                <a:outerShdw blurRad="254000" sx="102000" sy="102000" algn="ctr" rotWithShape="0">
                  <a:prstClr val="black">
                    <a:alpha val="20000"/>
                  </a:prstClr>
                </a:outerShdw>
              </a:effectLst>
            </c:spPr>
          </c:dPt>
          <c:dPt>
            <c:idx val="7"/>
            <c:bubble3D val="0"/>
            <c:spPr>
              <a:solidFill>
                <a:schemeClr val="accent2">
                  <a:lumMod val="60000"/>
                </a:schemeClr>
              </a:solidFill>
              <a:ln>
                <a:noFill/>
              </a:ln>
              <a:effectLst>
                <a:outerShdw blurRad="254000" sx="102000" sy="102000" algn="ctr" rotWithShape="0">
                  <a:prstClr val="black">
                    <a:alpha val="20000"/>
                  </a:prstClr>
                </a:outerShdw>
              </a:effectLst>
            </c:spPr>
          </c:dPt>
          <c:dLbls>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GB"/>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Sheet1!$DG$2:$DG$9</c:f>
              <c:strCache>
                <c:ptCount val="8"/>
                <c:pt idx="0">
                  <c:v>betsi Cadwaladr University Health Board</c:v>
                </c:pt>
                <c:pt idx="1">
                  <c:v>Powys Teaching Health Board</c:v>
                </c:pt>
                <c:pt idx="2">
                  <c:v>Hywel Dda University Health Board</c:v>
                </c:pt>
                <c:pt idx="3">
                  <c:v>Abertawe Bro Morgannwg University Health Board</c:v>
                </c:pt>
                <c:pt idx="4">
                  <c:v>Cwm Taf University Health Board</c:v>
                </c:pt>
                <c:pt idx="5">
                  <c:v>Aneurin Bevan University Health Board</c:v>
                </c:pt>
                <c:pt idx="6">
                  <c:v>Cardiff and Vale University Health Board</c:v>
                </c:pt>
                <c:pt idx="7">
                  <c:v>Independent hospitals total</c:v>
                </c:pt>
              </c:strCache>
            </c:strRef>
          </c:cat>
          <c:val>
            <c:numRef>
              <c:f>Sheet1!$DH$2:$DH$9</c:f>
              <c:numCache>
                <c:formatCode>General</c:formatCode>
                <c:ptCount val="8"/>
                <c:pt idx="0" formatCode="#,##0">
                  <c:v>1525.0</c:v>
                </c:pt>
                <c:pt idx="1">
                  <c:v>323.0</c:v>
                </c:pt>
                <c:pt idx="2">
                  <c:v>902.0</c:v>
                </c:pt>
                <c:pt idx="3" formatCode="#,##0">
                  <c:v>2530.0</c:v>
                </c:pt>
                <c:pt idx="4" formatCode="#,##0">
                  <c:v>1225.0</c:v>
                </c:pt>
                <c:pt idx="5" formatCode="#,##0">
                  <c:v>1535.0</c:v>
                </c:pt>
                <c:pt idx="6" formatCode="#,##0">
                  <c:v>1216.0</c:v>
                </c:pt>
                <c:pt idx="7">
                  <c:v>314.0</c:v>
                </c:pt>
              </c:numCache>
            </c:numRef>
          </c:val>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GB"/>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GB"/>
    </a:p>
  </c:txPr>
  <c:externalData r:id="rId3">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Graph</a:t>
            </a:r>
            <a:r>
              <a:rPr lang="en-US" baseline="0"/>
              <a:t> showing the percentage of welsh speakers aged 3+ in 2011</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GB"/>
        </a:p>
      </c:txPr>
    </c:title>
    <c:autoTitleDeleted val="0"/>
    <c:plotArea>
      <c:layout/>
      <c:barChart>
        <c:barDir val="bar"/>
        <c:grouping val="clustered"/>
        <c:varyColors val="0"/>
        <c:ser>
          <c:idx val="0"/>
          <c:order val="0"/>
          <c:spPr>
            <a:solidFill>
              <a:schemeClr val="accent1"/>
            </a:solidFill>
            <a:ln>
              <a:noFill/>
            </a:ln>
            <a:effectLst/>
          </c:spPr>
          <c:invertIfNegative val="0"/>
          <c:dPt>
            <c:idx val="0"/>
            <c:invertIfNegative val="0"/>
            <c:bubble3D val="0"/>
            <c:spPr>
              <a:solidFill>
                <a:schemeClr val="tx2">
                  <a:lumMod val="75000"/>
                </a:schemeClr>
              </a:solidFill>
              <a:ln>
                <a:noFill/>
              </a:ln>
              <a:effectLst/>
            </c:spPr>
          </c:dPt>
          <c:dPt>
            <c:idx val="1"/>
            <c:invertIfNegative val="0"/>
            <c:bubble3D val="0"/>
            <c:spPr>
              <a:solidFill>
                <a:schemeClr val="accent2">
                  <a:lumMod val="60000"/>
                  <a:lumOff val="40000"/>
                </a:schemeClr>
              </a:solidFill>
              <a:ln>
                <a:noFill/>
              </a:ln>
              <a:effectLst/>
            </c:spPr>
          </c:dPt>
          <c:dPt>
            <c:idx val="2"/>
            <c:invertIfNegative val="0"/>
            <c:bubble3D val="0"/>
            <c:spPr>
              <a:solidFill>
                <a:schemeClr val="accent6">
                  <a:lumMod val="60000"/>
                  <a:lumOff val="40000"/>
                </a:schemeClr>
              </a:solidFill>
              <a:ln>
                <a:noFill/>
              </a:ln>
              <a:effectLst/>
            </c:spPr>
          </c:dPt>
          <c:dPt>
            <c:idx val="3"/>
            <c:invertIfNegative val="0"/>
            <c:bubble3D val="0"/>
            <c:spPr>
              <a:solidFill>
                <a:schemeClr val="tx1">
                  <a:lumMod val="75000"/>
                  <a:lumOff val="25000"/>
                </a:schemeClr>
              </a:solidFill>
              <a:ln>
                <a:noFill/>
              </a:ln>
              <a:effectLst/>
            </c:spPr>
          </c:dPt>
          <c:dPt>
            <c:idx val="4"/>
            <c:invertIfNegative val="0"/>
            <c:bubble3D val="0"/>
            <c:spPr>
              <a:solidFill>
                <a:srgbClr val="7030A0"/>
              </a:solidFill>
              <a:ln>
                <a:noFill/>
              </a:ln>
              <a:effectLst/>
            </c:spPr>
          </c:dPt>
          <c:dPt>
            <c:idx val="5"/>
            <c:invertIfNegative val="0"/>
            <c:bubble3D val="0"/>
            <c:spPr>
              <a:solidFill>
                <a:srgbClr val="FFFF00"/>
              </a:solidFill>
              <a:ln>
                <a:noFill/>
              </a:ln>
              <a:effectLst/>
            </c:spPr>
          </c:dPt>
          <c:dPt>
            <c:idx val="6"/>
            <c:invertIfNegative val="0"/>
            <c:bubble3D val="0"/>
            <c:spPr>
              <a:solidFill>
                <a:srgbClr val="202BCC"/>
              </a:solidFill>
              <a:ln>
                <a:noFill/>
              </a:ln>
              <a:effectLst/>
            </c:spPr>
          </c:dPt>
          <c:dPt>
            <c:idx val="7"/>
            <c:invertIfNegative val="0"/>
            <c:bubble3D val="0"/>
            <c:spPr>
              <a:solidFill>
                <a:srgbClr val="FF0000"/>
              </a:solidFill>
              <a:ln>
                <a:noFill/>
              </a:ln>
              <a:effectLst/>
            </c:spPr>
          </c:dPt>
          <c:dPt>
            <c:idx val="8"/>
            <c:invertIfNegative val="0"/>
            <c:bubble3D val="0"/>
            <c:spPr>
              <a:solidFill>
                <a:schemeClr val="tx1"/>
              </a:solidFill>
              <a:ln>
                <a:noFill/>
              </a:ln>
              <a:effectLst/>
            </c:spPr>
          </c:dPt>
          <c:dPt>
            <c:idx val="9"/>
            <c:invertIfNegative val="0"/>
            <c:bubble3D val="0"/>
            <c:spPr>
              <a:solidFill>
                <a:schemeClr val="accent6">
                  <a:lumMod val="40000"/>
                  <a:lumOff val="60000"/>
                </a:schemeClr>
              </a:solidFill>
              <a:ln>
                <a:noFill/>
              </a:ln>
              <a:effectLst/>
            </c:spPr>
          </c:dPt>
          <c:dPt>
            <c:idx val="10"/>
            <c:invertIfNegative val="0"/>
            <c:bubble3D val="0"/>
            <c:spPr>
              <a:solidFill>
                <a:srgbClr val="5B0F0A"/>
              </a:solidFill>
              <a:ln>
                <a:noFill/>
              </a:ln>
              <a:effectLst/>
            </c:spPr>
          </c:dPt>
          <c:dPt>
            <c:idx val="11"/>
            <c:invertIfNegative val="0"/>
            <c:bubble3D val="0"/>
            <c:spPr>
              <a:solidFill>
                <a:schemeClr val="accent5"/>
              </a:solidFill>
              <a:ln>
                <a:noFill/>
              </a:ln>
              <a:effectLst/>
            </c:spPr>
          </c:dPt>
          <c:dPt>
            <c:idx val="12"/>
            <c:invertIfNegative val="0"/>
            <c:bubble3D val="0"/>
            <c:spPr>
              <a:solidFill>
                <a:schemeClr val="bg2">
                  <a:lumMod val="90000"/>
                </a:schemeClr>
              </a:solidFill>
              <a:ln>
                <a:noFill/>
              </a:ln>
              <a:effectLst/>
            </c:spPr>
          </c:dPt>
          <c:dPt>
            <c:idx val="13"/>
            <c:invertIfNegative val="0"/>
            <c:bubble3D val="0"/>
            <c:spPr>
              <a:solidFill>
                <a:srgbClr val="572E12"/>
              </a:solidFill>
              <a:ln>
                <a:noFill/>
              </a:ln>
              <a:effectLst/>
            </c:spPr>
          </c:dPt>
          <c:dPt>
            <c:idx val="14"/>
            <c:invertIfNegative val="0"/>
            <c:bubble3D val="0"/>
            <c:spPr>
              <a:solidFill>
                <a:srgbClr val="0B054E"/>
              </a:solidFill>
              <a:ln>
                <a:noFill/>
              </a:ln>
              <a:effectLst/>
            </c:spPr>
          </c:dPt>
          <c:dPt>
            <c:idx val="15"/>
            <c:invertIfNegative val="0"/>
            <c:bubble3D val="0"/>
            <c:spPr>
              <a:solidFill>
                <a:schemeClr val="accent4"/>
              </a:solidFill>
              <a:ln>
                <a:noFill/>
              </a:ln>
              <a:effectLst/>
            </c:spPr>
          </c:dPt>
          <c:dPt>
            <c:idx val="16"/>
            <c:invertIfNegative val="0"/>
            <c:bubble3D val="0"/>
            <c:spPr>
              <a:solidFill>
                <a:srgbClr val="FF09EE"/>
              </a:solidFill>
              <a:ln>
                <a:noFill/>
              </a:ln>
              <a:effectLst/>
            </c:spPr>
          </c:dPt>
          <c:dPt>
            <c:idx val="17"/>
            <c:invertIfNegative val="0"/>
            <c:bubble3D val="0"/>
            <c:spPr>
              <a:solidFill>
                <a:srgbClr val="23E5ED"/>
              </a:solidFill>
              <a:ln>
                <a:noFill/>
              </a:ln>
              <a:effectLst/>
            </c:spPr>
          </c:dPt>
          <c:dPt>
            <c:idx val="18"/>
            <c:invertIfNegative val="0"/>
            <c:bubble3D val="0"/>
            <c:spPr>
              <a:solidFill>
                <a:srgbClr val="202BCC"/>
              </a:solidFill>
              <a:ln>
                <a:noFill/>
              </a:ln>
              <a:effectLst/>
            </c:spPr>
          </c:dPt>
          <c:dPt>
            <c:idx val="19"/>
            <c:invertIfNegative val="0"/>
            <c:bubble3D val="0"/>
            <c:spPr>
              <a:solidFill>
                <a:schemeClr val="accent6">
                  <a:lumMod val="50000"/>
                </a:schemeClr>
              </a:solidFill>
              <a:ln>
                <a:noFill/>
              </a:ln>
              <a:effectLst/>
            </c:spPr>
          </c:dPt>
          <c:dPt>
            <c:idx val="20"/>
            <c:invertIfNegative val="0"/>
            <c:bubble3D val="0"/>
            <c:spPr>
              <a:solidFill>
                <a:schemeClr val="accent2"/>
              </a:solidFill>
              <a:ln>
                <a:noFill/>
              </a:ln>
              <a:effectLst/>
            </c:spPr>
          </c:dPt>
          <c:dPt>
            <c:idx val="21"/>
            <c:invertIfNegative val="0"/>
            <c:bubble3D val="0"/>
            <c:spPr>
              <a:solidFill>
                <a:srgbClr val="C00000"/>
              </a:solidFill>
              <a:ln>
                <a:noFill/>
              </a:ln>
              <a:effectLst/>
            </c:spPr>
          </c:dPt>
          <c:cat>
            <c:strRef>
              <c:f>Sheet1!$DN$2:$DN$23</c:f>
              <c:strCache>
                <c:ptCount val="22"/>
                <c:pt idx="0">
                  <c:v>Gwynedd</c:v>
                </c:pt>
                <c:pt idx="1">
                  <c:v>Isle of Anglesey</c:v>
                </c:pt>
                <c:pt idx="2">
                  <c:v>Ceredigion</c:v>
                </c:pt>
                <c:pt idx="3">
                  <c:v>Carmarthenshire</c:v>
                </c:pt>
                <c:pt idx="4">
                  <c:v>Conwy</c:v>
                </c:pt>
                <c:pt idx="5">
                  <c:v>Denbighshire</c:v>
                </c:pt>
                <c:pt idx="6">
                  <c:v>Pembrokeshire</c:v>
                </c:pt>
                <c:pt idx="7">
                  <c:v>Powys</c:v>
                </c:pt>
                <c:pt idx="8">
                  <c:v>Neath Port Talbot</c:v>
                </c:pt>
                <c:pt idx="9">
                  <c:v>Flintshire</c:v>
                </c:pt>
                <c:pt idx="10">
                  <c:v>Wrexham</c:v>
                </c:pt>
                <c:pt idx="11">
                  <c:v>Rhondda Cynon Taf</c:v>
                </c:pt>
                <c:pt idx="12">
                  <c:v>Caerphilly</c:v>
                </c:pt>
                <c:pt idx="13">
                  <c:v>Cardiff</c:v>
                </c:pt>
                <c:pt idx="14">
                  <c:v>Swansea</c:v>
                </c:pt>
                <c:pt idx="15">
                  <c:v>Vale of Glamorgan</c:v>
                </c:pt>
                <c:pt idx="16">
                  <c:v>Monmouthshire</c:v>
                </c:pt>
                <c:pt idx="17">
                  <c:v>Bridgend</c:v>
                </c:pt>
                <c:pt idx="18">
                  <c:v>Newport</c:v>
                </c:pt>
                <c:pt idx="19">
                  <c:v>Torfaen</c:v>
                </c:pt>
                <c:pt idx="20">
                  <c:v>Merthyr Tydfil</c:v>
                </c:pt>
                <c:pt idx="21">
                  <c:v>Blaenau Gwent</c:v>
                </c:pt>
              </c:strCache>
            </c:strRef>
          </c:cat>
          <c:val>
            <c:numRef>
              <c:f>Sheet1!$DO$2:$DO$23</c:f>
              <c:numCache>
                <c:formatCode>General</c:formatCode>
                <c:ptCount val="22"/>
                <c:pt idx="0">
                  <c:v>66.0</c:v>
                </c:pt>
                <c:pt idx="1">
                  <c:v>58.0</c:v>
                </c:pt>
                <c:pt idx="2">
                  <c:v>47.0</c:v>
                </c:pt>
                <c:pt idx="3">
                  <c:v>44.0</c:v>
                </c:pt>
                <c:pt idx="4">
                  <c:v>27.0</c:v>
                </c:pt>
                <c:pt idx="5">
                  <c:v>25.0</c:v>
                </c:pt>
                <c:pt idx="6">
                  <c:v>19.0</c:v>
                </c:pt>
                <c:pt idx="7">
                  <c:v>18.0</c:v>
                </c:pt>
                <c:pt idx="8">
                  <c:v>15.0</c:v>
                </c:pt>
                <c:pt idx="9">
                  <c:v>14.0</c:v>
                </c:pt>
                <c:pt idx="10">
                  <c:v>13.0</c:v>
                </c:pt>
                <c:pt idx="11">
                  <c:v>12.0</c:v>
                </c:pt>
                <c:pt idx="12">
                  <c:v>11.0</c:v>
                </c:pt>
                <c:pt idx="13">
                  <c:v>11.0</c:v>
                </c:pt>
                <c:pt idx="14">
                  <c:v>11.0</c:v>
                </c:pt>
                <c:pt idx="15">
                  <c:v>10.5</c:v>
                </c:pt>
                <c:pt idx="16">
                  <c:v>10.0</c:v>
                </c:pt>
                <c:pt idx="17">
                  <c:v>9.0</c:v>
                </c:pt>
                <c:pt idx="18">
                  <c:v>9.0</c:v>
                </c:pt>
                <c:pt idx="19">
                  <c:v>9.0</c:v>
                </c:pt>
                <c:pt idx="20">
                  <c:v>8.0</c:v>
                </c:pt>
                <c:pt idx="21">
                  <c:v>8.0</c:v>
                </c:pt>
              </c:numCache>
            </c:numRef>
          </c:val>
        </c:ser>
        <c:dLbls>
          <c:showLegendKey val="0"/>
          <c:showVal val="0"/>
          <c:showCatName val="0"/>
          <c:showSerName val="0"/>
          <c:showPercent val="0"/>
          <c:showBubbleSize val="0"/>
        </c:dLbls>
        <c:gapWidth val="182"/>
        <c:axId val="1400649712"/>
        <c:axId val="1400653616"/>
      </c:barChart>
      <c:catAx>
        <c:axId val="1400649712"/>
        <c:scaling>
          <c:orientation val="minMax"/>
        </c:scaling>
        <c:delete val="0"/>
        <c:axPos val="l"/>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Wales</a:t>
                </a:r>
                <a:r>
                  <a:rPr lang="en-US" baseline="0"/>
                  <a:t> Regions</a:t>
                </a:r>
                <a:endParaRPr lang="en-US"/>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GB"/>
          </a:p>
        </c:txPr>
        <c:crossAx val="1400653616"/>
        <c:crosses val="autoZero"/>
        <c:auto val="1"/>
        <c:lblAlgn val="ctr"/>
        <c:lblOffset val="100"/>
        <c:noMultiLvlLbl val="0"/>
      </c:catAx>
      <c:valAx>
        <c:axId val="1400653616"/>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Percentage</a:t>
                </a:r>
                <a:r>
                  <a:rPr lang="en-US" baseline="0"/>
                  <a:t> of people aged 3+</a:t>
                </a:r>
                <a:endParaRPr lang="en-US"/>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GB"/>
          </a:p>
        </c:txPr>
        <c:crossAx val="140064971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GB"/>
    </a:p>
  </c:txPr>
  <c:externalData r:id="rId3">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Graph</a:t>
            </a:r>
            <a:r>
              <a:rPr lang="en-US" baseline="0"/>
              <a:t> to show the percentage of Swansea residents that can speak, read and write welsh in 2011</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GB"/>
        </a:p>
      </c:txPr>
    </c:title>
    <c:autoTitleDeleted val="0"/>
    <c:plotArea>
      <c:layout/>
      <c:barChart>
        <c:barDir val="col"/>
        <c:grouping val="clustered"/>
        <c:varyColors val="0"/>
        <c:ser>
          <c:idx val="0"/>
          <c:order val="0"/>
          <c:tx>
            <c:strRef>
              <c:f>Sheet1!$EP$1</c:f>
              <c:strCache>
                <c:ptCount val="1"/>
                <c:pt idx="0">
                  <c:v>can speak, read and write welsh percentage</c:v>
                </c:pt>
              </c:strCache>
            </c:strRef>
          </c:tx>
          <c:spPr>
            <a:solidFill>
              <a:schemeClr val="accent1"/>
            </a:solidFill>
            <a:ln>
              <a:noFill/>
            </a:ln>
            <a:effectLst/>
          </c:spPr>
          <c:invertIfNegative val="0"/>
          <c:dPt>
            <c:idx val="1"/>
            <c:invertIfNegative val="0"/>
            <c:bubble3D val="0"/>
            <c:spPr>
              <a:solidFill>
                <a:srgbClr val="C00000"/>
              </a:solidFill>
              <a:ln>
                <a:noFill/>
              </a:ln>
              <a:effectLst/>
            </c:spPr>
          </c:dPt>
          <c:dPt>
            <c:idx val="2"/>
            <c:invertIfNegative val="0"/>
            <c:bubble3D val="0"/>
            <c:spPr>
              <a:solidFill>
                <a:srgbClr val="23E5ED"/>
              </a:solidFill>
              <a:ln>
                <a:noFill/>
              </a:ln>
              <a:effectLst/>
            </c:spPr>
          </c:dPt>
          <c:dPt>
            <c:idx val="3"/>
            <c:invertIfNegative val="0"/>
            <c:bubble3D val="0"/>
            <c:spPr>
              <a:solidFill>
                <a:srgbClr val="FF09EE"/>
              </a:solidFill>
              <a:ln>
                <a:noFill/>
              </a:ln>
              <a:effectLst/>
            </c:spPr>
          </c:dPt>
          <c:dPt>
            <c:idx val="4"/>
            <c:invertIfNegative val="0"/>
            <c:bubble3D val="0"/>
            <c:spPr>
              <a:solidFill>
                <a:srgbClr val="0B5731"/>
              </a:solidFill>
              <a:ln>
                <a:noFill/>
              </a:ln>
              <a:effectLst/>
            </c:spPr>
          </c:dPt>
          <c:dPt>
            <c:idx val="5"/>
            <c:invertIfNegative val="0"/>
            <c:bubble3D val="0"/>
            <c:spPr>
              <a:solidFill>
                <a:schemeClr val="tx1"/>
              </a:solidFill>
              <a:ln>
                <a:noFill/>
              </a:ln>
              <a:effectLst/>
            </c:spPr>
          </c:dPt>
          <c:dPt>
            <c:idx val="6"/>
            <c:invertIfNegative val="0"/>
            <c:bubble3D val="0"/>
            <c:spPr>
              <a:solidFill>
                <a:schemeClr val="accent2"/>
              </a:solidFill>
              <a:ln>
                <a:noFill/>
              </a:ln>
              <a:effectLst/>
            </c:spPr>
          </c:dPt>
          <c:dPt>
            <c:idx val="7"/>
            <c:invertIfNegative val="0"/>
            <c:bubble3D val="0"/>
            <c:spPr>
              <a:solidFill>
                <a:srgbClr val="FF0000"/>
              </a:solidFill>
              <a:ln>
                <a:noFill/>
              </a:ln>
              <a:effectLst/>
            </c:spPr>
          </c:dPt>
          <c:dPt>
            <c:idx val="8"/>
            <c:invertIfNegative val="0"/>
            <c:bubble3D val="0"/>
            <c:spPr>
              <a:solidFill>
                <a:schemeClr val="accent4"/>
              </a:solidFill>
              <a:ln>
                <a:noFill/>
              </a:ln>
              <a:effectLst/>
            </c:spPr>
          </c:dPt>
          <c:dPt>
            <c:idx val="9"/>
            <c:invertIfNegative val="0"/>
            <c:bubble3D val="0"/>
            <c:spPr>
              <a:solidFill>
                <a:schemeClr val="tx1">
                  <a:lumMod val="75000"/>
                  <a:lumOff val="25000"/>
                </a:schemeClr>
              </a:solidFill>
              <a:ln>
                <a:noFill/>
              </a:ln>
              <a:effectLst/>
            </c:spPr>
          </c:dPt>
          <c:dPt>
            <c:idx val="10"/>
            <c:invertIfNegative val="0"/>
            <c:bubble3D val="0"/>
            <c:spPr>
              <a:solidFill>
                <a:srgbClr val="7030A0"/>
              </a:solidFill>
              <a:ln>
                <a:noFill/>
              </a:ln>
              <a:effectLst/>
            </c:spPr>
          </c:dPt>
          <c:dPt>
            <c:idx val="11"/>
            <c:invertIfNegative val="0"/>
            <c:bubble3D val="0"/>
            <c:spPr>
              <a:solidFill>
                <a:srgbClr val="FFFF00"/>
              </a:solidFill>
              <a:ln>
                <a:noFill/>
              </a:ln>
              <a:effectLst/>
            </c:spPr>
          </c:dPt>
          <c:dPt>
            <c:idx val="12"/>
            <c:invertIfNegative val="0"/>
            <c:bubble3D val="0"/>
            <c:spPr>
              <a:solidFill>
                <a:srgbClr val="0B5731"/>
              </a:solidFill>
              <a:ln>
                <a:noFill/>
              </a:ln>
              <a:effectLst/>
            </c:spPr>
          </c:dPt>
          <c:dPt>
            <c:idx val="13"/>
            <c:invertIfNegative val="0"/>
            <c:bubble3D val="0"/>
            <c:spPr>
              <a:solidFill>
                <a:schemeClr val="accent6">
                  <a:lumMod val="40000"/>
                  <a:lumOff val="60000"/>
                </a:schemeClr>
              </a:solidFill>
              <a:ln>
                <a:noFill/>
              </a:ln>
              <a:effectLst/>
            </c:spPr>
          </c:dPt>
          <c:dPt>
            <c:idx val="14"/>
            <c:invertIfNegative val="0"/>
            <c:bubble3D val="0"/>
            <c:spPr>
              <a:solidFill>
                <a:srgbClr val="202BCC"/>
              </a:solidFill>
              <a:ln>
                <a:noFill/>
              </a:ln>
              <a:effectLst/>
            </c:spPr>
          </c:dPt>
          <c:dPt>
            <c:idx val="15"/>
            <c:invertIfNegative val="0"/>
            <c:bubble3D val="0"/>
            <c:spPr>
              <a:solidFill>
                <a:schemeClr val="accent2"/>
              </a:solidFill>
              <a:ln>
                <a:noFill/>
              </a:ln>
              <a:effectLst/>
            </c:spPr>
          </c:dPt>
          <c:dPt>
            <c:idx val="16"/>
            <c:invertIfNegative val="0"/>
            <c:bubble3D val="0"/>
            <c:spPr>
              <a:solidFill>
                <a:schemeClr val="accent5"/>
              </a:solidFill>
              <a:ln>
                <a:noFill/>
              </a:ln>
              <a:effectLst/>
            </c:spPr>
          </c:dPt>
          <c:dPt>
            <c:idx val="17"/>
            <c:invertIfNegative val="0"/>
            <c:bubble3D val="0"/>
            <c:spPr>
              <a:solidFill>
                <a:srgbClr val="C00000"/>
              </a:solidFill>
              <a:ln>
                <a:noFill/>
              </a:ln>
              <a:effectLst/>
            </c:spPr>
          </c:dPt>
          <c:dPt>
            <c:idx val="18"/>
            <c:invertIfNegative val="0"/>
            <c:bubble3D val="0"/>
            <c:spPr>
              <a:solidFill>
                <a:srgbClr val="23E5ED"/>
              </a:solidFill>
              <a:ln>
                <a:noFill/>
              </a:ln>
              <a:effectLst/>
            </c:spPr>
          </c:dPt>
          <c:dPt>
            <c:idx val="19"/>
            <c:invertIfNegative val="0"/>
            <c:bubble3D val="0"/>
            <c:spPr>
              <a:solidFill>
                <a:srgbClr val="FF09EE"/>
              </a:solidFill>
              <a:ln>
                <a:noFill/>
              </a:ln>
              <a:effectLst/>
            </c:spPr>
          </c:dPt>
          <c:dPt>
            <c:idx val="20"/>
            <c:invertIfNegative val="0"/>
            <c:bubble3D val="0"/>
            <c:spPr>
              <a:solidFill>
                <a:srgbClr val="0B5731"/>
              </a:solidFill>
              <a:ln>
                <a:noFill/>
              </a:ln>
              <a:effectLst/>
            </c:spPr>
          </c:dPt>
          <c:dPt>
            <c:idx val="21"/>
            <c:invertIfNegative val="0"/>
            <c:bubble3D val="0"/>
            <c:spPr>
              <a:solidFill>
                <a:schemeClr val="tx1"/>
              </a:solidFill>
              <a:ln>
                <a:noFill/>
              </a:ln>
              <a:effectLst/>
            </c:spPr>
          </c:dPt>
          <c:dPt>
            <c:idx val="22"/>
            <c:invertIfNegative val="0"/>
            <c:bubble3D val="0"/>
            <c:spPr>
              <a:solidFill>
                <a:schemeClr val="accent2"/>
              </a:solidFill>
              <a:ln>
                <a:noFill/>
              </a:ln>
              <a:effectLst/>
            </c:spPr>
          </c:dPt>
          <c:dPt>
            <c:idx val="23"/>
            <c:invertIfNegative val="0"/>
            <c:bubble3D val="0"/>
            <c:spPr>
              <a:solidFill>
                <a:srgbClr val="FF0000"/>
              </a:solidFill>
              <a:ln>
                <a:noFill/>
              </a:ln>
              <a:effectLst/>
            </c:spPr>
          </c:dPt>
          <c:dPt>
            <c:idx val="24"/>
            <c:invertIfNegative val="0"/>
            <c:bubble3D val="0"/>
            <c:spPr>
              <a:solidFill>
                <a:srgbClr val="FFC000"/>
              </a:solidFill>
              <a:ln>
                <a:noFill/>
              </a:ln>
              <a:effectLst/>
            </c:spPr>
          </c:dPt>
          <c:dPt>
            <c:idx val="25"/>
            <c:invertIfNegative val="0"/>
            <c:bubble3D val="0"/>
            <c:spPr>
              <a:solidFill>
                <a:srgbClr val="0B5731"/>
              </a:solidFill>
              <a:ln>
                <a:noFill/>
              </a:ln>
              <a:effectLst/>
            </c:spPr>
          </c:dPt>
          <c:dPt>
            <c:idx val="26"/>
            <c:invertIfNegative val="0"/>
            <c:bubble3D val="0"/>
            <c:spPr>
              <a:solidFill>
                <a:srgbClr val="7030A0"/>
              </a:solidFill>
              <a:ln>
                <a:noFill/>
              </a:ln>
              <a:effectLst/>
            </c:spPr>
          </c:dPt>
          <c:dPt>
            <c:idx val="27"/>
            <c:invertIfNegative val="0"/>
            <c:bubble3D val="0"/>
            <c:spPr>
              <a:solidFill>
                <a:srgbClr val="FFFF00"/>
              </a:solidFill>
              <a:ln>
                <a:noFill/>
              </a:ln>
              <a:effectLst/>
            </c:spPr>
          </c:dPt>
          <c:dPt>
            <c:idx val="28"/>
            <c:invertIfNegative val="0"/>
            <c:bubble3D val="0"/>
            <c:spPr>
              <a:solidFill>
                <a:srgbClr val="00B050"/>
              </a:solidFill>
              <a:ln>
                <a:noFill/>
              </a:ln>
              <a:effectLst/>
            </c:spPr>
          </c:dPt>
          <c:dPt>
            <c:idx val="29"/>
            <c:invertIfNegative val="0"/>
            <c:bubble3D val="0"/>
            <c:spPr>
              <a:solidFill>
                <a:srgbClr val="202BCC"/>
              </a:solidFill>
              <a:ln>
                <a:noFill/>
              </a:ln>
              <a:effectLst/>
            </c:spPr>
          </c:dPt>
          <c:dPt>
            <c:idx val="30"/>
            <c:invertIfNegative val="0"/>
            <c:bubble3D val="0"/>
            <c:spPr>
              <a:solidFill>
                <a:schemeClr val="accent2"/>
              </a:solidFill>
              <a:ln>
                <a:noFill/>
              </a:ln>
              <a:effectLst/>
            </c:spPr>
          </c:dPt>
          <c:dPt>
            <c:idx val="31"/>
            <c:invertIfNegative val="0"/>
            <c:bubble3D val="0"/>
            <c:spPr>
              <a:solidFill>
                <a:srgbClr val="FF0000"/>
              </a:solidFill>
              <a:ln>
                <a:noFill/>
              </a:ln>
              <a:effectLst/>
            </c:spPr>
          </c:dPt>
          <c:dPt>
            <c:idx val="32"/>
            <c:invertIfNegative val="0"/>
            <c:bubble3D val="0"/>
            <c:spPr>
              <a:solidFill>
                <a:srgbClr val="FFC000"/>
              </a:solidFill>
              <a:ln>
                <a:noFill/>
              </a:ln>
              <a:effectLst/>
            </c:spPr>
          </c:dPt>
          <c:dPt>
            <c:idx val="33"/>
            <c:invertIfNegative val="0"/>
            <c:bubble3D val="0"/>
            <c:spPr>
              <a:solidFill>
                <a:srgbClr val="0B5731"/>
              </a:solidFill>
              <a:ln>
                <a:noFill/>
              </a:ln>
              <a:effectLst/>
            </c:spPr>
          </c:dPt>
          <c:dPt>
            <c:idx val="34"/>
            <c:invertIfNegative val="0"/>
            <c:bubble3D val="0"/>
            <c:spPr>
              <a:solidFill>
                <a:srgbClr val="7030A0"/>
              </a:solidFill>
              <a:ln>
                <a:noFill/>
              </a:ln>
              <a:effectLst/>
            </c:spPr>
          </c:dPt>
          <c:cat>
            <c:strRef>
              <c:f>Sheet1!$EO$2:$EO$37</c:f>
              <c:strCache>
                <c:ptCount val="36"/>
                <c:pt idx="0">
                  <c:v>Mawr </c:v>
                </c:pt>
                <c:pt idx="1">
                  <c:v>Pontardullais </c:v>
                </c:pt>
                <c:pt idx="2">
                  <c:v>Clydach </c:v>
                </c:pt>
                <c:pt idx="3">
                  <c:v>Upper loughor </c:v>
                </c:pt>
                <c:pt idx="4">
                  <c:v>Kingsbridge </c:v>
                </c:pt>
                <c:pt idx="5">
                  <c:v>Penclawdd </c:v>
                </c:pt>
                <c:pt idx="6">
                  <c:v>Penrheol </c:v>
                </c:pt>
                <c:pt idx="7">
                  <c:v>Llangefelach</c:v>
                </c:pt>
                <c:pt idx="8">
                  <c:v>Lower Loughor</c:v>
                </c:pt>
                <c:pt idx="9">
                  <c:v>Penllegaer </c:v>
                </c:pt>
                <c:pt idx="10">
                  <c:v>Gorseinon</c:v>
                </c:pt>
                <c:pt idx="11">
                  <c:v>Gowerton</c:v>
                </c:pt>
                <c:pt idx="12">
                  <c:v>llansamlet </c:v>
                </c:pt>
                <c:pt idx="13">
                  <c:v>Morriston</c:v>
                </c:pt>
                <c:pt idx="14">
                  <c:v>Mayals</c:v>
                </c:pt>
                <c:pt idx="15">
                  <c:v>Fairwood </c:v>
                </c:pt>
                <c:pt idx="16">
                  <c:v>Oystermouth</c:v>
                </c:pt>
                <c:pt idx="17">
                  <c:v>Sketty</c:v>
                </c:pt>
                <c:pt idx="18">
                  <c:v>Gower</c:v>
                </c:pt>
                <c:pt idx="19">
                  <c:v>Mynyddbach</c:v>
                </c:pt>
                <c:pt idx="20">
                  <c:v>Cockett </c:v>
                </c:pt>
                <c:pt idx="21">
                  <c:v>Uplands </c:v>
                </c:pt>
                <c:pt idx="22">
                  <c:v>Pennard</c:v>
                </c:pt>
                <c:pt idx="23">
                  <c:v>Bishopston</c:v>
                </c:pt>
                <c:pt idx="24">
                  <c:v>Newton</c:v>
                </c:pt>
                <c:pt idx="25">
                  <c:v>Killay North</c:v>
                </c:pt>
                <c:pt idx="26">
                  <c:v>Bonymaen</c:v>
                </c:pt>
                <c:pt idx="27">
                  <c:v>Killay South</c:v>
                </c:pt>
                <c:pt idx="28">
                  <c:v>West Cross</c:v>
                </c:pt>
                <c:pt idx="29">
                  <c:v>Dunvant </c:v>
                </c:pt>
                <c:pt idx="30">
                  <c:v>Cwmbwrla</c:v>
                </c:pt>
                <c:pt idx="31">
                  <c:v>Castle </c:v>
                </c:pt>
                <c:pt idx="32">
                  <c:v>Penderry</c:v>
                </c:pt>
                <c:pt idx="33">
                  <c:v>St. Thomas</c:v>
                </c:pt>
                <c:pt idx="34">
                  <c:v>Landore </c:v>
                </c:pt>
                <c:pt idx="35">
                  <c:v>Townhill</c:v>
                </c:pt>
              </c:strCache>
            </c:strRef>
          </c:cat>
          <c:val>
            <c:numRef>
              <c:f>Sheet1!$EP$2:$EP$37</c:f>
              <c:numCache>
                <c:formatCode>General</c:formatCode>
                <c:ptCount val="36"/>
                <c:pt idx="0">
                  <c:v>3.7</c:v>
                </c:pt>
                <c:pt idx="1">
                  <c:v>4.5</c:v>
                </c:pt>
                <c:pt idx="2">
                  <c:v>4.6</c:v>
                </c:pt>
                <c:pt idx="3">
                  <c:v>4.8</c:v>
                </c:pt>
                <c:pt idx="4">
                  <c:v>4.8</c:v>
                </c:pt>
                <c:pt idx="5">
                  <c:v>5.0</c:v>
                </c:pt>
                <c:pt idx="6">
                  <c:v>5.0</c:v>
                </c:pt>
                <c:pt idx="7">
                  <c:v>5.3</c:v>
                </c:pt>
                <c:pt idx="8">
                  <c:v>5.6</c:v>
                </c:pt>
                <c:pt idx="9">
                  <c:v>5.9</c:v>
                </c:pt>
                <c:pt idx="10">
                  <c:v>6.1</c:v>
                </c:pt>
                <c:pt idx="11">
                  <c:v>6.7</c:v>
                </c:pt>
                <c:pt idx="12">
                  <c:v>6.8</c:v>
                </c:pt>
                <c:pt idx="13">
                  <c:v>6.9</c:v>
                </c:pt>
                <c:pt idx="14">
                  <c:v>7.1</c:v>
                </c:pt>
                <c:pt idx="15">
                  <c:v>7.2</c:v>
                </c:pt>
                <c:pt idx="16">
                  <c:v>7.3</c:v>
                </c:pt>
                <c:pt idx="17">
                  <c:v>7.4</c:v>
                </c:pt>
                <c:pt idx="18">
                  <c:v>7.4</c:v>
                </c:pt>
                <c:pt idx="19">
                  <c:v>8.1</c:v>
                </c:pt>
                <c:pt idx="20">
                  <c:v>8.200000000000001</c:v>
                </c:pt>
                <c:pt idx="21">
                  <c:v>8.200000000000001</c:v>
                </c:pt>
                <c:pt idx="22">
                  <c:v>8.3</c:v>
                </c:pt>
                <c:pt idx="23">
                  <c:v>8.700000000000001</c:v>
                </c:pt>
                <c:pt idx="24">
                  <c:v>8.8</c:v>
                </c:pt>
                <c:pt idx="25">
                  <c:v>9.1</c:v>
                </c:pt>
                <c:pt idx="26">
                  <c:v>9.5</c:v>
                </c:pt>
                <c:pt idx="27">
                  <c:v>9.9</c:v>
                </c:pt>
                <c:pt idx="28">
                  <c:v>10.2</c:v>
                </c:pt>
                <c:pt idx="29">
                  <c:v>10.8</c:v>
                </c:pt>
                <c:pt idx="30">
                  <c:v>11.3</c:v>
                </c:pt>
                <c:pt idx="31">
                  <c:v>12.1</c:v>
                </c:pt>
                <c:pt idx="32">
                  <c:v>13.0</c:v>
                </c:pt>
                <c:pt idx="33">
                  <c:v>14.3</c:v>
                </c:pt>
                <c:pt idx="34">
                  <c:v>22.5</c:v>
                </c:pt>
                <c:pt idx="35">
                  <c:v>29.3</c:v>
                </c:pt>
              </c:numCache>
            </c:numRef>
          </c:val>
        </c:ser>
        <c:dLbls>
          <c:showLegendKey val="0"/>
          <c:showVal val="0"/>
          <c:showCatName val="0"/>
          <c:showSerName val="0"/>
          <c:showPercent val="0"/>
          <c:showBubbleSize val="0"/>
        </c:dLbls>
        <c:gapWidth val="219"/>
        <c:overlap val="-27"/>
        <c:axId val="1400724944"/>
        <c:axId val="1400728064"/>
      </c:barChart>
      <c:catAx>
        <c:axId val="1400724944"/>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Swanse</a:t>
                </a:r>
                <a:r>
                  <a:rPr lang="en-US" baseline="0"/>
                  <a:t>a Wards </a:t>
                </a:r>
                <a:endParaRPr lang="en-US"/>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GB"/>
          </a:p>
        </c:txPr>
        <c:crossAx val="1400728064"/>
        <c:crosses val="autoZero"/>
        <c:auto val="1"/>
        <c:lblAlgn val="ctr"/>
        <c:lblOffset val="100"/>
        <c:noMultiLvlLbl val="0"/>
      </c:catAx>
      <c:valAx>
        <c:axId val="140072806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Percentage</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GB"/>
          </a:p>
        </c:txPr>
        <c:crossAx val="140072494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GB"/>
    </a:p>
  </c:txPr>
  <c:externalData r:id="rId3">
    <c:autoUpdate val="0"/>
  </c:externalData>
</c:chartSpace>
</file>

<file path=word/charts/chart17.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Graph</a:t>
            </a:r>
            <a:r>
              <a:rPr lang="en-US" baseline="0"/>
              <a:t> to show the number of Swansea residents that can speak, read and write Welsh compared to usual resident population aged 3+</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GB"/>
        </a:p>
      </c:txPr>
    </c:title>
    <c:autoTitleDeleted val="0"/>
    <c:plotArea>
      <c:layout/>
      <c:barChart>
        <c:barDir val="col"/>
        <c:grouping val="clustered"/>
        <c:varyColors val="0"/>
        <c:ser>
          <c:idx val="0"/>
          <c:order val="0"/>
          <c:tx>
            <c:strRef>
              <c:f>Sheet1!$EI$1</c:f>
              <c:strCache>
                <c:ptCount val="1"/>
                <c:pt idx="0">
                  <c:v>All usual residents aged 3+</c:v>
                </c:pt>
              </c:strCache>
            </c:strRef>
          </c:tx>
          <c:spPr>
            <a:solidFill>
              <a:srgbClr val="23E5ED"/>
            </a:solidFill>
            <a:ln>
              <a:noFill/>
            </a:ln>
            <a:effectLst/>
          </c:spPr>
          <c:invertIfNegative val="0"/>
          <c:cat>
            <c:strRef>
              <c:f>Sheet1!$EH$2:$EH$37</c:f>
              <c:strCache>
                <c:ptCount val="36"/>
                <c:pt idx="0">
                  <c:v>Mawr </c:v>
                </c:pt>
                <c:pt idx="1">
                  <c:v>Pontardullais </c:v>
                </c:pt>
                <c:pt idx="2">
                  <c:v>Clydach </c:v>
                </c:pt>
                <c:pt idx="3">
                  <c:v>Upper loughor </c:v>
                </c:pt>
                <c:pt idx="4">
                  <c:v>Kingsbridge </c:v>
                </c:pt>
                <c:pt idx="5">
                  <c:v>Penclawdd </c:v>
                </c:pt>
                <c:pt idx="6">
                  <c:v>Penrheol </c:v>
                </c:pt>
                <c:pt idx="7">
                  <c:v>Llangefelach</c:v>
                </c:pt>
                <c:pt idx="8">
                  <c:v>Lower Loughor</c:v>
                </c:pt>
                <c:pt idx="9">
                  <c:v>Penllegaer </c:v>
                </c:pt>
                <c:pt idx="10">
                  <c:v>Gorseinon</c:v>
                </c:pt>
                <c:pt idx="11">
                  <c:v>Gowerton</c:v>
                </c:pt>
                <c:pt idx="12">
                  <c:v>llansamlet </c:v>
                </c:pt>
                <c:pt idx="13">
                  <c:v>Morriston</c:v>
                </c:pt>
                <c:pt idx="14">
                  <c:v>Mayals</c:v>
                </c:pt>
                <c:pt idx="15">
                  <c:v>Fairwood </c:v>
                </c:pt>
                <c:pt idx="16">
                  <c:v>Oystermouth</c:v>
                </c:pt>
                <c:pt idx="17">
                  <c:v>Sketty</c:v>
                </c:pt>
                <c:pt idx="18">
                  <c:v>Gower</c:v>
                </c:pt>
                <c:pt idx="19">
                  <c:v>Mynyddbach</c:v>
                </c:pt>
                <c:pt idx="20">
                  <c:v>Cockett </c:v>
                </c:pt>
                <c:pt idx="21">
                  <c:v>Uplands </c:v>
                </c:pt>
                <c:pt idx="22">
                  <c:v>Pennard</c:v>
                </c:pt>
                <c:pt idx="23">
                  <c:v>Bishopston</c:v>
                </c:pt>
                <c:pt idx="24">
                  <c:v>Newton</c:v>
                </c:pt>
                <c:pt idx="25">
                  <c:v>Killay North</c:v>
                </c:pt>
                <c:pt idx="26">
                  <c:v>Bonymaen</c:v>
                </c:pt>
                <c:pt idx="27">
                  <c:v>Killay South</c:v>
                </c:pt>
                <c:pt idx="28">
                  <c:v>West Cross</c:v>
                </c:pt>
                <c:pt idx="29">
                  <c:v>Dunvant </c:v>
                </c:pt>
                <c:pt idx="30">
                  <c:v>Cwmbwrla</c:v>
                </c:pt>
                <c:pt idx="31">
                  <c:v>Castle </c:v>
                </c:pt>
                <c:pt idx="32">
                  <c:v>Penderry</c:v>
                </c:pt>
                <c:pt idx="33">
                  <c:v>St. Thomas</c:v>
                </c:pt>
                <c:pt idx="34">
                  <c:v>Landore </c:v>
                </c:pt>
                <c:pt idx="35">
                  <c:v>Townhill</c:v>
                </c:pt>
              </c:strCache>
            </c:strRef>
          </c:cat>
          <c:val>
            <c:numRef>
              <c:f>Sheet1!$EI$2:$EI$37</c:f>
              <c:numCache>
                <c:formatCode>General</c:formatCode>
                <c:ptCount val="36"/>
                <c:pt idx="0">
                  <c:v>8215.0</c:v>
                </c:pt>
                <c:pt idx="1">
                  <c:v>5901.0</c:v>
                </c:pt>
                <c:pt idx="2">
                  <c:v>2185.0</c:v>
                </c:pt>
                <c:pt idx="3">
                  <c:v>7667.0</c:v>
                </c:pt>
                <c:pt idx="4">
                  <c:v>6937.0</c:v>
                </c:pt>
                <c:pt idx="5">
                  <c:v>4292.0</c:v>
                </c:pt>
                <c:pt idx="6">
                  <c:v>11476.0</c:v>
                </c:pt>
                <c:pt idx="7">
                  <c:v>15504.0</c:v>
                </c:pt>
                <c:pt idx="8">
                  <c:v>6252.0</c:v>
                </c:pt>
                <c:pt idx="9">
                  <c:v>3190.0</c:v>
                </c:pt>
                <c:pt idx="10">
                  <c:v>6626.0</c:v>
                </c:pt>
                <c:pt idx="11">
                  <c:v>2617.0</c:v>
                </c:pt>
                <c:pt idx="12">
                  <c:v>3582.0</c:v>
                </c:pt>
                <c:pt idx="13">
                  <c:v>12871.0</c:v>
                </c:pt>
                <c:pt idx="14">
                  <c:v>8600.0</c:v>
                </c:pt>
                <c:pt idx="15">
                  <c:v>3223.0</c:v>
                </c:pt>
                <c:pt idx="16">
                  <c:v>4048.0</c:v>
                </c:pt>
                <c:pt idx="17">
                  <c:v>2831.0</c:v>
                </c:pt>
                <c:pt idx="18">
                  <c:v>3422.0</c:v>
                </c:pt>
                <c:pt idx="19">
                  <c:v>14015.0</c:v>
                </c:pt>
                <c:pt idx="20">
                  <c:v>16301.0</c:v>
                </c:pt>
                <c:pt idx="21">
                  <c:v>15375.0</c:v>
                </c:pt>
                <c:pt idx="22">
                  <c:v>4124.0</c:v>
                </c:pt>
                <c:pt idx="23">
                  <c:v>2624.0</c:v>
                </c:pt>
                <c:pt idx="24">
                  <c:v>3538.0</c:v>
                </c:pt>
                <c:pt idx="25">
                  <c:v>5378.0</c:v>
                </c:pt>
                <c:pt idx="26">
                  <c:v>5054.0</c:v>
                </c:pt>
                <c:pt idx="27">
                  <c:v>13799.0</c:v>
                </c:pt>
                <c:pt idx="28">
                  <c:v>2750.0</c:v>
                </c:pt>
                <c:pt idx="29">
                  <c:v>2279.0</c:v>
                </c:pt>
                <c:pt idx="30">
                  <c:v>2685.0</c:v>
                </c:pt>
                <c:pt idx="31">
                  <c:v>3904.0</c:v>
                </c:pt>
                <c:pt idx="32">
                  <c:v>4831.0</c:v>
                </c:pt>
                <c:pt idx="33">
                  <c:v>7221.0</c:v>
                </c:pt>
                <c:pt idx="34">
                  <c:v>6047.0</c:v>
                </c:pt>
                <c:pt idx="35">
                  <c:v>1791.0</c:v>
                </c:pt>
              </c:numCache>
            </c:numRef>
          </c:val>
        </c:ser>
        <c:ser>
          <c:idx val="1"/>
          <c:order val="1"/>
          <c:tx>
            <c:strRef>
              <c:f>Sheet1!$EJ$1</c:f>
              <c:strCache>
                <c:ptCount val="1"/>
                <c:pt idx="0">
                  <c:v>Can speak, read and write welsh count</c:v>
                </c:pt>
              </c:strCache>
            </c:strRef>
          </c:tx>
          <c:spPr>
            <a:solidFill>
              <a:srgbClr val="FF0000"/>
            </a:solidFill>
            <a:ln>
              <a:noFill/>
            </a:ln>
            <a:effectLst/>
          </c:spPr>
          <c:invertIfNegative val="0"/>
          <c:cat>
            <c:strRef>
              <c:f>Sheet1!$EH$2:$EH$37</c:f>
              <c:strCache>
                <c:ptCount val="36"/>
                <c:pt idx="0">
                  <c:v>Mawr </c:v>
                </c:pt>
                <c:pt idx="1">
                  <c:v>Pontardullais </c:v>
                </c:pt>
                <c:pt idx="2">
                  <c:v>Clydach </c:v>
                </c:pt>
                <c:pt idx="3">
                  <c:v>Upper loughor </c:v>
                </c:pt>
                <c:pt idx="4">
                  <c:v>Kingsbridge </c:v>
                </c:pt>
                <c:pt idx="5">
                  <c:v>Penclawdd </c:v>
                </c:pt>
                <c:pt idx="6">
                  <c:v>Penrheol </c:v>
                </c:pt>
                <c:pt idx="7">
                  <c:v>Llangefelach</c:v>
                </c:pt>
                <c:pt idx="8">
                  <c:v>Lower Loughor</c:v>
                </c:pt>
                <c:pt idx="9">
                  <c:v>Penllegaer </c:v>
                </c:pt>
                <c:pt idx="10">
                  <c:v>Gorseinon</c:v>
                </c:pt>
                <c:pt idx="11">
                  <c:v>Gowerton</c:v>
                </c:pt>
                <c:pt idx="12">
                  <c:v>llansamlet </c:v>
                </c:pt>
                <c:pt idx="13">
                  <c:v>Morriston</c:v>
                </c:pt>
                <c:pt idx="14">
                  <c:v>Mayals</c:v>
                </c:pt>
                <c:pt idx="15">
                  <c:v>Fairwood </c:v>
                </c:pt>
                <c:pt idx="16">
                  <c:v>Oystermouth</c:v>
                </c:pt>
                <c:pt idx="17">
                  <c:v>Sketty</c:v>
                </c:pt>
                <c:pt idx="18">
                  <c:v>Gower</c:v>
                </c:pt>
                <c:pt idx="19">
                  <c:v>Mynyddbach</c:v>
                </c:pt>
                <c:pt idx="20">
                  <c:v>Cockett </c:v>
                </c:pt>
                <c:pt idx="21">
                  <c:v>Uplands </c:v>
                </c:pt>
                <c:pt idx="22">
                  <c:v>Pennard</c:v>
                </c:pt>
                <c:pt idx="23">
                  <c:v>Bishopston</c:v>
                </c:pt>
                <c:pt idx="24">
                  <c:v>Newton</c:v>
                </c:pt>
                <c:pt idx="25">
                  <c:v>Killay North</c:v>
                </c:pt>
                <c:pt idx="26">
                  <c:v>Bonymaen</c:v>
                </c:pt>
                <c:pt idx="27">
                  <c:v>Killay South</c:v>
                </c:pt>
                <c:pt idx="28">
                  <c:v>West Cross</c:v>
                </c:pt>
                <c:pt idx="29">
                  <c:v>Dunvant </c:v>
                </c:pt>
                <c:pt idx="30">
                  <c:v>Cwmbwrla</c:v>
                </c:pt>
                <c:pt idx="31">
                  <c:v>Castle </c:v>
                </c:pt>
                <c:pt idx="32">
                  <c:v>Penderry</c:v>
                </c:pt>
                <c:pt idx="33">
                  <c:v>St. Thomas</c:v>
                </c:pt>
                <c:pt idx="34">
                  <c:v>Landore </c:v>
                </c:pt>
                <c:pt idx="35">
                  <c:v>Townhill</c:v>
                </c:pt>
              </c:strCache>
            </c:strRef>
          </c:cat>
          <c:val>
            <c:numRef>
              <c:f>Sheet1!$EJ$2:$EJ$37</c:f>
              <c:numCache>
                <c:formatCode>General</c:formatCode>
                <c:ptCount val="36"/>
                <c:pt idx="0">
                  <c:v>300.0</c:v>
                </c:pt>
                <c:pt idx="1">
                  <c:v>266.0</c:v>
                </c:pt>
                <c:pt idx="2">
                  <c:v>101.0</c:v>
                </c:pt>
                <c:pt idx="3">
                  <c:v>369.0</c:v>
                </c:pt>
                <c:pt idx="4">
                  <c:v>336.0</c:v>
                </c:pt>
                <c:pt idx="5">
                  <c:v>213.0</c:v>
                </c:pt>
                <c:pt idx="6">
                  <c:v>577.0</c:v>
                </c:pt>
                <c:pt idx="7">
                  <c:v>819.0</c:v>
                </c:pt>
                <c:pt idx="8">
                  <c:v>350.0</c:v>
                </c:pt>
                <c:pt idx="9">
                  <c:v>189.0</c:v>
                </c:pt>
                <c:pt idx="10">
                  <c:v>401.0</c:v>
                </c:pt>
                <c:pt idx="11">
                  <c:v>175.0</c:v>
                </c:pt>
                <c:pt idx="12">
                  <c:v>242.0</c:v>
                </c:pt>
                <c:pt idx="13">
                  <c:v>891.0</c:v>
                </c:pt>
                <c:pt idx="14">
                  <c:v>611.0</c:v>
                </c:pt>
                <c:pt idx="15">
                  <c:v>232.0</c:v>
                </c:pt>
                <c:pt idx="16">
                  <c:v>294.0</c:v>
                </c:pt>
                <c:pt idx="17">
                  <c:v>210.0</c:v>
                </c:pt>
                <c:pt idx="18">
                  <c:v>253.0</c:v>
                </c:pt>
                <c:pt idx="19">
                  <c:v>1132.0</c:v>
                </c:pt>
                <c:pt idx="20">
                  <c:v>1339.0</c:v>
                </c:pt>
                <c:pt idx="21">
                  <c:v>1264.0</c:v>
                </c:pt>
                <c:pt idx="22">
                  <c:v>341.0</c:v>
                </c:pt>
                <c:pt idx="23">
                  <c:v>229.0</c:v>
                </c:pt>
                <c:pt idx="24">
                  <c:v>311.0</c:v>
                </c:pt>
                <c:pt idx="25">
                  <c:v>488.0</c:v>
                </c:pt>
                <c:pt idx="26">
                  <c:v>482.0</c:v>
                </c:pt>
                <c:pt idx="27">
                  <c:v>1367.0</c:v>
                </c:pt>
                <c:pt idx="28">
                  <c:v>280.0</c:v>
                </c:pt>
                <c:pt idx="29">
                  <c:v>245.0</c:v>
                </c:pt>
                <c:pt idx="30">
                  <c:v>304.0</c:v>
                </c:pt>
                <c:pt idx="31">
                  <c:v>474.0</c:v>
                </c:pt>
                <c:pt idx="32">
                  <c:v>629.0</c:v>
                </c:pt>
                <c:pt idx="33">
                  <c:v>1034.0</c:v>
                </c:pt>
                <c:pt idx="34">
                  <c:v>1361.0</c:v>
                </c:pt>
                <c:pt idx="35">
                  <c:v>525.0</c:v>
                </c:pt>
              </c:numCache>
            </c:numRef>
          </c:val>
        </c:ser>
        <c:dLbls>
          <c:showLegendKey val="0"/>
          <c:showVal val="0"/>
          <c:showCatName val="0"/>
          <c:showSerName val="0"/>
          <c:showPercent val="0"/>
          <c:showBubbleSize val="0"/>
        </c:dLbls>
        <c:gapWidth val="219"/>
        <c:overlap val="-27"/>
        <c:axId val="1303418240"/>
        <c:axId val="1303421632"/>
      </c:barChart>
      <c:catAx>
        <c:axId val="1303418240"/>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Swansea</a:t>
                </a:r>
                <a:r>
                  <a:rPr lang="en-US" baseline="0"/>
                  <a:t> Wards </a:t>
                </a:r>
                <a:endParaRPr lang="en-US"/>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GB"/>
          </a:p>
        </c:txPr>
        <c:crossAx val="1303421632"/>
        <c:crosses val="autoZero"/>
        <c:auto val="1"/>
        <c:lblAlgn val="ctr"/>
        <c:lblOffset val="100"/>
        <c:noMultiLvlLbl val="0"/>
      </c:catAx>
      <c:valAx>
        <c:axId val="130342163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Resident</a:t>
                </a:r>
                <a:r>
                  <a:rPr lang="en-US" baseline="0"/>
                  <a:t> Count</a:t>
                </a:r>
                <a:endParaRPr lang="en-US"/>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GB"/>
          </a:p>
        </c:txPr>
        <c:crossAx val="130341824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GB"/>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GB"/>
    </a:p>
  </c:txPr>
  <c:externalData r:id="rId3">
    <c:autoUpdate val="0"/>
  </c:externalData>
</c:chartSpace>
</file>

<file path=word/charts/chart18.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Percentage</a:t>
            </a:r>
            <a:r>
              <a:rPr lang="en-US" baseline="0"/>
              <a:t> of welsh speakers in Wales and Swansea from 2001 - 2013</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GB"/>
        </a:p>
      </c:txPr>
    </c:title>
    <c:autoTitleDeleted val="0"/>
    <c:plotArea>
      <c:layout/>
      <c:scatterChart>
        <c:scatterStyle val="lineMarker"/>
        <c:varyColors val="0"/>
        <c:ser>
          <c:idx val="0"/>
          <c:order val="0"/>
          <c:tx>
            <c:strRef>
              <c:f>Sheet1!$DX$2</c:f>
              <c:strCache>
                <c:ptCount val="1"/>
                <c:pt idx="0">
                  <c:v>Wales</c:v>
                </c:pt>
              </c:strCache>
            </c:strRef>
          </c:tx>
          <c:spPr>
            <a:ln w="19050" cap="rnd">
              <a:solidFill>
                <a:srgbClr val="23E5ED"/>
              </a:solidFill>
              <a:round/>
            </a:ln>
            <a:effectLst/>
          </c:spPr>
          <c:marker>
            <c:symbol val="circle"/>
            <c:size val="5"/>
            <c:spPr>
              <a:solidFill>
                <a:schemeClr val="accent1"/>
              </a:solidFill>
              <a:ln w="9525">
                <a:solidFill>
                  <a:schemeClr val="accent1"/>
                </a:solidFill>
              </a:ln>
              <a:effectLst/>
            </c:spPr>
          </c:marker>
          <c:xVal>
            <c:numRef>
              <c:f>Sheet1!$DW$3:$DW$15</c:f>
              <c:numCache>
                <c:formatCode>General</c:formatCode>
                <c:ptCount val="13"/>
                <c:pt idx="0">
                  <c:v>2001.0</c:v>
                </c:pt>
                <c:pt idx="1">
                  <c:v>2002.0</c:v>
                </c:pt>
                <c:pt idx="2">
                  <c:v>2003.0</c:v>
                </c:pt>
                <c:pt idx="3">
                  <c:v>2004.0</c:v>
                </c:pt>
                <c:pt idx="4">
                  <c:v>2005.0</c:v>
                </c:pt>
                <c:pt idx="5">
                  <c:v>2006.0</c:v>
                </c:pt>
                <c:pt idx="6">
                  <c:v>2007.0</c:v>
                </c:pt>
                <c:pt idx="7">
                  <c:v>2008.0</c:v>
                </c:pt>
                <c:pt idx="8">
                  <c:v>2009.0</c:v>
                </c:pt>
                <c:pt idx="9">
                  <c:v>2010.0</c:v>
                </c:pt>
                <c:pt idx="10">
                  <c:v>2011.0</c:v>
                </c:pt>
                <c:pt idx="11">
                  <c:v>2012.0</c:v>
                </c:pt>
                <c:pt idx="12">
                  <c:v>2013.0</c:v>
                </c:pt>
              </c:numCache>
            </c:numRef>
          </c:xVal>
          <c:yVal>
            <c:numRef>
              <c:f>Sheet1!$DX$3:$DX$15</c:f>
              <c:numCache>
                <c:formatCode>General</c:formatCode>
                <c:ptCount val="13"/>
                <c:pt idx="0">
                  <c:v>30.0</c:v>
                </c:pt>
                <c:pt idx="1">
                  <c:v>29.0</c:v>
                </c:pt>
                <c:pt idx="2">
                  <c:v>28.0</c:v>
                </c:pt>
                <c:pt idx="3">
                  <c:v>27.0</c:v>
                </c:pt>
                <c:pt idx="4">
                  <c:v>26.0</c:v>
                </c:pt>
                <c:pt idx="5">
                  <c:v>26.0</c:v>
                </c:pt>
                <c:pt idx="6">
                  <c:v>25.0</c:v>
                </c:pt>
                <c:pt idx="7">
                  <c:v>25.5</c:v>
                </c:pt>
                <c:pt idx="8">
                  <c:v>25.2</c:v>
                </c:pt>
                <c:pt idx="9">
                  <c:v>25.2</c:v>
                </c:pt>
                <c:pt idx="10">
                  <c:v>26.0</c:v>
                </c:pt>
                <c:pt idx="11">
                  <c:v>25.9</c:v>
                </c:pt>
                <c:pt idx="12">
                  <c:v>26.9</c:v>
                </c:pt>
              </c:numCache>
            </c:numRef>
          </c:yVal>
          <c:smooth val="0"/>
        </c:ser>
        <c:ser>
          <c:idx val="1"/>
          <c:order val="1"/>
          <c:tx>
            <c:strRef>
              <c:f>Sheet1!$DY$2</c:f>
              <c:strCache>
                <c:ptCount val="1"/>
                <c:pt idx="0">
                  <c:v>Swansea</c:v>
                </c:pt>
              </c:strCache>
            </c:strRef>
          </c:tx>
          <c:spPr>
            <a:ln w="19050" cap="rnd">
              <a:solidFill>
                <a:srgbClr val="FF0000"/>
              </a:solidFill>
              <a:round/>
            </a:ln>
            <a:effectLst/>
          </c:spPr>
          <c:marker>
            <c:symbol val="circle"/>
            <c:size val="5"/>
            <c:spPr>
              <a:solidFill>
                <a:schemeClr val="accent2"/>
              </a:solidFill>
              <a:ln w="9525">
                <a:solidFill>
                  <a:schemeClr val="accent2"/>
                </a:solidFill>
              </a:ln>
              <a:effectLst/>
            </c:spPr>
          </c:marker>
          <c:xVal>
            <c:numRef>
              <c:f>Sheet1!$DW$3:$DW$15</c:f>
              <c:numCache>
                <c:formatCode>General</c:formatCode>
                <c:ptCount val="13"/>
                <c:pt idx="0">
                  <c:v>2001.0</c:v>
                </c:pt>
                <c:pt idx="1">
                  <c:v>2002.0</c:v>
                </c:pt>
                <c:pt idx="2">
                  <c:v>2003.0</c:v>
                </c:pt>
                <c:pt idx="3">
                  <c:v>2004.0</c:v>
                </c:pt>
                <c:pt idx="4">
                  <c:v>2005.0</c:v>
                </c:pt>
                <c:pt idx="5">
                  <c:v>2006.0</c:v>
                </c:pt>
                <c:pt idx="6">
                  <c:v>2007.0</c:v>
                </c:pt>
                <c:pt idx="7">
                  <c:v>2008.0</c:v>
                </c:pt>
                <c:pt idx="8">
                  <c:v>2009.0</c:v>
                </c:pt>
                <c:pt idx="9">
                  <c:v>2010.0</c:v>
                </c:pt>
                <c:pt idx="10">
                  <c:v>2011.0</c:v>
                </c:pt>
                <c:pt idx="11">
                  <c:v>2012.0</c:v>
                </c:pt>
                <c:pt idx="12">
                  <c:v>2013.0</c:v>
                </c:pt>
              </c:numCache>
            </c:numRef>
          </c:xVal>
          <c:yVal>
            <c:numRef>
              <c:f>Sheet1!$DY$3:$DY$15</c:f>
              <c:numCache>
                <c:formatCode>General</c:formatCode>
                <c:ptCount val="13"/>
                <c:pt idx="0">
                  <c:v>20.0</c:v>
                </c:pt>
                <c:pt idx="1">
                  <c:v>18.0</c:v>
                </c:pt>
                <c:pt idx="2">
                  <c:v>17.0</c:v>
                </c:pt>
                <c:pt idx="3">
                  <c:v>16.0</c:v>
                </c:pt>
                <c:pt idx="4">
                  <c:v>14.0</c:v>
                </c:pt>
                <c:pt idx="5">
                  <c:v>14.9</c:v>
                </c:pt>
                <c:pt idx="6">
                  <c:v>14.0</c:v>
                </c:pt>
                <c:pt idx="7">
                  <c:v>15.9</c:v>
                </c:pt>
                <c:pt idx="8">
                  <c:v>16.0</c:v>
                </c:pt>
                <c:pt idx="9">
                  <c:v>17.0</c:v>
                </c:pt>
                <c:pt idx="10">
                  <c:v>16.0</c:v>
                </c:pt>
                <c:pt idx="11">
                  <c:v>15.2</c:v>
                </c:pt>
                <c:pt idx="12">
                  <c:v>15.3</c:v>
                </c:pt>
              </c:numCache>
            </c:numRef>
          </c:yVal>
          <c:smooth val="0"/>
        </c:ser>
        <c:dLbls>
          <c:showLegendKey val="0"/>
          <c:showVal val="0"/>
          <c:showCatName val="0"/>
          <c:showSerName val="0"/>
          <c:showPercent val="0"/>
          <c:showBubbleSize val="0"/>
        </c:dLbls>
        <c:axId val="1303439504"/>
        <c:axId val="1358202000"/>
      </c:scatterChart>
      <c:valAx>
        <c:axId val="1303439504"/>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Year</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GB"/>
          </a:p>
        </c:txPr>
        <c:crossAx val="1358202000"/>
        <c:crosses val="autoZero"/>
        <c:crossBetween val="midCat"/>
      </c:valAx>
      <c:valAx>
        <c:axId val="135820200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Percentage</a:t>
                </a:r>
                <a:r>
                  <a:rPr lang="en-US" baseline="0"/>
                  <a:t> %</a:t>
                </a:r>
                <a:endParaRPr lang="en-US"/>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GB"/>
          </a:p>
        </c:txPr>
        <c:crossAx val="1303439504"/>
        <c:crosses val="autoZero"/>
        <c:crossBetween val="midCat"/>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GB"/>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GB"/>
    </a:p>
  </c:txPr>
  <c:externalData r:id="rId3">
    <c:autoUpdate val="0"/>
  </c:externalData>
</c:chartSpace>
</file>

<file path=word/charts/chart19.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Graph</a:t>
            </a:r>
            <a:r>
              <a:rPr lang="en-US" baseline="0"/>
              <a:t> showing rough sleepers in Swansea per day (Monthly Mean)</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GB"/>
        </a:p>
      </c:txPr>
    </c:title>
    <c:autoTitleDeleted val="0"/>
    <c:plotArea>
      <c:layout/>
      <c:lineChart>
        <c:grouping val="standard"/>
        <c:varyColors val="0"/>
        <c:ser>
          <c:idx val="0"/>
          <c:order val="0"/>
          <c:spPr>
            <a:ln w="28575" cap="rnd">
              <a:solidFill>
                <a:srgbClr val="23E5ED"/>
              </a:solidFill>
              <a:round/>
            </a:ln>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GB"/>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trendline>
            <c:spPr>
              <a:ln w="19050" cap="rnd">
                <a:solidFill>
                  <a:srgbClr val="FF0000"/>
                </a:solidFill>
                <a:prstDash val="sysDot"/>
              </a:ln>
              <a:effectLst/>
            </c:spPr>
            <c:trendlineType val="linear"/>
            <c:dispRSqr val="0"/>
            <c:dispEq val="0"/>
          </c:trendline>
          <c:cat>
            <c:numRef>
              <c:f>Sheet1!$ES$2:$ES$52</c:f>
              <c:numCache>
                <c:formatCode>mmm\-yy</c:formatCode>
                <c:ptCount val="51"/>
                <c:pt idx="0">
                  <c:v>41548.0</c:v>
                </c:pt>
                <c:pt idx="1">
                  <c:v>41579.0</c:v>
                </c:pt>
                <c:pt idx="2">
                  <c:v>41609.0</c:v>
                </c:pt>
                <c:pt idx="3">
                  <c:v>41640.0</c:v>
                </c:pt>
                <c:pt idx="4">
                  <c:v>41671.0</c:v>
                </c:pt>
                <c:pt idx="5">
                  <c:v>41699.0</c:v>
                </c:pt>
                <c:pt idx="6">
                  <c:v>41730.0</c:v>
                </c:pt>
                <c:pt idx="7">
                  <c:v>41760.0</c:v>
                </c:pt>
                <c:pt idx="8">
                  <c:v>41791.0</c:v>
                </c:pt>
                <c:pt idx="9">
                  <c:v>41821.0</c:v>
                </c:pt>
                <c:pt idx="10">
                  <c:v>41852.0</c:v>
                </c:pt>
                <c:pt idx="11">
                  <c:v>41883.0</c:v>
                </c:pt>
                <c:pt idx="12">
                  <c:v>41913.0</c:v>
                </c:pt>
                <c:pt idx="13">
                  <c:v>41944.0</c:v>
                </c:pt>
                <c:pt idx="14">
                  <c:v>41974.0</c:v>
                </c:pt>
                <c:pt idx="15">
                  <c:v>42005.0</c:v>
                </c:pt>
                <c:pt idx="16">
                  <c:v>42036.0</c:v>
                </c:pt>
                <c:pt idx="17">
                  <c:v>42064.0</c:v>
                </c:pt>
                <c:pt idx="18">
                  <c:v>42095.0</c:v>
                </c:pt>
                <c:pt idx="19">
                  <c:v>42125.0</c:v>
                </c:pt>
                <c:pt idx="20">
                  <c:v>42156.0</c:v>
                </c:pt>
                <c:pt idx="21">
                  <c:v>42186.0</c:v>
                </c:pt>
                <c:pt idx="22">
                  <c:v>42217.0</c:v>
                </c:pt>
                <c:pt idx="23">
                  <c:v>42248.0</c:v>
                </c:pt>
                <c:pt idx="24">
                  <c:v>42278.0</c:v>
                </c:pt>
                <c:pt idx="25">
                  <c:v>42309.0</c:v>
                </c:pt>
                <c:pt idx="26">
                  <c:v>42339.0</c:v>
                </c:pt>
                <c:pt idx="27">
                  <c:v>42370.0</c:v>
                </c:pt>
                <c:pt idx="28">
                  <c:v>42401.0</c:v>
                </c:pt>
                <c:pt idx="29">
                  <c:v>42430.0</c:v>
                </c:pt>
                <c:pt idx="30">
                  <c:v>42461.0</c:v>
                </c:pt>
                <c:pt idx="31">
                  <c:v>42491.0</c:v>
                </c:pt>
                <c:pt idx="32">
                  <c:v>42522.0</c:v>
                </c:pt>
                <c:pt idx="33">
                  <c:v>42552.0</c:v>
                </c:pt>
                <c:pt idx="34">
                  <c:v>42583.0</c:v>
                </c:pt>
                <c:pt idx="35">
                  <c:v>42614.0</c:v>
                </c:pt>
                <c:pt idx="36">
                  <c:v>42644.0</c:v>
                </c:pt>
                <c:pt idx="37">
                  <c:v>42675.0</c:v>
                </c:pt>
                <c:pt idx="38">
                  <c:v>42705.0</c:v>
                </c:pt>
                <c:pt idx="39">
                  <c:v>42736.0</c:v>
                </c:pt>
                <c:pt idx="40">
                  <c:v>42767.0</c:v>
                </c:pt>
                <c:pt idx="41">
                  <c:v>42795.0</c:v>
                </c:pt>
                <c:pt idx="42">
                  <c:v>42826.0</c:v>
                </c:pt>
                <c:pt idx="43">
                  <c:v>42856.0</c:v>
                </c:pt>
                <c:pt idx="44">
                  <c:v>42887.0</c:v>
                </c:pt>
                <c:pt idx="45">
                  <c:v>42917.0</c:v>
                </c:pt>
                <c:pt idx="46">
                  <c:v>42948.0</c:v>
                </c:pt>
                <c:pt idx="47">
                  <c:v>42979.0</c:v>
                </c:pt>
                <c:pt idx="48">
                  <c:v>43009.0</c:v>
                </c:pt>
                <c:pt idx="49">
                  <c:v>43040.0</c:v>
                </c:pt>
                <c:pt idx="50">
                  <c:v>43070.0</c:v>
                </c:pt>
              </c:numCache>
            </c:numRef>
          </c:cat>
          <c:val>
            <c:numRef>
              <c:f>Sheet1!$ET$2:$ET$52</c:f>
              <c:numCache>
                <c:formatCode>General</c:formatCode>
                <c:ptCount val="51"/>
                <c:pt idx="0">
                  <c:v>10.0</c:v>
                </c:pt>
                <c:pt idx="1">
                  <c:v>10.0</c:v>
                </c:pt>
                <c:pt idx="2">
                  <c:v>10.0</c:v>
                </c:pt>
                <c:pt idx="3">
                  <c:v>14.0</c:v>
                </c:pt>
                <c:pt idx="4">
                  <c:v>11.0</c:v>
                </c:pt>
                <c:pt idx="5">
                  <c:v>14.0</c:v>
                </c:pt>
                <c:pt idx="6">
                  <c:v>9.0</c:v>
                </c:pt>
                <c:pt idx="7">
                  <c:v>9.0</c:v>
                </c:pt>
                <c:pt idx="8">
                  <c:v>11.0</c:v>
                </c:pt>
                <c:pt idx="9">
                  <c:v>14.0</c:v>
                </c:pt>
                <c:pt idx="10">
                  <c:v>11.0</c:v>
                </c:pt>
                <c:pt idx="11">
                  <c:v>11.0</c:v>
                </c:pt>
                <c:pt idx="12">
                  <c:v>9.0</c:v>
                </c:pt>
                <c:pt idx="13">
                  <c:v>10.0</c:v>
                </c:pt>
                <c:pt idx="14">
                  <c:v>7.0</c:v>
                </c:pt>
                <c:pt idx="15">
                  <c:v>17.0</c:v>
                </c:pt>
                <c:pt idx="16">
                  <c:v>10.0</c:v>
                </c:pt>
                <c:pt idx="17">
                  <c:v>13.0</c:v>
                </c:pt>
                <c:pt idx="18">
                  <c:v>12.0</c:v>
                </c:pt>
                <c:pt idx="19">
                  <c:v>10.0</c:v>
                </c:pt>
                <c:pt idx="20">
                  <c:v>13.0</c:v>
                </c:pt>
                <c:pt idx="21">
                  <c:v>13.0</c:v>
                </c:pt>
                <c:pt idx="22">
                  <c:v>13.0</c:v>
                </c:pt>
                <c:pt idx="23">
                  <c:v>15.0</c:v>
                </c:pt>
                <c:pt idx="24">
                  <c:v>14.0</c:v>
                </c:pt>
                <c:pt idx="25">
                  <c:v>9.0</c:v>
                </c:pt>
                <c:pt idx="26">
                  <c:v>9.0</c:v>
                </c:pt>
                <c:pt idx="27">
                  <c:v>11.0</c:v>
                </c:pt>
                <c:pt idx="28">
                  <c:v>10.0</c:v>
                </c:pt>
                <c:pt idx="29">
                  <c:v>11.0</c:v>
                </c:pt>
                <c:pt idx="30">
                  <c:v>13.0</c:v>
                </c:pt>
                <c:pt idx="31">
                  <c:v>16.0</c:v>
                </c:pt>
                <c:pt idx="32">
                  <c:v>13.0</c:v>
                </c:pt>
                <c:pt idx="33">
                  <c:v>13.0</c:v>
                </c:pt>
                <c:pt idx="34">
                  <c:v>9.0</c:v>
                </c:pt>
                <c:pt idx="35">
                  <c:v>12.0</c:v>
                </c:pt>
                <c:pt idx="36">
                  <c:v>15.0</c:v>
                </c:pt>
                <c:pt idx="37">
                  <c:v>14.0</c:v>
                </c:pt>
                <c:pt idx="38">
                  <c:v>13.0</c:v>
                </c:pt>
                <c:pt idx="39">
                  <c:v>18.0</c:v>
                </c:pt>
                <c:pt idx="40">
                  <c:v>16.0</c:v>
                </c:pt>
                <c:pt idx="41">
                  <c:v>20.0</c:v>
                </c:pt>
                <c:pt idx="42">
                  <c:v>16.0</c:v>
                </c:pt>
                <c:pt idx="43">
                  <c:v>17.0</c:v>
                </c:pt>
                <c:pt idx="44">
                  <c:v>19.0</c:v>
                </c:pt>
                <c:pt idx="45">
                  <c:v>20.0</c:v>
                </c:pt>
                <c:pt idx="46">
                  <c:v>23.0</c:v>
                </c:pt>
                <c:pt idx="47">
                  <c:v>23.0</c:v>
                </c:pt>
                <c:pt idx="48">
                  <c:v>20.0</c:v>
                </c:pt>
                <c:pt idx="49">
                  <c:v>24.0</c:v>
                </c:pt>
                <c:pt idx="50">
                  <c:v>15.0</c:v>
                </c:pt>
              </c:numCache>
            </c:numRef>
          </c:val>
          <c:smooth val="0"/>
        </c:ser>
        <c:dLbls>
          <c:showLegendKey val="0"/>
          <c:showVal val="0"/>
          <c:showCatName val="0"/>
          <c:showSerName val="0"/>
          <c:showPercent val="0"/>
          <c:showBubbleSize val="0"/>
        </c:dLbls>
        <c:smooth val="0"/>
        <c:axId val="1303962800"/>
        <c:axId val="1303966192"/>
      </c:lineChart>
      <c:dateAx>
        <c:axId val="1303962800"/>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Calender</a:t>
                </a:r>
                <a:r>
                  <a:rPr lang="en-US" baseline="0"/>
                  <a:t> Month</a:t>
                </a:r>
                <a:endParaRPr lang="en-US"/>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numFmt formatCode="mmm\-yy"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GB"/>
          </a:p>
        </c:txPr>
        <c:crossAx val="1303966192"/>
        <c:crosses val="autoZero"/>
        <c:auto val="1"/>
        <c:lblOffset val="100"/>
        <c:baseTimeUnit val="months"/>
      </c:dateAx>
      <c:valAx>
        <c:axId val="130396619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Mean</a:t>
                </a:r>
                <a:r>
                  <a:rPr lang="en-US" baseline="0"/>
                  <a:t> daily rough sleeprs</a:t>
                </a:r>
                <a:endParaRPr lang="en-US"/>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numFmt formatCode="General"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GB"/>
          </a:p>
        </c:txPr>
        <c:crossAx val="1303962800"/>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GB"/>
    </a:p>
  </c:txPr>
  <c:externalData r:id="rId3">
    <c:autoUpdate val="0"/>
  </c:externalData>
</c:chartSpace>
</file>

<file path=word/charts/chart20.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Graph</a:t>
            </a:r>
            <a:r>
              <a:rPr lang="en-US" baseline="0"/>
              <a:t> showing newly homeless household by local authortity in 2011</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GB"/>
        </a:p>
      </c:txPr>
    </c:title>
    <c:autoTitleDeleted val="0"/>
    <c:plotArea>
      <c:layout/>
      <c:barChart>
        <c:barDir val="col"/>
        <c:grouping val="clustered"/>
        <c:varyColors val="0"/>
        <c:ser>
          <c:idx val="0"/>
          <c:order val="0"/>
          <c:spPr>
            <a:solidFill>
              <a:schemeClr val="accent1"/>
            </a:solidFill>
            <a:ln>
              <a:noFill/>
            </a:ln>
            <a:effectLst/>
          </c:spPr>
          <c:invertIfNegative val="0"/>
          <c:dPt>
            <c:idx val="1"/>
            <c:invertIfNegative val="0"/>
            <c:bubble3D val="0"/>
            <c:spPr>
              <a:solidFill>
                <a:schemeClr val="tx1"/>
              </a:solidFill>
              <a:ln>
                <a:noFill/>
              </a:ln>
              <a:effectLst/>
            </c:spPr>
          </c:dPt>
          <c:dPt>
            <c:idx val="2"/>
            <c:invertIfNegative val="0"/>
            <c:bubble3D val="0"/>
            <c:spPr>
              <a:solidFill>
                <a:schemeClr val="bg2">
                  <a:lumMod val="75000"/>
                </a:schemeClr>
              </a:solidFill>
              <a:ln>
                <a:noFill/>
              </a:ln>
              <a:effectLst/>
            </c:spPr>
          </c:dPt>
          <c:dPt>
            <c:idx val="3"/>
            <c:invertIfNegative val="0"/>
            <c:bubble3D val="0"/>
            <c:spPr>
              <a:solidFill>
                <a:schemeClr val="accent2"/>
              </a:solidFill>
              <a:ln>
                <a:noFill/>
              </a:ln>
              <a:effectLst/>
            </c:spPr>
          </c:dPt>
          <c:dPt>
            <c:idx val="4"/>
            <c:invertIfNegative val="0"/>
            <c:bubble3D val="0"/>
            <c:spPr>
              <a:solidFill>
                <a:schemeClr val="accent4"/>
              </a:solidFill>
              <a:ln>
                <a:noFill/>
              </a:ln>
              <a:effectLst/>
            </c:spPr>
          </c:dPt>
          <c:dPt>
            <c:idx val="5"/>
            <c:invertIfNegative val="0"/>
            <c:bubble3D val="0"/>
            <c:spPr>
              <a:solidFill>
                <a:schemeClr val="accent6"/>
              </a:solidFill>
              <a:ln>
                <a:noFill/>
              </a:ln>
              <a:effectLst/>
            </c:spPr>
          </c:dPt>
          <c:dPt>
            <c:idx val="6"/>
            <c:invertIfNegative val="0"/>
            <c:bubble3D val="0"/>
            <c:spPr>
              <a:solidFill>
                <a:srgbClr val="23E5ED"/>
              </a:solidFill>
              <a:ln>
                <a:noFill/>
              </a:ln>
              <a:effectLst/>
            </c:spPr>
          </c:dPt>
          <c:dPt>
            <c:idx val="7"/>
            <c:invertIfNegative val="0"/>
            <c:bubble3D val="0"/>
            <c:spPr>
              <a:solidFill>
                <a:srgbClr val="FF0000"/>
              </a:solidFill>
              <a:ln>
                <a:noFill/>
              </a:ln>
              <a:effectLst/>
            </c:spPr>
          </c:dPt>
          <c:dPt>
            <c:idx val="8"/>
            <c:invertIfNegative val="0"/>
            <c:bubble3D val="0"/>
            <c:spPr>
              <a:solidFill>
                <a:srgbClr val="202BCC"/>
              </a:solidFill>
              <a:ln>
                <a:noFill/>
              </a:ln>
              <a:effectLst/>
            </c:spPr>
          </c:dPt>
          <c:dPt>
            <c:idx val="9"/>
            <c:invertIfNegative val="0"/>
            <c:bubble3D val="0"/>
            <c:spPr>
              <a:solidFill>
                <a:srgbClr val="FF09EE"/>
              </a:solidFill>
              <a:ln>
                <a:noFill/>
              </a:ln>
              <a:effectLst/>
            </c:spPr>
          </c:dPt>
          <c:dPt>
            <c:idx val="10"/>
            <c:invertIfNegative val="0"/>
            <c:bubble3D val="0"/>
            <c:spPr>
              <a:solidFill>
                <a:srgbClr val="7030A0"/>
              </a:solidFill>
              <a:ln>
                <a:noFill/>
              </a:ln>
              <a:effectLst/>
            </c:spPr>
          </c:dPt>
          <c:dPt>
            <c:idx val="11"/>
            <c:invertIfNegative val="0"/>
            <c:bubble3D val="0"/>
            <c:spPr>
              <a:solidFill>
                <a:srgbClr val="00B0F0"/>
              </a:solidFill>
              <a:ln>
                <a:noFill/>
              </a:ln>
              <a:effectLst/>
            </c:spPr>
          </c:dPt>
          <c:dPt>
            <c:idx val="12"/>
            <c:invertIfNegative val="0"/>
            <c:bubble3D val="0"/>
            <c:spPr>
              <a:solidFill>
                <a:schemeClr val="tx1"/>
              </a:solidFill>
              <a:ln>
                <a:noFill/>
              </a:ln>
              <a:effectLst/>
            </c:spPr>
          </c:dPt>
          <c:dPt>
            <c:idx val="13"/>
            <c:invertIfNegative val="0"/>
            <c:bubble3D val="0"/>
            <c:spPr>
              <a:solidFill>
                <a:schemeClr val="accent2"/>
              </a:solidFill>
              <a:ln>
                <a:noFill/>
              </a:ln>
              <a:effectLst/>
            </c:spPr>
          </c:dPt>
          <c:dPt>
            <c:idx val="14"/>
            <c:invertIfNegative val="0"/>
            <c:bubble3D val="0"/>
            <c:spPr>
              <a:solidFill>
                <a:schemeClr val="accent4"/>
              </a:solidFill>
              <a:ln>
                <a:noFill/>
              </a:ln>
              <a:effectLst/>
            </c:spPr>
          </c:dPt>
          <c:dPt>
            <c:idx val="15"/>
            <c:invertIfNegative val="0"/>
            <c:bubble3D val="0"/>
            <c:spPr>
              <a:solidFill>
                <a:schemeClr val="accent5"/>
              </a:solidFill>
              <a:ln>
                <a:noFill/>
              </a:ln>
              <a:effectLst/>
            </c:spPr>
          </c:dPt>
          <c:dPt>
            <c:idx val="16"/>
            <c:invertIfNegative val="0"/>
            <c:bubble3D val="0"/>
            <c:spPr>
              <a:solidFill>
                <a:srgbClr val="FF0000"/>
              </a:solidFill>
              <a:ln>
                <a:noFill/>
              </a:ln>
              <a:effectLst/>
            </c:spPr>
          </c:dPt>
          <c:dPt>
            <c:idx val="17"/>
            <c:invertIfNegative val="0"/>
            <c:bubble3D val="0"/>
            <c:spPr>
              <a:solidFill>
                <a:srgbClr val="FF09EE"/>
              </a:solidFill>
              <a:ln>
                <a:noFill/>
              </a:ln>
              <a:effectLst/>
            </c:spPr>
          </c:dPt>
          <c:dPt>
            <c:idx val="18"/>
            <c:invertIfNegative val="0"/>
            <c:bubble3D val="0"/>
            <c:spPr>
              <a:solidFill>
                <a:srgbClr val="23E5ED"/>
              </a:solidFill>
              <a:ln>
                <a:noFill/>
              </a:ln>
              <a:effectLst/>
            </c:spPr>
          </c:dPt>
          <c:dPt>
            <c:idx val="19"/>
            <c:invertIfNegative val="0"/>
            <c:bubble3D val="0"/>
            <c:spPr>
              <a:solidFill>
                <a:schemeClr val="accent4"/>
              </a:solidFill>
              <a:ln>
                <a:noFill/>
              </a:ln>
              <a:effectLst/>
            </c:spPr>
          </c:dPt>
          <c:dPt>
            <c:idx val="20"/>
            <c:invertIfNegative val="0"/>
            <c:bubble3D val="0"/>
            <c:spPr>
              <a:solidFill>
                <a:srgbClr val="202BCC"/>
              </a:solidFill>
              <a:ln>
                <a:noFill/>
              </a:ln>
              <a:effectLst/>
            </c:spPr>
          </c:dPt>
          <c:cat>
            <c:strRef>
              <c:f>Sheet1!$EV$2:$EV$23</c:f>
              <c:strCache>
                <c:ptCount val="22"/>
                <c:pt idx="0">
                  <c:v>Swansea</c:v>
                </c:pt>
                <c:pt idx="1">
                  <c:v>Merthyr Tydfil</c:v>
                </c:pt>
                <c:pt idx="2">
                  <c:v>Carmarthenshire</c:v>
                </c:pt>
                <c:pt idx="3">
                  <c:v>Newport</c:v>
                </c:pt>
                <c:pt idx="4">
                  <c:v>Bridgend</c:v>
                </c:pt>
                <c:pt idx="5">
                  <c:v>Pembrokeshire</c:v>
                </c:pt>
                <c:pt idx="6">
                  <c:v>Wrexham</c:v>
                </c:pt>
                <c:pt idx="7">
                  <c:v>Gwynedd</c:v>
                </c:pt>
                <c:pt idx="8">
                  <c:v>Isle of Anglesey</c:v>
                </c:pt>
                <c:pt idx="9">
                  <c:v>Cardiff</c:v>
                </c:pt>
                <c:pt idx="10">
                  <c:v>Torfaen</c:v>
                </c:pt>
                <c:pt idx="11">
                  <c:v>Blaenau Gwent</c:v>
                </c:pt>
                <c:pt idx="12">
                  <c:v>Conwy</c:v>
                </c:pt>
                <c:pt idx="13">
                  <c:v>Powys</c:v>
                </c:pt>
                <c:pt idx="14">
                  <c:v>Vale of Glamorgan</c:v>
                </c:pt>
                <c:pt idx="15">
                  <c:v>Ceredigion</c:v>
                </c:pt>
                <c:pt idx="16">
                  <c:v>Caerphilly</c:v>
                </c:pt>
                <c:pt idx="17">
                  <c:v>Monmouthshire</c:v>
                </c:pt>
                <c:pt idx="18">
                  <c:v>Denbighshire</c:v>
                </c:pt>
                <c:pt idx="19">
                  <c:v>Neath Port Talbot</c:v>
                </c:pt>
                <c:pt idx="20">
                  <c:v>Rhondda Cynon Taf</c:v>
                </c:pt>
                <c:pt idx="21">
                  <c:v>Flintshire</c:v>
                </c:pt>
              </c:strCache>
            </c:strRef>
          </c:cat>
          <c:val>
            <c:numRef>
              <c:f>Sheet1!$EW$2:$EW$23</c:f>
              <c:numCache>
                <c:formatCode>General</c:formatCode>
                <c:ptCount val="22"/>
                <c:pt idx="0">
                  <c:v>14.9</c:v>
                </c:pt>
                <c:pt idx="1">
                  <c:v>12.0</c:v>
                </c:pt>
                <c:pt idx="2">
                  <c:v>11.2</c:v>
                </c:pt>
                <c:pt idx="3">
                  <c:v>11.0</c:v>
                </c:pt>
                <c:pt idx="4">
                  <c:v>10.0</c:v>
                </c:pt>
                <c:pt idx="5">
                  <c:v>9.700000000000001</c:v>
                </c:pt>
                <c:pt idx="6">
                  <c:v>8.0</c:v>
                </c:pt>
                <c:pt idx="7">
                  <c:v>8.0</c:v>
                </c:pt>
                <c:pt idx="8">
                  <c:v>7.8</c:v>
                </c:pt>
                <c:pt idx="9">
                  <c:v>7.6</c:v>
                </c:pt>
                <c:pt idx="10">
                  <c:v>7.0</c:v>
                </c:pt>
                <c:pt idx="11">
                  <c:v>6.8</c:v>
                </c:pt>
                <c:pt idx="12">
                  <c:v>6.0</c:v>
                </c:pt>
                <c:pt idx="13">
                  <c:v>5.7</c:v>
                </c:pt>
                <c:pt idx="14">
                  <c:v>5.5</c:v>
                </c:pt>
                <c:pt idx="15">
                  <c:v>5.0</c:v>
                </c:pt>
                <c:pt idx="16">
                  <c:v>4.0</c:v>
                </c:pt>
                <c:pt idx="17">
                  <c:v>4.0</c:v>
                </c:pt>
                <c:pt idx="18">
                  <c:v>3.8</c:v>
                </c:pt>
                <c:pt idx="19">
                  <c:v>3.0</c:v>
                </c:pt>
                <c:pt idx="20">
                  <c:v>2.5</c:v>
                </c:pt>
                <c:pt idx="21">
                  <c:v>2.0</c:v>
                </c:pt>
              </c:numCache>
            </c:numRef>
          </c:val>
        </c:ser>
        <c:dLbls>
          <c:showLegendKey val="0"/>
          <c:showVal val="0"/>
          <c:showCatName val="0"/>
          <c:showSerName val="0"/>
          <c:showPercent val="0"/>
          <c:showBubbleSize val="0"/>
        </c:dLbls>
        <c:gapWidth val="219"/>
        <c:overlap val="-27"/>
        <c:axId val="1300606944"/>
        <c:axId val="1300649760"/>
      </c:barChart>
      <c:catAx>
        <c:axId val="1300606944"/>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Wales</a:t>
                </a:r>
                <a:r>
                  <a:rPr lang="en-US" baseline="0"/>
                  <a:t> Regions</a:t>
                </a:r>
                <a:endParaRPr lang="en-US"/>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GB"/>
          </a:p>
        </c:txPr>
        <c:crossAx val="1300649760"/>
        <c:crosses val="autoZero"/>
        <c:auto val="1"/>
        <c:lblAlgn val="ctr"/>
        <c:lblOffset val="100"/>
        <c:noMultiLvlLbl val="0"/>
      </c:catAx>
      <c:valAx>
        <c:axId val="130064976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Households</a:t>
                </a:r>
                <a:r>
                  <a:rPr lang="en-US" baseline="0"/>
                  <a:t> recognised each year as newly homeless by local authority per 1000 households</a:t>
                </a:r>
                <a:endParaRPr lang="en-US"/>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GB"/>
          </a:p>
        </c:txPr>
        <c:crossAx val="130060694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GB"/>
    </a:p>
  </c:txPr>
  <c:externalData r:id="rId3">
    <c:autoUpdate val="0"/>
  </c:externalData>
</c:chartSpace>
</file>

<file path=word/charts/chart2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Estimated</a:t>
            </a:r>
            <a:r>
              <a:rPr lang="en-US" baseline="0"/>
              <a:t> number of rough sleepers in 2016-17 in each region in Wales </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GB"/>
        </a:p>
      </c:txPr>
    </c:title>
    <c:autoTitleDeleted val="0"/>
    <c:plotArea>
      <c:layout/>
      <c:barChart>
        <c:barDir val="col"/>
        <c:grouping val="clustered"/>
        <c:varyColors val="0"/>
        <c:ser>
          <c:idx val="0"/>
          <c:order val="0"/>
          <c:spPr>
            <a:solidFill>
              <a:schemeClr val="accent1"/>
            </a:solidFill>
            <a:ln>
              <a:noFill/>
            </a:ln>
            <a:effectLst/>
          </c:spPr>
          <c:invertIfNegative val="0"/>
          <c:dPt>
            <c:idx val="0"/>
            <c:invertIfNegative val="0"/>
            <c:bubble3D val="0"/>
            <c:spPr>
              <a:solidFill>
                <a:srgbClr val="202BCC"/>
              </a:solidFill>
              <a:ln>
                <a:noFill/>
              </a:ln>
              <a:effectLst/>
            </c:spPr>
          </c:dPt>
          <c:dPt>
            <c:idx val="1"/>
            <c:invertIfNegative val="0"/>
            <c:bubble3D val="0"/>
            <c:spPr>
              <a:solidFill>
                <a:srgbClr val="FF0000"/>
              </a:solidFill>
              <a:ln>
                <a:noFill/>
              </a:ln>
              <a:effectLst/>
            </c:spPr>
          </c:dPt>
          <c:dPt>
            <c:idx val="2"/>
            <c:invertIfNegative val="0"/>
            <c:bubble3D val="0"/>
            <c:spPr>
              <a:solidFill>
                <a:schemeClr val="accent6"/>
              </a:solidFill>
              <a:ln>
                <a:noFill/>
              </a:ln>
              <a:effectLst/>
            </c:spPr>
          </c:dPt>
          <c:dPt>
            <c:idx val="3"/>
            <c:invertIfNegative val="0"/>
            <c:bubble3D val="0"/>
            <c:spPr>
              <a:solidFill>
                <a:srgbClr val="23E5ED"/>
              </a:solidFill>
              <a:ln>
                <a:noFill/>
              </a:ln>
              <a:effectLst/>
            </c:spPr>
          </c:dPt>
          <c:dPt>
            <c:idx val="4"/>
            <c:invertIfNegative val="0"/>
            <c:bubble3D val="0"/>
            <c:spPr>
              <a:solidFill>
                <a:srgbClr val="FF09EE"/>
              </a:solidFill>
              <a:ln>
                <a:noFill/>
              </a:ln>
              <a:effectLst/>
            </c:spPr>
          </c:dPt>
          <c:dPt>
            <c:idx val="5"/>
            <c:invertIfNegative val="0"/>
            <c:bubble3D val="0"/>
            <c:spPr>
              <a:solidFill>
                <a:srgbClr val="7030A0"/>
              </a:solidFill>
              <a:ln>
                <a:noFill/>
              </a:ln>
              <a:effectLst/>
            </c:spPr>
          </c:dPt>
          <c:dPt>
            <c:idx val="6"/>
            <c:invertIfNegative val="0"/>
            <c:bubble3D val="0"/>
            <c:spPr>
              <a:solidFill>
                <a:schemeClr val="accent4"/>
              </a:solidFill>
              <a:ln>
                <a:noFill/>
              </a:ln>
              <a:effectLst/>
            </c:spPr>
          </c:dPt>
          <c:dPt>
            <c:idx val="7"/>
            <c:invertIfNegative val="0"/>
            <c:bubble3D val="0"/>
            <c:spPr>
              <a:solidFill>
                <a:srgbClr val="C00000"/>
              </a:solidFill>
              <a:ln>
                <a:noFill/>
              </a:ln>
              <a:effectLst/>
            </c:spPr>
          </c:dPt>
          <c:dPt>
            <c:idx val="8"/>
            <c:invertIfNegative val="0"/>
            <c:bubble3D val="0"/>
            <c:spPr>
              <a:solidFill>
                <a:srgbClr val="FFFF00"/>
              </a:solidFill>
              <a:ln>
                <a:noFill/>
              </a:ln>
              <a:effectLst/>
            </c:spPr>
          </c:dPt>
          <c:dPt>
            <c:idx val="9"/>
            <c:invertIfNegative val="0"/>
            <c:bubble3D val="0"/>
            <c:spPr>
              <a:solidFill>
                <a:srgbClr val="92D050"/>
              </a:solidFill>
              <a:ln>
                <a:noFill/>
              </a:ln>
              <a:effectLst/>
            </c:spPr>
          </c:dPt>
          <c:dPt>
            <c:idx val="10"/>
            <c:invertIfNegative val="0"/>
            <c:bubble3D val="0"/>
            <c:spPr>
              <a:solidFill>
                <a:schemeClr val="tx1"/>
              </a:solidFill>
              <a:ln>
                <a:noFill/>
              </a:ln>
              <a:effectLst/>
            </c:spPr>
          </c:dPt>
          <c:dPt>
            <c:idx val="11"/>
            <c:invertIfNegative val="0"/>
            <c:bubble3D val="0"/>
            <c:spPr>
              <a:solidFill>
                <a:srgbClr val="FF09EE"/>
              </a:solidFill>
              <a:ln>
                <a:noFill/>
              </a:ln>
              <a:effectLst/>
            </c:spPr>
          </c:dPt>
          <c:dPt>
            <c:idx val="12"/>
            <c:invertIfNegative val="0"/>
            <c:bubble3D val="0"/>
            <c:spPr>
              <a:solidFill>
                <a:srgbClr val="00B0F0"/>
              </a:solidFill>
              <a:ln>
                <a:noFill/>
              </a:ln>
              <a:effectLst/>
            </c:spPr>
          </c:dPt>
          <c:dPt>
            <c:idx val="13"/>
            <c:invertIfNegative val="0"/>
            <c:bubble3D val="0"/>
            <c:spPr>
              <a:solidFill>
                <a:srgbClr val="FF0000"/>
              </a:solidFill>
              <a:ln>
                <a:noFill/>
              </a:ln>
              <a:effectLst/>
            </c:spPr>
          </c:dPt>
          <c:dPt>
            <c:idx val="14"/>
            <c:invertIfNegative val="0"/>
            <c:bubble3D val="0"/>
            <c:spPr>
              <a:solidFill>
                <a:srgbClr val="23E5ED"/>
              </a:solidFill>
              <a:ln>
                <a:noFill/>
              </a:ln>
              <a:effectLst/>
            </c:spPr>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GB"/>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Sheet1!$FN$2:$FN$23</c:f>
              <c:strCache>
                <c:ptCount val="22"/>
                <c:pt idx="0">
                  <c:v>Cardiff</c:v>
                </c:pt>
                <c:pt idx="1">
                  <c:v>Wrexham</c:v>
                </c:pt>
                <c:pt idx="2">
                  <c:v>Caerphilly</c:v>
                </c:pt>
                <c:pt idx="3">
                  <c:v>Gwynedd</c:v>
                </c:pt>
                <c:pt idx="4">
                  <c:v>Swansea</c:v>
                </c:pt>
                <c:pt idx="5">
                  <c:v>Newport</c:v>
                </c:pt>
                <c:pt idx="6">
                  <c:v>Merthyr Tydfil</c:v>
                </c:pt>
                <c:pt idx="7">
                  <c:v>Conwy</c:v>
                </c:pt>
                <c:pt idx="8">
                  <c:v>Bridgend</c:v>
                </c:pt>
                <c:pt idx="9">
                  <c:v>Ceredigion</c:v>
                </c:pt>
                <c:pt idx="10">
                  <c:v>Neath Port Talbot</c:v>
                </c:pt>
                <c:pt idx="11">
                  <c:v>Rhondda Cynon Taf</c:v>
                </c:pt>
                <c:pt idx="12">
                  <c:v>Denbighshire</c:v>
                </c:pt>
                <c:pt idx="13">
                  <c:v>Flintshire</c:v>
                </c:pt>
                <c:pt idx="14">
                  <c:v>Pembrokeshire</c:v>
                </c:pt>
                <c:pt idx="15">
                  <c:v>Carmarthenshire</c:v>
                </c:pt>
                <c:pt idx="16">
                  <c:v>Vale of Glamorgan</c:v>
                </c:pt>
                <c:pt idx="17">
                  <c:v>Isle of Angelsey</c:v>
                </c:pt>
                <c:pt idx="18">
                  <c:v>Monmouthshire</c:v>
                </c:pt>
                <c:pt idx="19">
                  <c:v>Powys</c:v>
                </c:pt>
                <c:pt idx="20">
                  <c:v>Blaenau Gwent</c:v>
                </c:pt>
                <c:pt idx="21">
                  <c:v>Torfaen</c:v>
                </c:pt>
              </c:strCache>
            </c:strRef>
          </c:cat>
          <c:val>
            <c:numRef>
              <c:f>Sheet1!$FO$2:$FO$23</c:f>
              <c:numCache>
                <c:formatCode>General</c:formatCode>
                <c:ptCount val="22"/>
                <c:pt idx="0">
                  <c:v>85.0</c:v>
                </c:pt>
                <c:pt idx="1">
                  <c:v>61.0</c:v>
                </c:pt>
                <c:pt idx="2">
                  <c:v>27.0</c:v>
                </c:pt>
                <c:pt idx="3">
                  <c:v>25.0</c:v>
                </c:pt>
                <c:pt idx="4">
                  <c:v>23.0</c:v>
                </c:pt>
                <c:pt idx="5">
                  <c:v>17.0</c:v>
                </c:pt>
                <c:pt idx="6">
                  <c:v>15.0</c:v>
                </c:pt>
                <c:pt idx="7">
                  <c:v>14.0</c:v>
                </c:pt>
                <c:pt idx="8">
                  <c:v>10.0</c:v>
                </c:pt>
                <c:pt idx="9">
                  <c:v>6.0</c:v>
                </c:pt>
                <c:pt idx="10">
                  <c:v>6.0</c:v>
                </c:pt>
                <c:pt idx="11">
                  <c:v>6.0</c:v>
                </c:pt>
                <c:pt idx="12">
                  <c:v>5.0</c:v>
                </c:pt>
                <c:pt idx="13">
                  <c:v>3.0</c:v>
                </c:pt>
                <c:pt idx="14">
                  <c:v>3.0</c:v>
                </c:pt>
                <c:pt idx="15">
                  <c:v>3.0</c:v>
                </c:pt>
                <c:pt idx="16">
                  <c:v>2.0</c:v>
                </c:pt>
                <c:pt idx="17">
                  <c:v>1.0</c:v>
                </c:pt>
                <c:pt idx="18">
                  <c:v>1.0</c:v>
                </c:pt>
                <c:pt idx="19">
                  <c:v>0.0</c:v>
                </c:pt>
                <c:pt idx="20">
                  <c:v>0.0</c:v>
                </c:pt>
                <c:pt idx="21">
                  <c:v>0.0</c:v>
                </c:pt>
              </c:numCache>
            </c:numRef>
          </c:val>
        </c:ser>
        <c:dLbls>
          <c:dLblPos val="outEnd"/>
          <c:showLegendKey val="0"/>
          <c:showVal val="1"/>
          <c:showCatName val="0"/>
          <c:showSerName val="0"/>
          <c:showPercent val="0"/>
          <c:showBubbleSize val="0"/>
        </c:dLbls>
        <c:gapWidth val="219"/>
        <c:overlap val="-27"/>
        <c:axId val="1400866032"/>
        <c:axId val="1400869424"/>
      </c:barChart>
      <c:catAx>
        <c:axId val="1400866032"/>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Wales</a:t>
                </a:r>
                <a:r>
                  <a:rPr lang="en-US" baseline="0"/>
                  <a:t> Regions </a:t>
                </a:r>
                <a:endParaRPr lang="en-US"/>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GB"/>
          </a:p>
        </c:txPr>
        <c:crossAx val="1400869424"/>
        <c:crosses val="autoZero"/>
        <c:auto val="1"/>
        <c:lblAlgn val="ctr"/>
        <c:lblOffset val="100"/>
        <c:noMultiLvlLbl val="0"/>
      </c:catAx>
      <c:valAx>
        <c:axId val="140086942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Estimated</a:t>
                </a:r>
                <a:r>
                  <a:rPr lang="en-US" baseline="0"/>
                  <a:t> number of rough sleepers </a:t>
                </a:r>
                <a:endParaRPr lang="en-US"/>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GB"/>
          </a:p>
        </c:txPr>
        <c:crossAx val="140086603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GB"/>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5.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6.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11.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4.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15.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6.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7.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8.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19.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0.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E7FBB5-E904-684B-A74A-F2ED38F4C7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20</Pages>
  <Words>2333</Words>
  <Characters>13303</Characters>
  <Application>Microsoft Macintosh Word</Application>
  <DocSecurity>0</DocSecurity>
  <Lines>110</Lines>
  <Paragraphs>31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company</Company>
  <LinksUpToDate>false</LinksUpToDate>
  <CharactersWithSpaces>15605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Lewis Keen (P148069)</dc:creator>
  <cp:keywords/>
  <dc:description/>
  <cp:lastModifiedBy>Lewis Keen (P148069)</cp:lastModifiedBy>
  <cp:revision>2</cp:revision>
  <cp:lastPrinted>2018-01-07T16:41:00Z</cp:lastPrinted>
  <dcterms:created xsi:type="dcterms:W3CDTF">2018-01-12T13:22:00Z</dcterms:created>
  <dcterms:modified xsi:type="dcterms:W3CDTF">2018-01-12T13:22:00Z</dcterms:modified>
</cp:coreProperties>
</file>