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E6099" w14:textId="77777777" w:rsidR="001B0F6F" w:rsidRDefault="001B0F6F" w:rsidP="001735CE">
      <w:pPr>
        <w:rPr>
          <w:lang w:val="en-US"/>
        </w:rPr>
      </w:pPr>
      <w:r>
        <w:rPr>
          <w:lang w:val="en-US"/>
        </w:rPr>
        <w:t xml:space="preserve">                           NAME: Alpha </w:t>
      </w:r>
      <w:proofErr w:type="spellStart"/>
      <w:r>
        <w:rPr>
          <w:lang w:val="en-US"/>
        </w:rPr>
        <w:t>Sillah</w:t>
      </w:r>
      <w:proofErr w:type="spellEnd"/>
    </w:p>
    <w:p w14:paraId="43ACC218" w14:textId="77777777" w:rsidR="001B0F6F" w:rsidRDefault="001B0F6F" w:rsidP="001735CE">
      <w:pPr>
        <w:rPr>
          <w:lang w:val="en-US"/>
        </w:rPr>
      </w:pPr>
      <w:r>
        <w:rPr>
          <w:lang w:val="en-US"/>
        </w:rPr>
        <w:t xml:space="preserve">                     STUDENT NUMBER: 1705038</w:t>
      </w:r>
    </w:p>
    <w:p w14:paraId="559EFDDD" w14:textId="77777777" w:rsidR="001B0F6F" w:rsidRPr="00581469" w:rsidRDefault="001B0F6F" w:rsidP="001735CE">
      <w:pPr>
        <w:rPr>
          <w:b/>
          <w:bCs/>
          <w:lang w:val="en-US"/>
        </w:rPr>
      </w:pPr>
      <w:r>
        <w:rPr>
          <w:lang w:val="en-US"/>
        </w:rPr>
        <w:t xml:space="preserve">                    TASK 1: DEFAMATION ACT 2013 and CONTEMPT OF COURT ACT 1981</w:t>
      </w:r>
    </w:p>
    <w:p w14:paraId="4F7DFDBF" w14:textId="77777777" w:rsidR="001B0F6F" w:rsidRDefault="001B0F6F" w:rsidP="001735CE">
      <w:pPr>
        <w:rPr>
          <w:lang w:val="en-US"/>
        </w:rPr>
      </w:pPr>
      <w:r>
        <w:rPr>
          <w:lang w:val="en-US"/>
        </w:rPr>
        <w:t xml:space="preserve">        This assignment reflects the effects of a just balance between protecting the reputation of an individual by defamation and the press, and the impact of the freedom of expression by the press through public interest.</w:t>
      </w:r>
    </w:p>
    <w:p w14:paraId="2F7C68E5" w14:textId="77777777" w:rsidR="001B0F6F" w:rsidRDefault="001B0F6F" w:rsidP="001735CE">
      <w:pPr>
        <w:rPr>
          <w:b/>
          <w:bCs/>
          <w:lang w:val="en-US"/>
        </w:rPr>
      </w:pPr>
      <w:r>
        <w:rPr>
          <w:lang w:val="en-US"/>
        </w:rPr>
        <w:t xml:space="preserve">                                      </w:t>
      </w:r>
      <w:r>
        <w:rPr>
          <w:b/>
          <w:bCs/>
          <w:lang w:val="en-US"/>
        </w:rPr>
        <w:t>DEFAMATION</w:t>
      </w:r>
    </w:p>
    <w:p w14:paraId="52D0F13B" w14:textId="77777777" w:rsidR="001B0F6F" w:rsidRDefault="001B0F6F" w:rsidP="001735CE">
      <w:pPr>
        <w:rPr>
          <w:lang w:val="en-US"/>
        </w:rPr>
      </w:pPr>
      <w:r>
        <w:rPr>
          <w:lang w:val="en-US"/>
        </w:rPr>
        <w:t>Is the spoken or written information of a false statement or allegation about another person or organizations that unjustly harm their reputations and sometimes may be part of an unjustified injury to claimant’s reputation or a crime. Protecting a person reputation through successful claims may limit the freedom of expression of another person as stated in ECHR Acts 1998 (</w:t>
      </w:r>
      <w:proofErr w:type="spellStart"/>
      <w:r>
        <w:rPr>
          <w:lang w:val="en-US"/>
        </w:rPr>
        <w:t>Whitham</w:t>
      </w:r>
      <w:proofErr w:type="spellEnd"/>
      <w:r>
        <w:rPr>
          <w:lang w:val="en-US"/>
        </w:rPr>
        <w:t xml:space="preserve">, A., Revitalizing Justice: Modernizing the Human Rights Act for a Better Britain, St. Andrews Public Policy Research Group. P.7, V1, ISN 1). Hence, the courts should act impartially to balance reputation and freedom of speech. Two types of defamation: </w:t>
      </w:r>
      <w:r>
        <w:rPr>
          <w:b/>
          <w:bCs/>
          <w:lang w:val="en-US"/>
        </w:rPr>
        <w:t>SLANDER:</w:t>
      </w:r>
      <w:r>
        <w:rPr>
          <w:lang w:val="en-US"/>
        </w:rPr>
        <w:t xml:space="preserve"> These are words that are spoken in falsely manner that could humiliate or damage the image of an individual., can also lead to an attack on some one’s good name. </w:t>
      </w:r>
      <w:r>
        <w:rPr>
          <w:b/>
          <w:bCs/>
          <w:lang w:val="en-US"/>
        </w:rPr>
        <w:t xml:space="preserve">LIBEL: </w:t>
      </w:r>
      <w:r>
        <w:rPr>
          <w:lang w:val="en-US"/>
        </w:rPr>
        <w:t>It is a writing that tends to injure and degrade the reputation of an individual or organizations who are subject to such malicious act and thus exposes such persons to hatred, ridicule and avoided. Such statements are commonly published in the press and libel is a permanent form of defamatory. Contempt of court Act 1981, section 10 stated that:</w:t>
      </w:r>
    </w:p>
    <w:p w14:paraId="34C34EAF" w14:textId="77777777" w:rsidR="001B0F6F" w:rsidRDefault="001B0F6F" w:rsidP="001735CE">
      <w:pPr>
        <w:rPr>
          <w:lang w:val="en-US"/>
        </w:rPr>
      </w:pPr>
      <w:r>
        <w:rPr>
          <w:lang w:val="en-US"/>
        </w:rPr>
        <w:t>“no court may require a person to disclose, nor is any person guilty of contempt of court for refusing to disclosure, the source of information contained in a publication for which he is responsible, unless it be established to the satisfaction of the court that disclosure is necessary in the interest of justice or national security or prevention of disorder or crime”. (legislation.gov.uk,1981, c.49). In this act, “the strict liability rule” means the rule of law whereby the intention may be dealt with as a disrespect of a court. A person is not guilty of disrespect for the court under the strict liability rule as a publisher of any proceeding to which the rule applies if during the time of publication has taken a sensible caution, has no idea or reason to doubt appropriate events are active. A person is not guilty of disrespect for the court under the strict liability rule as a distributor of a publication if at the time has taken a sensible caution, has no idea or reason to doubt it is likely to do so.</w:t>
      </w:r>
    </w:p>
    <w:p w14:paraId="43AE58C7" w14:textId="77777777" w:rsidR="001B0F6F" w:rsidRDefault="001B0F6F" w:rsidP="001735CE">
      <w:pPr>
        <w:rPr>
          <w:lang w:val="en-US"/>
        </w:rPr>
      </w:pPr>
      <w:r w:rsidRPr="00982C5E">
        <w:rPr>
          <w:b/>
          <w:bCs/>
          <w:lang w:val="en-US"/>
        </w:rPr>
        <w:t>Public interest</w:t>
      </w:r>
      <w:r>
        <w:rPr>
          <w:lang w:val="en-US"/>
        </w:rPr>
        <w:t xml:space="preserve">: it is a defense to an action that the plaintiff must demonstrate that the publication of a statement has cause serious damage to his reputation in order to bring forward a defamation claim against the publisher. This is the basis of unwritten laws in defense set up in Reynolds v Times Newspapers (2001), and is meant to think about the beliefs set up in that case and in following the case law. The defendant should provide a statement that the publishing of such statement complained by the claimant was of a matter of public interest. </w:t>
      </w:r>
      <w:r>
        <w:rPr>
          <w:b/>
          <w:bCs/>
          <w:lang w:val="en-US"/>
        </w:rPr>
        <w:t xml:space="preserve">REYNOLDS V TIMES NEWS PAPERS (2001): </w:t>
      </w:r>
      <w:r>
        <w:rPr>
          <w:lang w:val="en-US"/>
        </w:rPr>
        <w:t xml:space="preserve">Former Irish Prime Minister Albert Reynolds resigned after The Times published an article stating that Reynolds had deceived the cabinet and restrained information. Reynolds brought libel action against the Times and the jury held that the defendant Mr. Ruddock had no proofs but he had not acted in ill will in writing the article. Reynolds appealed the decision stating that the judge had instructed the jury wrongly in some aspects. The defendant also cross-appealed the judge’s decision on the point of qualified </w:t>
      </w:r>
      <w:proofErr w:type="spellStart"/>
      <w:r>
        <w:rPr>
          <w:lang w:val="en-US"/>
        </w:rPr>
        <w:t>priviledge</w:t>
      </w:r>
      <w:proofErr w:type="spellEnd"/>
      <w:r>
        <w:rPr>
          <w:lang w:val="en-US"/>
        </w:rPr>
        <w:t xml:space="preserve">. The </w:t>
      </w:r>
      <w:r>
        <w:rPr>
          <w:lang w:val="en-US"/>
        </w:rPr>
        <w:lastRenderedPageBreak/>
        <w:t>court of appeal held against the defendants that Times Newspapers was not protected by qualified privilege. The defendants were granted the permission to appeal the decision of court stating that the issue was of public interest (Global Freedom of Expression,2001, (2), AC 127).</w:t>
      </w:r>
    </w:p>
    <w:p w14:paraId="1290B5E5" w14:textId="77777777" w:rsidR="001B0F6F" w:rsidRDefault="001B0F6F" w:rsidP="001735CE">
      <w:pPr>
        <w:rPr>
          <w:lang w:val="en-US"/>
        </w:rPr>
      </w:pPr>
      <w:r>
        <w:rPr>
          <w:b/>
          <w:bCs/>
          <w:lang w:val="en-US"/>
        </w:rPr>
        <w:t xml:space="preserve">FLOOD AND TIMES NEWS PAPERS LTD (2012):  </w:t>
      </w:r>
      <w:r>
        <w:rPr>
          <w:lang w:val="en-US"/>
        </w:rPr>
        <w:t>The times Newspapers appealed the decision from 2010 stating that it could not depend on Reynolds privilege to defeat defamation claim conducted by the respondent police officer. The times had issued an article in its newspaper and online claiming the police were working on an investigation as to whether a senior police officer Gary Flood was guilty of taking bribes in exchange for sensitive police information. The investigation found no wrongdoings and Flood was dismissed of the allegations but the article was not removed. Flood filed a legal action against the Times for libel and the Court of appeal concluded the journalists had not shown sufficient evidence to back such claims. The Supreme Court allowed the appeal in part by Reynolds’ privilege to protect the publishing as it was a matter of public interest that such information should be published and the publisher acted in a responsible manner (Mills and Scott 2014).</w:t>
      </w:r>
    </w:p>
    <w:p w14:paraId="549EBF5F" w14:textId="77777777" w:rsidR="001B0F6F" w:rsidRDefault="001B0F6F" w:rsidP="001735CE">
      <w:pPr>
        <w:rPr>
          <w:lang w:val="en-US"/>
        </w:rPr>
      </w:pPr>
      <w:r>
        <w:rPr>
          <w:b/>
          <w:bCs/>
          <w:lang w:val="en-US"/>
        </w:rPr>
        <w:t xml:space="preserve">ECONOMOU V de FREITAS (2016): </w:t>
      </w:r>
      <w:r>
        <w:rPr>
          <w:lang w:val="en-US"/>
        </w:rPr>
        <w:t xml:space="preserve">The claimant Mr. </w:t>
      </w:r>
      <w:proofErr w:type="spellStart"/>
      <w:r>
        <w:rPr>
          <w:lang w:val="en-US"/>
        </w:rPr>
        <w:t>Economou</w:t>
      </w:r>
      <w:proofErr w:type="spellEnd"/>
      <w:r>
        <w:rPr>
          <w:lang w:val="en-US"/>
        </w:rPr>
        <w:t xml:space="preserve"> provided the legal action for libel against Mr. de Freitas, the father of the woman with whom he had had an affair and the woman accused him of rape in January 2013. Mr. </w:t>
      </w:r>
      <w:proofErr w:type="spellStart"/>
      <w:r>
        <w:rPr>
          <w:lang w:val="en-US"/>
        </w:rPr>
        <w:t>Economou</w:t>
      </w:r>
      <w:proofErr w:type="spellEnd"/>
      <w:r>
        <w:rPr>
          <w:lang w:val="en-US"/>
        </w:rPr>
        <w:t xml:space="preserve"> was later arrested but there were no criminal charges brought against him. In August 2013, he began a private criminal charge against her accusing that she planned to corrupt the course fair trial by false accusation. The Crown Prosecution Service took over the criminal proceedings, and in April 2014 Ms. Freitas who was suffering from bipolar affective disorder committed suicide, four days before the trial. Mr. de Freitas criticized the CPS alleging there was no proof that his daughter could have lied about the rape. Mr. de Freitas was advised by the coroner to raise the issue as this was a matter of public interest. In November and December 2014, he gave press statements, made a radio and </w:t>
      </w:r>
      <w:proofErr w:type="spellStart"/>
      <w:r>
        <w:rPr>
          <w:lang w:val="en-US"/>
        </w:rPr>
        <w:t>tv</w:t>
      </w:r>
      <w:proofErr w:type="spellEnd"/>
      <w:r>
        <w:rPr>
          <w:lang w:val="en-US"/>
        </w:rPr>
        <w:t xml:space="preserve"> interviews and he published an article. His articles appeared in newspapers and the BBC. Mr. </w:t>
      </w:r>
      <w:proofErr w:type="spellStart"/>
      <w:r>
        <w:rPr>
          <w:lang w:val="en-US"/>
        </w:rPr>
        <w:t>Economou</w:t>
      </w:r>
      <w:proofErr w:type="spellEnd"/>
      <w:r>
        <w:rPr>
          <w:lang w:val="en-US"/>
        </w:rPr>
        <w:t xml:space="preserve"> protested against his name been published in the BBC and five newspapers; four from the Guardian and one from the Telegraph. However, none of these publications had mentioned Mr. </w:t>
      </w:r>
      <w:proofErr w:type="spellStart"/>
      <w:r>
        <w:rPr>
          <w:lang w:val="en-US"/>
        </w:rPr>
        <w:t>Economou</w:t>
      </w:r>
      <w:proofErr w:type="spellEnd"/>
      <w:r>
        <w:rPr>
          <w:lang w:val="en-US"/>
        </w:rPr>
        <w:t xml:space="preserve"> but he contended that he could have been, and was indicated as the person in the said publications. The details of his complain differed to that of various publications but the reason for his complaint was that he was accused of having falsely prosecuted Ms. De Freitas for corrupting the course of justice by accusing him of rape, when in reality he had raped her. The Supreme court upheld the decision that the publication was a matter of public interest. (</w:t>
      </w:r>
      <w:r w:rsidRPr="006C064C">
        <w:rPr>
          <w:lang w:val="en-US"/>
        </w:rPr>
        <w:t>Justice</w:t>
      </w:r>
      <w:r>
        <w:rPr>
          <w:lang w:val="en-US"/>
        </w:rPr>
        <w:t xml:space="preserve"> </w:t>
      </w:r>
      <w:proofErr w:type="spellStart"/>
      <w:r>
        <w:rPr>
          <w:lang w:val="en-US"/>
        </w:rPr>
        <w:t>Warby</w:t>
      </w:r>
      <w:proofErr w:type="spellEnd"/>
      <w:r>
        <w:rPr>
          <w:lang w:val="en-US"/>
        </w:rPr>
        <w:t>, High court of justice, 2016).</w:t>
      </w:r>
    </w:p>
    <w:p w14:paraId="69208DA7" w14:textId="77777777" w:rsidR="001B0F6F" w:rsidRDefault="001B0F6F" w:rsidP="001735CE">
      <w:pPr>
        <w:rPr>
          <w:lang w:val="en-US"/>
        </w:rPr>
      </w:pPr>
      <w:r>
        <w:rPr>
          <w:b/>
          <w:bCs/>
          <w:lang w:val="en-US"/>
        </w:rPr>
        <w:t>LOUTCHANSKY V TIMES NEWSPAPERS LTD (2002):</w:t>
      </w:r>
      <w:r>
        <w:rPr>
          <w:lang w:val="en-US"/>
        </w:rPr>
        <w:t xml:space="preserve">  </w:t>
      </w:r>
      <w:proofErr w:type="spellStart"/>
      <w:r>
        <w:rPr>
          <w:lang w:val="en-US"/>
        </w:rPr>
        <w:t>Loutchansky</w:t>
      </w:r>
      <w:proofErr w:type="spellEnd"/>
      <w:r>
        <w:rPr>
          <w:lang w:val="en-US"/>
        </w:rPr>
        <w:t xml:space="preserve"> brought forward a defamation action against the Times, after The Russian business man was linked to an international money laundering. A series of questions were raised, including whether the two articles issued in the times online website were based on “qualified </w:t>
      </w:r>
      <w:proofErr w:type="spellStart"/>
      <w:r>
        <w:rPr>
          <w:lang w:val="en-US"/>
        </w:rPr>
        <w:t>priviledge</w:t>
      </w:r>
      <w:proofErr w:type="spellEnd"/>
      <w:r>
        <w:rPr>
          <w:lang w:val="en-US"/>
        </w:rPr>
        <w:t xml:space="preserve">”. The Judge had requested a strict and the standard required was that of an “ethical journalism”. The Judge ruled that The Times had not been protected by “qualified </w:t>
      </w:r>
      <w:proofErr w:type="spellStart"/>
      <w:r>
        <w:rPr>
          <w:lang w:val="en-US"/>
        </w:rPr>
        <w:t>priviledge</w:t>
      </w:r>
      <w:proofErr w:type="spellEnd"/>
      <w:r>
        <w:rPr>
          <w:lang w:val="en-US"/>
        </w:rPr>
        <w:t xml:space="preserve">” and that the criminal assertions were too imprecise against the claimant, and he wasn’t given the chance to respond to such claim. There was no justification during the trial and no attempt to show that the publications were based on facts. The Times argued that it was a duty to issue and was a matter of public concern to know about international criminal activities. The Times had made an effort to have the statement of qualified </w:t>
      </w:r>
      <w:proofErr w:type="spellStart"/>
      <w:r>
        <w:rPr>
          <w:lang w:val="en-US"/>
        </w:rPr>
        <w:t>priviledge</w:t>
      </w:r>
      <w:proofErr w:type="spellEnd"/>
      <w:r>
        <w:rPr>
          <w:lang w:val="en-US"/>
        </w:rPr>
        <w:t xml:space="preserve"> to be changed  in light of the HRA that came into effect since Reynolds. In section 12, it is needed that the courts to have a special consideration of freedom of </w:t>
      </w:r>
      <w:r>
        <w:rPr>
          <w:lang w:val="en-US"/>
        </w:rPr>
        <w:lastRenderedPageBreak/>
        <w:t>expression, and it argued that the courts should not be bound to follow the Reynolds resolution. The Court of Appeal had rejected such claim stating:</w:t>
      </w:r>
    </w:p>
    <w:p w14:paraId="20E74052" w14:textId="77777777" w:rsidR="001B0F6F" w:rsidRDefault="001B0F6F" w:rsidP="001735CE">
      <w:pPr>
        <w:rPr>
          <w:lang w:val="en-US"/>
        </w:rPr>
      </w:pPr>
      <w:r>
        <w:rPr>
          <w:lang w:val="en-US"/>
        </w:rPr>
        <w:t xml:space="preserve">“We of course, are bound to follow that (approach) forwarded by The House of Lords in Reynolds’s case…. Complain as he may that their approach conflates a two- part test and effectively pre-empts the jury’s role in deciding malice, Lord Lester (counsel for the Times) must </w:t>
      </w:r>
      <w:proofErr w:type="spellStart"/>
      <w:r>
        <w:rPr>
          <w:lang w:val="en-US"/>
        </w:rPr>
        <w:t>recognise</w:t>
      </w:r>
      <w:proofErr w:type="spellEnd"/>
      <w:r>
        <w:rPr>
          <w:lang w:val="en-US"/>
        </w:rPr>
        <w:t xml:space="preserve"> the constraints of binding authority. The most we can do is attempt to illuminate the single composite test which Reynolds’s case undoubtedly dictates and to identify certain of the crucial considerations likely to influence its applications” (Christopher Waters, 1969, pp.761-764).</w:t>
      </w:r>
    </w:p>
    <w:p w14:paraId="629B5EE8" w14:textId="77777777" w:rsidR="001B0F6F" w:rsidRDefault="001B0F6F" w:rsidP="001735CE">
      <w:pPr>
        <w:rPr>
          <w:lang w:val="en-US"/>
        </w:rPr>
      </w:pPr>
      <w:r>
        <w:rPr>
          <w:b/>
          <w:bCs/>
          <w:lang w:val="en-US"/>
        </w:rPr>
        <w:t xml:space="preserve">FINANCIAL TIMES Ltd V UK (2009): </w:t>
      </w:r>
      <w:r>
        <w:rPr>
          <w:lang w:val="en-US"/>
        </w:rPr>
        <w:t xml:space="preserve">The </w:t>
      </w:r>
      <w:proofErr w:type="spellStart"/>
      <w:r>
        <w:rPr>
          <w:lang w:val="en-US"/>
        </w:rPr>
        <w:t>ECtHR</w:t>
      </w:r>
      <w:proofErr w:type="spellEnd"/>
      <w:r>
        <w:rPr>
          <w:lang w:val="en-US"/>
        </w:rPr>
        <w:t xml:space="preserve"> rejected the right to access information claim brought by the journalist, Mr. Kennedy who was working for the Financial Times, on the fact that they not pursued as fully as possible domestic remedies. The</w:t>
      </w:r>
      <w:r>
        <w:rPr>
          <w:b/>
          <w:bCs/>
          <w:lang w:val="en-US"/>
        </w:rPr>
        <w:t xml:space="preserve"> </w:t>
      </w:r>
      <w:r>
        <w:rPr>
          <w:lang w:val="en-US"/>
        </w:rPr>
        <w:t>Times had argued that the UK was in violation of Article 10 of The ECHR because the exemption provided under sec.32(2) of The Freedom of Information Act 2000 (FOIA) did not evaluate whether the information denied was suitable and necessary. As part of an investigation, The Financial Times had requested the documents from a charitable organization called The Mariam Appeal into an alleged misuse of funds. The Commission at first refused to disclose such documents, claiming it was exempt under on 32(2) of the FOIA but later released some documents after an extended legal process. The Times did not seek every other way of judicial review to gain access to other documents due to the delay and the legal costs. The court came to the conclusion after an overlong review of domestic procedures and European case laws, that to seek a judicial review of every other law, would have an effective legal remedy under the charities Act, thus satisfying the requirements of Article 10. (Global Freedom of Expression, Columbia University, 13 Nov. 2018).</w:t>
      </w:r>
    </w:p>
    <w:p w14:paraId="7D94D14E" w14:textId="77777777" w:rsidR="001B0F6F" w:rsidRDefault="001B0F6F" w:rsidP="001735CE">
      <w:pPr>
        <w:rPr>
          <w:lang w:val="en-US"/>
        </w:rPr>
      </w:pPr>
      <w:r>
        <w:rPr>
          <w:b/>
          <w:bCs/>
          <w:lang w:val="en-US"/>
        </w:rPr>
        <w:t xml:space="preserve">INTERBREW SA V FINACIAL TIMES Ltd (2002): </w:t>
      </w:r>
      <w:r>
        <w:rPr>
          <w:lang w:val="en-US"/>
        </w:rPr>
        <w:t xml:space="preserve">In October 30,2001 the board of </w:t>
      </w:r>
      <w:proofErr w:type="spellStart"/>
      <w:r>
        <w:rPr>
          <w:lang w:val="en-US"/>
        </w:rPr>
        <w:t>Interbrew</w:t>
      </w:r>
      <w:proofErr w:type="spellEnd"/>
      <w:r>
        <w:rPr>
          <w:lang w:val="en-US"/>
        </w:rPr>
        <w:t xml:space="preserve"> SA, a Belgian brewing Group instructed its banks to initiate work on a possible buying of South Africa Breweries plc (SAB). Goldman Sachs produced a confidential, containing data that would likely affect the shares of both </w:t>
      </w:r>
      <w:proofErr w:type="spellStart"/>
      <w:r>
        <w:rPr>
          <w:lang w:val="en-US"/>
        </w:rPr>
        <w:t>Interbrew</w:t>
      </w:r>
      <w:proofErr w:type="spellEnd"/>
      <w:r>
        <w:rPr>
          <w:lang w:val="en-US"/>
        </w:rPr>
        <w:t xml:space="preserve"> SA and SAB. Copies of the leaked document were forwarded to The Financial Times Ltd, The Guardian Newspapers Ltd, Times Newspapers and Reuters Group plc, except the Independent by an insider. A journalist at the Financial Times received a copy and informed Goldman Sachs on the 27 November, 2001, about his plan to publish the leaked document. The Financial Times issued a publication on the website and the Times wrote an article on the arranged offer. Reuters also reported the story the next day, as well as the Guardian. The Independent had published two articles it received from a source but declined to identify. On December 10, 2001 </w:t>
      </w:r>
      <w:proofErr w:type="spellStart"/>
      <w:r>
        <w:rPr>
          <w:lang w:val="en-US"/>
        </w:rPr>
        <w:t>Interbrew</w:t>
      </w:r>
      <w:proofErr w:type="spellEnd"/>
      <w:r>
        <w:rPr>
          <w:lang w:val="en-US"/>
        </w:rPr>
        <w:t xml:space="preserve"> SA began legal actions against the claimants in the High Court for sharing of the copies of the leaked documents and order the claimants to provide names and addresses of any source who had made available with copies of the leaked documents. </w:t>
      </w:r>
      <w:proofErr w:type="spellStart"/>
      <w:r>
        <w:rPr>
          <w:lang w:val="en-US"/>
        </w:rPr>
        <w:t>Interbrew</w:t>
      </w:r>
      <w:proofErr w:type="spellEnd"/>
      <w:r>
        <w:rPr>
          <w:lang w:val="en-US"/>
        </w:rPr>
        <w:t xml:space="preserve"> SA also applied for judicial order to restrain the claimants from changing, spoiling, or destruction of any copies, and an order to deliver up within 24 hours all copies of the documents and to provide a list of all leaked documents within their control in 48 hours. </w:t>
      </w:r>
      <w:proofErr w:type="spellStart"/>
      <w:r>
        <w:rPr>
          <w:lang w:val="en-US"/>
        </w:rPr>
        <w:t>Interbrew</w:t>
      </w:r>
      <w:proofErr w:type="spellEnd"/>
      <w:r>
        <w:rPr>
          <w:lang w:val="en-US"/>
        </w:rPr>
        <w:t xml:space="preserve"> also seek a different order that the claimants should set out names and addresses of every person who had supplied them with copies and if these persons were unknown, under which conditions they had received the documents. Decision was held by the Judge who ordered the return of the documents requested within 24 hours., he also stated that the source had intentionally mixed false information. There was a considerable importance of public interest to identify the source in order to protect the uprightness of the market. The information was needed if </w:t>
      </w:r>
      <w:proofErr w:type="spellStart"/>
      <w:r>
        <w:rPr>
          <w:lang w:val="en-US"/>
        </w:rPr>
        <w:t>Interbrew</w:t>
      </w:r>
      <w:proofErr w:type="spellEnd"/>
      <w:r>
        <w:rPr>
          <w:lang w:val="en-US"/>
        </w:rPr>
        <w:t xml:space="preserve"> SA was to make any progress in identifying the source. The claimants appeal was rejected by the court of appeal., the court argued that </w:t>
      </w:r>
      <w:r>
        <w:rPr>
          <w:lang w:val="en-US"/>
        </w:rPr>
        <w:lastRenderedPageBreak/>
        <w:t xml:space="preserve">there was a public interest to identify the person who committed the act of leaking the documents and also to prevent </w:t>
      </w:r>
      <w:proofErr w:type="spellStart"/>
      <w:r>
        <w:rPr>
          <w:lang w:val="en-US"/>
        </w:rPr>
        <w:t>Interbrew</w:t>
      </w:r>
      <w:proofErr w:type="spellEnd"/>
      <w:r>
        <w:rPr>
          <w:lang w:val="en-US"/>
        </w:rPr>
        <w:t xml:space="preserve"> SA from serious damage. The order was necessary and that the court’s decision should be respected. ( Thomson Reuters ltd, 2010).</w:t>
      </w:r>
    </w:p>
    <w:p w14:paraId="512E942C" w14:textId="77777777" w:rsidR="001B0F6F" w:rsidRDefault="001B0F6F" w:rsidP="001735CE">
      <w:pPr>
        <w:rPr>
          <w:lang w:val="en-US"/>
        </w:rPr>
      </w:pPr>
      <w:r>
        <w:rPr>
          <w:lang w:val="en-US"/>
        </w:rPr>
        <w:t xml:space="preserve"> </w:t>
      </w:r>
      <w:r>
        <w:rPr>
          <w:b/>
          <w:bCs/>
          <w:lang w:val="en-US"/>
        </w:rPr>
        <w:t xml:space="preserve">CONCLUSION: </w:t>
      </w:r>
      <w:r>
        <w:rPr>
          <w:lang w:val="en-US"/>
        </w:rPr>
        <w:t>Defamation laws must be balance in order to protect reputations of individuals or organizations and freedom of expression. The trials of journalists coping with summons and threats over many years had proved that defamation law is filled with undesirable situations and very costly. It is otherwise costly for claimants, while there is some huge amount for damages of public figures, taking into account only one third were successful. (Derek Wilding, The Guardian 2018).</w:t>
      </w:r>
    </w:p>
    <w:p w14:paraId="02F73920" w14:textId="77777777" w:rsidR="001B0F6F" w:rsidRDefault="001B0F6F" w:rsidP="001735CE">
      <w:pPr>
        <w:rPr>
          <w:lang w:val="en-US"/>
        </w:rPr>
      </w:pPr>
      <w:r>
        <w:rPr>
          <w:lang w:val="en-US"/>
        </w:rPr>
        <w:t xml:space="preserve">                                 </w:t>
      </w:r>
      <w:r>
        <w:rPr>
          <w:b/>
          <w:bCs/>
          <w:lang w:val="en-US"/>
        </w:rPr>
        <w:t>REFERENCES</w:t>
      </w:r>
      <w:r>
        <w:rPr>
          <w:lang w:val="en-US"/>
        </w:rPr>
        <w:t>:</w:t>
      </w:r>
    </w:p>
    <w:p w14:paraId="61572BA2" w14:textId="77777777" w:rsidR="001B0F6F" w:rsidRPr="006916B2" w:rsidRDefault="001B0F6F" w:rsidP="001735CE">
      <w:pPr>
        <w:rPr>
          <w:lang w:val="en-US"/>
        </w:rPr>
      </w:pPr>
      <w:r>
        <w:rPr>
          <w:lang w:val="en-US"/>
        </w:rPr>
        <w:t>Defamation Act 2013, the National Archives, matter on public interest, (url: https://legislation.gov.uk/ukpga/2013/26/notes/division/5/4).</w:t>
      </w:r>
    </w:p>
    <w:p w14:paraId="6831C9BB" w14:textId="77777777" w:rsidR="001B0F6F" w:rsidRDefault="001B0F6F" w:rsidP="001735CE">
      <w:pPr>
        <w:rPr>
          <w:lang w:val="en-US"/>
        </w:rPr>
      </w:pPr>
      <w:r>
        <w:rPr>
          <w:lang w:val="en-US"/>
        </w:rPr>
        <w:t>Dykes, H, C., (2013). The defamation Act 2013: A matter of interpretation in the Ongoing battle between free speech and the right to reputation, Manchester Review of Law, Crime and Ethic, p.77 (v 9). (journal)</w:t>
      </w:r>
    </w:p>
    <w:p w14:paraId="591500A5" w14:textId="77777777" w:rsidR="001B0F6F" w:rsidRDefault="001B0F6F" w:rsidP="001735CE">
      <w:pPr>
        <w:rPr>
          <w:lang w:val="en-US"/>
        </w:rPr>
      </w:pPr>
      <w:r>
        <w:rPr>
          <w:lang w:val="en-US"/>
        </w:rPr>
        <w:t>Global Freedom of Expression (2001),(2) AC 127.( url: globalfreedomofexpression.columbia.edu/cases/Reynolds-v-times-newspapers)( journal).</w:t>
      </w:r>
    </w:p>
    <w:p w14:paraId="15C6A17F" w14:textId="77777777" w:rsidR="001B0F6F" w:rsidRDefault="001B0F6F" w:rsidP="001735CE">
      <w:pPr>
        <w:rPr>
          <w:lang w:val="en-US"/>
        </w:rPr>
      </w:pPr>
      <w:r>
        <w:rPr>
          <w:lang w:val="en-US"/>
        </w:rPr>
        <w:t xml:space="preserve">Global freedom of Expression (13 Nov.2018), Administrative Law, Civil Law, Columbia </w:t>
      </w:r>
      <w:proofErr w:type="gramStart"/>
      <w:r>
        <w:rPr>
          <w:lang w:val="en-US"/>
        </w:rPr>
        <w:t>University.(</w:t>
      </w:r>
      <w:proofErr w:type="gramEnd"/>
      <w:r>
        <w:rPr>
          <w:lang w:val="en-US"/>
        </w:rPr>
        <w:t>article)</w:t>
      </w:r>
    </w:p>
    <w:p w14:paraId="002E39AA" w14:textId="77777777" w:rsidR="001B0F6F" w:rsidRDefault="001B0F6F" w:rsidP="001735CE">
      <w:pPr>
        <w:rPr>
          <w:lang w:val="en-US"/>
        </w:rPr>
      </w:pPr>
      <w:r>
        <w:rPr>
          <w:lang w:val="en-US"/>
        </w:rPr>
        <w:t>High Court of Justice Queen’s Bench Division (2016). Royal court of Justice, EWHC</w:t>
      </w:r>
      <w:proofErr w:type="gramStart"/>
      <w:r>
        <w:rPr>
          <w:lang w:val="en-US"/>
        </w:rPr>
        <w:t>1853,QB</w:t>
      </w:r>
      <w:proofErr w:type="gramEnd"/>
      <w:r>
        <w:rPr>
          <w:lang w:val="en-US"/>
        </w:rPr>
        <w:t xml:space="preserve">,(url: </w:t>
      </w:r>
      <w:hyperlink r:id="rId4" w:history="1">
        <w:r w:rsidRPr="00017E5F">
          <w:rPr>
            <w:rStyle w:val="Hyperlink"/>
            <w:lang w:val="en-US"/>
          </w:rPr>
          <w:t>https://judiciary.uk/wp-content/uploads/2016/07/economou-v-de-freitas-2016-ewhc-1853-qb-28-07)</w:t>
        </w:r>
      </w:hyperlink>
      <w:r>
        <w:rPr>
          <w:lang w:val="en-US"/>
        </w:rPr>
        <w:t xml:space="preserve">.( article </w:t>
      </w:r>
    </w:p>
    <w:p w14:paraId="0866EEE6" w14:textId="77777777" w:rsidR="001B0F6F" w:rsidRDefault="001B0F6F" w:rsidP="001735CE">
      <w:pPr>
        <w:rPr>
          <w:lang w:val="en-US"/>
        </w:rPr>
      </w:pPr>
      <w:proofErr w:type="spellStart"/>
      <w:r>
        <w:rPr>
          <w:lang w:val="en-US"/>
        </w:rPr>
        <w:t>Hilser</w:t>
      </w:r>
      <w:proofErr w:type="spellEnd"/>
      <w:r>
        <w:rPr>
          <w:lang w:val="en-US"/>
        </w:rPr>
        <w:t xml:space="preserve">, M, E., (2020). England and Wales’ Defamation Act 2013 and </w:t>
      </w:r>
      <w:proofErr w:type="gramStart"/>
      <w:r>
        <w:rPr>
          <w:lang w:val="en-US"/>
        </w:rPr>
        <w:t>The</w:t>
      </w:r>
      <w:proofErr w:type="gramEnd"/>
      <w:r>
        <w:rPr>
          <w:lang w:val="en-US"/>
        </w:rPr>
        <w:t xml:space="preserve"> public interest defense: An emphasis toward “is it time” over “ will they sue?”, Ariz. J. Int’l and Comp. L., 37,p. 249. (journal).</w:t>
      </w:r>
    </w:p>
    <w:p w14:paraId="6FE7B39D" w14:textId="77777777" w:rsidR="001B0F6F" w:rsidRDefault="001B0F6F" w:rsidP="001735CE">
      <w:pPr>
        <w:rPr>
          <w:lang w:val="en-US"/>
        </w:rPr>
      </w:pPr>
      <w:proofErr w:type="spellStart"/>
      <w:r>
        <w:rPr>
          <w:lang w:val="en-US"/>
        </w:rPr>
        <w:t>Masterman</w:t>
      </w:r>
      <w:proofErr w:type="spellEnd"/>
      <w:r>
        <w:rPr>
          <w:lang w:val="en-US"/>
        </w:rPr>
        <w:t>, R.,( 2004). The Human Rights Act Toolkit 20041 Jenny Watson and Mitchell Woolf: Human Rights act Toolkit. Legal Action Group, 2003, International Journal of Public Sector Management, 17(4), pp.374-374 (journal).</w:t>
      </w:r>
    </w:p>
    <w:p w14:paraId="26E26FE2" w14:textId="77777777" w:rsidR="001B0F6F" w:rsidRDefault="001B0F6F" w:rsidP="001735CE">
      <w:pPr>
        <w:rPr>
          <w:lang w:val="en-US"/>
        </w:rPr>
      </w:pPr>
      <w:r>
        <w:rPr>
          <w:lang w:val="en-US"/>
        </w:rPr>
        <w:t>Mullis, A. and Scott., A (2014). Tilting at Windmills: The defamation Act 2013, the modern law review, 77(1), pp. 87-109 (journal).</w:t>
      </w:r>
    </w:p>
    <w:p w14:paraId="57EB0459" w14:textId="77777777" w:rsidR="001B0F6F" w:rsidRDefault="001B0F6F" w:rsidP="001735CE">
      <w:pPr>
        <w:rPr>
          <w:lang w:val="en-US"/>
        </w:rPr>
      </w:pPr>
      <w:r>
        <w:rPr>
          <w:lang w:val="en-US"/>
        </w:rPr>
        <w:t>Supreme Court, (2012). Flood v Times newspapers, UKSC 11. (url:  https://supremecourt.uk/cases/uksc-2010-0166html.(journal)</w:t>
      </w:r>
    </w:p>
    <w:p w14:paraId="6E129C9A" w14:textId="77777777" w:rsidR="001B0F6F" w:rsidRDefault="001B0F6F" w:rsidP="001735CE">
      <w:pPr>
        <w:rPr>
          <w:lang w:val="en-US"/>
        </w:rPr>
      </w:pPr>
      <w:r>
        <w:rPr>
          <w:lang w:val="en-US"/>
        </w:rPr>
        <w:t>Thom, C. (2013). Using the Defamation Act 2013, CTJTS Ltd (book).</w:t>
      </w:r>
    </w:p>
    <w:p w14:paraId="5B0EAAB8" w14:textId="77777777" w:rsidR="001B0F6F" w:rsidRDefault="001B0F6F" w:rsidP="001735CE">
      <w:pPr>
        <w:rPr>
          <w:lang w:val="en-US"/>
        </w:rPr>
      </w:pPr>
      <w:r>
        <w:rPr>
          <w:lang w:val="en-US"/>
        </w:rPr>
        <w:t xml:space="preserve">Thomson Reuters Ltd (legal) UK,2010, </w:t>
      </w:r>
      <w:proofErr w:type="spellStart"/>
      <w:r>
        <w:rPr>
          <w:lang w:val="en-US"/>
        </w:rPr>
        <w:t>Interbrew</w:t>
      </w:r>
      <w:proofErr w:type="spellEnd"/>
      <w:r>
        <w:rPr>
          <w:lang w:val="en-US"/>
        </w:rPr>
        <w:t xml:space="preserve"> SA v Financial Times Ltd (2002) EWCA civ 274, EMIR 24: ECHR.</w:t>
      </w:r>
    </w:p>
    <w:p w14:paraId="5CB8288A" w14:textId="77777777" w:rsidR="001B0F6F" w:rsidRDefault="001B0F6F" w:rsidP="001735CE">
      <w:pPr>
        <w:rPr>
          <w:lang w:val="en-US"/>
        </w:rPr>
      </w:pPr>
      <w:proofErr w:type="spellStart"/>
      <w:r>
        <w:rPr>
          <w:lang w:val="en-US"/>
        </w:rPr>
        <w:t>Vranjanac</w:t>
      </w:r>
      <w:proofErr w:type="spellEnd"/>
      <w:r>
        <w:rPr>
          <w:lang w:val="en-US"/>
        </w:rPr>
        <w:t xml:space="preserve">, D., (2014). 10.5937/ </w:t>
      </w:r>
      <w:proofErr w:type="spellStart"/>
      <w:r>
        <w:rPr>
          <w:lang w:val="en-US"/>
        </w:rPr>
        <w:t>pravzap</w:t>
      </w:r>
      <w:proofErr w:type="spellEnd"/>
      <w:r>
        <w:rPr>
          <w:lang w:val="en-US"/>
        </w:rPr>
        <w:t xml:space="preserve"> 0-6298= Human Rights act: its impact upon the constitutional system in Great Britain, </w:t>
      </w:r>
      <w:proofErr w:type="spellStart"/>
      <w:r>
        <w:rPr>
          <w:lang w:val="en-US"/>
        </w:rPr>
        <w:t>pravni</w:t>
      </w:r>
      <w:proofErr w:type="spellEnd"/>
      <w:r>
        <w:rPr>
          <w:lang w:val="en-US"/>
        </w:rPr>
        <w:t xml:space="preserve"> </w:t>
      </w:r>
      <w:proofErr w:type="spellStart"/>
      <w:r>
        <w:rPr>
          <w:lang w:val="en-US"/>
        </w:rPr>
        <w:t>zapisi</w:t>
      </w:r>
      <w:proofErr w:type="spellEnd"/>
      <w:r>
        <w:rPr>
          <w:lang w:val="en-US"/>
        </w:rPr>
        <w:t>, (5), pp.81-94(journal).</w:t>
      </w:r>
    </w:p>
    <w:p w14:paraId="1FF80BDA" w14:textId="77777777" w:rsidR="001B0F6F" w:rsidRDefault="001B0F6F" w:rsidP="001735CE">
      <w:pPr>
        <w:rPr>
          <w:lang w:val="en-US"/>
        </w:rPr>
      </w:pPr>
      <w:r>
        <w:rPr>
          <w:lang w:val="en-US"/>
        </w:rPr>
        <w:t xml:space="preserve">Waters, C., (1969). </w:t>
      </w:r>
      <w:proofErr w:type="spellStart"/>
      <w:r>
        <w:rPr>
          <w:lang w:val="en-US"/>
        </w:rPr>
        <w:t>Loutchansky</w:t>
      </w:r>
      <w:proofErr w:type="spellEnd"/>
      <w:r>
        <w:rPr>
          <w:lang w:val="en-US"/>
        </w:rPr>
        <w:t xml:space="preserve"> v Times newspapers: The impact of the UK’s Human Rights Act on Private Law and a comparison with the Canadian Approach, Alberta Law Review, p.761(journal).</w:t>
      </w:r>
    </w:p>
    <w:p w14:paraId="09EB7C3F" w14:textId="77777777" w:rsidR="001B0F6F" w:rsidRDefault="001B0F6F" w:rsidP="001735CE">
      <w:pPr>
        <w:rPr>
          <w:lang w:val="en-US"/>
        </w:rPr>
      </w:pPr>
      <w:proofErr w:type="spellStart"/>
      <w:r>
        <w:rPr>
          <w:lang w:val="en-US"/>
        </w:rPr>
        <w:lastRenderedPageBreak/>
        <w:t>Whitham</w:t>
      </w:r>
      <w:proofErr w:type="spellEnd"/>
      <w:r>
        <w:rPr>
          <w:lang w:val="en-US"/>
        </w:rPr>
        <w:t xml:space="preserve">, A., A </w:t>
      </w:r>
      <w:proofErr w:type="spellStart"/>
      <w:r>
        <w:rPr>
          <w:lang w:val="en-US"/>
        </w:rPr>
        <w:t>revatilizing</w:t>
      </w:r>
      <w:proofErr w:type="spellEnd"/>
      <w:r>
        <w:rPr>
          <w:lang w:val="en-US"/>
        </w:rPr>
        <w:t xml:space="preserve"> Justice: </w:t>
      </w:r>
      <w:proofErr w:type="spellStart"/>
      <w:r>
        <w:rPr>
          <w:lang w:val="en-US"/>
        </w:rPr>
        <w:t>Mordernizing</w:t>
      </w:r>
      <w:proofErr w:type="spellEnd"/>
      <w:r>
        <w:rPr>
          <w:lang w:val="en-US"/>
        </w:rPr>
        <w:t xml:space="preserve"> the Human Rights Acts </w:t>
      </w:r>
      <w:proofErr w:type="gramStart"/>
      <w:r>
        <w:rPr>
          <w:lang w:val="en-US"/>
        </w:rPr>
        <w:t>For</w:t>
      </w:r>
      <w:proofErr w:type="gramEnd"/>
      <w:r>
        <w:rPr>
          <w:lang w:val="en-US"/>
        </w:rPr>
        <w:t xml:space="preserve"> a Better Britain, Matthew Greenwood, St. Andrews Public Policy Research Group, v(1),ISN1, p.7( article).</w:t>
      </w:r>
    </w:p>
    <w:p w14:paraId="2A0A2C65" w14:textId="77777777" w:rsidR="001B0F6F" w:rsidRDefault="001B0F6F" w:rsidP="001735CE">
      <w:pPr>
        <w:rPr>
          <w:lang w:val="en-US"/>
        </w:rPr>
      </w:pPr>
    </w:p>
    <w:p w14:paraId="6355D84F" w14:textId="77777777" w:rsidR="001B0F6F" w:rsidRDefault="001B0F6F" w:rsidP="001735CE">
      <w:pPr>
        <w:rPr>
          <w:lang w:val="en-US"/>
        </w:rPr>
      </w:pPr>
      <w:r>
        <w:rPr>
          <w:lang w:val="en-US"/>
        </w:rPr>
        <w:t xml:space="preserve">                       NAME: Alpha </w:t>
      </w:r>
      <w:proofErr w:type="spellStart"/>
      <w:r>
        <w:rPr>
          <w:lang w:val="en-US"/>
        </w:rPr>
        <w:t>Sillah</w:t>
      </w:r>
      <w:proofErr w:type="spellEnd"/>
    </w:p>
    <w:p w14:paraId="6F5842B0" w14:textId="77777777" w:rsidR="001B0F6F" w:rsidRDefault="001B0F6F" w:rsidP="001735CE">
      <w:pPr>
        <w:rPr>
          <w:lang w:val="en-US"/>
        </w:rPr>
      </w:pPr>
      <w:r>
        <w:rPr>
          <w:lang w:val="en-US"/>
        </w:rPr>
        <w:t xml:space="preserve">          STUDENT NUMBER: 1705038</w:t>
      </w:r>
    </w:p>
    <w:p w14:paraId="28033AAC" w14:textId="77777777" w:rsidR="001B0F6F" w:rsidRDefault="001B0F6F" w:rsidP="001735CE">
      <w:pPr>
        <w:rPr>
          <w:lang w:val="en-US"/>
        </w:rPr>
      </w:pPr>
      <w:r>
        <w:rPr>
          <w:lang w:val="en-US"/>
        </w:rPr>
        <w:t xml:space="preserve">           TASK 2: JUDICIAL REVIEW (ENVIRONMENTAL PROTECTION ACT 2019).</w:t>
      </w:r>
    </w:p>
    <w:p w14:paraId="1EEE9F25" w14:textId="77777777" w:rsidR="001B0F6F" w:rsidRDefault="001B0F6F" w:rsidP="001735CE">
      <w:pPr>
        <w:rPr>
          <w:lang w:val="en-US"/>
        </w:rPr>
      </w:pPr>
      <w:r>
        <w:rPr>
          <w:lang w:val="en-US"/>
        </w:rPr>
        <w:t xml:space="preserve">            </w:t>
      </w:r>
      <w:r>
        <w:rPr>
          <w:b/>
          <w:bCs/>
          <w:lang w:val="en-US"/>
        </w:rPr>
        <w:t>INTRODUCTION:</w:t>
      </w:r>
      <w:r>
        <w:rPr>
          <w:lang w:val="en-US"/>
        </w:rPr>
        <w:t xml:space="preserve"> Judicial review is a process in which an Executive or Legislative action are dealt with to a formal assessment by the judiciary. A court has the power to invalidate any law, acts and any government actions that are found to be conflicting with the Court. The court cannot change what it thinks is the correct decision, as long as the right course of actions have been met. The public body can make the same decision again as long as the action is impartial.</w:t>
      </w:r>
    </w:p>
    <w:p w14:paraId="435C0CEF" w14:textId="77777777" w:rsidR="001B0F6F" w:rsidRDefault="001B0F6F" w:rsidP="001735CE">
      <w:pPr>
        <w:rPr>
          <w:lang w:val="en-US"/>
        </w:rPr>
      </w:pPr>
      <w:r>
        <w:rPr>
          <w:lang w:val="en-US"/>
        </w:rPr>
        <w:t>The Environmental Protection Act 2019 was prepared by the Department for Environmental, Food and Rural Affairs. This purpose amends the Environmental Permitting in England and Wales Regulations 2016, to ensure that UK’s exit from the EU does not affect such instrument. The EPR 2016 is a structure that consists of more than 20 EU Directives and some domestic legislations are implemented in England and Wales. The permits are issued out in compliance of environmental permits, and thus gives the public body the power that such conditions are met. There are more than 300 cross- references contain in the EPR 2016 and not all of those cross- references will function legally once the UK exits the EU, and there are other elements that won’t work as reference to “member states”. The amendments to the EPR 2016 ensure that the law continues to function the same way as before even after the UK have left the EU. Regulating small businesses that undertakes activities require improvement of operating performance, flood risk activities and waste radioactive substances. To reduce the impact on small businesses that employ up to 50 people, the approach of the regulation is to expect the operator to produce a management system which is the same relationship of size and scale. The decision to assist small businesses was taken into account the negative performance it would have on the operator across the sector and the risk of environmental and social impacts if they were to be shut out of such privilege.</w:t>
      </w:r>
    </w:p>
    <w:p w14:paraId="3D68F308" w14:textId="77777777" w:rsidR="001B0F6F" w:rsidRDefault="001B0F6F" w:rsidP="001735CE">
      <w:pPr>
        <w:rPr>
          <w:lang w:val="en-US"/>
        </w:rPr>
      </w:pPr>
      <w:r>
        <w:rPr>
          <w:lang w:val="en-US"/>
        </w:rPr>
        <w:t>PUBLIC BODY: These are wide range of entities that are covered within the sector are formally established organizations that receive funds or grants in order to carry out public or government services.</w:t>
      </w:r>
    </w:p>
    <w:p w14:paraId="7E405B4F" w14:textId="77777777" w:rsidR="001B0F6F" w:rsidRDefault="001B0F6F" w:rsidP="001735CE">
      <w:pPr>
        <w:rPr>
          <w:lang w:val="en-US"/>
        </w:rPr>
      </w:pPr>
      <w:r>
        <w:rPr>
          <w:lang w:val="en-US"/>
        </w:rPr>
        <w:t>PUBLIC LAW: is the ruling of the legal system and thus affect the general population.</w:t>
      </w:r>
    </w:p>
    <w:p w14:paraId="05FBEB00" w14:textId="77777777" w:rsidR="001B0F6F" w:rsidRDefault="001B0F6F" w:rsidP="001735CE">
      <w:pPr>
        <w:rPr>
          <w:lang w:val="en-US"/>
        </w:rPr>
      </w:pPr>
      <w:r>
        <w:rPr>
          <w:lang w:val="en-US"/>
        </w:rPr>
        <w:t>PRIVATE LAW: affects the rights of an individual, families, businesses or groups.</w:t>
      </w:r>
    </w:p>
    <w:p w14:paraId="2C7317DF" w14:textId="77777777" w:rsidR="001B0F6F" w:rsidRDefault="001B0F6F" w:rsidP="001735CE">
      <w:pPr>
        <w:rPr>
          <w:b/>
          <w:bCs/>
          <w:lang w:val="en-US"/>
        </w:rPr>
      </w:pPr>
      <w:r>
        <w:rPr>
          <w:lang w:val="en-US"/>
        </w:rPr>
        <w:t xml:space="preserve">                  </w:t>
      </w:r>
      <w:r>
        <w:rPr>
          <w:b/>
          <w:bCs/>
          <w:lang w:val="en-US"/>
        </w:rPr>
        <w:t>NORTON SOLUTIONS PLC V PLASTIC REGULTORY AUTHORITY</w:t>
      </w:r>
    </w:p>
    <w:p w14:paraId="56679AAE" w14:textId="77777777" w:rsidR="001B0F6F" w:rsidRDefault="001B0F6F" w:rsidP="001735CE">
      <w:pPr>
        <w:rPr>
          <w:lang w:val="en-US"/>
        </w:rPr>
      </w:pPr>
      <w:r>
        <w:rPr>
          <w:lang w:val="en-US"/>
        </w:rPr>
        <w:t xml:space="preserve">Norton Solutions Plc had its application to open a new recycling plant in Mumbles, Swansea, refused by the PRA on the basis that only one license can be issued for one recycling plant within one area. Norton Solutions as an applicant should write of concern to the public body stating why they think the decision was an unlawful act, for refusing the license to open another recycling plant. This stage is called the Procedural Stage. They should state the intention to apply for a judicial review if the public body cannot confirm they will take action within 14 days, that they have identified the action. This letter is known as </w:t>
      </w:r>
      <w:r>
        <w:rPr>
          <w:lang w:val="en-US"/>
        </w:rPr>
        <w:lastRenderedPageBreak/>
        <w:t xml:space="preserve">the pre-action protocol letter and must be written a lawyer who is an expertise in judicial review cases. Most public defendants will withdraw a disputed decision in response to a well drafted pre-protocol letter. The letter will also assist the claimants to find temporary judgement or weaknesses in their arguments, that can help to decide whether their case is strong to move forward with. This pre-protocol can lead to a firm decision of a dispute without the need for a judicial review course of action to begin with. The next stage is the Permission Stage, if there is no satisfactory response from the regulator. Norton Solutions Plc should ask their solicitor to prepare the court papers, communicating with the other side, including the court and instructing a barrister. Legal action starts in the Administrative Court offices in Cardiff, with all documents and forms put together including statements of facts. The papers are served on the public body and any organizations like Nature Reserve Trust (NRT), a pressure group which campaigns nationwide on environmental issues had also some concerns in regards to </w:t>
      </w:r>
      <w:proofErr w:type="spellStart"/>
      <w:r>
        <w:rPr>
          <w:lang w:val="en-US"/>
        </w:rPr>
        <w:t>Lakerec</w:t>
      </w:r>
      <w:proofErr w:type="spellEnd"/>
      <w:r>
        <w:rPr>
          <w:lang w:val="en-US"/>
        </w:rPr>
        <w:t xml:space="preserve"> Ltd that was granted a license by the PRA to open a recycling plant opposite a nature reserve in Swansea, it is in the interest of Nature Reserve Trust to decide whether it wishes to take part in the proceedings.</w:t>
      </w:r>
    </w:p>
    <w:p w14:paraId="5FA5E8CA" w14:textId="77777777" w:rsidR="001B0F6F" w:rsidRDefault="001B0F6F" w:rsidP="001735CE">
      <w:pPr>
        <w:rPr>
          <w:lang w:val="en-US"/>
        </w:rPr>
      </w:pPr>
      <w:r>
        <w:rPr>
          <w:lang w:val="en-US"/>
        </w:rPr>
        <w:t xml:space="preserve">The NRT has a strong case to make and that will be based on illegality and biasness by the PRA in issuing a license to </w:t>
      </w:r>
      <w:proofErr w:type="spellStart"/>
      <w:r>
        <w:rPr>
          <w:lang w:val="en-US"/>
        </w:rPr>
        <w:t>Lakerec</w:t>
      </w:r>
      <w:proofErr w:type="spellEnd"/>
      <w:r>
        <w:rPr>
          <w:lang w:val="en-US"/>
        </w:rPr>
        <w:t xml:space="preserve"> Ltd without considering the negative impact on the environment. The defendant has 21 days to tell the court it has received the papers and should set out arguments, that the claim is indisputable and must not be allowed to proceed.  All documents are brought before the judge and he will decide whether to grant permission to proceed to a full hearing. The judge can grant permission if there is an argument that satisfy the judge; he can refuse the claim if he thinks it is indisputable. The judge may grant permission for a hearing if he considers the case too complicating and needs to be heard and decide immediately, If the permission is refused, Norton Solutions Plc should appeal for oral hearing within seven days. If the permission is refused for oral hearing, the claimant should write an application to the court of appeal within seven days. If the court of appeal refuse to grant permission, the case is considered close.</w:t>
      </w:r>
    </w:p>
    <w:p w14:paraId="7AE07694" w14:textId="77777777" w:rsidR="001B0F6F" w:rsidRDefault="001B0F6F" w:rsidP="001735CE">
      <w:pPr>
        <w:rPr>
          <w:lang w:val="en-US"/>
        </w:rPr>
      </w:pPr>
      <w:r>
        <w:rPr>
          <w:lang w:val="en-US"/>
        </w:rPr>
        <w:t xml:space="preserve"> A date is set by the court for a full hearing, and the public body has 35 days to prepare and give more details on which it is defending.  The case is now set before the judge in the Administrative Court on alleged grounds of review (Illegality, Irrationality and Procedural Impropriety).</w:t>
      </w:r>
    </w:p>
    <w:p w14:paraId="10320CDF" w14:textId="77777777" w:rsidR="001B0F6F" w:rsidRDefault="001B0F6F" w:rsidP="001735CE">
      <w:pPr>
        <w:rPr>
          <w:lang w:val="en-US"/>
        </w:rPr>
      </w:pPr>
      <w:r>
        <w:rPr>
          <w:b/>
          <w:bCs/>
          <w:lang w:val="en-US"/>
        </w:rPr>
        <w:t xml:space="preserve">PROPORTIONALLY: </w:t>
      </w:r>
      <w:r>
        <w:rPr>
          <w:lang w:val="en-US"/>
        </w:rPr>
        <w:t>A decision can be overturned if the public body acted in a way that is conflicting with the Human Rights that are given by the HRA Act 1998.</w:t>
      </w:r>
      <w:r>
        <w:rPr>
          <w:b/>
          <w:bCs/>
          <w:lang w:val="en-US"/>
        </w:rPr>
        <w:t xml:space="preserve"> </w:t>
      </w:r>
      <w:r>
        <w:rPr>
          <w:lang w:val="en-US"/>
        </w:rPr>
        <w:t xml:space="preserve">However, the court cannot over ruled if the public body is acting on parliament order. As the UK is in the </w:t>
      </w:r>
      <w:proofErr w:type="spellStart"/>
      <w:r>
        <w:rPr>
          <w:lang w:val="en-US"/>
        </w:rPr>
        <w:t>Brexit</w:t>
      </w:r>
      <w:proofErr w:type="spellEnd"/>
      <w:r>
        <w:rPr>
          <w:lang w:val="en-US"/>
        </w:rPr>
        <w:t xml:space="preserve"> transition period, the courts must apply legislation that is invalid with the EU law. In 2018, there were 3,597 claims for judicial reviews brought in the High court. Most cases did not get too far, because an applicant must be able to provide strong evidence in order to be granted permission for a full hearing. Only 184 cases (5%) of total cases started, that were given a full hearing in 2018. The rest were either rejected, withdrawn or resolved out of court. The government body under critical observation had won 50% and lost 40% of all cases that proceed to a full hearing. </w:t>
      </w:r>
    </w:p>
    <w:p w14:paraId="6B247949" w14:textId="77777777" w:rsidR="001B0F6F" w:rsidRDefault="001B0F6F" w:rsidP="001735CE">
      <w:pPr>
        <w:rPr>
          <w:lang w:val="en-US"/>
        </w:rPr>
      </w:pPr>
      <w:r>
        <w:rPr>
          <w:b/>
          <w:bCs/>
          <w:lang w:val="en-US"/>
        </w:rPr>
        <w:t xml:space="preserve">FINAL HEARING: </w:t>
      </w:r>
      <w:r>
        <w:rPr>
          <w:lang w:val="en-US"/>
        </w:rPr>
        <w:t xml:space="preserve">Once the permission is granted, the case will now go to a full hearing. The public body has 35 days to make ready and gives more description on the claim it is defending. The case is now set before a judge in The Administrative Court. Lawyers on both sides will set a specified time, make their arguments about the lawfulness of the decision, act or failure to act that the claimant has already challenged. There is no need for the claimant to attend the court proceeding to give on oath. Judgement is given a few weeks later, and both sides need to reach an agreement about who should pay the cost </w:t>
      </w:r>
      <w:r>
        <w:rPr>
          <w:lang w:val="en-US"/>
        </w:rPr>
        <w:lastRenderedPageBreak/>
        <w:t xml:space="preserve">after the judgement. The loser is therefore responsible to pay the costs.  Most judicial hearings may take up to a year before they get permission for a full hearing, except the court decides if the case is urgent. Once the hearing has started, Norton Solutions Plc can ask for an injunction, in order to prevent the public body from acting in an illegal way once the judicial review case is ongoing. Public bodies are free to do what the law permits them to do, and the law is set out in Acts of Parliament and in secondary legislation like regulations, rules, and orders set out by government ministers. All decisions made by a public body must be authorized by a legislation that could define the limits on their powers. The court can impose limitations in taking into account relevant information, address  the right question, not applying a strict policy. Public body must act in a fair way, an impartial body that does not allow decisions based on financial interest or special relationship with one of the parties involved. The public body should obtain guidance from government departments on how to exercise legislations, in a very consistent and fair manner, must also consult people who may be affected. The government is seeking to limit the judicial review by overseeing the delivery of the constitution, democracy and rights commission which was promised in the Queen’s speech. The number of applications for judicial reviews have fallen significantly by 44% between 2015 and the end of September 2019, when the Coalition government in 2013, made it difficult the use of legal aid for challenges and the increase in court fees. The Secretary for Justice, Chris </w:t>
      </w:r>
      <w:proofErr w:type="spellStart"/>
      <w:r>
        <w:rPr>
          <w:lang w:val="en-US"/>
        </w:rPr>
        <w:t>Gayling</w:t>
      </w:r>
      <w:proofErr w:type="spellEnd"/>
      <w:r>
        <w:rPr>
          <w:lang w:val="en-US"/>
        </w:rPr>
        <w:t xml:space="preserve"> said he was determined to drive out “</w:t>
      </w:r>
      <w:proofErr w:type="spellStart"/>
      <w:r>
        <w:rPr>
          <w:lang w:val="en-US"/>
        </w:rPr>
        <w:t>mentless</w:t>
      </w:r>
      <w:proofErr w:type="spellEnd"/>
      <w:r>
        <w:rPr>
          <w:lang w:val="en-US"/>
        </w:rPr>
        <w:t xml:space="preserve"> applications” which were used as a “cheap delaying tactic”. Simon Davis, the president of Law Society of England and Wales, said:</w:t>
      </w:r>
    </w:p>
    <w:p w14:paraId="714DE126" w14:textId="77777777" w:rsidR="001B0F6F" w:rsidRDefault="001B0F6F" w:rsidP="001735CE">
      <w:pPr>
        <w:rPr>
          <w:lang w:val="en-US"/>
        </w:rPr>
      </w:pPr>
      <w:r>
        <w:rPr>
          <w:lang w:val="en-US"/>
        </w:rPr>
        <w:t>“Judicial review is a vital part of checks and balances necessary to protect people from powerful institutions. It underpins the rule of law (Public law project).</w:t>
      </w:r>
    </w:p>
    <w:p w14:paraId="53C363EB" w14:textId="77777777" w:rsidR="001B0F6F" w:rsidRDefault="001B0F6F" w:rsidP="001735CE">
      <w:pPr>
        <w:rPr>
          <w:lang w:val="en-US"/>
        </w:rPr>
      </w:pPr>
      <w:r>
        <w:rPr>
          <w:lang w:val="en-US"/>
        </w:rPr>
        <w:t xml:space="preserve">It is unlikely that Norton Solutions Plc will succeed, as the court will expect a strong claim for judicial review. It is normally an expensive procedure, and the claimant should have to take into account the expenses including lawyers’ fees, court fees, and any other expert fees. If the claimant loose the case, it will be ordered to pay the public body’s legal cost. It is a risky procedure, even if the court decides that the public body has acted unlawfully, the court may decide not to make any changes that has been challenged or give an order to satisfy the claimant. This is because the remedies in judicial review are always decided by the courts, and normally they cannot be applied where a claimant had been successful. The reviews are mostly concerned with the public administration, and the courts will not do anything that could make it impossible for the public body to carry out its duties for the good of the general public. Under section 31(6), Supreme court Act 1981, the court will balance the interests of the individual or organization whether to grant a remedy at all. There are limited remedies that the court can grant when the claimant is asking the court for one or more orders. </w:t>
      </w:r>
      <w:r>
        <w:rPr>
          <w:b/>
          <w:bCs/>
          <w:lang w:val="en-US"/>
        </w:rPr>
        <w:t xml:space="preserve">QUASHING </w:t>
      </w:r>
      <w:r w:rsidRPr="00A00356">
        <w:rPr>
          <w:b/>
          <w:bCs/>
          <w:lang w:val="en-US"/>
        </w:rPr>
        <w:t>ORDER</w:t>
      </w:r>
      <w:r>
        <w:rPr>
          <w:b/>
          <w:bCs/>
          <w:lang w:val="en-US"/>
        </w:rPr>
        <w:t xml:space="preserve">: </w:t>
      </w:r>
      <w:r>
        <w:rPr>
          <w:lang w:val="en-US"/>
        </w:rPr>
        <w:t xml:space="preserve"> The court can overturn the decision so it has no legal effect (Wheeler v Leicester City Council 1985). </w:t>
      </w:r>
      <w:r>
        <w:rPr>
          <w:b/>
          <w:bCs/>
          <w:lang w:val="en-US"/>
        </w:rPr>
        <w:t xml:space="preserve">PROHIBITING ORDER: </w:t>
      </w:r>
      <w:r>
        <w:rPr>
          <w:lang w:val="en-US"/>
        </w:rPr>
        <w:t xml:space="preserve">This order forbids the public body from taking particular unlawful decision (R v Liverpool Cop. Ex p Liverpool Taxi Fleet Operators 1972). </w:t>
      </w:r>
      <w:r>
        <w:rPr>
          <w:b/>
          <w:bCs/>
          <w:lang w:val="en-US"/>
        </w:rPr>
        <w:t xml:space="preserve">MANDATORY ORDER: </w:t>
      </w:r>
      <w:r>
        <w:rPr>
          <w:lang w:val="en-US"/>
        </w:rPr>
        <w:t>This order can be made by the court in order to force a public body to obey the law (</w:t>
      </w:r>
      <w:proofErr w:type="spellStart"/>
      <w:r>
        <w:rPr>
          <w:lang w:val="en-US"/>
        </w:rPr>
        <w:t>Padfield</w:t>
      </w:r>
      <w:proofErr w:type="spellEnd"/>
      <w:r>
        <w:rPr>
          <w:lang w:val="en-US"/>
        </w:rPr>
        <w:t xml:space="preserve"> v Minister of Agriculture 1968). </w:t>
      </w:r>
      <w:r>
        <w:rPr>
          <w:b/>
          <w:bCs/>
          <w:lang w:val="en-US"/>
        </w:rPr>
        <w:t xml:space="preserve">DECLARATION: </w:t>
      </w:r>
      <w:r>
        <w:rPr>
          <w:lang w:val="en-US"/>
        </w:rPr>
        <w:t xml:space="preserve">This a statement by the court that clarifies the legal position as by the claimant and the public body, where the law is disputed, and therefore cannot change their legal position or rights (Congreve v Home Office 1973).  </w:t>
      </w:r>
      <w:r>
        <w:rPr>
          <w:b/>
          <w:bCs/>
          <w:lang w:val="en-US"/>
        </w:rPr>
        <w:t xml:space="preserve">DECLARATION OF INCOMPABILITY: </w:t>
      </w:r>
      <w:r>
        <w:rPr>
          <w:lang w:val="en-US"/>
        </w:rPr>
        <w:t xml:space="preserve">This is a special type of declaration that a particular provision of an Act of Parliament breached the Human Rights Act. This does not have any binding on Parliament however it can force MPs to amend the law on Human Rights Act. The court can also grant an injunction by restraining a public body to make a decision until a final action has been taken by the </w:t>
      </w:r>
      <w:r>
        <w:rPr>
          <w:lang w:val="en-US"/>
        </w:rPr>
        <w:lastRenderedPageBreak/>
        <w:t>court. Even if the court find out that the public body has acted in a wrongful way, it cannot grant a remedy to the claimant. The decision can only be made based on the circumstances and what the courts consider to be suitable, fair and practical. The public body can reconsider its decision and this time by a lawful course of action as the court had made it clear in accordance with law.</w:t>
      </w:r>
    </w:p>
    <w:p w14:paraId="09DD049E" w14:textId="77777777" w:rsidR="001B0F6F" w:rsidRDefault="001B0F6F" w:rsidP="001735CE">
      <w:pPr>
        <w:rPr>
          <w:lang w:val="en-US"/>
        </w:rPr>
      </w:pPr>
      <w:r>
        <w:rPr>
          <w:lang w:val="en-US"/>
        </w:rPr>
        <w:t xml:space="preserve">          </w:t>
      </w:r>
      <w:r>
        <w:rPr>
          <w:b/>
          <w:bCs/>
          <w:lang w:val="en-US"/>
        </w:rPr>
        <w:t xml:space="preserve">CONCLUSION: </w:t>
      </w:r>
      <w:r>
        <w:rPr>
          <w:lang w:val="en-US"/>
        </w:rPr>
        <w:t>The judicial review cases play an important role in the legislative system in the UK. Without judicial review, the government will use its powers to implement its policy and it would be difficult to change. However, judges have no right to conclude that what a government minister or public body has done is unlawful. Once a claimant is successful in the review, he can also seek the court to put forward a policy of a public body that affects general population. Judges have no expertise to decide whether a judicial review case is good or bad, therefore they need to be careful on making judgements. They should abide to the principles of public law whether the decision being challenged was lawful (www.gov.uk/government/publications/administrative/-court-judicial-review-guide/).The Public law project research Director Dr. Joe Tomlinson, told the Law Society Gazette on 8 September 2020:</w:t>
      </w:r>
    </w:p>
    <w:p w14:paraId="183E7FDD" w14:textId="44860285" w:rsidR="004E2F10" w:rsidRPr="00AC6989" w:rsidRDefault="001B0F6F">
      <w:pPr>
        <w:rPr>
          <w:lang w:val="en-US"/>
        </w:rPr>
      </w:pPr>
      <w:r>
        <w:rPr>
          <w:lang w:val="en-US"/>
        </w:rPr>
        <w:t xml:space="preserve">“The government has highlighted the importance of examining data and evidence as part of the reform process. The government has also previously expressed support for evidence-based policy-making in relation to justice reform more generally. In the context of judicial review, such an approach requires detailed consideration of what types of evidence are needed and how any gaps in the evidence base can be addressed. This </w:t>
      </w:r>
      <w:proofErr w:type="spellStart"/>
      <w:r>
        <w:rPr>
          <w:lang w:val="en-US"/>
        </w:rPr>
        <w:t>programme</w:t>
      </w:r>
      <w:proofErr w:type="spellEnd"/>
      <w:r>
        <w:rPr>
          <w:lang w:val="en-US"/>
        </w:rPr>
        <w:t xml:space="preserve"> of discussions will help answer these critical questions and provide a pathway to better reform”. (publiclawproject.org.uk/uncategorized/reform-of-judicial review-looking-at-the-evidence</w:t>
      </w:r>
      <w:r>
        <w:rPr>
          <w:lang w:val="en-US"/>
        </w:rPr>
        <w:t xml:space="preserve"> </w:t>
      </w:r>
      <w:r w:rsidR="001E2B34">
        <w:rPr>
          <w:lang w:val="en-US"/>
        </w:rPr>
        <w:t>/</w:t>
      </w:r>
      <w:r w:rsidR="00513046">
        <w:rPr>
          <w:lang w:val="en-US"/>
        </w:rPr>
        <w:t>)</w:t>
      </w:r>
      <w:r w:rsidR="001E2B34">
        <w:rPr>
          <w:lang w:val="en-US"/>
        </w:rPr>
        <w:t>.</w:t>
      </w:r>
    </w:p>
    <w:p w14:paraId="2C3FBC5E" w14:textId="77777777" w:rsidR="00296120" w:rsidRPr="00624DAA" w:rsidRDefault="00296120">
      <w:pPr>
        <w:rPr>
          <w:lang w:val="en-US"/>
        </w:rPr>
      </w:pPr>
    </w:p>
    <w:p w14:paraId="7F42F3BE" w14:textId="77777777" w:rsidR="009F2F37" w:rsidRDefault="009F2F37">
      <w:pPr>
        <w:rPr>
          <w:lang w:val="en-US"/>
        </w:rPr>
      </w:pPr>
    </w:p>
    <w:p w14:paraId="626D454F" w14:textId="77777777" w:rsidR="007F7496" w:rsidRDefault="007F7496">
      <w:pPr>
        <w:rPr>
          <w:lang w:val="en-US"/>
        </w:rPr>
      </w:pPr>
    </w:p>
    <w:p w14:paraId="525EC114" w14:textId="77777777" w:rsidR="009F3F5B" w:rsidRDefault="009F3F5B">
      <w:pPr>
        <w:rPr>
          <w:lang w:val="en-US"/>
        </w:rPr>
      </w:pPr>
    </w:p>
    <w:p w14:paraId="39329309" w14:textId="77777777" w:rsidR="00754DEA" w:rsidRDefault="00754DEA">
      <w:pPr>
        <w:rPr>
          <w:lang w:val="en-US"/>
        </w:rPr>
      </w:pPr>
    </w:p>
    <w:p w14:paraId="639B18A8" w14:textId="77777777" w:rsidR="00D70F9F" w:rsidRDefault="00D70F9F">
      <w:pPr>
        <w:rPr>
          <w:lang w:val="en-US"/>
        </w:rPr>
      </w:pPr>
    </w:p>
    <w:p w14:paraId="7A974A64" w14:textId="77777777" w:rsidR="00E84ABC" w:rsidRPr="009F1702" w:rsidRDefault="00E84ABC">
      <w:pPr>
        <w:rPr>
          <w:lang w:val="en-US"/>
        </w:rPr>
      </w:pPr>
    </w:p>
    <w:p w14:paraId="4D46AFA8" w14:textId="791E8999" w:rsidR="00031168" w:rsidRDefault="00031168">
      <w:pPr>
        <w:rPr>
          <w:lang w:val="en-US"/>
        </w:rPr>
      </w:pPr>
      <w:r>
        <w:rPr>
          <w:lang w:val="en-US"/>
        </w:rPr>
        <w:t xml:space="preserve">     </w:t>
      </w:r>
    </w:p>
    <w:p w14:paraId="09681B6D" w14:textId="02978806" w:rsidR="00A11309" w:rsidRPr="00C1612A" w:rsidRDefault="002372C0">
      <w:pPr>
        <w:rPr>
          <w:lang w:val="en-US"/>
        </w:rPr>
      </w:pPr>
      <w:r>
        <w:rPr>
          <w:lang w:val="en-US"/>
        </w:rPr>
        <w:t xml:space="preserve"> </w:t>
      </w:r>
    </w:p>
    <w:p w14:paraId="6BB9A5F9" w14:textId="77777777" w:rsidR="00256649" w:rsidRPr="004423B7" w:rsidRDefault="00256649">
      <w:pPr>
        <w:rPr>
          <w:lang w:val="en-US"/>
        </w:rPr>
      </w:pPr>
    </w:p>
    <w:p w14:paraId="2FF0BA28" w14:textId="77777777" w:rsidR="00393430" w:rsidRPr="00DB59BE" w:rsidRDefault="00393430">
      <w:pPr>
        <w:rPr>
          <w:lang w:val="en-US"/>
        </w:rPr>
      </w:pPr>
    </w:p>
    <w:p w14:paraId="1440CD83" w14:textId="77777777" w:rsidR="00A93D37" w:rsidRPr="00A93D37" w:rsidRDefault="00A93D37">
      <w:pPr>
        <w:rPr>
          <w:b/>
          <w:bCs/>
          <w:lang w:val="en-US"/>
        </w:rPr>
      </w:pPr>
    </w:p>
    <w:p w14:paraId="2B9426AE" w14:textId="77777777" w:rsidR="008D70A9" w:rsidRDefault="008D70A9"/>
    <w:sectPr w:rsidR="008D70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DB9"/>
    <w:rsid w:val="00000C99"/>
    <w:rsid w:val="00000EB1"/>
    <w:rsid w:val="00001664"/>
    <w:rsid w:val="00004AF0"/>
    <w:rsid w:val="00004B7F"/>
    <w:rsid w:val="00004E1D"/>
    <w:rsid w:val="0000633F"/>
    <w:rsid w:val="000072DC"/>
    <w:rsid w:val="00010A00"/>
    <w:rsid w:val="00013706"/>
    <w:rsid w:val="0001473F"/>
    <w:rsid w:val="00015E5A"/>
    <w:rsid w:val="00021744"/>
    <w:rsid w:val="000241BC"/>
    <w:rsid w:val="000242E7"/>
    <w:rsid w:val="000251A3"/>
    <w:rsid w:val="00025DD7"/>
    <w:rsid w:val="000274D3"/>
    <w:rsid w:val="00031168"/>
    <w:rsid w:val="000327BE"/>
    <w:rsid w:val="00032BD5"/>
    <w:rsid w:val="000337DA"/>
    <w:rsid w:val="00033D9E"/>
    <w:rsid w:val="00034912"/>
    <w:rsid w:val="00034A53"/>
    <w:rsid w:val="00035C25"/>
    <w:rsid w:val="00035DE5"/>
    <w:rsid w:val="00041B72"/>
    <w:rsid w:val="000420AD"/>
    <w:rsid w:val="000425B4"/>
    <w:rsid w:val="00042609"/>
    <w:rsid w:val="00042682"/>
    <w:rsid w:val="00042AB0"/>
    <w:rsid w:val="000434DE"/>
    <w:rsid w:val="000447B8"/>
    <w:rsid w:val="0004563D"/>
    <w:rsid w:val="0004789B"/>
    <w:rsid w:val="0005393E"/>
    <w:rsid w:val="00053AEC"/>
    <w:rsid w:val="00053C1D"/>
    <w:rsid w:val="0005575C"/>
    <w:rsid w:val="000561F6"/>
    <w:rsid w:val="000579AF"/>
    <w:rsid w:val="00057C21"/>
    <w:rsid w:val="00062456"/>
    <w:rsid w:val="00064C2F"/>
    <w:rsid w:val="0006511C"/>
    <w:rsid w:val="00065C79"/>
    <w:rsid w:val="00066B08"/>
    <w:rsid w:val="00070605"/>
    <w:rsid w:val="00070D0E"/>
    <w:rsid w:val="00072D7A"/>
    <w:rsid w:val="00073353"/>
    <w:rsid w:val="00073F42"/>
    <w:rsid w:val="00074C6B"/>
    <w:rsid w:val="000759A6"/>
    <w:rsid w:val="00075FBE"/>
    <w:rsid w:val="00076C19"/>
    <w:rsid w:val="00077DAC"/>
    <w:rsid w:val="00080C2B"/>
    <w:rsid w:val="00081C5F"/>
    <w:rsid w:val="00082FA2"/>
    <w:rsid w:val="00083DC1"/>
    <w:rsid w:val="00092951"/>
    <w:rsid w:val="00093441"/>
    <w:rsid w:val="000939F7"/>
    <w:rsid w:val="00094D4A"/>
    <w:rsid w:val="000970C0"/>
    <w:rsid w:val="00097F63"/>
    <w:rsid w:val="000A0157"/>
    <w:rsid w:val="000A098C"/>
    <w:rsid w:val="000A12F5"/>
    <w:rsid w:val="000A18E9"/>
    <w:rsid w:val="000A198C"/>
    <w:rsid w:val="000A3E1B"/>
    <w:rsid w:val="000B1E80"/>
    <w:rsid w:val="000B30CF"/>
    <w:rsid w:val="000B53E2"/>
    <w:rsid w:val="000C033A"/>
    <w:rsid w:val="000C5480"/>
    <w:rsid w:val="000D2885"/>
    <w:rsid w:val="000D7A61"/>
    <w:rsid w:val="000E027F"/>
    <w:rsid w:val="000E135B"/>
    <w:rsid w:val="000E1A76"/>
    <w:rsid w:val="000E43CA"/>
    <w:rsid w:val="000E4820"/>
    <w:rsid w:val="000E6001"/>
    <w:rsid w:val="000F0007"/>
    <w:rsid w:val="000F099F"/>
    <w:rsid w:val="000F16A2"/>
    <w:rsid w:val="000F221C"/>
    <w:rsid w:val="000F2297"/>
    <w:rsid w:val="000F2C90"/>
    <w:rsid w:val="000F310E"/>
    <w:rsid w:val="000F403D"/>
    <w:rsid w:val="000F40F0"/>
    <w:rsid w:val="001003A2"/>
    <w:rsid w:val="00101B6B"/>
    <w:rsid w:val="0010210C"/>
    <w:rsid w:val="00104993"/>
    <w:rsid w:val="00105739"/>
    <w:rsid w:val="001065DD"/>
    <w:rsid w:val="001069B3"/>
    <w:rsid w:val="001073AA"/>
    <w:rsid w:val="00107FCA"/>
    <w:rsid w:val="00111312"/>
    <w:rsid w:val="00111C6D"/>
    <w:rsid w:val="001145D4"/>
    <w:rsid w:val="00115645"/>
    <w:rsid w:val="00117782"/>
    <w:rsid w:val="00121362"/>
    <w:rsid w:val="0012148B"/>
    <w:rsid w:val="00121DB9"/>
    <w:rsid w:val="00126277"/>
    <w:rsid w:val="001279F3"/>
    <w:rsid w:val="00127FD5"/>
    <w:rsid w:val="001309AC"/>
    <w:rsid w:val="00132A27"/>
    <w:rsid w:val="0013322F"/>
    <w:rsid w:val="001334D6"/>
    <w:rsid w:val="00134C6A"/>
    <w:rsid w:val="00135B58"/>
    <w:rsid w:val="00136138"/>
    <w:rsid w:val="00136B90"/>
    <w:rsid w:val="00140211"/>
    <w:rsid w:val="00140C15"/>
    <w:rsid w:val="00140D10"/>
    <w:rsid w:val="00141B0F"/>
    <w:rsid w:val="00145B05"/>
    <w:rsid w:val="00145CD5"/>
    <w:rsid w:val="00147397"/>
    <w:rsid w:val="00147E2B"/>
    <w:rsid w:val="0015014C"/>
    <w:rsid w:val="001510B4"/>
    <w:rsid w:val="00151507"/>
    <w:rsid w:val="00151C94"/>
    <w:rsid w:val="00151DB7"/>
    <w:rsid w:val="00151F69"/>
    <w:rsid w:val="00152B51"/>
    <w:rsid w:val="00152FD6"/>
    <w:rsid w:val="00154908"/>
    <w:rsid w:val="00155042"/>
    <w:rsid w:val="00155324"/>
    <w:rsid w:val="00155B6B"/>
    <w:rsid w:val="001561BF"/>
    <w:rsid w:val="00160749"/>
    <w:rsid w:val="00162304"/>
    <w:rsid w:val="0016401E"/>
    <w:rsid w:val="00166936"/>
    <w:rsid w:val="00171057"/>
    <w:rsid w:val="00172EA6"/>
    <w:rsid w:val="00174017"/>
    <w:rsid w:val="0017491E"/>
    <w:rsid w:val="00176986"/>
    <w:rsid w:val="00180176"/>
    <w:rsid w:val="001818F5"/>
    <w:rsid w:val="001826F9"/>
    <w:rsid w:val="00183BD8"/>
    <w:rsid w:val="00183F12"/>
    <w:rsid w:val="001858F0"/>
    <w:rsid w:val="00186692"/>
    <w:rsid w:val="00186C13"/>
    <w:rsid w:val="001870D4"/>
    <w:rsid w:val="00190ADB"/>
    <w:rsid w:val="0019337A"/>
    <w:rsid w:val="001954D1"/>
    <w:rsid w:val="0019555D"/>
    <w:rsid w:val="001960EB"/>
    <w:rsid w:val="001962F7"/>
    <w:rsid w:val="001A1046"/>
    <w:rsid w:val="001A10E6"/>
    <w:rsid w:val="001A12A6"/>
    <w:rsid w:val="001A46C5"/>
    <w:rsid w:val="001A4CD8"/>
    <w:rsid w:val="001A56F3"/>
    <w:rsid w:val="001A5D12"/>
    <w:rsid w:val="001A6836"/>
    <w:rsid w:val="001A6D4B"/>
    <w:rsid w:val="001A7E02"/>
    <w:rsid w:val="001B0736"/>
    <w:rsid w:val="001B0F6F"/>
    <w:rsid w:val="001B1198"/>
    <w:rsid w:val="001B2A6A"/>
    <w:rsid w:val="001B3392"/>
    <w:rsid w:val="001B3402"/>
    <w:rsid w:val="001B3E75"/>
    <w:rsid w:val="001B4292"/>
    <w:rsid w:val="001B4913"/>
    <w:rsid w:val="001B530B"/>
    <w:rsid w:val="001B668E"/>
    <w:rsid w:val="001B6C0F"/>
    <w:rsid w:val="001B7797"/>
    <w:rsid w:val="001C0440"/>
    <w:rsid w:val="001C19F3"/>
    <w:rsid w:val="001C20AB"/>
    <w:rsid w:val="001C53D8"/>
    <w:rsid w:val="001C6459"/>
    <w:rsid w:val="001C7146"/>
    <w:rsid w:val="001C7CB7"/>
    <w:rsid w:val="001D28D3"/>
    <w:rsid w:val="001D30BC"/>
    <w:rsid w:val="001D5B51"/>
    <w:rsid w:val="001D5EB6"/>
    <w:rsid w:val="001D7881"/>
    <w:rsid w:val="001E03E0"/>
    <w:rsid w:val="001E0E6E"/>
    <w:rsid w:val="001E1B52"/>
    <w:rsid w:val="001E2B34"/>
    <w:rsid w:val="001E2E7D"/>
    <w:rsid w:val="001E30D9"/>
    <w:rsid w:val="001E38E3"/>
    <w:rsid w:val="001E774D"/>
    <w:rsid w:val="001F0D2A"/>
    <w:rsid w:val="001F1646"/>
    <w:rsid w:val="001F412E"/>
    <w:rsid w:val="001F52CB"/>
    <w:rsid w:val="00201267"/>
    <w:rsid w:val="00201617"/>
    <w:rsid w:val="00203A08"/>
    <w:rsid w:val="0020616F"/>
    <w:rsid w:val="00206B3B"/>
    <w:rsid w:val="00207661"/>
    <w:rsid w:val="00210310"/>
    <w:rsid w:val="00211657"/>
    <w:rsid w:val="002165E3"/>
    <w:rsid w:val="00216820"/>
    <w:rsid w:val="00220F2B"/>
    <w:rsid w:val="002249B1"/>
    <w:rsid w:val="002253EE"/>
    <w:rsid w:val="0022653F"/>
    <w:rsid w:val="00227BA9"/>
    <w:rsid w:val="00230A19"/>
    <w:rsid w:val="00233BB9"/>
    <w:rsid w:val="00233FB2"/>
    <w:rsid w:val="002372C0"/>
    <w:rsid w:val="002419FB"/>
    <w:rsid w:val="00241FF0"/>
    <w:rsid w:val="002444B3"/>
    <w:rsid w:val="002455CC"/>
    <w:rsid w:val="00245ABA"/>
    <w:rsid w:val="00245D98"/>
    <w:rsid w:val="00246D50"/>
    <w:rsid w:val="00247E65"/>
    <w:rsid w:val="00251B5C"/>
    <w:rsid w:val="002521BC"/>
    <w:rsid w:val="0025283C"/>
    <w:rsid w:val="002529C2"/>
    <w:rsid w:val="00252C2F"/>
    <w:rsid w:val="002536A1"/>
    <w:rsid w:val="00256649"/>
    <w:rsid w:val="00256B4A"/>
    <w:rsid w:val="00256F16"/>
    <w:rsid w:val="00267BEA"/>
    <w:rsid w:val="002706AC"/>
    <w:rsid w:val="00273225"/>
    <w:rsid w:val="00273FDE"/>
    <w:rsid w:val="00274EBC"/>
    <w:rsid w:val="00274F45"/>
    <w:rsid w:val="00275989"/>
    <w:rsid w:val="002769BD"/>
    <w:rsid w:val="002775E8"/>
    <w:rsid w:val="00281731"/>
    <w:rsid w:val="002818E3"/>
    <w:rsid w:val="00281CBB"/>
    <w:rsid w:val="0028321E"/>
    <w:rsid w:val="002832A9"/>
    <w:rsid w:val="00284A3C"/>
    <w:rsid w:val="00284EE9"/>
    <w:rsid w:val="00285F3B"/>
    <w:rsid w:val="00286587"/>
    <w:rsid w:val="00286ADC"/>
    <w:rsid w:val="00286E42"/>
    <w:rsid w:val="0028792A"/>
    <w:rsid w:val="00287954"/>
    <w:rsid w:val="0029013D"/>
    <w:rsid w:val="0029056D"/>
    <w:rsid w:val="002919E3"/>
    <w:rsid w:val="002927EB"/>
    <w:rsid w:val="0029328D"/>
    <w:rsid w:val="00295426"/>
    <w:rsid w:val="00296120"/>
    <w:rsid w:val="0029649F"/>
    <w:rsid w:val="002A042A"/>
    <w:rsid w:val="002A2985"/>
    <w:rsid w:val="002A2AE7"/>
    <w:rsid w:val="002A7211"/>
    <w:rsid w:val="002A7CC7"/>
    <w:rsid w:val="002A7D59"/>
    <w:rsid w:val="002B05EC"/>
    <w:rsid w:val="002B165B"/>
    <w:rsid w:val="002B25FF"/>
    <w:rsid w:val="002C0542"/>
    <w:rsid w:val="002C1CE4"/>
    <w:rsid w:val="002C3697"/>
    <w:rsid w:val="002C379E"/>
    <w:rsid w:val="002C380B"/>
    <w:rsid w:val="002C64CD"/>
    <w:rsid w:val="002D23E1"/>
    <w:rsid w:val="002D2D8E"/>
    <w:rsid w:val="002D3AD2"/>
    <w:rsid w:val="002D3D18"/>
    <w:rsid w:val="002D5932"/>
    <w:rsid w:val="002D62F1"/>
    <w:rsid w:val="002D68E4"/>
    <w:rsid w:val="002E06A9"/>
    <w:rsid w:val="002E1F82"/>
    <w:rsid w:val="002E22C9"/>
    <w:rsid w:val="002E4427"/>
    <w:rsid w:val="002E4AE4"/>
    <w:rsid w:val="002E62C5"/>
    <w:rsid w:val="002E6981"/>
    <w:rsid w:val="002F2165"/>
    <w:rsid w:val="002F26D5"/>
    <w:rsid w:val="002F2902"/>
    <w:rsid w:val="002F3062"/>
    <w:rsid w:val="002F52D3"/>
    <w:rsid w:val="002F747D"/>
    <w:rsid w:val="002F7F5F"/>
    <w:rsid w:val="00300FBF"/>
    <w:rsid w:val="003025CE"/>
    <w:rsid w:val="00303150"/>
    <w:rsid w:val="00303B8C"/>
    <w:rsid w:val="00305004"/>
    <w:rsid w:val="0030546E"/>
    <w:rsid w:val="00305EC7"/>
    <w:rsid w:val="003062CC"/>
    <w:rsid w:val="0030672A"/>
    <w:rsid w:val="00306742"/>
    <w:rsid w:val="00307330"/>
    <w:rsid w:val="00307360"/>
    <w:rsid w:val="00307A76"/>
    <w:rsid w:val="0031415F"/>
    <w:rsid w:val="00314901"/>
    <w:rsid w:val="00314994"/>
    <w:rsid w:val="003153B3"/>
    <w:rsid w:val="003175A2"/>
    <w:rsid w:val="00317F94"/>
    <w:rsid w:val="0032244A"/>
    <w:rsid w:val="00324C5C"/>
    <w:rsid w:val="00325577"/>
    <w:rsid w:val="00326B15"/>
    <w:rsid w:val="00330590"/>
    <w:rsid w:val="00330FFE"/>
    <w:rsid w:val="00332D66"/>
    <w:rsid w:val="0033618B"/>
    <w:rsid w:val="00336AEB"/>
    <w:rsid w:val="00344596"/>
    <w:rsid w:val="00344CF0"/>
    <w:rsid w:val="00344D1A"/>
    <w:rsid w:val="00344FE4"/>
    <w:rsid w:val="0034521D"/>
    <w:rsid w:val="00345EDC"/>
    <w:rsid w:val="00346A1E"/>
    <w:rsid w:val="00346E05"/>
    <w:rsid w:val="00347D07"/>
    <w:rsid w:val="00350664"/>
    <w:rsid w:val="00350ADB"/>
    <w:rsid w:val="00352F34"/>
    <w:rsid w:val="00354A6B"/>
    <w:rsid w:val="00365095"/>
    <w:rsid w:val="00365CB8"/>
    <w:rsid w:val="00373803"/>
    <w:rsid w:val="003754F5"/>
    <w:rsid w:val="00375B47"/>
    <w:rsid w:val="00377AD9"/>
    <w:rsid w:val="0038233A"/>
    <w:rsid w:val="003826AD"/>
    <w:rsid w:val="003846A5"/>
    <w:rsid w:val="00384B94"/>
    <w:rsid w:val="00384C63"/>
    <w:rsid w:val="00385067"/>
    <w:rsid w:val="00386BE8"/>
    <w:rsid w:val="00387CC0"/>
    <w:rsid w:val="003906E4"/>
    <w:rsid w:val="003914D2"/>
    <w:rsid w:val="00393430"/>
    <w:rsid w:val="00393462"/>
    <w:rsid w:val="003935A1"/>
    <w:rsid w:val="00397E46"/>
    <w:rsid w:val="003A3A7B"/>
    <w:rsid w:val="003A5E94"/>
    <w:rsid w:val="003B0DFE"/>
    <w:rsid w:val="003B12ED"/>
    <w:rsid w:val="003B2469"/>
    <w:rsid w:val="003B250A"/>
    <w:rsid w:val="003B3321"/>
    <w:rsid w:val="003B726B"/>
    <w:rsid w:val="003C0259"/>
    <w:rsid w:val="003C1DE0"/>
    <w:rsid w:val="003C1ECE"/>
    <w:rsid w:val="003C2860"/>
    <w:rsid w:val="003C4C41"/>
    <w:rsid w:val="003C57C9"/>
    <w:rsid w:val="003C6B43"/>
    <w:rsid w:val="003C72EE"/>
    <w:rsid w:val="003D18FE"/>
    <w:rsid w:val="003D2BFB"/>
    <w:rsid w:val="003D3252"/>
    <w:rsid w:val="003D3656"/>
    <w:rsid w:val="003D472B"/>
    <w:rsid w:val="003D493B"/>
    <w:rsid w:val="003D4AA2"/>
    <w:rsid w:val="003D72E8"/>
    <w:rsid w:val="003E0C35"/>
    <w:rsid w:val="003E12FD"/>
    <w:rsid w:val="003E35EB"/>
    <w:rsid w:val="003E4FC9"/>
    <w:rsid w:val="003E5035"/>
    <w:rsid w:val="003E56B3"/>
    <w:rsid w:val="003F2093"/>
    <w:rsid w:val="003F2B05"/>
    <w:rsid w:val="003F2CA2"/>
    <w:rsid w:val="003F3280"/>
    <w:rsid w:val="003F4CD8"/>
    <w:rsid w:val="003F6264"/>
    <w:rsid w:val="003F6536"/>
    <w:rsid w:val="003F7B19"/>
    <w:rsid w:val="004006D9"/>
    <w:rsid w:val="00400EE3"/>
    <w:rsid w:val="004012FD"/>
    <w:rsid w:val="004019AE"/>
    <w:rsid w:val="00404102"/>
    <w:rsid w:val="00404310"/>
    <w:rsid w:val="00405084"/>
    <w:rsid w:val="004056D3"/>
    <w:rsid w:val="00405B85"/>
    <w:rsid w:val="0040718E"/>
    <w:rsid w:val="004077C3"/>
    <w:rsid w:val="0041106F"/>
    <w:rsid w:val="004112AF"/>
    <w:rsid w:val="00411D54"/>
    <w:rsid w:val="004135F2"/>
    <w:rsid w:val="00416380"/>
    <w:rsid w:val="0041753A"/>
    <w:rsid w:val="0041776C"/>
    <w:rsid w:val="004179C5"/>
    <w:rsid w:val="00421A0D"/>
    <w:rsid w:val="00422D70"/>
    <w:rsid w:val="00426382"/>
    <w:rsid w:val="00426A04"/>
    <w:rsid w:val="00430E81"/>
    <w:rsid w:val="00430FD3"/>
    <w:rsid w:val="0043279C"/>
    <w:rsid w:val="00433296"/>
    <w:rsid w:val="00433FC6"/>
    <w:rsid w:val="00434DAC"/>
    <w:rsid w:val="00434F22"/>
    <w:rsid w:val="0043733E"/>
    <w:rsid w:val="0044069F"/>
    <w:rsid w:val="004407AB"/>
    <w:rsid w:val="004421C4"/>
    <w:rsid w:val="004423B7"/>
    <w:rsid w:val="004429EE"/>
    <w:rsid w:val="00442A17"/>
    <w:rsid w:val="00442A40"/>
    <w:rsid w:val="00442C05"/>
    <w:rsid w:val="00443184"/>
    <w:rsid w:val="00446CE6"/>
    <w:rsid w:val="00446FFD"/>
    <w:rsid w:val="00447796"/>
    <w:rsid w:val="004477E6"/>
    <w:rsid w:val="00447A74"/>
    <w:rsid w:val="00447F7A"/>
    <w:rsid w:val="00455359"/>
    <w:rsid w:val="00457367"/>
    <w:rsid w:val="00457FA7"/>
    <w:rsid w:val="00460321"/>
    <w:rsid w:val="004607F5"/>
    <w:rsid w:val="0046323D"/>
    <w:rsid w:val="00467037"/>
    <w:rsid w:val="00467170"/>
    <w:rsid w:val="00467875"/>
    <w:rsid w:val="00470468"/>
    <w:rsid w:val="004719F7"/>
    <w:rsid w:val="00472796"/>
    <w:rsid w:val="00472EB9"/>
    <w:rsid w:val="004750F8"/>
    <w:rsid w:val="00476CD1"/>
    <w:rsid w:val="004770F2"/>
    <w:rsid w:val="004775EC"/>
    <w:rsid w:val="00481032"/>
    <w:rsid w:val="00481A04"/>
    <w:rsid w:val="00484490"/>
    <w:rsid w:val="00484D71"/>
    <w:rsid w:val="0048586E"/>
    <w:rsid w:val="00486493"/>
    <w:rsid w:val="00486A2C"/>
    <w:rsid w:val="00487D88"/>
    <w:rsid w:val="00490005"/>
    <w:rsid w:val="00490415"/>
    <w:rsid w:val="00493EA9"/>
    <w:rsid w:val="00494422"/>
    <w:rsid w:val="004945C6"/>
    <w:rsid w:val="0049475A"/>
    <w:rsid w:val="00495641"/>
    <w:rsid w:val="00496B9D"/>
    <w:rsid w:val="004A02A3"/>
    <w:rsid w:val="004A050C"/>
    <w:rsid w:val="004A089B"/>
    <w:rsid w:val="004A14B4"/>
    <w:rsid w:val="004A2BAF"/>
    <w:rsid w:val="004A2EB6"/>
    <w:rsid w:val="004A69E8"/>
    <w:rsid w:val="004B17C9"/>
    <w:rsid w:val="004B37E7"/>
    <w:rsid w:val="004B382A"/>
    <w:rsid w:val="004B3CC2"/>
    <w:rsid w:val="004B50FF"/>
    <w:rsid w:val="004B6EA8"/>
    <w:rsid w:val="004C36EA"/>
    <w:rsid w:val="004C3B9F"/>
    <w:rsid w:val="004C48C5"/>
    <w:rsid w:val="004C6D55"/>
    <w:rsid w:val="004C6E7C"/>
    <w:rsid w:val="004D0DD5"/>
    <w:rsid w:val="004D3F5D"/>
    <w:rsid w:val="004D4C1E"/>
    <w:rsid w:val="004D51C8"/>
    <w:rsid w:val="004E0164"/>
    <w:rsid w:val="004E0997"/>
    <w:rsid w:val="004E1105"/>
    <w:rsid w:val="004E11AD"/>
    <w:rsid w:val="004E1231"/>
    <w:rsid w:val="004E22F0"/>
    <w:rsid w:val="004E2B09"/>
    <w:rsid w:val="004E2F10"/>
    <w:rsid w:val="004E3119"/>
    <w:rsid w:val="004E3C96"/>
    <w:rsid w:val="004E4827"/>
    <w:rsid w:val="004E576B"/>
    <w:rsid w:val="004F4203"/>
    <w:rsid w:val="004F7C21"/>
    <w:rsid w:val="00501FFD"/>
    <w:rsid w:val="00503812"/>
    <w:rsid w:val="0050466F"/>
    <w:rsid w:val="0050486C"/>
    <w:rsid w:val="00505151"/>
    <w:rsid w:val="00505DA1"/>
    <w:rsid w:val="005061D7"/>
    <w:rsid w:val="00506382"/>
    <w:rsid w:val="00506DDF"/>
    <w:rsid w:val="00507AC8"/>
    <w:rsid w:val="0051095D"/>
    <w:rsid w:val="005113AF"/>
    <w:rsid w:val="00512506"/>
    <w:rsid w:val="00513046"/>
    <w:rsid w:val="00513EA2"/>
    <w:rsid w:val="00514A83"/>
    <w:rsid w:val="0052226E"/>
    <w:rsid w:val="00522C4A"/>
    <w:rsid w:val="00527067"/>
    <w:rsid w:val="00527A2A"/>
    <w:rsid w:val="0053358E"/>
    <w:rsid w:val="00537216"/>
    <w:rsid w:val="00537BA7"/>
    <w:rsid w:val="005420E6"/>
    <w:rsid w:val="00543401"/>
    <w:rsid w:val="0054408C"/>
    <w:rsid w:val="0054475B"/>
    <w:rsid w:val="00546E58"/>
    <w:rsid w:val="00551714"/>
    <w:rsid w:val="005523B0"/>
    <w:rsid w:val="00553898"/>
    <w:rsid w:val="00553DA5"/>
    <w:rsid w:val="00556029"/>
    <w:rsid w:val="00556DFA"/>
    <w:rsid w:val="005639A8"/>
    <w:rsid w:val="005647F3"/>
    <w:rsid w:val="00564D6E"/>
    <w:rsid w:val="0056572F"/>
    <w:rsid w:val="00567750"/>
    <w:rsid w:val="005704E9"/>
    <w:rsid w:val="00572042"/>
    <w:rsid w:val="005740DF"/>
    <w:rsid w:val="0057514B"/>
    <w:rsid w:val="0057550E"/>
    <w:rsid w:val="00575712"/>
    <w:rsid w:val="005763E5"/>
    <w:rsid w:val="0057689F"/>
    <w:rsid w:val="0058061F"/>
    <w:rsid w:val="005806FD"/>
    <w:rsid w:val="00580AC5"/>
    <w:rsid w:val="00581469"/>
    <w:rsid w:val="00581643"/>
    <w:rsid w:val="00581E96"/>
    <w:rsid w:val="005822E8"/>
    <w:rsid w:val="00583302"/>
    <w:rsid w:val="005845C4"/>
    <w:rsid w:val="0058633F"/>
    <w:rsid w:val="00590353"/>
    <w:rsid w:val="00590693"/>
    <w:rsid w:val="005942E9"/>
    <w:rsid w:val="005955FE"/>
    <w:rsid w:val="005961A9"/>
    <w:rsid w:val="005975F0"/>
    <w:rsid w:val="00597D77"/>
    <w:rsid w:val="005A14EE"/>
    <w:rsid w:val="005B10A1"/>
    <w:rsid w:val="005B266C"/>
    <w:rsid w:val="005B425D"/>
    <w:rsid w:val="005C107A"/>
    <w:rsid w:val="005C284C"/>
    <w:rsid w:val="005C2DE7"/>
    <w:rsid w:val="005C3C2F"/>
    <w:rsid w:val="005C3E44"/>
    <w:rsid w:val="005C53CE"/>
    <w:rsid w:val="005C6587"/>
    <w:rsid w:val="005C6D68"/>
    <w:rsid w:val="005D0C20"/>
    <w:rsid w:val="005D2041"/>
    <w:rsid w:val="005D316F"/>
    <w:rsid w:val="005D4703"/>
    <w:rsid w:val="005D4C28"/>
    <w:rsid w:val="005D4D2A"/>
    <w:rsid w:val="005D4F88"/>
    <w:rsid w:val="005D6416"/>
    <w:rsid w:val="005D691D"/>
    <w:rsid w:val="005D6C94"/>
    <w:rsid w:val="005D6EE5"/>
    <w:rsid w:val="005D7E5B"/>
    <w:rsid w:val="005E064D"/>
    <w:rsid w:val="005E0AAA"/>
    <w:rsid w:val="005E1AD6"/>
    <w:rsid w:val="005E30D1"/>
    <w:rsid w:val="005E3DB7"/>
    <w:rsid w:val="005E4372"/>
    <w:rsid w:val="005E4B85"/>
    <w:rsid w:val="005E609B"/>
    <w:rsid w:val="005E78A5"/>
    <w:rsid w:val="005E79BB"/>
    <w:rsid w:val="005F0999"/>
    <w:rsid w:val="005F1AC8"/>
    <w:rsid w:val="005F3CE6"/>
    <w:rsid w:val="005F5D34"/>
    <w:rsid w:val="005F70A8"/>
    <w:rsid w:val="005F7DB6"/>
    <w:rsid w:val="00601096"/>
    <w:rsid w:val="00601CA4"/>
    <w:rsid w:val="00603374"/>
    <w:rsid w:val="00603E7B"/>
    <w:rsid w:val="00605506"/>
    <w:rsid w:val="0061084B"/>
    <w:rsid w:val="00611497"/>
    <w:rsid w:val="00611F25"/>
    <w:rsid w:val="00614A4F"/>
    <w:rsid w:val="0062295F"/>
    <w:rsid w:val="00624DAA"/>
    <w:rsid w:val="006269C6"/>
    <w:rsid w:val="006306C7"/>
    <w:rsid w:val="0063145E"/>
    <w:rsid w:val="0063461E"/>
    <w:rsid w:val="00635F79"/>
    <w:rsid w:val="006366C7"/>
    <w:rsid w:val="00636733"/>
    <w:rsid w:val="00636EE6"/>
    <w:rsid w:val="006404FE"/>
    <w:rsid w:val="00640540"/>
    <w:rsid w:val="006440F2"/>
    <w:rsid w:val="0064474D"/>
    <w:rsid w:val="00645950"/>
    <w:rsid w:val="006562C9"/>
    <w:rsid w:val="00657366"/>
    <w:rsid w:val="00661B43"/>
    <w:rsid w:val="0066264A"/>
    <w:rsid w:val="00665BE3"/>
    <w:rsid w:val="00665E0D"/>
    <w:rsid w:val="00667A1C"/>
    <w:rsid w:val="00672186"/>
    <w:rsid w:val="006726FD"/>
    <w:rsid w:val="00672E0D"/>
    <w:rsid w:val="0067461C"/>
    <w:rsid w:val="00675DB7"/>
    <w:rsid w:val="00676BE3"/>
    <w:rsid w:val="00676DC9"/>
    <w:rsid w:val="00680019"/>
    <w:rsid w:val="00680AD7"/>
    <w:rsid w:val="00681D66"/>
    <w:rsid w:val="00682EFC"/>
    <w:rsid w:val="006845ED"/>
    <w:rsid w:val="00684C34"/>
    <w:rsid w:val="00690199"/>
    <w:rsid w:val="006916B2"/>
    <w:rsid w:val="00692702"/>
    <w:rsid w:val="00695DE2"/>
    <w:rsid w:val="00696046"/>
    <w:rsid w:val="006966A0"/>
    <w:rsid w:val="00696F58"/>
    <w:rsid w:val="006975A4"/>
    <w:rsid w:val="00697A39"/>
    <w:rsid w:val="006A0580"/>
    <w:rsid w:val="006A17B5"/>
    <w:rsid w:val="006A2040"/>
    <w:rsid w:val="006A2906"/>
    <w:rsid w:val="006A4E90"/>
    <w:rsid w:val="006A4F8F"/>
    <w:rsid w:val="006A5918"/>
    <w:rsid w:val="006A69F2"/>
    <w:rsid w:val="006A6AE1"/>
    <w:rsid w:val="006A6AE7"/>
    <w:rsid w:val="006A74E6"/>
    <w:rsid w:val="006A7B1D"/>
    <w:rsid w:val="006B09E8"/>
    <w:rsid w:val="006B16F0"/>
    <w:rsid w:val="006B2673"/>
    <w:rsid w:val="006B2D79"/>
    <w:rsid w:val="006B2E81"/>
    <w:rsid w:val="006B4B5C"/>
    <w:rsid w:val="006B4D1B"/>
    <w:rsid w:val="006B4F74"/>
    <w:rsid w:val="006B506A"/>
    <w:rsid w:val="006C064C"/>
    <w:rsid w:val="006C5907"/>
    <w:rsid w:val="006C5CF1"/>
    <w:rsid w:val="006C7204"/>
    <w:rsid w:val="006C7A82"/>
    <w:rsid w:val="006D0756"/>
    <w:rsid w:val="006D2609"/>
    <w:rsid w:val="006D2C67"/>
    <w:rsid w:val="006D562F"/>
    <w:rsid w:val="006D5713"/>
    <w:rsid w:val="006D5ABD"/>
    <w:rsid w:val="006D5F01"/>
    <w:rsid w:val="006D6DD9"/>
    <w:rsid w:val="006E0071"/>
    <w:rsid w:val="006E09DD"/>
    <w:rsid w:val="006E0A32"/>
    <w:rsid w:val="006E3941"/>
    <w:rsid w:val="006E4250"/>
    <w:rsid w:val="006E617D"/>
    <w:rsid w:val="006E786F"/>
    <w:rsid w:val="006F0135"/>
    <w:rsid w:val="006F1289"/>
    <w:rsid w:val="007004AE"/>
    <w:rsid w:val="007006A2"/>
    <w:rsid w:val="007008F1"/>
    <w:rsid w:val="0070335A"/>
    <w:rsid w:val="0070357B"/>
    <w:rsid w:val="00706343"/>
    <w:rsid w:val="0070683A"/>
    <w:rsid w:val="00711197"/>
    <w:rsid w:val="00713C45"/>
    <w:rsid w:val="00714BA9"/>
    <w:rsid w:val="00715426"/>
    <w:rsid w:val="00716826"/>
    <w:rsid w:val="00716AB5"/>
    <w:rsid w:val="00717135"/>
    <w:rsid w:val="00717A47"/>
    <w:rsid w:val="00717A66"/>
    <w:rsid w:val="00717E71"/>
    <w:rsid w:val="00722B8D"/>
    <w:rsid w:val="00723B85"/>
    <w:rsid w:val="00725B09"/>
    <w:rsid w:val="007301C7"/>
    <w:rsid w:val="007302F6"/>
    <w:rsid w:val="0073039A"/>
    <w:rsid w:val="007327B9"/>
    <w:rsid w:val="0073625F"/>
    <w:rsid w:val="007423B8"/>
    <w:rsid w:val="007433A4"/>
    <w:rsid w:val="00743E71"/>
    <w:rsid w:val="00746404"/>
    <w:rsid w:val="00746985"/>
    <w:rsid w:val="00747C44"/>
    <w:rsid w:val="00750147"/>
    <w:rsid w:val="00750A6B"/>
    <w:rsid w:val="00750B5F"/>
    <w:rsid w:val="007510D0"/>
    <w:rsid w:val="00752F9E"/>
    <w:rsid w:val="00754DEA"/>
    <w:rsid w:val="00757675"/>
    <w:rsid w:val="007576BA"/>
    <w:rsid w:val="0076063B"/>
    <w:rsid w:val="0076256C"/>
    <w:rsid w:val="0076465A"/>
    <w:rsid w:val="00770441"/>
    <w:rsid w:val="0077075B"/>
    <w:rsid w:val="00772796"/>
    <w:rsid w:val="0077539A"/>
    <w:rsid w:val="00777E2B"/>
    <w:rsid w:val="0078245E"/>
    <w:rsid w:val="0078337D"/>
    <w:rsid w:val="00790AEA"/>
    <w:rsid w:val="00791397"/>
    <w:rsid w:val="00794175"/>
    <w:rsid w:val="00797566"/>
    <w:rsid w:val="007A0560"/>
    <w:rsid w:val="007A0A1B"/>
    <w:rsid w:val="007A7E83"/>
    <w:rsid w:val="007B2326"/>
    <w:rsid w:val="007B29BD"/>
    <w:rsid w:val="007B3902"/>
    <w:rsid w:val="007B3B9B"/>
    <w:rsid w:val="007B512E"/>
    <w:rsid w:val="007B7054"/>
    <w:rsid w:val="007C10E4"/>
    <w:rsid w:val="007C1FEE"/>
    <w:rsid w:val="007C382C"/>
    <w:rsid w:val="007C3896"/>
    <w:rsid w:val="007C3A9B"/>
    <w:rsid w:val="007C3EB0"/>
    <w:rsid w:val="007C447C"/>
    <w:rsid w:val="007C4F22"/>
    <w:rsid w:val="007C61C4"/>
    <w:rsid w:val="007C73E6"/>
    <w:rsid w:val="007D2170"/>
    <w:rsid w:val="007D3FA7"/>
    <w:rsid w:val="007D4104"/>
    <w:rsid w:val="007D485A"/>
    <w:rsid w:val="007D4DD0"/>
    <w:rsid w:val="007D5733"/>
    <w:rsid w:val="007D7563"/>
    <w:rsid w:val="007D77A3"/>
    <w:rsid w:val="007E04A3"/>
    <w:rsid w:val="007E134E"/>
    <w:rsid w:val="007E1D30"/>
    <w:rsid w:val="007E41C4"/>
    <w:rsid w:val="007E4CE1"/>
    <w:rsid w:val="007E6EC0"/>
    <w:rsid w:val="007E7A45"/>
    <w:rsid w:val="007F0C7D"/>
    <w:rsid w:val="007F7496"/>
    <w:rsid w:val="0080137A"/>
    <w:rsid w:val="00801E25"/>
    <w:rsid w:val="00802050"/>
    <w:rsid w:val="0080242C"/>
    <w:rsid w:val="008044FC"/>
    <w:rsid w:val="00804C4F"/>
    <w:rsid w:val="00805C59"/>
    <w:rsid w:val="00812CC0"/>
    <w:rsid w:val="0081303E"/>
    <w:rsid w:val="00814422"/>
    <w:rsid w:val="00814D89"/>
    <w:rsid w:val="00814DDD"/>
    <w:rsid w:val="0081577C"/>
    <w:rsid w:val="00816401"/>
    <w:rsid w:val="008232AC"/>
    <w:rsid w:val="00823F2E"/>
    <w:rsid w:val="008255AD"/>
    <w:rsid w:val="00825684"/>
    <w:rsid w:val="00825907"/>
    <w:rsid w:val="0082666E"/>
    <w:rsid w:val="00833F6D"/>
    <w:rsid w:val="0083589D"/>
    <w:rsid w:val="00835A93"/>
    <w:rsid w:val="008376D2"/>
    <w:rsid w:val="008402B9"/>
    <w:rsid w:val="00840B26"/>
    <w:rsid w:val="00842917"/>
    <w:rsid w:val="00842BEB"/>
    <w:rsid w:val="008438DF"/>
    <w:rsid w:val="0084529F"/>
    <w:rsid w:val="00845B38"/>
    <w:rsid w:val="00846D7B"/>
    <w:rsid w:val="008506B8"/>
    <w:rsid w:val="00852FC8"/>
    <w:rsid w:val="0085433E"/>
    <w:rsid w:val="008557AF"/>
    <w:rsid w:val="00855AB4"/>
    <w:rsid w:val="008579CD"/>
    <w:rsid w:val="00860482"/>
    <w:rsid w:val="00860FA6"/>
    <w:rsid w:val="00861502"/>
    <w:rsid w:val="00861E05"/>
    <w:rsid w:val="0086761E"/>
    <w:rsid w:val="00870363"/>
    <w:rsid w:val="00872106"/>
    <w:rsid w:val="00873A67"/>
    <w:rsid w:val="00874CAB"/>
    <w:rsid w:val="0087597E"/>
    <w:rsid w:val="00876375"/>
    <w:rsid w:val="00876C9C"/>
    <w:rsid w:val="00881467"/>
    <w:rsid w:val="00881C21"/>
    <w:rsid w:val="00882377"/>
    <w:rsid w:val="00882DBA"/>
    <w:rsid w:val="00883985"/>
    <w:rsid w:val="00883E97"/>
    <w:rsid w:val="00884A15"/>
    <w:rsid w:val="00886211"/>
    <w:rsid w:val="008865B1"/>
    <w:rsid w:val="008868DC"/>
    <w:rsid w:val="00886FE2"/>
    <w:rsid w:val="00893B9F"/>
    <w:rsid w:val="00894EFA"/>
    <w:rsid w:val="00895BD4"/>
    <w:rsid w:val="008A134A"/>
    <w:rsid w:val="008A327D"/>
    <w:rsid w:val="008A3CCB"/>
    <w:rsid w:val="008A5073"/>
    <w:rsid w:val="008A76A9"/>
    <w:rsid w:val="008A7C5E"/>
    <w:rsid w:val="008A7D25"/>
    <w:rsid w:val="008B0524"/>
    <w:rsid w:val="008B1A0C"/>
    <w:rsid w:val="008B27DD"/>
    <w:rsid w:val="008B4791"/>
    <w:rsid w:val="008B4A71"/>
    <w:rsid w:val="008B7E9A"/>
    <w:rsid w:val="008C24F6"/>
    <w:rsid w:val="008C392A"/>
    <w:rsid w:val="008C4171"/>
    <w:rsid w:val="008C55DE"/>
    <w:rsid w:val="008C55EB"/>
    <w:rsid w:val="008C64C1"/>
    <w:rsid w:val="008C797E"/>
    <w:rsid w:val="008D17DA"/>
    <w:rsid w:val="008D4B57"/>
    <w:rsid w:val="008D5538"/>
    <w:rsid w:val="008D70A9"/>
    <w:rsid w:val="008E0EC0"/>
    <w:rsid w:val="008E21F3"/>
    <w:rsid w:val="008E404C"/>
    <w:rsid w:val="008E522C"/>
    <w:rsid w:val="008E6A53"/>
    <w:rsid w:val="008E6AE4"/>
    <w:rsid w:val="008E736D"/>
    <w:rsid w:val="008E7F59"/>
    <w:rsid w:val="008F0630"/>
    <w:rsid w:val="008F086B"/>
    <w:rsid w:val="008F11D8"/>
    <w:rsid w:val="008F282B"/>
    <w:rsid w:val="008F4916"/>
    <w:rsid w:val="008F4E77"/>
    <w:rsid w:val="008F4EF4"/>
    <w:rsid w:val="008F5C1D"/>
    <w:rsid w:val="008F6B9D"/>
    <w:rsid w:val="008F6F5C"/>
    <w:rsid w:val="008F739E"/>
    <w:rsid w:val="00900A9C"/>
    <w:rsid w:val="00901D8A"/>
    <w:rsid w:val="009022E5"/>
    <w:rsid w:val="00903D21"/>
    <w:rsid w:val="00905775"/>
    <w:rsid w:val="00905808"/>
    <w:rsid w:val="009102A6"/>
    <w:rsid w:val="009128A7"/>
    <w:rsid w:val="00914112"/>
    <w:rsid w:val="00914563"/>
    <w:rsid w:val="00917BB6"/>
    <w:rsid w:val="00920975"/>
    <w:rsid w:val="009212DB"/>
    <w:rsid w:val="009224AF"/>
    <w:rsid w:val="00922A14"/>
    <w:rsid w:val="0092344F"/>
    <w:rsid w:val="00923AC4"/>
    <w:rsid w:val="00923AD1"/>
    <w:rsid w:val="00926AD6"/>
    <w:rsid w:val="00927DA0"/>
    <w:rsid w:val="009300DE"/>
    <w:rsid w:val="00931647"/>
    <w:rsid w:val="00931C47"/>
    <w:rsid w:val="00932E6B"/>
    <w:rsid w:val="00933DD3"/>
    <w:rsid w:val="009375F8"/>
    <w:rsid w:val="00940A4A"/>
    <w:rsid w:val="00942B23"/>
    <w:rsid w:val="009434F5"/>
    <w:rsid w:val="009448EF"/>
    <w:rsid w:val="0094546A"/>
    <w:rsid w:val="00945AC3"/>
    <w:rsid w:val="00947BAA"/>
    <w:rsid w:val="0095104B"/>
    <w:rsid w:val="00953D3D"/>
    <w:rsid w:val="009557BE"/>
    <w:rsid w:val="00955B5E"/>
    <w:rsid w:val="009578FA"/>
    <w:rsid w:val="00960912"/>
    <w:rsid w:val="009636EB"/>
    <w:rsid w:val="0096560A"/>
    <w:rsid w:val="009657E4"/>
    <w:rsid w:val="00965F2C"/>
    <w:rsid w:val="00967152"/>
    <w:rsid w:val="00970B54"/>
    <w:rsid w:val="00970D30"/>
    <w:rsid w:val="00971C76"/>
    <w:rsid w:val="009722F7"/>
    <w:rsid w:val="00972AFD"/>
    <w:rsid w:val="0097313C"/>
    <w:rsid w:val="00973150"/>
    <w:rsid w:val="00973355"/>
    <w:rsid w:val="00973F9F"/>
    <w:rsid w:val="0097438F"/>
    <w:rsid w:val="009743CA"/>
    <w:rsid w:val="009755EF"/>
    <w:rsid w:val="00976502"/>
    <w:rsid w:val="00977DB7"/>
    <w:rsid w:val="0098036A"/>
    <w:rsid w:val="0098122D"/>
    <w:rsid w:val="00981D60"/>
    <w:rsid w:val="00982C5E"/>
    <w:rsid w:val="00984BA8"/>
    <w:rsid w:val="00985A47"/>
    <w:rsid w:val="00986302"/>
    <w:rsid w:val="009864E8"/>
    <w:rsid w:val="009900C0"/>
    <w:rsid w:val="00990511"/>
    <w:rsid w:val="009916AC"/>
    <w:rsid w:val="00991FA9"/>
    <w:rsid w:val="00992D7B"/>
    <w:rsid w:val="00993C25"/>
    <w:rsid w:val="00994BD2"/>
    <w:rsid w:val="00995328"/>
    <w:rsid w:val="009A10B1"/>
    <w:rsid w:val="009A6D1E"/>
    <w:rsid w:val="009B0585"/>
    <w:rsid w:val="009B087A"/>
    <w:rsid w:val="009B29B9"/>
    <w:rsid w:val="009B612B"/>
    <w:rsid w:val="009B62B1"/>
    <w:rsid w:val="009B73C1"/>
    <w:rsid w:val="009B7DC9"/>
    <w:rsid w:val="009C17AC"/>
    <w:rsid w:val="009C2F66"/>
    <w:rsid w:val="009C30D4"/>
    <w:rsid w:val="009C42B2"/>
    <w:rsid w:val="009C6086"/>
    <w:rsid w:val="009C66EF"/>
    <w:rsid w:val="009C763A"/>
    <w:rsid w:val="009C7891"/>
    <w:rsid w:val="009D00A1"/>
    <w:rsid w:val="009D5C15"/>
    <w:rsid w:val="009D6B28"/>
    <w:rsid w:val="009E3C96"/>
    <w:rsid w:val="009F00B4"/>
    <w:rsid w:val="009F1702"/>
    <w:rsid w:val="009F2B39"/>
    <w:rsid w:val="009F2C1F"/>
    <w:rsid w:val="009F2F37"/>
    <w:rsid w:val="009F3F5B"/>
    <w:rsid w:val="009F6C4E"/>
    <w:rsid w:val="00A00356"/>
    <w:rsid w:val="00A03C86"/>
    <w:rsid w:val="00A03CD3"/>
    <w:rsid w:val="00A04917"/>
    <w:rsid w:val="00A064D1"/>
    <w:rsid w:val="00A07E42"/>
    <w:rsid w:val="00A11309"/>
    <w:rsid w:val="00A11445"/>
    <w:rsid w:val="00A14823"/>
    <w:rsid w:val="00A15040"/>
    <w:rsid w:val="00A162F6"/>
    <w:rsid w:val="00A16D21"/>
    <w:rsid w:val="00A171C2"/>
    <w:rsid w:val="00A1756C"/>
    <w:rsid w:val="00A21A8A"/>
    <w:rsid w:val="00A22298"/>
    <w:rsid w:val="00A27C33"/>
    <w:rsid w:val="00A309CA"/>
    <w:rsid w:val="00A3118E"/>
    <w:rsid w:val="00A320EE"/>
    <w:rsid w:val="00A324C5"/>
    <w:rsid w:val="00A32693"/>
    <w:rsid w:val="00A3320A"/>
    <w:rsid w:val="00A33534"/>
    <w:rsid w:val="00A347DA"/>
    <w:rsid w:val="00A34AEC"/>
    <w:rsid w:val="00A3651B"/>
    <w:rsid w:val="00A402F5"/>
    <w:rsid w:val="00A4197C"/>
    <w:rsid w:val="00A421A8"/>
    <w:rsid w:val="00A4235E"/>
    <w:rsid w:val="00A43A68"/>
    <w:rsid w:val="00A4790F"/>
    <w:rsid w:val="00A47A5E"/>
    <w:rsid w:val="00A50DF6"/>
    <w:rsid w:val="00A5513B"/>
    <w:rsid w:val="00A578D3"/>
    <w:rsid w:val="00A57C09"/>
    <w:rsid w:val="00A60BB8"/>
    <w:rsid w:val="00A6281E"/>
    <w:rsid w:val="00A65267"/>
    <w:rsid w:val="00A6709D"/>
    <w:rsid w:val="00A6746E"/>
    <w:rsid w:val="00A676AF"/>
    <w:rsid w:val="00A7437D"/>
    <w:rsid w:val="00A7468E"/>
    <w:rsid w:val="00A75A50"/>
    <w:rsid w:val="00A8032D"/>
    <w:rsid w:val="00A805EC"/>
    <w:rsid w:val="00A82713"/>
    <w:rsid w:val="00A832EB"/>
    <w:rsid w:val="00A8393B"/>
    <w:rsid w:val="00A8395B"/>
    <w:rsid w:val="00A85EBF"/>
    <w:rsid w:val="00A85F30"/>
    <w:rsid w:val="00A8739D"/>
    <w:rsid w:val="00A903A4"/>
    <w:rsid w:val="00A9099B"/>
    <w:rsid w:val="00A91189"/>
    <w:rsid w:val="00A91A76"/>
    <w:rsid w:val="00A9280E"/>
    <w:rsid w:val="00A93D37"/>
    <w:rsid w:val="00A949D1"/>
    <w:rsid w:val="00A9512C"/>
    <w:rsid w:val="00A96858"/>
    <w:rsid w:val="00A978E5"/>
    <w:rsid w:val="00AA1A83"/>
    <w:rsid w:val="00AA39E7"/>
    <w:rsid w:val="00AA3DFB"/>
    <w:rsid w:val="00AA66C8"/>
    <w:rsid w:val="00AA69BD"/>
    <w:rsid w:val="00AB579B"/>
    <w:rsid w:val="00AB795A"/>
    <w:rsid w:val="00AC0C39"/>
    <w:rsid w:val="00AC1018"/>
    <w:rsid w:val="00AC1A73"/>
    <w:rsid w:val="00AC47B1"/>
    <w:rsid w:val="00AC6989"/>
    <w:rsid w:val="00AD0A2F"/>
    <w:rsid w:val="00AD6A06"/>
    <w:rsid w:val="00AE4882"/>
    <w:rsid w:val="00AE62DE"/>
    <w:rsid w:val="00AF0ACC"/>
    <w:rsid w:val="00AF18D9"/>
    <w:rsid w:val="00AF1C58"/>
    <w:rsid w:val="00AF2FED"/>
    <w:rsid w:val="00AF555C"/>
    <w:rsid w:val="00AF6194"/>
    <w:rsid w:val="00B014F2"/>
    <w:rsid w:val="00B05C09"/>
    <w:rsid w:val="00B07324"/>
    <w:rsid w:val="00B10F68"/>
    <w:rsid w:val="00B11403"/>
    <w:rsid w:val="00B11BF5"/>
    <w:rsid w:val="00B1201C"/>
    <w:rsid w:val="00B163DE"/>
    <w:rsid w:val="00B167B9"/>
    <w:rsid w:val="00B1698E"/>
    <w:rsid w:val="00B17811"/>
    <w:rsid w:val="00B21C06"/>
    <w:rsid w:val="00B233D8"/>
    <w:rsid w:val="00B249EF"/>
    <w:rsid w:val="00B273C7"/>
    <w:rsid w:val="00B3047A"/>
    <w:rsid w:val="00B36135"/>
    <w:rsid w:val="00B402B1"/>
    <w:rsid w:val="00B41BD0"/>
    <w:rsid w:val="00B426C7"/>
    <w:rsid w:val="00B42E45"/>
    <w:rsid w:val="00B474B1"/>
    <w:rsid w:val="00B47FCB"/>
    <w:rsid w:val="00B51C7A"/>
    <w:rsid w:val="00B52F0D"/>
    <w:rsid w:val="00B54151"/>
    <w:rsid w:val="00B5642A"/>
    <w:rsid w:val="00B56E3B"/>
    <w:rsid w:val="00B57104"/>
    <w:rsid w:val="00B63AC7"/>
    <w:rsid w:val="00B644F1"/>
    <w:rsid w:val="00B64CE5"/>
    <w:rsid w:val="00B65207"/>
    <w:rsid w:val="00B71007"/>
    <w:rsid w:val="00B71662"/>
    <w:rsid w:val="00B75415"/>
    <w:rsid w:val="00B765EA"/>
    <w:rsid w:val="00B7748D"/>
    <w:rsid w:val="00B77D02"/>
    <w:rsid w:val="00B77F32"/>
    <w:rsid w:val="00B8087A"/>
    <w:rsid w:val="00B80BDC"/>
    <w:rsid w:val="00B81214"/>
    <w:rsid w:val="00B83840"/>
    <w:rsid w:val="00B83A70"/>
    <w:rsid w:val="00B84A6D"/>
    <w:rsid w:val="00B852D3"/>
    <w:rsid w:val="00B85ECB"/>
    <w:rsid w:val="00B92962"/>
    <w:rsid w:val="00B92B9F"/>
    <w:rsid w:val="00B9365B"/>
    <w:rsid w:val="00B93A6B"/>
    <w:rsid w:val="00B961DB"/>
    <w:rsid w:val="00B96B3F"/>
    <w:rsid w:val="00BA058C"/>
    <w:rsid w:val="00BA0BDB"/>
    <w:rsid w:val="00BA168E"/>
    <w:rsid w:val="00BA1DCC"/>
    <w:rsid w:val="00BA2D2D"/>
    <w:rsid w:val="00BA3009"/>
    <w:rsid w:val="00BA4A7E"/>
    <w:rsid w:val="00BA679E"/>
    <w:rsid w:val="00BA6D8E"/>
    <w:rsid w:val="00BA6DCE"/>
    <w:rsid w:val="00BA6F69"/>
    <w:rsid w:val="00BA7993"/>
    <w:rsid w:val="00BA7BA6"/>
    <w:rsid w:val="00BB14E9"/>
    <w:rsid w:val="00BB1DDA"/>
    <w:rsid w:val="00BB3F81"/>
    <w:rsid w:val="00BB5C94"/>
    <w:rsid w:val="00BB692A"/>
    <w:rsid w:val="00BB6D3F"/>
    <w:rsid w:val="00BC28C9"/>
    <w:rsid w:val="00BC40D8"/>
    <w:rsid w:val="00BC42B7"/>
    <w:rsid w:val="00BC4CB1"/>
    <w:rsid w:val="00BC59B8"/>
    <w:rsid w:val="00BC6858"/>
    <w:rsid w:val="00BC7B05"/>
    <w:rsid w:val="00BC7BFC"/>
    <w:rsid w:val="00BD083A"/>
    <w:rsid w:val="00BD14B8"/>
    <w:rsid w:val="00BD226E"/>
    <w:rsid w:val="00BD42FF"/>
    <w:rsid w:val="00BD6818"/>
    <w:rsid w:val="00BD7900"/>
    <w:rsid w:val="00BD7ABA"/>
    <w:rsid w:val="00BE0872"/>
    <w:rsid w:val="00BE0C53"/>
    <w:rsid w:val="00BE179B"/>
    <w:rsid w:val="00BE2F19"/>
    <w:rsid w:val="00BE499F"/>
    <w:rsid w:val="00BE6997"/>
    <w:rsid w:val="00BE7218"/>
    <w:rsid w:val="00BE7910"/>
    <w:rsid w:val="00BF10F3"/>
    <w:rsid w:val="00BF2720"/>
    <w:rsid w:val="00BF311A"/>
    <w:rsid w:val="00C011B6"/>
    <w:rsid w:val="00C04F21"/>
    <w:rsid w:val="00C0584E"/>
    <w:rsid w:val="00C05B4E"/>
    <w:rsid w:val="00C0644E"/>
    <w:rsid w:val="00C100B7"/>
    <w:rsid w:val="00C10D7A"/>
    <w:rsid w:val="00C1227B"/>
    <w:rsid w:val="00C12F50"/>
    <w:rsid w:val="00C14A78"/>
    <w:rsid w:val="00C1612A"/>
    <w:rsid w:val="00C17216"/>
    <w:rsid w:val="00C20A28"/>
    <w:rsid w:val="00C20E91"/>
    <w:rsid w:val="00C214D0"/>
    <w:rsid w:val="00C22070"/>
    <w:rsid w:val="00C22703"/>
    <w:rsid w:val="00C23205"/>
    <w:rsid w:val="00C26CF7"/>
    <w:rsid w:val="00C32370"/>
    <w:rsid w:val="00C3261D"/>
    <w:rsid w:val="00C3505A"/>
    <w:rsid w:val="00C355BD"/>
    <w:rsid w:val="00C35B5F"/>
    <w:rsid w:val="00C36971"/>
    <w:rsid w:val="00C40A04"/>
    <w:rsid w:val="00C4248A"/>
    <w:rsid w:val="00C42D98"/>
    <w:rsid w:val="00C42F99"/>
    <w:rsid w:val="00C43ED2"/>
    <w:rsid w:val="00C44E9A"/>
    <w:rsid w:val="00C46329"/>
    <w:rsid w:val="00C46AF5"/>
    <w:rsid w:val="00C470A2"/>
    <w:rsid w:val="00C5031A"/>
    <w:rsid w:val="00C50D50"/>
    <w:rsid w:val="00C515C8"/>
    <w:rsid w:val="00C518B2"/>
    <w:rsid w:val="00C51A91"/>
    <w:rsid w:val="00C52EFD"/>
    <w:rsid w:val="00C54D19"/>
    <w:rsid w:val="00C5669C"/>
    <w:rsid w:val="00C56A23"/>
    <w:rsid w:val="00C605D5"/>
    <w:rsid w:val="00C6195D"/>
    <w:rsid w:val="00C629D4"/>
    <w:rsid w:val="00C646A5"/>
    <w:rsid w:val="00C6645E"/>
    <w:rsid w:val="00C67197"/>
    <w:rsid w:val="00C71474"/>
    <w:rsid w:val="00C729C2"/>
    <w:rsid w:val="00C72A4F"/>
    <w:rsid w:val="00C73F01"/>
    <w:rsid w:val="00C74638"/>
    <w:rsid w:val="00C7601B"/>
    <w:rsid w:val="00C7627B"/>
    <w:rsid w:val="00C76EFB"/>
    <w:rsid w:val="00C77710"/>
    <w:rsid w:val="00C83AFE"/>
    <w:rsid w:val="00C85692"/>
    <w:rsid w:val="00C912D3"/>
    <w:rsid w:val="00C925C8"/>
    <w:rsid w:val="00C95C0C"/>
    <w:rsid w:val="00CA08C0"/>
    <w:rsid w:val="00CA0B5A"/>
    <w:rsid w:val="00CA19BC"/>
    <w:rsid w:val="00CA2808"/>
    <w:rsid w:val="00CA2D44"/>
    <w:rsid w:val="00CA4C42"/>
    <w:rsid w:val="00CA5B94"/>
    <w:rsid w:val="00CB02BC"/>
    <w:rsid w:val="00CB0740"/>
    <w:rsid w:val="00CB0CF9"/>
    <w:rsid w:val="00CB5154"/>
    <w:rsid w:val="00CB5878"/>
    <w:rsid w:val="00CB5C8E"/>
    <w:rsid w:val="00CB5DDE"/>
    <w:rsid w:val="00CB68D1"/>
    <w:rsid w:val="00CB7F44"/>
    <w:rsid w:val="00CC00DA"/>
    <w:rsid w:val="00CC0CF0"/>
    <w:rsid w:val="00CC202B"/>
    <w:rsid w:val="00CC29B2"/>
    <w:rsid w:val="00CC2E3F"/>
    <w:rsid w:val="00CC378A"/>
    <w:rsid w:val="00CC4AE1"/>
    <w:rsid w:val="00CC62A3"/>
    <w:rsid w:val="00CC6C2B"/>
    <w:rsid w:val="00CC71CA"/>
    <w:rsid w:val="00CC78ED"/>
    <w:rsid w:val="00CD1FCF"/>
    <w:rsid w:val="00CD39F8"/>
    <w:rsid w:val="00CD67BD"/>
    <w:rsid w:val="00CD684A"/>
    <w:rsid w:val="00CD7045"/>
    <w:rsid w:val="00CE02CB"/>
    <w:rsid w:val="00CE1A86"/>
    <w:rsid w:val="00CE36D8"/>
    <w:rsid w:val="00CE4681"/>
    <w:rsid w:val="00CE4EA7"/>
    <w:rsid w:val="00CE4EE7"/>
    <w:rsid w:val="00CE5163"/>
    <w:rsid w:val="00CE5ACC"/>
    <w:rsid w:val="00CE6AE4"/>
    <w:rsid w:val="00CE6BE9"/>
    <w:rsid w:val="00CE6E39"/>
    <w:rsid w:val="00CE7D93"/>
    <w:rsid w:val="00CF0453"/>
    <w:rsid w:val="00CF20C7"/>
    <w:rsid w:val="00CF33E7"/>
    <w:rsid w:val="00CF356C"/>
    <w:rsid w:val="00CF6FC2"/>
    <w:rsid w:val="00D00CCE"/>
    <w:rsid w:val="00D0198A"/>
    <w:rsid w:val="00D01C6A"/>
    <w:rsid w:val="00D04538"/>
    <w:rsid w:val="00D05234"/>
    <w:rsid w:val="00D05B97"/>
    <w:rsid w:val="00D0757E"/>
    <w:rsid w:val="00D079A7"/>
    <w:rsid w:val="00D10ADB"/>
    <w:rsid w:val="00D115BF"/>
    <w:rsid w:val="00D11797"/>
    <w:rsid w:val="00D1280B"/>
    <w:rsid w:val="00D14736"/>
    <w:rsid w:val="00D1650D"/>
    <w:rsid w:val="00D16C19"/>
    <w:rsid w:val="00D16D6F"/>
    <w:rsid w:val="00D2034B"/>
    <w:rsid w:val="00D21748"/>
    <w:rsid w:val="00D21A9B"/>
    <w:rsid w:val="00D242B0"/>
    <w:rsid w:val="00D25605"/>
    <w:rsid w:val="00D26A6C"/>
    <w:rsid w:val="00D26D4F"/>
    <w:rsid w:val="00D30D61"/>
    <w:rsid w:val="00D32D8E"/>
    <w:rsid w:val="00D340CC"/>
    <w:rsid w:val="00D344F2"/>
    <w:rsid w:val="00D36925"/>
    <w:rsid w:val="00D36D55"/>
    <w:rsid w:val="00D377B3"/>
    <w:rsid w:val="00D422E5"/>
    <w:rsid w:val="00D522FB"/>
    <w:rsid w:val="00D52A14"/>
    <w:rsid w:val="00D53B0A"/>
    <w:rsid w:val="00D54B37"/>
    <w:rsid w:val="00D568B4"/>
    <w:rsid w:val="00D5798E"/>
    <w:rsid w:val="00D611D8"/>
    <w:rsid w:val="00D616E8"/>
    <w:rsid w:val="00D666A3"/>
    <w:rsid w:val="00D66EAC"/>
    <w:rsid w:val="00D679F2"/>
    <w:rsid w:val="00D7022E"/>
    <w:rsid w:val="00D70F9F"/>
    <w:rsid w:val="00D726F0"/>
    <w:rsid w:val="00D72FDD"/>
    <w:rsid w:val="00D75EF2"/>
    <w:rsid w:val="00D831AE"/>
    <w:rsid w:val="00D867DF"/>
    <w:rsid w:val="00D90328"/>
    <w:rsid w:val="00D90A1D"/>
    <w:rsid w:val="00D92B0F"/>
    <w:rsid w:val="00D938FF"/>
    <w:rsid w:val="00D93D2B"/>
    <w:rsid w:val="00D94C50"/>
    <w:rsid w:val="00D97C6A"/>
    <w:rsid w:val="00DA54C5"/>
    <w:rsid w:val="00DA6A3D"/>
    <w:rsid w:val="00DA6B9E"/>
    <w:rsid w:val="00DA7CB2"/>
    <w:rsid w:val="00DB4EE3"/>
    <w:rsid w:val="00DB59BE"/>
    <w:rsid w:val="00DB623D"/>
    <w:rsid w:val="00DB7590"/>
    <w:rsid w:val="00DC08FA"/>
    <w:rsid w:val="00DC2BAA"/>
    <w:rsid w:val="00DC42E3"/>
    <w:rsid w:val="00DC61A4"/>
    <w:rsid w:val="00DC72D6"/>
    <w:rsid w:val="00DD0A90"/>
    <w:rsid w:val="00DD2AE7"/>
    <w:rsid w:val="00DD360C"/>
    <w:rsid w:val="00DD44C0"/>
    <w:rsid w:val="00DD597E"/>
    <w:rsid w:val="00DD6893"/>
    <w:rsid w:val="00DE01A8"/>
    <w:rsid w:val="00DE03F7"/>
    <w:rsid w:val="00DE0592"/>
    <w:rsid w:val="00DE0675"/>
    <w:rsid w:val="00DE0EA5"/>
    <w:rsid w:val="00DE1136"/>
    <w:rsid w:val="00DE1AB1"/>
    <w:rsid w:val="00DE1B32"/>
    <w:rsid w:val="00DE3190"/>
    <w:rsid w:val="00DE3D80"/>
    <w:rsid w:val="00DE486D"/>
    <w:rsid w:val="00DE570A"/>
    <w:rsid w:val="00DE59CE"/>
    <w:rsid w:val="00DE6AF2"/>
    <w:rsid w:val="00DF1637"/>
    <w:rsid w:val="00DF18E5"/>
    <w:rsid w:val="00DF1EE3"/>
    <w:rsid w:val="00DF375B"/>
    <w:rsid w:val="00DF51F1"/>
    <w:rsid w:val="00DF5AAC"/>
    <w:rsid w:val="00DF639D"/>
    <w:rsid w:val="00DF69C4"/>
    <w:rsid w:val="00DF6C15"/>
    <w:rsid w:val="00E0031A"/>
    <w:rsid w:val="00E0764C"/>
    <w:rsid w:val="00E10767"/>
    <w:rsid w:val="00E10CE7"/>
    <w:rsid w:val="00E14E0E"/>
    <w:rsid w:val="00E15B5F"/>
    <w:rsid w:val="00E16505"/>
    <w:rsid w:val="00E168C4"/>
    <w:rsid w:val="00E20A28"/>
    <w:rsid w:val="00E2230B"/>
    <w:rsid w:val="00E23EBB"/>
    <w:rsid w:val="00E2485A"/>
    <w:rsid w:val="00E26309"/>
    <w:rsid w:val="00E307DF"/>
    <w:rsid w:val="00E314BE"/>
    <w:rsid w:val="00E33EC7"/>
    <w:rsid w:val="00E3700A"/>
    <w:rsid w:val="00E41BD4"/>
    <w:rsid w:val="00E43277"/>
    <w:rsid w:val="00E43901"/>
    <w:rsid w:val="00E44200"/>
    <w:rsid w:val="00E44BEF"/>
    <w:rsid w:val="00E455B2"/>
    <w:rsid w:val="00E4575D"/>
    <w:rsid w:val="00E45D01"/>
    <w:rsid w:val="00E4728C"/>
    <w:rsid w:val="00E47B5B"/>
    <w:rsid w:val="00E47BB8"/>
    <w:rsid w:val="00E50AB9"/>
    <w:rsid w:val="00E50EBB"/>
    <w:rsid w:val="00E50FAA"/>
    <w:rsid w:val="00E51B3A"/>
    <w:rsid w:val="00E527FC"/>
    <w:rsid w:val="00E558FD"/>
    <w:rsid w:val="00E55CB4"/>
    <w:rsid w:val="00E56795"/>
    <w:rsid w:val="00E577E9"/>
    <w:rsid w:val="00E61846"/>
    <w:rsid w:val="00E65EA6"/>
    <w:rsid w:val="00E70B18"/>
    <w:rsid w:val="00E71787"/>
    <w:rsid w:val="00E7189E"/>
    <w:rsid w:val="00E721B7"/>
    <w:rsid w:val="00E74FDD"/>
    <w:rsid w:val="00E77320"/>
    <w:rsid w:val="00E778D8"/>
    <w:rsid w:val="00E81981"/>
    <w:rsid w:val="00E83519"/>
    <w:rsid w:val="00E84ABC"/>
    <w:rsid w:val="00E84FBE"/>
    <w:rsid w:val="00E858BB"/>
    <w:rsid w:val="00E91D8A"/>
    <w:rsid w:val="00E92786"/>
    <w:rsid w:val="00E929F7"/>
    <w:rsid w:val="00E93157"/>
    <w:rsid w:val="00EA067E"/>
    <w:rsid w:val="00EA0BBE"/>
    <w:rsid w:val="00EA2852"/>
    <w:rsid w:val="00EA550C"/>
    <w:rsid w:val="00EA6237"/>
    <w:rsid w:val="00EB05FC"/>
    <w:rsid w:val="00EB2769"/>
    <w:rsid w:val="00EB27F7"/>
    <w:rsid w:val="00EB598A"/>
    <w:rsid w:val="00EC1E40"/>
    <w:rsid w:val="00EC20AF"/>
    <w:rsid w:val="00EC3EF5"/>
    <w:rsid w:val="00EC420F"/>
    <w:rsid w:val="00EC4C0B"/>
    <w:rsid w:val="00EC596C"/>
    <w:rsid w:val="00EC6318"/>
    <w:rsid w:val="00EC64B3"/>
    <w:rsid w:val="00EC64D3"/>
    <w:rsid w:val="00EC670A"/>
    <w:rsid w:val="00ED0A2D"/>
    <w:rsid w:val="00ED181C"/>
    <w:rsid w:val="00ED24EB"/>
    <w:rsid w:val="00ED3876"/>
    <w:rsid w:val="00ED49AF"/>
    <w:rsid w:val="00ED5155"/>
    <w:rsid w:val="00ED715E"/>
    <w:rsid w:val="00EE012E"/>
    <w:rsid w:val="00EE3804"/>
    <w:rsid w:val="00EE42A7"/>
    <w:rsid w:val="00EE45F9"/>
    <w:rsid w:val="00EE5720"/>
    <w:rsid w:val="00EE74D6"/>
    <w:rsid w:val="00EE75A4"/>
    <w:rsid w:val="00EF00AB"/>
    <w:rsid w:val="00EF0EC5"/>
    <w:rsid w:val="00EF3AB3"/>
    <w:rsid w:val="00EF3CE3"/>
    <w:rsid w:val="00EF5BAC"/>
    <w:rsid w:val="00EF6C6D"/>
    <w:rsid w:val="00EF6FEF"/>
    <w:rsid w:val="00F00572"/>
    <w:rsid w:val="00F00DB3"/>
    <w:rsid w:val="00F01DB1"/>
    <w:rsid w:val="00F01E1C"/>
    <w:rsid w:val="00F03966"/>
    <w:rsid w:val="00F03AAB"/>
    <w:rsid w:val="00F042A7"/>
    <w:rsid w:val="00F04869"/>
    <w:rsid w:val="00F04DD3"/>
    <w:rsid w:val="00F05631"/>
    <w:rsid w:val="00F069F7"/>
    <w:rsid w:val="00F07350"/>
    <w:rsid w:val="00F07FA8"/>
    <w:rsid w:val="00F1220D"/>
    <w:rsid w:val="00F12A92"/>
    <w:rsid w:val="00F14F2C"/>
    <w:rsid w:val="00F15C2C"/>
    <w:rsid w:val="00F17629"/>
    <w:rsid w:val="00F201B5"/>
    <w:rsid w:val="00F205D3"/>
    <w:rsid w:val="00F2286D"/>
    <w:rsid w:val="00F259B4"/>
    <w:rsid w:val="00F259C4"/>
    <w:rsid w:val="00F2665B"/>
    <w:rsid w:val="00F2698C"/>
    <w:rsid w:val="00F26E77"/>
    <w:rsid w:val="00F2719C"/>
    <w:rsid w:val="00F307FF"/>
    <w:rsid w:val="00F308C4"/>
    <w:rsid w:val="00F309C1"/>
    <w:rsid w:val="00F329FA"/>
    <w:rsid w:val="00F33866"/>
    <w:rsid w:val="00F33FA6"/>
    <w:rsid w:val="00F3480F"/>
    <w:rsid w:val="00F3552D"/>
    <w:rsid w:val="00F35C5A"/>
    <w:rsid w:val="00F366A6"/>
    <w:rsid w:val="00F368AC"/>
    <w:rsid w:val="00F3692B"/>
    <w:rsid w:val="00F37807"/>
    <w:rsid w:val="00F37C48"/>
    <w:rsid w:val="00F401FC"/>
    <w:rsid w:val="00F40C8C"/>
    <w:rsid w:val="00F43873"/>
    <w:rsid w:val="00F44628"/>
    <w:rsid w:val="00F506FB"/>
    <w:rsid w:val="00F51766"/>
    <w:rsid w:val="00F52053"/>
    <w:rsid w:val="00F52228"/>
    <w:rsid w:val="00F5397F"/>
    <w:rsid w:val="00F56A66"/>
    <w:rsid w:val="00F57890"/>
    <w:rsid w:val="00F607BD"/>
    <w:rsid w:val="00F61D87"/>
    <w:rsid w:val="00F66936"/>
    <w:rsid w:val="00F67B8E"/>
    <w:rsid w:val="00F726AD"/>
    <w:rsid w:val="00F733F6"/>
    <w:rsid w:val="00F73555"/>
    <w:rsid w:val="00F73E4E"/>
    <w:rsid w:val="00F75A1F"/>
    <w:rsid w:val="00F771F1"/>
    <w:rsid w:val="00F77715"/>
    <w:rsid w:val="00F77788"/>
    <w:rsid w:val="00F80193"/>
    <w:rsid w:val="00F8550E"/>
    <w:rsid w:val="00F85DAE"/>
    <w:rsid w:val="00F86146"/>
    <w:rsid w:val="00F876D0"/>
    <w:rsid w:val="00F87DFD"/>
    <w:rsid w:val="00F914D6"/>
    <w:rsid w:val="00FA1328"/>
    <w:rsid w:val="00FA27DF"/>
    <w:rsid w:val="00FA291F"/>
    <w:rsid w:val="00FA2AD0"/>
    <w:rsid w:val="00FA3C86"/>
    <w:rsid w:val="00FA4B8E"/>
    <w:rsid w:val="00FA5163"/>
    <w:rsid w:val="00FA5342"/>
    <w:rsid w:val="00FA7A25"/>
    <w:rsid w:val="00FA7BF5"/>
    <w:rsid w:val="00FB0686"/>
    <w:rsid w:val="00FB23C5"/>
    <w:rsid w:val="00FB23FA"/>
    <w:rsid w:val="00FB6506"/>
    <w:rsid w:val="00FB7E3F"/>
    <w:rsid w:val="00FC012D"/>
    <w:rsid w:val="00FC1924"/>
    <w:rsid w:val="00FC27D8"/>
    <w:rsid w:val="00FC2838"/>
    <w:rsid w:val="00FC3376"/>
    <w:rsid w:val="00FC3417"/>
    <w:rsid w:val="00FC4C2F"/>
    <w:rsid w:val="00FC4E95"/>
    <w:rsid w:val="00FC4F51"/>
    <w:rsid w:val="00FD0A39"/>
    <w:rsid w:val="00FD0B5E"/>
    <w:rsid w:val="00FD138C"/>
    <w:rsid w:val="00FE0421"/>
    <w:rsid w:val="00FE1812"/>
    <w:rsid w:val="00FE57BD"/>
    <w:rsid w:val="00FE6852"/>
    <w:rsid w:val="00FE76A2"/>
    <w:rsid w:val="00FF3A50"/>
    <w:rsid w:val="00FF4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BE15108"/>
  <w15:chartTrackingRefBased/>
  <w15:docId w15:val="{BCA503F7-EA97-2047-A58C-92EF3FAB9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692A"/>
    <w:rPr>
      <w:color w:val="0563C1" w:themeColor="hyperlink"/>
      <w:u w:val="single"/>
    </w:rPr>
  </w:style>
  <w:style w:type="character" w:styleId="UnresolvedMention">
    <w:name w:val="Unresolved Mention"/>
    <w:basedOn w:val="DefaultParagraphFont"/>
    <w:uiPriority w:val="99"/>
    <w:semiHidden/>
    <w:unhideWhenUsed/>
    <w:rsid w:val="00BB692A"/>
    <w:rPr>
      <w:color w:val="605E5C"/>
      <w:shd w:val="clear" w:color="auto" w:fill="E1DFDD"/>
    </w:rPr>
  </w:style>
  <w:style w:type="character" w:styleId="FollowedHyperlink">
    <w:name w:val="FollowedHyperlink"/>
    <w:basedOn w:val="DefaultParagraphFont"/>
    <w:uiPriority w:val="99"/>
    <w:semiHidden/>
    <w:unhideWhenUsed/>
    <w:rsid w:val="001B0F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hyperlink" Target="https://judiciary.uk/wp-content/uploads/2016/07/economou-v-de-freitas-2016-ewhc-1853-qb-28-0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4290</Words>
  <Characters>24454</Characters>
  <Application>Microsoft Office Word</Application>
  <DocSecurity>0</DocSecurity>
  <Lines>203</Lines>
  <Paragraphs>57</Paragraphs>
  <ScaleCrop>false</ScaleCrop>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 Sillah</dc:creator>
  <cp:keywords/>
  <dc:description/>
  <cp:lastModifiedBy>Alpha Sillah</cp:lastModifiedBy>
  <cp:revision>2</cp:revision>
  <dcterms:created xsi:type="dcterms:W3CDTF">2021-01-08T17:48:00Z</dcterms:created>
  <dcterms:modified xsi:type="dcterms:W3CDTF">2021-01-08T17:48:00Z</dcterms:modified>
</cp:coreProperties>
</file>