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9"/>
      </w:tblGrid>
      <w:tr w:rsidR="00F927A1" w:rsidRPr="005D3F07" w14:paraId="68CAA39D" w14:textId="77777777" w:rsidTr="00D615EB">
        <w:trPr>
          <w:trHeight w:val="4270"/>
        </w:trPr>
        <w:tc>
          <w:tcPr>
            <w:tcW w:w="10919" w:type="dxa"/>
            <w:shd w:val="clear" w:color="auto" w:fill="auto"/>
          </w:tcPr>
          <w:p w14:paraId="02F8EE88" w14:textId="2721584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615EB">
              <w:rPr>
                <w:rFonts w:ascii="Times New Roman" w:hAnsi="Times New Roman" w:cs="Times New Roman"/>
                <w:b/>
                <w:color w:val="auto"/>
                <w:sz w:val="48"/>
              </w:rPr>
              <w:t xml:space="preserve">Lisa Davies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211DFD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615EB">
              <w:rPr>
                <w:rFonts w:ascii="Times New Roman" w:hAnsi="Times New Roman" w:cs="Times New Roman"/>
                <w:b/>
                <w:color w:val="auto"/>
                <w:sz w:val="48"/>
              </w:rPr>
              <w:t xml:space="preserve"> </w:t>
            </w:r>
            <w:hyperlink r:id="rId11" w:history="1">
              <w:r w:rsidR="00D615EB" w:rsidRPr="00ED0CC1">
                <w:rPr>
                  <w:rStyle w:val="Hyperlink"/>
                  <w:rFonts w:ascii="Times New Roman" w:hAnsi="Times New Roman" w:cs="Times New Roman"/>
                  <w:b/>
                  <w:sz w:val="48"/>
                </w:rPr>
                <w:t>lisadavies22@hotmail.com</w:t>
              </w:r>
            </w:hyperlink>
            <w:r w:rsidR="00D615EB">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6AF128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615EB">
              <w:rPr>
                <w:rFonts w:ascii="Times New Roman" w:hAnsi="Times New Roman" w:cs="Times New Roman"/>
                <w:b/>
                <w:color w:val="auto"/>
                <w:sz w:val="48"/>
              </w:rPr>
              <w:t xml:space="preserve"> 1203199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62484BD0" w:rsidR="00FC0334" w:rsidRDefault="00FD0627" w:rsidP="00CB417D">
            <w:pPr>
              <w:spacing w:line="360" w:lineRule="auto"/>
              <w:jc w:val="both"/>
              <w:rPr>
                <w:sz w:val="24"/>
                <w:szCs w:val="24"/>
              </w:rPr>
            </w:pPr>
            <w:r>
              <w:rPr>
                <w:sz w:val="24"/>
                <w:szCs w:val="24"/>
              </w:rPr>
              <w:t xml:space="preserve">I currently work within children services, however I understand and take on board that it is important that I have knowledge of relevant policies and procedures within adult’s services. I reflect on the importance of knowing the difference between the policies and </w:t>
            </w:r>
            <w:r w:rsidR="00AD65F9">
              <w:rPr>
                <w:sz w:val="24"/>
                <w:szCs w:val="24"/>
              </w:rPr>
              <w:t>procedures within</w:t>
            </w:r>
            <w:r>
              <w:rPr>
                <w:sz w:val="24"/>
                <w:szCs w:val="24"/>
              </w:rPr>
              <w:t xml:space="preserve"> childcare and adults as within my current role I am in contact with adults who may be at risk of harm. </w:t>
            </w:r>
            <w:r w:rsidR="00AD65F9">
              <w:rPr>
                <w:sz w:val="24"/>
                <w:szCs w:val="24"/>
              </w:rPr>
              <w:t xml:space="preserve">Within the Social Services and Wellbeing Act 2014 (SSWBA 2014) It defines an adult </w:t>
            </w:r>
            <w:r w:rsidR="007C47C5">
              <w:rPr>
                <w:sz w:val="24"/>
                <w:szCs w:val="24"/>
              </w:rPr>
              <w:t xml:space="preserve">as an adult who may be at risk of neglect or abuse, and has a need for care and support. Also the adult may be able to unable to protect themselves from harm. </w:t>
            </w:r>
            <w:r w:rsidR="00CB417D">
              <w:rPr>
                <w:sz w:val="24"/>
                <w:szCs w:val="24"/>
              </w:rPr>
              <w:t xml:space="preserve"> </w:t>
            </w:r>
            <w:r w:rsidR="00A21206" w:rsidRPr="00A21206">
              <w:rPr>
                <w:color w:val="auto"/>
                <w:sz w:val="24"/>
                <w:szCs w:val="24"/>
              </w:rPr>
              <w:t>(Welsh Government</w:t>
            </w:r>
            <w:r w:rsidR="00A21206">
              <w:rPr>
                <w:color w:val="auto"/>
                <w:sz w:val="24"/>
                <w:szCs w:val="24"/>
              </w:rPr>
              <w:t>, 2019</w:t>
            </w:r>
            <w:r w:rsidR="00A21206" w:rsidRPr="00A21206">
              <w:rPr>
                <w:color w:val="auto"/>
                <w:sz w:val="24"/>
                <w:szCs w:val="24"/>
              </w:rPr>
              <w:t>)</w:t>
            </w:r>
            <w:r w:rsidR="00CB417D" w:rsidRPr="00A21206">
              <w:rPr>
                <w:color w:val="auto"/>
                <w:sz w:val="24"/>
                <w:szCs w:val="24"/>
              </w:rPr>
              <w:t xml:space="preserve"> </w:t>
            </w:r>
          </w:p>
          <w:p w14:paraId="6D8CB8AF" w14:textId="005B9791" w:rsidR="00FC0334" w:rsidRDefault="00FC0334" w:rsidP="00FF7EBB">
            <w:pPr>
              <w:jc w:val="both"/>
              <w:rPr>
                <w:sz w:val="24"/>
                <w:szCs w:val="24"/>
              </w:rPr>
            </w:pPr>
          </w:p>
          <w:p w14:paraId="13D8D576" w14:textId="6812768C" w:rsidR="004B1446" w:rsidRDefault="00CB417D" w:rsidP="009A7E1C">
            <w:pPr>
              <w:spacing w:line="360" w:lineRule="auto"/>
              <w:jc w:val="both"/>
              <w:rPr>
                <w:sz w:val="24"/>
                <w:szCs w:val="24"/>
              </w:rPr>
            </w:pPr>
            <w:r>
              <w:rPr>
                <w:sz w:val="24"/>
                <w:szCs w:val="24"/>
              </w:rPr>
              <w:t xml:space="preserve">The SSWBA </w:t>
            </w:r>
            <w:r w:rsidR="007C47C5">
              <w:rPr>
                <w:sz w:val="24"/>
                <w:szCs w:val="24"/>
              </w:rPr>
              <w:t>(</w:t>
            </w:r>
            <w:r>
              <w:rPr>
                <w:sz w:val="24"/>
                <w:szCs w:val="24"/>
              </w:rPr>
              <w:t>2014</w:t>
            </w:r>
            <w:r w:rsidR="007C47C5">
              <w:rPr>
                <w:sz w:val="24"/>
                <w:szCs w:val="24"/>
              </w:rPr>
              <w:t>)</w:t>
            </w:r>
            <w:r>
              <w:rPr>
                <w:sz w:val="24"/>
                <w:szCs w:val="24"/>
              </w:rPr>
              <w:t xml:space="preserve"> underpins the law within social services for both adults and children living in Wales. </w:t>
            </w:r>
            <w:r w:rsidR="009A7E1C">
              <w:rPr>
                <w:sz w:val="24"/>
                <w:szCs w:val="24"/>
              </w:rPr>
              <w:t xml:space="preserve">The Act highlights how services should be provided to adults and children living in Wales and how these services are best supporting them. What is also highlighted within the Act is how people who are in need of support these needs do not have to be met by the Local Authority and other agencies can be drawn upon to provide this support.  </w:t>
            </w:r>
            <w:r w:rsidR="004B1446">
              <w:rPr>
                <w:sz w:val="24"/>
                <w:szCs w:val="24"/>
              </w:rPr>
              <w:t xml:space="preserve">(Welsh Government 2019). </w:t>
            </w:r>
            <w:r w:rsidR="00A21206">
              <w:rPr>
                <w:sz w:val="24"/>
                <w:szCs w:val="24"/>
              </w:rPr>
              <w:t xml:space="preserve">Part 7 of the SSWBA works alongside the procedure, Working Together to Safeguard People (Welsh Government 2016) This procedure replaces the Protection of Vulnerable Adults from Abuse, which was implemented in 2019. This was following the implementation of the SSWBA </w:t>
            </w:r>
            <w:r w:rsidR="007C47C5">
              <w:rPr>
                <w:sz w:val="24"/>
                <w:szCs w:val="24"/>
              </w:rPr>
              <w:t>(</w:t>
            </w:r>
            <w:r w:rsidR="00A21206">
              <w:rPr>
                <w:sz w:val="24"/>
                <w:szCs w:val="24"/>
              </w:rPr>
              <w:t>2014</w:t>
            </w:r>
            <w:r w:rsidR="007C47C5">
              <w:rPr>
                <w:sz w:val="24"/>
                <w:szCs w:val="24"/>
              </w:rPr>
              <w:t>)</w:t>
            </w:r>
            <w:r w:rsidR="00A21206">
              <w:rPr>
                <w:sz w:val="24"/>
                <w:szCs w:val="24"/>
              </w:rPr>
              <w:t xml:space="preserve">. </w:t>
            </w:r>
          </w:p>
          <w:p w14:paraId="6D534D6A" w14:textId="1EA51F71" w:rsidR="00636D6F" w:rsidRDefault="00636D6F" w:rsidP="009A7E1C">
            <w:pPr>
              <w:spacing w:line="360" w:lineRule="auto"/>
              <w:jc w:val="both"/>
              <w:rPr>
                <w:sz w:val="24"/>
                <w:szCs w:val="24"/>
              </w:rPr>
            </w:pPr>
          </w:p>
          <w:p w14:paraId="3FB3ECA5" w14:textId="7577E07E" w:rsidR="00636D6F" w:rsidRDefault="00636D6F" w:rsidP="009A7E1C">
            <w:pPr>
              <w:spacing w:line="360" w:lineRule="auto"/>
              <w:jc w:val="both"/>
              <w:rPr>
                <w:sz w:val="24"/>
                <w:szCs w:val="24"/>
              </w:rPr>
            </w:pPr>
            <w:r>
              <w:rPr>
                <w:sz w:val="24"/>
                <w:szCs w:val="24"/>
              </w:rPr>
              <w:lastRenderedPageBreak/>
              <w:t>Within the SSWBA</w:t>
            </w:r>
            <w:r w:rsidR="00A21206">
              <w:rPr>
                <w:sz w:val="24"/>
                <w:szCs w:val="24"/>
              </w:rPr>
              <w:t xml:space="preserve"> </w:t>
            </w:r>
            <w:r w:rsidR="007C47C5">
              <w:rPr>
                <w:sz w:val="24"/>
                <w:szCs w:val="24"/>
              </w:rPr>
              <w:t>(</w:t>
            </w:r>
            <w:r w:rsidR="00A21206">
              <w:rPr>
                <w:sz w:val="24"/>
                <w:szCs w:val="24"/>
              </w:rPr>
              <w:t>2014</w:t>
            </w:r>
            <w:r w:rsidR="007C47C5">
              <w:rPr>
                <w:sz w:val="24"/>
                <w:szCs w:val="24"/>
              </w:rPr>
              <w:t>)</w:t>
            </w:r>
            <w:r>
              <w:rPr>
                <w:sz w:val="24"/>
                <w:szCs w:val="24"/>
              </w:rPr>
              <w:t xml:space="preserve"> the local authority </w:t>
            </w:r>
            <w:r w:rsidR="00E95216">
              <w:rPr>
                <w:sz w:val="24"/>
                <w:szCs w:val="24"/>
              </w:rPr>
              <w:t>have,</w:t>
            </w:r>
            <w:r>
              <w:rPr>
                <w:sz w:val="24"/>
                <w:szCs w:val="24"/>
              </w:rPr>
              <w:t xml:space="preserve"> a duty under S.126 to make enquires where it is suspected that an adult is of risk of harm. If there are </w:t>
            </w:r>
            <w:r w:rsidR="00E95216">
              <w:rPr>
                <w:sz w:val="24"/>
                <w:szCs w:val="24"/>
              </w:rPr>
              <w:t>reasonable,</w:t>
            </w:r>
            <w:r>
              <w:rPr>
                <w:sz w:val="24"/>
                <w:szCs w:val="24"/>
              </w:rPr>
              <w:t xml:space="preserve"> concerns within the SSWBA</w:t>
            </w:r>
            <w:r w:rsidR="007C47C5">
              <w:rPr>
                <w:sz w:val="24"/>
                <w:szCs w:val="24"/>
              </w:rPr>
              <w:t xml:space="preserve"> (2014) </w:t>
            </w:r>
            <w:r>
              <w:rPr>
                <w:sz w:val="24"/>
                <w:szCs w:val="24"/>
              </w:rPr>
              <w:t>it allows us under S</w:t>
            </w:r>
            <w:r w:rsidR="00621D10">
              <w:rPr>
                <w:sz w:val="24"/>
                <w:szCs w:val="24"/>
              </w:rPr>
              <w:t>.</w:t>
            </w:r>
            <w:r>
              <w:rPr>
                <w:sz w:val="24"/>
                <w:szCs w:val="24"/>
              </w:rPr>
              <w:t xml:space="preserve">127 to apply for an adult protection order to ensure the safety of that </w:t>
            </w:r>
            <w:r w:rsidR="0009507D">
              <w:rPr>
                <w:sz w:val="24"/>
                <w:szCs w:val="24"/>
              </w:rPr>
              <w:t>vulnerable</w:t>
            </w:r>
            <w:r>
              <w:rPr>
                <w:sz w:val="24"/>
                <w:szCs w:val="24"/>
              </w:rPr>
              <w:t xml:space="preserve"> </w:t>
            </w:r>
            <w:r w:rsidR="0009507D">
              <w:rPr>
                <w:sz w:val="24"/>
                <w:szCs w:val="24"/>
              </w:rPr>
              <w:t>adult if deemed necessary. This also then give</w:t>
            </w:r>
            <w:r w:rsidR="008E4FD1">
              <w:rPr>
                <w:sz w:val="24"/>
                <w:szCs w:val="24"/>
              </w:rPr>
              <w:t xml:space="preserve"> us the authority to speak privately to adults </w:t>
            </w:r>
            <w:r w:rsidR="00E95216">
              <w:rPr>
                <w:sz w:val="24"/>
                <w:szCs w:val="24"/>
              </w:rPr>
              <w:t>who are expected to be at risk.</w:t>
            </w:r>
            <w:r w:rsidR="008E4FD1">
              <w:rPr>
                <w:sz w:val="24"/>
                <w:szCs w:val="24"/>
              </w:rPr>
              <w:t xml:space="preserve"> Therefore giving the adult the opportunity to be properly assessed and any actions taken to ensure the adult is safeguarded. </w:t>
            </w:r>
          </w:p>
          <w:p w14:paraId="13178B73" w14:textId="77777777" w:rsidR="004B1446" w:rsidRDefault="004B1446" w:rsidP="009A7E1C">
            <w:pPr>
              <w:spacing w:line="360" w:lineRule="auto"/>
              <w:jc w:val="both"/>
              <w:rPr>
                <w:sz w:val="24"/>
                <w:szCs w:val="24"/>
              </w:rPr>
            </w:pPr>
          </w:p>
          <w:p w14:paraId="54D239A4" w14:textId="61B319D1" w:rsidR="00CB417D" w:rsidRDefault="004B1446" w:rsidP="009A7E1C">
            <w:pPr>
              <w:spacing w:line="360" w:lineRule="auto"/>
              <w:jc w:val="both"/>
              <w:rPr>
                <w:sz w:val="24"/>
                <w:szCs w:val="24"/>
              </w:rPr>
            </w:pPr>
            <w:r>
              <w:rPr>
                <w:sz w:val="24"/>
                <w:szCs w:val="24"/>
              </w:rPr>
              <w:t xml:space="preserve"> The Mental Health Act (MHA, 1983, 2007) and the Mental Capacity Act 2005</w:t>
            </w:r>
            <w:r w:rsidR="00A21206">
              <w:rPr>
                <w:sz w:val="24"/>
                <w:szCs w:val="24"/>
              </w:rPr>
              <w:t xml:space="preserve"> (MCA)</w:t>
            </w:r>
            <w:r>
              <w:rPr>
                <w:sz w:val="24"/>
                <w:szCs w:val="24"/>
              </w:rPr>
              <w:t xml:space="preserve"> are two very vital legislation that are used within adult’s services where mental health is factor. It is important that the correct procedures and process are used when considering the principles of these Acts and how best to support an adult at risk. These principles should be imbedded in our practice when we are supporting adults by showing them respect and dignity, and efficiency and equality</w:t>
            </w:r>
            <w:r w:rsidR="00A21206">
              <w:rPr>
                <w:sz w:val="24"/>
                <w:szCs w:val="24"/>
              </w:rPr>
              <w:t xml:space="preserve"> </w:t>
            </w:r>
            <w:r w:rsidR="00A21206" w:rsidRPr="00A21206">
              <w:rPr>
                <w:color w:val="auto"/>
                <w:sz w:val="24"/>
                <w:szCs w:val="24"/>
              </w:rPr>
              <w:t>(Welsh Government</w:t>
            </w:r>
            <w:r w:rsidR="00A21206">
              <w:rPr>
                <w:color w:val="auto"/>
                <w:sz w:val="24"/>
                <w:szCs w:val="24"/>
              </w:rPr>
              <w:t>, 2019</w:t>
            </w:r>
            <w:r w:rsidR="00A21206" w:rsidRPr="00A21206">
              <w:rPr>
                <w:color w:val="auto"/>
                <w:sz w:val="24"/>
                <w:szCs w:val="24"/>
              </w:rPr>
              <w:t>)</w:t>
            </w:r>
            <w:r w:rsidR="00A21206">
              <w:rPr>
                <w:color w:val="auto"/>
                <w:sz w:val="24"/>
                <w:szCs w:val="24"/>
              </w:rPr>
              <w:t xml:space="preserve">. The mental Capacity Act </w:t>
            </w:r>
            <w:r w:rsidR="007C47C5">
              <w:rPr>
                <w:color w:val="auto"/>
                <w:sz w:val="24"/>
                <w:szCs w:val="24"/>
              </w:rPr>
              <w:t>(</w:t>
            </w:r>
            <w:r w:rsidR="00A21206">
              <w:rPr>
                <w:color w:val="auto"/>
                <w:sz w:val="24"/>
                <w:szCs w:val="24"/>
              </w:rPr>
              <w:t>2005</w:t>
            </w:r>
            <w:r w:rsidR="007C47C5">
              <w:rPr>
                <w:color w:val="auto"/>
                <w:sz w:val="24"/>
                <w:szCs w:val="24"/>
              </w:rPr>
              <w:t>)</w:t>
            </w:r>
            <w:r w:rsidR="00A21206">
              <w:rPr>
                <w:color w:val="auto"/>
                <w:sz w:val="24"/>
                <w:szCs w:val="24"/>
              </w:rPr>
              <w:t xml:space="preserve"> will often override the Human Rights Act </w:t>
            </w:r>
            <w:r w:rsidR="007C47C5">
              <w:rPr>
                <w:color w:val="auto"/>
                <w:sz w:val="24"/>
                <w:szCs w:val="24"/>
              </w:rPr>
              <w:t>(</w:t>
            </w:r>
            <w:r w:rsidR="00A21206">
              <w:rPr>
                <w:color w:val="auto"/>
                <w:sz w:val="24"/>
                <w:szCs w:val="24"/>
              </w:rPr>
              <w:t>1998</w:t>
            </w:r>
            <w:r w:rsidR="007C47C5">
              <w:rPr>
                <w:color w:val="auto"/>
                <w:sz w:val="24"/>
                <w:szCs w:val="24"/>
              </w:rPr>
              <w:t>)</w:t>
            </w:r>
            <w:r w:rsidR="00A21206">
              <w:rPr>
                <w:color w:val="auto"/>
                <w:sz w:val="24"/>
                <w:szCs w:val="24"/>
              </w:rPr>
              <w:t xml:space="preserve"> in particular the person’s rights to liberty. If a person lacks capacity then professionals are able to make decisions on behalf of the person who is lacking capacity to make decisions. The MCA </w:t>
            </w:r>
            <w:r w:rsidR="007C47C5">
              <w:rPr>
                <w:color w:val="auto"/>
                <w:sz w:val="24"/>
                <w:szCs w:val="24"/>
              </w:rPr>
              <w:t>(</w:t>
            </w:r>
            <w:r w:rsidR="00A21206">
              <w:rPr>
                <w:color w:val="auto"/>
                <w:sz w:val="24"/>
                <w:szCs w:val="24"/>
              </w:rPr>
              <w:t>2005</w:t>
            </w:r>
            <w:r w:rsidR="007C47C5">
              <w:rPr>
                <w:color w:val="auto"/>
                <w:sz w:val="24"/>
                <w:szCs w:val="24"/>
              </w:rPr>
              <w:t>)</w:t>
            </w:r>
            <w:r w:rsidR="00A21206">
              <w:rPr>
                <w:color w:val="auto"/>
                <w:sz w:val="24"/>
                <w:szCs w:val="24"/>
              </w:rPr>
              <w:t xml:space="preserve"> is there to support people who are not able to make decisions for themselves, therefore putting themselves at risk of harm. </w:t>
            </w:r>
          </w:p>
          <w:p w14:paraId="65326E07" w14:textId="04EC20CF" w:rsidR="009A7E1C" w:rsidRDefault="009A7E1C" w:rsidP="009A7E1C">
            <w:pPr>
              <w:spacing w:line="360" w:lineRule="auto"/>
              <w:jc w:val="both"/>
              <w:rPr>
                <w:sz w:val="24"/>
                <w:szCs w:val="24"/>
              </w:rPr>
            </w:pPr>
          </w:p>
          <w:p w14:paraId="4A95F4DB" w14:textId="7FCE0F29" w:rsidR="00FC0334" w:rsidRDefault="007C47C5" w:rsidP="00FF7EBB">
            <w:pPr>
              <w:jc w:val="both"/>
              <w:rPr>
                <w:sz w:val="24"/>
                <w:szCs w:val="24"/>
              </w:rPr>
            </w:pPr>
            <w:r>
              <w:rPr>
                <w:sz w:val="24"/>
                <w:szCs w:val="24"/>
              </w:rPr>
              <w:t>487</w:t>
            </w: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1B55CCD9" w:rsidR="00FC0334" w:rsidRDefault="00E95216" w:rsidP="00333D76">
            <w:pPr>
              <w:spacing w:line="360" w:lineRule="auto"/>
              <w:jc w:val="both"/>
              <w:rPr>
                <w:sz w:val="24"/>
                <w:szCs w:val="24"/>
              </w:rPr>
            </w:pPr>
            <w:r>
              <w:rPr>
                <w:sz w:val="24"/>
                <w:szCs w:val="24"/>
              </w:rPr>
              <w:t>Adult and children safeguarding has some similarities in terms of categories of abuse are the same. Social Services and Well-being Act 2014 (SSWBA 2014)</w:t>
            </w:r>
            <w:r w:rsidR="00175459">
              <w:rPr>
                <w:sz w:val="24"/>
                <w:szCs w:val="24"/>
              </w:rPr>
              <w:t xml:space="preserve">. Part 7 of the Act states that children and adult who are classed as vulnerable are treated the same in regards to reporting any concerns of a child or adult who is at risk of harm. </w:t>
            </w:r>
            <w:r>
              <w:rPr>
                <w:sz w:val="24"/>
                <w:szCs w:val="24"/>
              </w:rPr>
              <w:t xml:space="preserve"> </w:t>
            </w:r>
            <w:r w:rsidR="00175459">
              <w:rPr>
                <w:sz w:val="24"/>
                <w:szCs w:val="24"/>
              </w:rPr>
              <w:t xml:space="preserve">Safeguarding relates to a child under </w:t>
            </w:r>
            <w:r w:rsidR="00175459">
              <w:rPr>
                <w:sz w:val="24"/>
                <w:szCs w:val="24"/>
              </w:rPr>
              <w:lastRenderedPageBreak/>
              <w:t>18, and adult who are over 18 and have concerns around mental capacity.</w:t>
            </w:r>
            <w:r w:rsidR="00DB69AD">
              <w:rPr>
                <w:sz w:val="24"/>
                <w:szCs w:val="24"/>
              </w:rPr>
              <w:t xml:space="preserve"> Me</w:t>
            </w:r>
            <w:r w:rsidR="00A21206">
              <w:rPr>
                <w:sz w:val="24"/>
                <w:szCs w:val="24"/>
              </w:rPr>
              <w:t>ntal Capacity Act (2005</w:t>
            </w:r>
            <w:r w:rsidR="00DB69AD">
              <w:rPr>
                <w:sz w:val="24"/>
                <w:szCs w:val="24"/>
              </w:rPr>
              <w:t>)</w:t>
            </w:r>
            <w:r w:rsidR="00175459">
              <w:rPr>
                <w:sz w:val="24"/>
                <w:szCs w:val="24"/>
              </w:rPr>
              <w:t xml:space="preserve"> Where mental capacity is of a concern who will need to establish if the adult understands the risks. If the person is deemed to have capacity and does not want support then </w:t>
            </w:r>
            <w:r w:rsidR="00333D76">
              <w:rPr>
                <w:sz w:val="24"/>
                <w:szCs w:val="24"/>
              </w:rPr>
              <w:t xml:space="preserve">they are in their own rights to decline support. (The Human Rights Act 1998). </w:t>
            </w:r>
            <w:r w:rsidR="00E27911">
              <w:rPr>
                <w:sz w:val="24"/>
                <w:szCs w:val="24"/>
              </w:rPr>
              <w:t>Adults</w:t>
            </w:r>
            <w:r w:rsidR="00333D76">
              <w:rPr>
                <w:sz w:val="24"/>
                <w:szCs w:val="24"/>
              </w:rPr>
              <w:t xml:space="preserve"> who have capacity have to consent </w:t>
            </w:r>
            <w:r w:rsidR="00E27911">
              <w:rPr>
                <w:sz w:val="24"/>
                <w:szCs w:val="24"/>
              </w:rPr>
              <w:t xml:space="preserve">to support and assessment, however children do not need to give consent when safeguarding concerns are identified. </w:t>
            </w:r>
          </w:p>
          <w:p w14:paraId="7C9ACDB0" w14:textId="49E2926C" w:rsidR="00333D76" w:rsidRDefault="00333D76" w:rsidP="00333D76">
            <w:pPr>
              <w:spacing w:line="360" w:lineRule="auto"/>
              <w:jc w:val="both"/>
              <w:rPr>
                <w:sz w:val="24"/>
                <w:szCs w:val="24"/>
              </w:rPr>
            </w:pPr>
          </w:p>
          <w:p w14:paraId="14181BC5" w14:textId="7FDCD007" w:rsidR="00333D76" w:rsidRDefault="00333D76" w:rsidP="00333D76">
            <w:pPr>
              <w:spacing w:line="360" w:lineRule="auto"/>
              <w:jc w:val="both"/>
              <w:rPr>
                <w:sz w:val="24"/>
                <w:szCs w:val="24"/>
              </w:rPr>
            </w:pPr>
            <w:r>
              <w:rPr>
                <w:sz w:val="24"/>
                <w:szCs w:val="24"/>
              </w:rPr>
              <w:t>Within the Human Rights</w:t>
            </w:r>
            <w:r w:rsidR="00A21206">
              <w:rPr>
                <w:sz w:val="24"/>
                <w:szCs w:val="24"/>
              </w:rPr>
              <w:t xml:space="preserve"> </w:t>
            </w:r>
            <w:r w:rsidR="007C47C5">
              <w:rPr>
                <w:sz w:val="24"/>
                <w:szCs w:val="24"/>
              </w:rPr>
              <w:t>Act (</w:t>
            </w:r>
            <w:r w:rsidR="00A21206">
              <w:rPr>
                <w:sz w:val="24"/>
                <w:szCs w:val="24"/>
              </w:rPr>
              <w:t>1998</w:t>
            </w:r>
            <w:r w:rsidR="007C47C5">
              <w:rPr>
                <w:sz w:val="24"/>
                <w:szCs w:val="24"/>
              </w:rPr>
              <w:t xml:space="preserve">) , </w:t>
            </w:r>
            <w:r w:rsidR="00A21206">
              <w:rPr>
                <w:sz w:val="24"/>
                <w:szCs w:val="24"/>
              </w:rPr>
              <w:t xml:space="preserve"> Article 8 it</w:t>
            </w:r>
            <w:r>
              <w:rPr>
                <w:sz w:val="24"/>
                <w:szCs w:val="24"/>
              </w:rPr>
              <w:t xml:space="preserve"> give people the right to a private and family life. It would be an </w:t>
            </w:r>
            <w:r w:rsidR="00E27911">
              <w:rPr>
                <w:sz w:val="24"/>
                <w:szCs w:val="24"/>
              </w:rPr>
              <w:t>adult’s</w:t>
            </w:r>
            <w:r>
              <w:rPr>
                <w:sz w:val="24"/>
                <w:szCs w:val="24"/>
              </w:rPr>
              <w:t xml:space="preserve"> decision if they decided to be in a relationship that put them at risk. In addition, </w:t>
            </w:r>
            <w:r w:rsidR="00E27911">
              <w:rPr>
                <w:sz w:val="24"/>
                <w:szCs w:val="24"/>
              </w:rPr>
              <w:t xml:space="preserve"> children </w:t>
            </w:r>
            <w:r>
              <w:rPr>
                <w:sz w:val="24"/>
                <w:szCs w:val="24"/>
              </w:rPr>
              <w:t xml:space="preserve"> also have the right to a family life, However if the children are being put a risk of significant  harm children are able to removed from that unsafe situation even if they don’t agree with the decision. </w:t>
            </w:r>
          </w:p>
          <w:p w14:paraId="3CA1CBEA" w14:textId="715B204F" w:rsidR="00E27911" w:rsidRDefault="00E27911" w:rsidP="00333D76">
            <w:pPr>
              <w:spacing w:line="360" w:lineRule="auto"/>
              <w:jc w:val="both"/>
              <w:rPr>
                <w:sz w:val="24"/>
                <w:szCs w:val="24"/>
              </w:rPr>
            </w:pPr>
          </w:p>
          <w:p w14:paraId="4FF3594E" w14:textId="03C11F83" w:rsidR="00E27911" w:rsidRDefault="00E27911" w:rsidP="00333D76">
            <w:pPr>
              <w:spacing w:line="360" w:lineRule="auto"/>
              <w:jc w:val="both"/>
              <w:rPr>
                <w:sz w:val="24"/>
                <w:szCs w:val="24"/>
              </w:rPr>
            </w:pPr>
            <w:r>
              <w:rPr>
                <w:sz w:val="24"/>
                <w:szCs w:val="24"/>
              </w:rPr>
              <w:t xml:space="preserve">Social workers who work within children services are able to make decisions about a child in their best interest; </w:t>
            </w:r>
            <w:r w:rsidR="00A21206">
              <w:rPr>
                <w:sz w:val="24"/>
                <w:szCs w:val="24"/>
              </w:rPr>
              <w:t>furthermore,</w:t>
            </w:r>
            <w:r>
              <w:rPr>
                <w:sz w:val="24"/>
                <w:szCs w:val="24"/>
              </w:rPr>
              <w:t xml:space="preserve"> there is a statutory duty to protect children at risk. There is also a statutory duty that parents engage with service where safeguarding if of a concern. If the support is refused by parents, the local authority can take action to ensure the children is not at risk of har</w:t>
            </w:r>
            <w:r w:rsidR="00DB69AD">
              <w:rPr>
                <w:sz w:val="24"/>
                <w:szCs w:val="24"/>
              </w:rPr>
              <w:t>m</w:t>
            </w:r>
            <w:r>
              <w:rPr>
                <w:sz w:val="24"/>
                <w:szCs w:val="24"/>
              </w:rPr>
              <w:t xml:space="preserve">. (Children Act 1989) </w:t>
            </w:r>
          </w:p>
          <w:p w14:paraId="37289215" w14:textId="1F894B80" w:rsidR="00333D76" w:rsidRDefault="00333D76" w:rsidP="00333D76">
            <w:pPr>
              <w:spacing w:line="360" w:lineRule="auto"/>
              <w:jc w:val="both"/>
              <w:rPr>
                <w:sz w:val="24"/>
                <w:szCs w:val="24"/>
              </w:rPr>
            </w:pPr>
          </w:p>
          <w:p w14:paraId="712236C7" w14:textId="148F05DB" w:rsidR="00333D76" w:rsidRDefault="00DB69AD" w:rsidP="00333D76">
            <w:pPr>
              <w:spacing w:line="360" w:lineRule="auto"/>
              <w:jc w:val="both"/>
              <w:rPr>
                <w:sz w:val="24"/>
                <w:szCs w:val="24"/>
              </w:rPr>
            </w:pPr>
            <w:r>
              <w:rPr>
                <w:sz w:val="24"/>
                <w:szCs w:val="24"/>
              </w:rPr>
              <w:t xml:space="preserve">Within Wales the Wales Safeguarding procedures </w:t>
            </w:r>
            <w:r w:rsidR="007C47C5">
              <w:rPr>
                <w:sz w:val="24"/>
                <w:szCs w:val="24"/>
              </w:rPr>
              <w:t>(</w:t>
            </w:r>
            <w:r>
              <w:rPr>
                <w:sz w:val="24"/>
                <w:szCs w:val="24"/>
              </w:rPr>
              <w:t>2019</w:t>
            </w:r>
            <w:r w:rsidR="007C47C5">
              <w:rPr>
                <w:sz w:val="24"/>
                <w:szCs w:val="24"/>
              </w:rPr>
              <w:t>)</w:t>
            </w:r>
            <w:r>
              <w:rPr>
                <w:sz w:val="24"/>
                <w:szCs w:val="24"/>
              </w:rPr>
              <w:t xml:space="preserve">, gives clear guideline for adult and children whom need safeguarding. Within </w:t>
            </w:r>
            <w:r w:rsidR="00A21206">
              <w:rPr>
                <w:sz w:val="24"/>
                <w:szCs w:val="24"/>
              </w:rPr>
              <w:t>adults,</w:t>
            </w:r>
            <w:r>
              <w:rPr>
                <w:sz w:val="24"/>
                <w:szCs w:val="24"/>
              </w:rPr>
              <w:t xml:space="preserve"> there are wider types of abuse than in children. Adult safeguarding has added different types of abuse for example controlling behaviour and financial abuse, where within children the abuse types are limited to emotional, sexual, physical and neglect. </w:t>
            </w:r>
          </w:p>
          <w:p w14:paraId="3B5AB8F6" w14:textId="6AE03DFB" w:rsidR="00A21206" w:rsidRDefault="00A21206" w:rsidP="00333D76">
            <w:pPr>
              <w:spacing w:line="360" w:lineRule="auto"/>
              <w:jc w:val="both"/>
              <w:rPr>
                <w:sz w:val="24"/>
                <w:szCs w:val="24"/>
              </w:rPr>
            </w:pPr>
            <w:r>
              <w:rPr>
                <w:sz w:val="24"/>
                <w:szCs w:val="24"/>
              </w:rPr>
              <w:t xml:space="preserve">A child’s  ability to make decisions  to make decisions for themselves can be assessed using Gillick competence. This enables us to access a child’s ability to understand any decisions they make.  (NSPCC, 2022) </w:t>
            </w: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6BF3AAE3" w:rsidR="00FC0334" w:rsidRDefault="007C47C5" w:rsidP="00FC0334">
            <w:pPr>
              <w:jc w:val="both"/>
              <w:rPr>
                <w:sz w:val="24"/>
                <w:szCs w:val="24"/>
              </w:rPr>
            </w:pPr>
            <w:r>
              <w:rPr>
                <w:sz w:val="24"/>
                <w:szCs w:val="24"/>
              </w:rPr>
              <w:t>395</w:t>
            </w:r>
            <w:bookmarkStart w:id="0" w:name="_GoBack"/>
            <w:bookmarkEnd w:id="0"/>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AEB652D" w:rsidR="00A5656A" w:rsidRDefault="00A5656A">
    <w:pPr>
      <w:pStyle w:val="Footer"/>
      <w:jc w:val="right"/>
    </w:pPr>
    <w:r>
      <w:fldChar w:fldCharType="begin"/>
    </w:r>
    <w:r>
      <w:instrText xml:space="preserve"> PAGE   \* MERGEFORMAT </w:instrText>
    </w:r>
    <w:r>
      <w:fldChar w:fldCharType="separate"/>
    </w:r>
    <w:r w:rsidR="007C47C5">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133"/>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07D"/>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5459"/>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3D7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1446"/>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1D10"/>
    <w:rsid w:val="006223FD"/>
    <w:rsid w:val="006326D1"/>
    <w:rsid w:val="00632E0A"/>
    <w:rsid w:val="00633165"/>
    <w:rsid w:val="00636D6F"/>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47C5"/>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FD1"/>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A7E1C"/>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1206"/>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65F9"/>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17D"/>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15EB"/>
    <w:rsid w:val="00D646BD"/>
    <w:rsid w:val="00D65558"/>
    <w:rsid w:val="00D71201"/>
    <w:rsid w:val="00D720C7"/>
    <w:rsid w:val="00D84841"/>
    <w:rsid w:val="00D876E6"/>
    <w:rsid w:val="00D90958"/>
    <w:rsid w:val="00DA1025"/>
    <w:rsid w:val="00DA22EC"/>
    <w:rsid w:val="00DA5682"/>
    <w:rsid w:val="00DA5860"/>
    <w:rsid w:val="00DA5C0C"/>
    <w:rsid w:val="00DB2767"/>
    <w:rsid w:val="00DB5C40"/>
    <w:rsid w:val="00DB69AD"/>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791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216"/>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0627"/>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sadavies22@hotmail.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B802E78B-5D45-4339-93A0-63CC701C4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1085</Words>
  <Characters>5510</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Lisa (Child In Need Team)</cp:lastModifiedBy>
  <cp:revision>2</cp:revision>
  <cp:lastPrinted>2020-02-11T19:20:00Z</cp:lastPrinted>
  <dcterms:created xsi:type="dcterms:W3CDTF">2023-02-17T13:13:00Z</dcterms:created>
  <dcterms:modified xsi:type="dcterms:W3CDTF">2023-02-17T13:13:00Z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