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27489564"/>
        <w:docPartObj>
          <w:docPartGallery w:val="Cover Pages"/>
          <w:docPartUnique/>
        </w:docPartObj>
      </w:sdtPr>
      <w:sdtEndPr>
        <w:rPr>
          <w:highlight w:val="yellow"/>
        </w:rPr>
      </w:sdtEndPr>
      <w:sdtContent>
        <w:p w14:paraId="77D55D43" w14:textId="70A07C31" w:rsidR="00C52A62" w:rsidRDefault="00C03C5A">
          <w:r>
            <w:rPr>
              <w:noProof/>
            </w:rPr>
            <mc:AlternateContent>
              <mc:Choice Requires="wps">
                <w:drawing>
                  <wp:anchor distT="0" distB="0" distL="114300" distR="114300" simplePos="0" relativeHeight="251661312" behindDoc="0" locked="0" layoutInCell="1" allowOverlap="1" wp14:anchorId="7E67CF90" wp14:editId="326DF4B9">
                    <wp:simplePos x="0" y="0"/>
                    <wp:positionH relativeFrom="page">
                      <wp:posOffset>3469056</wp:posOffset>
                    </wp:positionH>
                    <wp:positionV relativeFrom="page">
                      <wp:posOffset>355117</wp:posOffset>
                    </wp:positionV>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A049E2E" w14:textId="4D940754" w:rsidR="00C52A62" w:rsidRDefault="00722DB9">
                                    <w:pPr>
                                      <w:spacing w:line="240" w:lineRule="auto"/>
                                      <w:rPr>
                                        <w:rFonts w:asciiTheme="majorHAnsi" w:eastAsiaTheme="majorEastAsia" w:hAnsiTheme="majorHAnsi" w:cstheme="majorBidi"/>
                                        <w:color w:val="156082" w:themeColor="accent1"/>
                                        <w:sz w:val="72"/>
                                        <w:szCs w:val="72"/>
                                      </w:rPr>
                                    </w:pPr>
                                    <w:r>
                                      <w:rPr>
                                        <w:rFonts w:asciiTheme="majorHAnsi" w:eastAsiaTheme="majorEastAsia" w:hAnsiTheme="majorHAnsi" w:cstheme="majorBidi"/>
                                        <w:color w:val="156082" w:themeColor="accent1"/>
                                        <w:sz w:val="72"/>
                                        <w:szCs w:val="72"/>
                                      </w:rPr>
                                      <w:t>Procurement processes</w:t>
                                    </w:r>
                                  </w:p>
                                </w:sdtContent>
                              </w:sdt>
                              <w:sdt>
                                <w:sdtPr>
                                  <w:rPr>
                                    <w:rFonts w:asciiTheme="majorHAnsi" w:eastAsiaTheme="majorEastAsia" w:hAnsiTheme="majorHAnsi" w:cstheme="majorBidi"/>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3E351BDC" w14:textId="5418270B" w:rsidR="00C52A62" w:rsidRDefault="00F13A90">
                                    <w:pPr>
                                      <w:rPr>
                                        <w:rFonts w:asciiTheme="majorHAnsi" w:eastAsiaTheme="majorEastAsia" w:hAnsiTheme="majorHAnsi" w:cstheme="majorBidi"/>
                                        <w:color w:val="0E2841" w:themeColor="text2"/>
                                        <w:sz w:val="32"/>
                                        <w:szCs w:val="32"/>
                                      </w:rPr>
                                    </w:pPr>
                                    <w:r>
                                      <w:rPr>
                                        <w:rFonts w:asciiTheme="majorHAnsi" w:eastAsiaTheme="majorEastAsia" w:hAnsiTheme="majorHAnsi" w:cstheme="majorBidi"/>
                                        <w:color w:val="0E2841"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7E67CF90" id="_x0000_t202" coordsize="21600,21600" o:spt="202" path="m,l,21600r21600,l21600,xe">
                    <v:stroke joinstyle="miter"/>
                    <v:path gradientshapeok="t" o:connecttype="rect"/>
                  </v:shapetype>
                  <v:shape id="Text Box 84" o:spid="_x0000_s1026" type="#_x0000_t202" style="position:absolute;margin-left:273.15pt;margin-top:27.95pt;width:220.3pt;height:194.9pt;z-index:25166131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Mo+IAIAADsEAAAOAAAAZHJzL2Uyb0RvYy54bWysU0tv2zAMvg/YfxB0X5y4SdMacYqsRYYB&#10;QVsgHXpWZCk2IImapMTOfv0oxXmg22nYRSJFio/vI2cPnVZkL5xvwJR0NBhSIgyHqjHbkv54W365&#10;o8QHZiqmwIiSHoSnD/PPn2atLUQONahKOIJBjC9aW9I6BFtkmee10MwPwAqDRglOs4Cq22aVYy1G&#10;1yrLh8PbrAVXWQdceI+vT0cjnaf4UgoeXqT0IhBVUqwtpNOlcxPPbD5jxdYxWze8L4P9QxWaNQaT&#10;nkM9scDIzjV/hNINd+BBhgEHnYGUDRepB+xmNPzQzbpmVqReEBxvzzD5/xeWP+/X9tWR0H2FDgmM&#10;gLTWFx4fYz+ddDreWClBO0J4OMMmukA4PubT++ndCE0cbfl4OslvErDZ5bt1PnwToEkUSuqQlwQX&#10;2698wJToenKJ2QwsG6USN8qQtqS3N5Nh+nC24A9loq9ILPdhLqVHKXSbru9nA9UB23RwnABv+bLB&#10;UlbMh1fmkHIsH8c4vOAhFWBK6CVKanC//vYe/ZEJtFLS4giV1P/cMScoUd8NcnQ/Go/jzCVlPJnm&#10;qLhry+baYnb6EXBKR7gwlicx+gd1EqUD/Y7TvohZ0cQMx9wlDSfxMRwHG7eFi8UiOeGUWRZWZm15&#10;DB0Bi0C/de/M2Z6NgEQ+w2nYWPGBlKNv/OntYheQmsRYBPiIKtIXFZzQRGS/TXEFrvXkddn5+W8A&#10;AAD//wMAUEsDBBQABgAIAAAAIQDmwKJp3gAAAAoBAAAPAAAAZHJzL2Rvd25yZXYueG1sTI/BToNA&#10;EIbvJr7DZky82UUL2CJLY0x605iCideFnQKRnSXsttC3dzzZ2z+ZL/98k+8WO4gzTr53pOBxFYFA&#10;apzpqVXwVe0fNiB80GT04AgVXNDDrri9yXVm3EwHPJehFVxCPtMKuhDGTErfdGi1X7kRiXdHN1kd&#10;eJxaaSY9c7kd5FMUpdLqnvhCp0d867D5KU9WQfmJh2HG+v3o999Vf6k+zDoJSt3fLa8vIAIu4R+G&#10;P31Wh4Kdanci48WgIInTNaMcki0IBrablEOtII6TZ5BFLq9fKH4BAAD//wMAUEsBAi0AFAAGAAgA&#10;AAAhALaDOJL+AAAA4QEAABMAAAAAAAAAAAAAAAAAAAAAAFtDb250ZW50X1R5cGVzXS54bWxQSwEC&#10;LQAUAAYACAAAACEAOP0h/9YAAACUAQAACwAAAAAAAAAAAAAAAAAvAQAAX3JlbHMvLnJlbHNQSwEC&#10;LQAUAAYACAAAACEA/UjKPiACAAA7BAAADgAAAAAAAAAAAAAAAAAuAgAAZHJzL2Uyb0RvYy54bWxQ&#10;SwECLQAUAAYACAAAACEA5sCiad4AAAAKAQAADwAAAAAAAAAAAAAAAAB6BAAAZHJzL2Rvd25yZXYu&#10;eG1sUEsFBgAAAAAEAAQA8wAAAIUFAAAAAA==&#10;" filled="f" stroked="f" strokeweight=".5pt">
                    <v:textbox style="mso-fit-shape-to-text:t">
                      <w:txbxContent>
                        <w:sdt>
                          <w:sdtPr>
                            <w:rPr>
                              <w:rFonts w:asciiTheme="majorHAnsi" w:eastAsiaTheme="majorEastAsia" w:hAnsiTheme="majorHAnsi" w:cstheme="majorBidi"/>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A049E2E" w14:textId="4D940754" w:rsidR="00C52A62" w:rsidRDefault="00722DB9">
                              <w:pPr>
                                <w:spacing w:line="240" w:lineRule="auto"/>
                                <w:rPr>
                                  <w:rFonts w:asciiTheme="majorHAnsi" w:eastAsiaTheme="majorEastAsia" w:hAnsiTheme="majorHAnsi" w:cstheme="majorBidi"/>
                                  <w:color w:val="156082" w:themeColor="accent1"/>
                                  <w:sz w:val="72"/>
                                  <w:szCs w:val="72"/>
                                </w:rPr>
                              </w:pPr>
                              <w:r>
                                <w:rPr>
                                  <w:rFonts w:asciiTheme="majorHAnsi" w:eastAsiaTheme="majorEastAsia" w:hAnsiTheme="majorHAnsi" w:cstheme="majorBidi"/>
                                  <w:color w:val="156082" w:themeColor="accent1"/>
                                  <w:sz w:val="72"/>
                                  <w:szCs w:val="72"/>
                                </w:rPr>
                                <w:t>Procurement processes</w:t>
                              </w:r>
                            </w:p>
                          </w:sdtContent>
                        </w:sdt>
                        <w:sdt>
                          <w:sdtPr>
                            <w:rPr>
                              <w:rFonts w:asciiTheme="majorHAnsi" w:eastAsiaTheme="majorEastAsia" w:hAnsiTheme="majorHAnsi" w:cstheme="majorBidi"/>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3E351BDC" w14:textId="5418270B" w:rsidR="00C52A62" w:rsidRDefault="00F13A90">
                              <w:pPr>
                                <w:rPr>
                                  <w:rFonts w:asciiTheme="majorHAnsi" w:eastAsiaTheme="majorEastAsia" w:hAnsiTheme="majorHAnsi" w:cstheme="majorBidi"/>
                                  <w:color w:val="0E2841" w:themeColor="text2"/>
                                  <w:sz w:val="32"/>
                                  <w:szCs w:val="32"/>
                                </w:rPr>
                              </w:pPr>
                              <w:r>
                                <w:rPr>
                                  <w:rFonts w:asciiTheme="majorHAnsi" w:eastAsiaTheme="majorEastAsia" w:hAnsiTheme="majorHAnsi" w:cstheme="majorBidi"/>
                                  <w:color w:val="0E2841" w:themeColor="text2"/>
                                  <w:sz w:val="32"/>
                                  <w:szCs w:val="32"/>
                                </w:rPr>
                                <w:t xml:space="preserve">     </w:t>
                              </w:r>
                            </w:p>
                          </w:sdtContent>
                        </w:sdt>
                      </w:txbxContent>
                    </v:textbox>
                    <w10:wrap type="square" anchorx="page" anchory="page"/>
                  </v:shape>
                </w:pict>
              </mc:Fallback>
            </mc:AlternateContent>
          </w:r>
          <w:r w:rsidR="00A421BE">
            <w:rPr>
              <w:noProof/>
            </w:rPr>
            <mc:AlternateContent>
              <mc:Choice Requires="wps">
                <w:drawing>
                  <wp:anchor distT="0" distB="0" distL="114300" distR="114300" simplePos="0" relativeHeight="251663360" behindDoc="1" locked="0" layoutInCell="1" allowOverlap="1" wp14:anchorId="51E60664" wp14:editId="5E989528">
                    <wp:simplePos x="0" y="0"/>
                    <wp:positionH relativeFrom="page">
                      <wp:posOffset>187287</wp:posOffset>
                    </wp:positionH>
                    <wp:positionV relativeFrom="page">
                      <wp:posOffset>264405</wp:posOffset>
                    </wp:positionV>
                    <wp:extent cx="7383780" cy="9871113"/>
                    <wp:effectExtent l="0" t="0" r="0" b="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871113"/>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BF913FC" w14:textId="77777777" w:rsidR="00C52A62" w:rsidRDefault="00C52A6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0</wp14:pctHeight>
                    </wp14:sizeRelV>
                  </wp:anchor>
                </w:drawing>
              </mc:Choice>
              <mc:Fallback>
                <w:pict>
                  <v:rect w14:anchorId="51E60664" id="Rectangle 80" o:spid="_x0000_s1027" style="position:absolute;margin-left:14.75pt;margin-top:20.8pt;width:581.4pt;height:777.25pt;z-index:-251653120;visibility:visible;mso-wrap-style:square;mso-width-percent:950;mso-height-percent:0;mso-wrap-distance-left:9pt;mso-wrap-distance-top:0;mso-wrap-distance-right:9pt;mso-wrap-distance-bottom:0;mso-position-horizontal:absolute;mso-position-horizontal-relative:page;mso-position-vertical:absolute;mso-position-vertical-relative:page;mso-width-percent:95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OmCwQIAAGEGAAAOAAAAZHJzL2Uyb0RvYy54bWysVd9v0zAQfkfif7D8ztK021qipVO1aQip&#10;bBMb2rPrOE2E4zO227T89TvbSVZGAYF4ic7329/5vlxc7hpJtsLYGlRO05MRJUJxKGq1zumXx5t3&#10;M0qsY6pgEpTI6V5Yejl/++ai1ZkYQwWyEIZgEmWzVue0ck5nSWJ5JRpmT0ALhcYSTMMcHs06KQxr&#10;MXsjk/FodJ60YAptgAtrUXsdjXQe8pel4O6uLK1wROYUe3Pha8J35b/J/IJla8N0VfOuDfYPXTSs&#10;Vlh0SHXNHCMbU/+Uqqm5AQulO+HQJFCWNRfhDnibdPTqNg8V0yLcBcGxeoDJ/r+0/Hb7oO+Nb93q&#10;JfCvFhFJWm2zweIPtvPZlabxvtg42QUU9wOKYucIR+V0MptMZwg2R9v72TRN04nHOWFZH66NdR8E&#10;NMQLOTU4poAe2y6ti669SwdqcVNLGWSLLlEgGhCJUYgMD0ZcSUO2DEfNOBfKpcEkN80nKKIen8yo&#10;Gzqq8WlE9axXY49DptDx2h7WSr3fXxU87zOz7LDgaa8+WhCV63hNLxk2XF4q340CD0aEyWvCuOKE&#10;wqzcXgrvJ9VnUZK6wJmM/wSSrVghIhhnv+wtJPSZS6w/5EZQJsfSSzfuxt65+0gRdnKI/S2W8YZD&#10;RCgMyg3BTa3AHK+c9pWjf49RRMaD5HarHUKDlOU9vWYFxf7eEAORI6zmNzW+ziWz7p4ZJAV80Uh0&#10;7g4/pYQ2p9BJlFRgvh/Te3/cVbRS0iLJ5NR+2zAjKJEfFb7d8fR0Mva0FE6nZ1N/MD+YVocmtWmu&#10;AJ93iqSqeRB9gJO9WBponpARF74umpjiWD2n3Jn+cOUi/SGncrFYBDfkIs3cUj1o7pN7pP3+Pe6e&#10;mNHdkjrc71voKYllr3Y1+vpIBYuNg7IOi/yCbDcD5LG4WJFzPVEenoPXy59h/gwAAP//AwBQSwME&#10;FAAGAAgAAAAhAEglJd/fAAAACwEAAA8AAABkcnMvZG93bnJldi54bWxMj8FOwzAQRO9I/IO1SNyo&#10;E7eNSBqnQgiEECdCP2CbuElUex1spwl/j3uC26xmNPO23C9Gs4tyfrAkIV0lwBQ1th2ok3D4en14&#10;BOYDUovakpLwozzsq9ubEovWzvSpLnXoWCwhX6CEPoSx4Nw3vTLoV3ZUFL2TdQZDPF3HW4dzLDea&#10;iyTJuMGB4kKPo3ruVXOuJyNh3uhD1tXZB074/iLcef32LUjK+7vlaQcsqCX8heGKH9GhikxHO1Hr&#10;mZYg8m1MStikGbCrn+ZiDewY1TbPUuBVyf//UP0CAAD//wMAUEsBAi0AFAAGAAgAAAAhALaDOJL+&#10;AAAA4QEAABMAAAAAAAAAAAAAAAAAAAAAAFtDb250ZW50X1R5cGVzXS54bWxQSwECLQAUAAYACAAA&#10;ACEAOP0h/9YAAACUAQAACwAAAAAAAAAAAAAAAAAvAQAAX3JlbHMvLnJlbHNQSwECLQAUAAYACAAA&#10;ACEA0wjpgsECAABhBgAADgAAAAAAAAAAAAAAAAAuAgAAZHJzL2Uyb0RvYy54bWxQSwECLQAUAAYA&#10;CAAAACEASCUl398AAAALAQAADwAAAAAAAAAAAAAAAAAbBQAAZHJzL2Rvd25yZXYueG1sUEsFBgAA&#10;AAAEAAQA8wAAACcGAAAAAA==&#10;" fillcolor="#c1e4f5 [660]" stroked="f" strokeweight="1.5pt">
                    <v:fill color2="#45b0e1 [1940]" rotate="t" focus="100%" type="gradient">
                      <o:fill v:ext="view" type="gradientUnscaled"/>
                    </v:fill>
                    <v:textbox inset="21.6pt,,21.6pt">
                      <w:txbxContent>
                        <w:p w14:paraId="3BF913FC" w14:textId="77777777" w:rsidR="00C52A62" w:rsidRDefault="00C52A62"/>
                      </w:txbxContent>
                    </v:textbox>
                    <w10:wrap anchorx="page" anchory="page"/>
                  </v:rect>
                </w:pict>
              </mc:Fallback>
            </mc:AlternateContent>
          </w:r>
          <w:r w:rsidR="00C52A62">
            <w:rPr>
              <w:noProof/>
            </w:rPr>
            <mc:AlternateContent>
              <mc:Choice Requires="wps">
                <w:drawing>
                  <wp:anchor distT="0" distB="0" distL="114300" distR="114300" simplePos="0" relativeHeight="251660288" behindDoc="0" locked="0" layoutInCell="1" allowOverlap="1" wp14:anchorId="32F954E5" wp14:editId="6E04748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C2A2E1" w14:textId="7F4578D9" w:rsidR="00C52A62" w:rsidRDefault="00C52A62" w:rsidP="00C03C5A">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2F954E5" id="Rectangle 81"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Aw8rpS3gAAAAUBAAAPAAAAZHJzL2Rvd25yZXYueG1sTI9BS8NAEIXvgv9hGcGb&#10;3TRY28ZsSil6KAjWVlBvm+w0ie7Ohuy2jf56Ry96GWZ4w3vfyxeDs+KIfWg9KRiPEhBIlTct1Qqe&#10;d/dXMxAhajLaekIFnxhgUZyf5Toz/kRPeNzGWrAJhUwraGLsMilD1aDTYeQ7JNb2vnc68tnX0vT6&#10;xObOyjRJbqTTLXFCoztcNVh9bA+Oczfj1/X+7X25fikf7eoBzdf0bq7U5cWwvAURcYh/z/CDz+hQ&#10;MFPpD2SCsAq4SPydrF1P0jmIkpfpJAVZ5PI/ffENAAD//wMAUEsBAi0AFAAGAAgAAAAhALaDOJL+&#10;AAAA4QEAABMAAAAAAAAAAAAAAAAAAAAAAFtDb250ZW50X1R5cGVzXS54bWxQSwECLQAUAAYACAAA&#10;ACEAOP0h/9YAAACUAQAACwAAAAAAAAAAAAAAAAAvAQAAX3JlbHMvLnJlbHNQSwECLQAUAAYACAAA&#10;ACEAgWeJE4kCAABzBQAADgAAAAAAAAAAAAAAAAAuAgAAZHJzL2Uyb0RvYy54bWxQSwECLQAUAAYA&#10;CAAAACEAMPK6Ut4AAAAFAQAADwAAAAAAAAAAAAAAAADjBAAAZHJzL2Rvd25yZXYueG1sUEsFBgAA&#10;AAAEAAQA8wAAAO4FAAAAAA==&#10;" fillcolor="#0e2841 [3215]" stroked="f" strokeweight="1.5pt">
                    <v:textbox inset="14.4pt,14.4pt,14.4pt,28.8pt">
                      <w:txbxContent>
                        <w:p w14:paraId="25C2A2E1" w14:textId="7F4578D9" w:rsidR="00C52A62" w:rsidRDefault="00C52A62" w:rsidP="00C03C5A">
                          <w:pPr>
                            <w:spacing w:before="240"/>
                            <w:rPr>
                              <w:color w:val="FFFFFF" w:themeColor="background1"/>
                            </w:rPr>
                          </w:pPr>
                        </w:p>
                      </w:txbxContent>
                    </v:textbox>
                    <w10:wrap anchorx="page" anchory="page"/>
                  </v:rect>
                </w:pict>
              </mc:Fallback>
            </mc:AlternateContent>
          </w:r>
          <w:r w:rsidR="00C52A62">
            <w:rPr>
              <w:noProof/>
            </w:rPr>
            <mc:AlternateContent>
              <mc:Choice Requires="wps">
                <w:drawing>
                  <wp:anchor distT="0" distB="0" distL="114300" distR="114300" simplePos="0" relativeHeight="251659264" behindDoc="0" locked="0" layoutInCell="1" allowOverlap="1" wp14:anchorId="3CFB49E1" wp14:editId="0F4E071C">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4A7122F"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sidR="00C52A62">
            <w:rPr>
              <w:noProof/>
            </w:rPr>
            <mc:AlternateContent>
              <mc:Choice Requires="wps">
                <w:drawing>
                  <wp:anchor distT="0" distB="0" distL="114300" distR="114300" simplePos="0" relativeHeight="251662336" behindDoc="0" locked="0" layoutInCell="1" allowOverlap="1" wp14:anchorId="3F73682E" wp14:editId="4970909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E5F36EC"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LCep1nbAAAABAEAAA8AAABkcnMvZG93&#10;bnJldi54bWxMj81OwzAQhO9IvIO1SNyoQ8VPG+JUqALEoZcWJHp04m0Saq+jrNuGt2fhApeRVjOa&#10;+bZYjMGrIw7cRTJwPclAIdXRddQYeH97vpqB4mTJWR8JDXwhw6I8Pyts7uKJ1njcpEZJCXFuDbQp&#10;9bnWXLcYLE9ijyTeLg7BJjmHRrvBnqQ8eD3NsjsdbEey0Noely3W+80hGFh73q7qZfzYv7QrfN19&#10;clc9sTGXF+PjA6iEY/oLww++oEMpTFU8kGPlDcgj6VfFu7mdzkFVEprdgy4L/R++/AYAAP//AwBQ&#10;SwECLQAUAAYACAAAACEAtoM4kv4AAADhAQAAEwAAAAAAAAAAAAAAAAAAAAAAW0NvbnRlbnRfVHlw&#10;ZXNdLnhtbFBLAQItABQABgAIAAAAIQA4/SH/1gAAAJQBAAALAAAAAAAAAAAAAAAAAC8BAABfcmVs&#10;cy8ucmVsc1BLAQItABQABgAIAAAAIQCKl25lZwIAACsFAAAOAAAAAAAAAAAAAAAAAC4CAABkcnMv&#10;ZTJvRG9jLnhtbFBLAQItABQABgAIAAAAIQCwnqdZ2wAAAAQBAAAPAAAAAAAAAAAAAAAAAMEEAABk&#10;cnMvZG93bnJldi54bWxQSwUGAAAAAAQABADzAAAAyQUAAAAA&#10;" fillcolor="#156082 [3204]" stroked="f" strokeweight="1.5pt">
                    <w10:wrap anchorx="page" anchory="page"/>
                  </v:rect>
                </w:pict>
              </mc:Fallback>
            </mc:AlternateContent>
          </w:r>
        </w:p>
        <w:p w14:paraId="329231EE" w14:textId="57C946DB" w:rsidR="00C52A62" w:rsidRDefault="00DE31AE">
          <w:r>
            <w:rPr>
              <w:noProof/>
            </w:rPr>
            <mc:AlternateContent>
              <mc:Choice Requires="wps">
                <w:drawing>
                  <wp:anchor distT="0" distB="0" distL="114300" distR="114300" simplePos="0" relativeHeight="251664384" behindDoc="0" locked="0" layoutInCell="1" allowOverlap="1" wp14:anchorId="4F67C2D5" wp14:editId="6B2857CA">
                    <wp:simplePos x="0" y="0"/>
                    <wp:positionH relativeFrom="page">
                      <wp:posOffset>3438144</wp:posOffset>
                    </wp:positionH>
                    <wp:positionV relativeFrom="page">
                      <wp:posOffset>6159398</wp:posOffset>
                    </wp:positionV>
                    <wp:extent cx="2797810" cy="116837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1168375"/>
                            </a:xfrm>
                            <a:prstGeom prst="rect">
                              <a:avLst/>
                            </a:prstGeom>
                            <a:noFill/>
                            <a:ln w="6350">
                              <a:noFill/>
                            </a:ln>
                            <a:effectLst/>
                          </wps:spPr>
                          <wps:txbx>
                            <w:txbxContent>
                              <w:p w14:paraId="5F2960F5" w14:textId="580EE000" w:rsidR="00C52A62" w:rsidRDefault="00000000">
                                <w:pPr>
                                  <w:pStyle w:val="NoSpacing"/>
                                  <w:rPr>
                                    <w:color w:val="0E2841" w:themeColor="text2"/>
                                  </w:rPr>
                                </w:pPr>
                                <w:sdt>
                                  <w:sdtPr>
                                    <w:rPr>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C52A62">
                                      <w:rPr>
                                        <w:color w:val="0E2841" w:themeColor="text2"/>
                                      </w:rPr>
                                      <w:t>Aaron Hussain (2521146)</w:t>
                                    </w:r>
                                  </w:sdtContent>
                                </w:sdt>
                              </w:p>
                              <w:p w14:paraId="028EA6F0" w14:textId="5A483038" w:rsidR="00DE31AE" w:rsidRDefault="00D57964">
                                <w:pPr>
                                  <w:pStyle w:val="NoSpacing"/>
                                  <w:rPr>
                                    <w:color w:val="0E2841" w:themeColor="text2"/>
                                  </w:rPr>
                                </w:pPr>
                                <w:r>
                                  <w:rPr>
                                    <w:color w:val="0E2841" w:themeColor="text2"/>
                                  </w:rPr>
                                  <w:t>23/04/26</w:t>
                                </w:r>
                              </w:p>
                              <w:p w14:paraId="1A087120" w14:textId="6A420822" w:rsidR="00D57964" w:rsidRDefault="00302BE5">
                                <w:pPr>
                                  <w:pStyle w:val="NoSpacing"/>
                                  <w:rPr>
                                    <w:color w:val="0E2841" w:themeColor="text2"/>
                                  </w:rPr>
                                </w:pPr>
                                <w:r>
                                  <w:rPr>
                                    <w:color w:val="0E2841" w:themeColor="text2"/>
                                  </w:rPr>
                                  <w:t xml:space="preserve">University Wales trinity saint David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4F67C2D5" id="Text Box 79" o:spid="_x0000_s1029" type="#_x0000_t202" style="position:absolute;margin-left:270.7pt;margin-top:485pt;width:220.3pt;height:92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JFJIQIAAEIEAAAOAAAAZHJzL2Uyb0RvYy54bWysU8lu2zAQvRfIPxC8x7K8R7AcuAlcFDCS&#10;AE6RM02RlgCKw5K0JffrO6S8Ie2p6IWa4RvN8t5w/tjWihyEdRXonKa9PiVCcygqvcvpj/fV/YwS&#10;55kumAItcnoUjj4u7r7MG5OJAZSgCmEJJtEua0xOS+9NliSOl6JmrgdGaAQl2Jp5dO0uKSxrMHut&#10;kkG/P0kasIWxwIVzePvcgXQR80spuH+V0glPVE6xNx9PG89tOJPFnGU7y0xZ8VMb7B+6qFmlsegl&#10;1TPzjOxt9UequuIWHEjf41AnIGXFRZwBp0n7n6bZlMyIOAuS48yFJvf/0vKXw8a8WeLbr9CigIGQ&#10;xrjM4WWYp5W2Dl/slCCOFB4vtInWE46Xg+nDdJYixBFL08lsOB2HPMn1d2Od/yagJsHIqUVdIl3s&#10;sHa+Cz2HhGoaVpVSURulSZPTyXDcjz9cEEyudIgVUeVTmmvrwfLttiVVkdPheawtFEec1kK3CM7w&#10;VYUdrZnzb8yi8jgFbrN/xUMqwMpwsigpwf76232IR0EQpaTBTcqp+7lnVlCivmuU6iEdjcLqRWc0&#10;ng7QsbfI9hbR+/oJcFlTfDeGRzPEe3U2pYX6A5d+GaoixDTH2jndns0n3+03PhoulssYhMtmmF/r&#10;jeEhdeAt8P3efjBrTqJ41PMFzjvHsk/adLGdOsu9B1lF4QLPHasoeHBwUaP0p0cVXsKtH6OuT3/x&#10;GwAA//8DAFBLAwQUAAYACAAAACEA1Axu8eAAAAAMAQAADwAAAGRycy9kb3ducmV2LnhtbEyPwU7D&#10;MAyG70i8Q2Qkbixt1cJWmk4IaYeJ0wZI2y1rTFponKrJuvL2mBPcbPnT7++v1rPrxYRj6DwpSBcJ&#10;CKTGm46sgrfXzd0SRIiajO49oYJvDLCur68qXRp/oR1O+2gFh1AotYI2xqGUMjQtOh0WfkDi24cf&#10;nY68jlaaUV843PUyS5J76XRH/KHVAz632Hztz04BFe/ZzstP9PaweXHT9mgGu1Xq9mZ+egQRcY5/&#10;MPzqszrU7HTyZzJB9AqKPM0ZVbB6SLgUE6tlxsOJ0bTIE5B1Jf+XqH8AAAD//wMAUEsBAi0AFAAG&#10;AAgAAAAhALaDOJL+AAAA4QEAABMAAAAAAAAAAAAAAAAAAAAAAFtDb250ZW50X1R5cGVzXS54bWxQ&#10;SwECLQAUAAYACAAAACEAOP0h/9YAAACUAQAACwAAAAAAAAAAAAAAAAAvAQAAX3JlbHMvLnJlbHNQ&#10;SwECLQAUAAYACAAAACEAlUiRSSECAABCBAAADgAAAAAAAAAAAAAAAAAuAgAAZHJzL2Uyb0RvYy54&#10;bWxQSwECLQAUAAYACAAAACEA1Axu8eAAAAAMAQAADwAAAAAAAAAAAAAAAAB7BAAAZHJzL2Rvd25y&#10;ZXYueG1sUEsFBgAAAAAEAAQA8wAAAIgFAAAAAA==&#10;" filled="f" stroked="f" strokeweight=".5pt">
                    <v:textbox>
                      <w:txbxContent>
                        <w:p w14:paraId="5F2960F5" w14:textId="580EE000" w:rsidR="00C52A62" w:rsidRDefault="00000000">
                          <w:pPr>
                            <w:pStyle w:val="NoSpacing"/>
                            <w:rPr>
                              <w:color w:val="0E2841" w:themeColor="text2"/>
                            </w:rPr>
                          </w:pPr>
                          <w:sdt>
                            <w:sdtPr>
                              <w:rPr>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C52A62">
                                <w:rPr>
                                  <w:color w:val="0E2841" w:themeColor="text2"/>
                                </w:rPr>
                                <w:t>Aaron Hussain (2521146)</w:t>
                              </w:r>
                            </w:sdtContent>
                          </w:sdt>
                        </w:p>
                        <w:p w14:paraId="028EA6F0" w14:textId="5A483038" w:rsidR="00DE31AE" w:rsidRDefault="00D57964">
                          <w:pPr>
                            <w:pStyle w:val="NoSpacing"/>
                            <w:rPr>
                              <w:color w:val="0E2841" w:themeColor="text2"/>
                            </w:rPr>
                          </w:pPr>
                          <w:r>
                            <w:rPr>
                              <w:color w:val="0E2841" w:themeColor="text2"/>
                            </w:rPr>
                            <w:t>23/04/26</w:t>
                          </w:r>
                        </w:p>
                        <w:p w14:paraId="1A087120" w14:textId="6A420822" w:rsidR="00D57964" w:rsidRDefault="00302BE5">
                          <w:pPr>
                            <w:pStyle w:val="NoSpacing"/>
                            <w:rPr>
                              <w:color w:val="0E2841" w:themeColor="text2"/>
                            </w:rPr>
                          </w:pPr>
                          <w:r>
                            <w:rPr>
                              <w:color w:val="0E2841" w:themeColor="text2"/>
                            </w:rPr>
                            <w:t xml:space="preserve">University Wales trinity saint David </w:t>
                          </w:r>
                        </w:p>
                      </w:txbxContent>
                    </v:textbox>
                    <w10:wrap type="square" anchorx="page" anchory="page"/>
                  </v:shape>
                </w:pict>
              </mc:Fallback>
            </mc:AlternateContent>
          </w:r>
          <w:r w:rsidR="00C52A62">
            <w:br w:type="page"/>
          </w:r>
        </w:p>
      </w:sdtContent>
    </w:sdt>
    <w:p w14:paraId="507E8C70" w14:textId="3401B407" w:rsidR="0048219E" w:rsidRDefault="004909C6" w:rsidP="00BB73DA">
      <w:pPr>
        <w:rPr>
          <w:b/>
          <w:bCs/>
          <w:u w:val="single"/>
        </w:rPr>
      </w:pPr>
      <w:r>
        <w:rPr>
          <w:b/>
          <w:bCs/>
          <w:u w:val="single"/>
        </w:rPr>
        <w:lastRenderedPageBreak/>
        <w:t>1</w:t>
      </w:r>
      <w:r w:rsidR="000E3E9D">
        <w:rPr>
          <w:b/>
          <w:bCs/>
          <w:u w:val="single"/>
        </w:rPr>
        <w:t>.</w:t>
      </w:r>
    </w:p>
    <w:p w14:paraId="74AB26BA" w14:textId="3FEBB4A9" w:rsidR="00BB73DA" w:rsidRDefault="00BB73DA" w:rsidP="00BB73DA">
      <w:pPr>
        <w:rPr>
          <w:b/>
          <w:bCs/>
          <w:u w:val="single"/>
        </w:rPr>
      </w:pPr>
      <w:r>
        <w:rPr>
          <w:b/>
          <w:bCs/>
          <w:u w:val="single"/>
        </w:rPr>
        <w:t>Introduction</w:t>
      </w:r>
    </w:p>
    <w:p w14:paraId="64F997BE" w14:textId="09A855C8" w:rsidR="00BB73DA" w:rsidRDefault="00BB73DA" w:rsidP="00BB73DA">
      <w:r>
        <w:t>The selection of an appropriate procurement route is critical for</w:t>
      </w:r>
      <w:r w:rsidR="00C451D4">
        <w:t xml:space="preserve"> the</w:t>
      </w:r>
      <w:r>
        <w:t xml:space="preserve"> project success within the construction industry. It directly shows cost certainty, risk allocation, programme duration, and </w:t>
      </w:r>
      <w:r w:rsidR="006F566F">
        <w:t xml:space="preserve">how the </w:t>
      </w:r>
      <w:r>
        <w:t>project</w:t>
      </w:r>
      <w:r w:rsidR="006F566F">
        <w:t xml:space="preserve"> looks after its </w:t>
      </w:r>
      <w:r w:rsidR="009D0575">
        <w:t>completed</w:t>
      </w:r>
      <w:r>
        <w:t xml:space="preserve">. For the development of a centre of </w:t>
      </w:r>
      <w:r w:rsidR="006B06A7">
        <w:t>quality</w:t>
      </w:r>
      <w:r>
        <w:t xml:space="preserve"> for construction training located in the SA1 area of Swansea, the importance of procurement strategy is increased due to the scale of the project and the trust on external funding. In such circumstances, the ability to maintain strict budgetary control is important </w:t>
      </w:r>
    </w:p>
    <w:p w14:paraId="563F3CB2" w14:textId="6DFF944B" w:rsidR="00BB73DA" w:rsidRDefault="00BB73DA" w:rsidP="00BB73DA">
      <w:r>
        <w:t xml:space="preserve">Procurement strategies </w:t>
      </w:r>
      <w:r w:rsidR="00044442">
        <w:t>must therefore</w:t>
      </w:r>
      <w:r w:rsidR="0070352B">
        <w:t xml:space="preserve"> be agreed</w:t>
      </w:r>
      <w:r>
        <w:t xml:space="preserve"> with the client’s priorities, particularly where financial certainty and risk improvement are concerned. The Royal Institution of Chartered Surveyors (RICS) defines procurement as the process of selecting the most appropriate structure of relationships, responsibilities, and contractual arrangements to achieve project objectives effectively (RICS, 2013). This section greatly evaluates three principal procurement routes and identifies the most suitable option based on the clients must deliver the project within budget.</w:t>
      </w:r>
    </w:p>
    <w:p w14:paraId="53086F5A" w14:textId="77777777" w:rsidR="00BB73DA" w:rsidRDefault="00BB73DA" w:rsidP="00BB73DA"/>
    <w:p w14:paraId="05A49EC0" w14:textId="77777777" w:rsidR="00BB73DA" w:rsidRDefault="00BB73DA" w:rsidP="00BB73DA">
      <w:pPr>
        <w:rPr>
          <w:b/>
          <w:bCs/>
          <w:u w:val="single"/>
        </w:rPr>
      </w:pPr>
      <w:r>
        <w:rPr>
          <w:b/>
          <w:bCs/>
          <w:u w:val="single"/>
        </w:rPr>
        <w:t>2. Overview of Procurement Routes</w:t>
      </w:r>
    </w:p>
    <w:p w14:paraId="176AD111" w14:textId="77777777" w:rsidR="00BB73DA" w:rsidRDefault="00BB73DA" w:rsidP="00BB73DA">
      <w:r>
        <w:t xml:space="preserve"> </w:t>
      </w:r>
      <w:r>
        <w:rPr>
          <w:u w:val="single"/>
        </w:rPr>
        <w:t xml:space="preserve">Traditional Procurement </w:t>
      </w:r>
    </w:p>
    <w:p w14:paraId="77E33E2F" w14:textId="1DB73ADA" w:rsidR="00BB73DA" w:rsidRDefault="00BB73DA" w:rsidP="00BB73DA">
      <w:r>
        <w:t xml:space="preserve">The Traditional procurement route involves the appointment of a design team to fully develop the project prior to involving contractors to submit competitive tenders. The contractor is </w:t>
      </w:r>
      <w:r w:rsidR="00184E55">
        <w:t>then</w:t>
      </w:r>
      <w:r>
        <w:t xml:space="preserve"> responsible for constructing the works in </w:t>
      </w:r>
      <w:r w:rsidR="00184E55">
        <w:t>agreement</w:t>
      </w:r>
      <w:r>
        <w:t xml:space="preserve"> with the completed design.</w:t>
      </w:r>
    </w:p>
    <w:p w14:paraId="63D57613" w14:textId="77777777" w:rsidR="00BB73DA" w:rsidRDefault="00BB73DA" w:rsidP="00BB73DA">
      <w:r>
        <w:t>pros:</w:t>
      </w:r>
    </w:p>
    <w:p w14:paraId="4DE5E24F" w14:textId="162448AF" w:rsidR="00BB73DA" w:rsidRDefault="00BB73DA" w:rsidP="0090338A">
      <w:pPr>
        <w:pStyle w:val="ListParagraph"/>
        <w:numPr>
          <w:ilvl w:val="0"/>
          <w:numId w:val="1"/>
        </w:numPr>
        <w:suppressAutoHyphens/>
        <w:autoSpaceDN w:val="0"/>
        <w:spacing w:line="276" w:lineRule="auto"/>
        <w:contextualSpacing w:val="0"/>
      </w:pPr>
      <w:r>
        <w:t xml:space="preserve">A high degree of cost certainty can be achieved prior to construction, as tenders are based on a completed design and typically result in a lump sum contract. </w:t>
      </w:r>
    </w:p>
    <w:p w14:paraId="0727D063" w14:textId="77777777" w:rsidR="00BB73DA" w:rsidRDefault="00BB73DA" w:rsidP="00BB73DA">
      <w:pPr>
        <w:pStyle w:val="ListParagraph"/>
        <w:numPr>
          <w:ilvl w:val="0"/>
          <w:numId w:val="1"/>
        </w:numPr>
        <w:suppressAutoHyphens/>
        <w:autoSpaceDN w:val="0"/>
        <w:spacing w:line="276" w:lineRule="auto"/>
        <w:contextualSpacing w:val="0"/>
      </w:pPr>
      <w:r>
        <w:t xml:space="preserve">The client retains full control over design quality, as the design team is directly chosen. </w:t>
      </w:r>
    </w:p>
    <w:p w14:paraId="1D7217B8" w14:textId="77777777" w:rsidR="00BB73DA" w:rsidRDefault="00BB73DA" w:rsidP="00BB73DA">
      <w:pPr>
        <w:pStyle w:val="ListParagraph"/>
        <w:numPr>
          <w:ilvl w:val="0"/>
          <w:numId w:val="1"/>
        </w:numPr>
        <w:suppressAutoHyphens/>
        <w:autoSpaceDN w:val="0"/>
        <w:spacing w:line="276" w:lineRule="auto"/>
        <w:contextualSpacing w:val="0"/>
      </w:pPr>
      <w:r>
        <w:t xml:space="preserve">Competitive suggesting can provide value for money through market competition. </w:t>
      </w:r>
    </w:p>
    <w:p w14:paraId="3D04B8B3" w14:textId="77777777" w:rsidR="00BB73DA" w:rsidRDefault="00BB73DA" w:rsidP="00BB73DA">
      <w:pPr>
        <w:tabs>
          <w:tab w:val="left" w:pos="2850"/>
        </w:tabs>
      </w:pPr>
      <w:r>
        <w:t>cons:</w:t>
      </w:r>
      <w:r>
        <w:tab/>
      </w:r>
    </w:p>
    <w:p w14:paraId="058FCE26" w14:textId="020DFE44" w:rsidR="00BB73DA" w:rsidRDefault="00BB73DA" w:rsidP="0090338A">
      <w:pPr>
        <w:pStyle w:val="ListParagraph"/>
        <w:numPr>
          <w:ilvl w:val="0"/>
          <w:numId w:val="1"/>
        </w:numPr>
        <w:suppressAutoHyphens/>
        <w:autoSpaceDN w:val="0"/>
        <w:spacing w:line="276" w:lineRule="auto"/>
        <w:contextualSpacing w:val="0"/>
      </w:pPr>
      <w:r>
        <w:t xml:space="preserve">The sequential nature of the process leads to a longer overall programme, which may increase exposure to inflation. </w:t>
      </w:r>
    </w:p>
    <w:p w14:paraId="654D5BA3" w14:textId="148F582D" w:rsidR="00BB73DA" w:rsidRDefault="00BB73DA" w:rsidP="0090338A">
      <w:pPr>
        <w:pStyle w:val="ListParagraph"/>
        <w:numPr>
          <w:ilvl w:val="0"/>
          <w:numId w:val="1"/>
        </w:numPr>
        <w:suppressAutoHyphens/>
        <w:autoSpaceDN w:val="0"/>
        <w:spacing w:line="276" w:lineRule="auto"/>
        <w:contextualSpacing w:val="0"/>
      </w:pPr>
      <w:r>
        <w:lastRenderedPageBreak/>
        <w:t xml:space="preserve">Limited contractor involvement during design can result in poor construction and inefficiencies. </w:t>
      </w:r>
    </w:p>
    <w:p w14:paraId="63C17A9E" w14:textId="77777777" w:rsidR="00BB73DA" w:rsidRDefault="00BB73DA" w:rsidP="00BB73DA">
      <w:pPr>
        <w:pStyle w:val="ListParagraph"/>
        <w:numPr>
          <w:ilvl w:val="0"/>
          <w:numId w:val="1"/>
        </w:numPr>
        <w:suppressAutoHyphens/>
        <w:autoSpaceDN w:val="0"/>
        <w:spacing w:line="276" w:lineRule="auto"/>
        <w:contextualSpacing w:val="0"/>
      </w:pPr>
      <w:r>
        <w:t>There is a greater potential for disputes and differences if design information is incomplete or faulty.</w:t>
      </w:r>
    </w:p>
    <w:p w14:paraId="1089E9A6" w14:textId="77777777" w:rsidR="00BB73DA" w:rsidRDefault="00BB73DA" w:rsidP="00BB73DA">
      <w:pPr>
        <w:pStyle w:val="ListParagraph"/>
      </w:pPr>
      <w:r>
        <w:t xml:space="preserve"> </w:t>
      </w:r>
    </w:p>
    <w:p w14:paraId="15D54E83" w14:textId="0EC1B515" w:rsidR="00BB73DA" w:rsidRDefault="00BB73DA" w:rsidP="00BB73DA">
      <w:r>
        <w:t>As noted by Brian Greenhalgh and Graham Squires (2011), while this route provides strong design control, it is less effective in managing time and risk on more complex projects.</w:t>
      </w:r>
    </w:p>
    <w:p w14:paraId="3331BCD3" w14:textId="622D4748" w:rsidR="00BB73DA" w:rsidRDefault="00BB73DA" w:rsidP="00BB73DA"/>
    <w:p w14:paraId="1625BE33" w14:textId="77777777" w:rsidR="00BB73DA" w:rsidRDefault="00BB73DA" w:rsidP="00BB73DA">
      <w:pPr>
        <w:rPr>
          <w:b/>
          <w:bCs/>
          <w:u w:val="single"/>
        </w:rPr>
      </w:pPr>
      <w:r>
        <w:rPr>
          <w:b/>
          <w:bCs/>
          <w:u w:val="single"/>
        </w:rPr>
        <w:t xml:space="preserve"> Design and Build Procurement</w:t>
      </w:r>
    </w:p>
    <w:p w14:paraId="40FE724F" w14:textId="77777777" w:rsidR="00BB73DA" w:rsidRDefault="00BB73DA" w:rsidP="00BB73DA">
      <w:r>
        <w:t>The Design and Build procurement route involve the appointment of a single contractor responsible for both design and construction. The client provides a set of Employer’s Requirements, which define the project’s objectives, performance criteria, and quality expectations.</w:t>
      </w:r>
    </w:p>
    <w:p w14:paraId="7C741AFC" w14:textId="77777777" w:rsidR="00BB73DA" w:rsidRDefault="00BB73DA" w:rsidP="00BB73DA">
      <w:r>
        <w:t>Advantages:</w:t>
      </w:r>
    </w:p>
    <w:p w14:paraId="0D3C3108" w14:textId="77777777" w:rsidR="00BB73DA" w:rsidRDefault="00BB73DA" w:rsidP="00BB73DA">
      <w:pPr>
        <w:pStyle w:val="ListParagraph"/>
        <w:numPr>
          <w:ilvl w:val="0"/>
          <w:numId w:val="1"/>
        </w:numPr>
        <w:suppressAutoHyphens/>
        <w:autoSpaceDN w:val="0"/>
        <w:spacing w:line="276" w:lineRule="auto"/>
        <w:contextualSpacing w:val="0"/>
      </w:pPr>
      <w:r>
        <w:t xml:space="preserve">Early cost certainty can be achieved, as a contract sum is agreed at an earlier stage. </w:t>
      </w:r>
    </w:p>
    <w:p w14:paraId="5931C091" w14:textId="77777777" w:rsidR="00BB73DA" w:rsidRDefault="00BB73DA" w:rsidP="00BB73DA">
      <w:pPr>
        <w:pStyle w:val="ListParagraph"/>
        <w:numPr>
          <w:ilvl w:val="0"/>
          <w:numId w:val="1"/>
        </w:numPr>
        <w:suppressAutoHyphens/>
        <w:autoSpaceDN w:val="0"/>
        <w:spacing w:line="276" w:lineRule="auto"/>
        <w:contextualSpacing w:val="0"/>
      </w:pPr>
      <w:r>
        <w:t xml:space="preserve">Risk transfer is enhanced, with responsibility for design and construction largely assumed by the contractor. </w:t>
      </w:r>
    </w:p>
    <w:p w14:paraId="64B57183" w14:textId="77777777" w:rsidR="00BB73DA" w:rsidRDefault="00BB73DA" w:rsidP="00BB73DA">
      <w:pPr>
        <w:pStyle w:val="ListParagraph"/>
        <w:numPr>
          <w:ilvl w:val="0"/>
          <w:numId w:val="1"/>
        </w:numPr>
        <w:suppressAutoHyphens/>
        <w:autoSpaceDN w:val="0"/>
        <w:spacing w:line="276" w:lineRule="auto"/>
        <w:contextualSpacing w:val="0"/>
      </w:pPr>
      <w:r>
        <w:t xml:space="preserve">Reduced programme duration due to the overlap of design and construction phases. </w:t>
      </w:r>
    </w:p>
    <w:p w14:paraId="1FD08B94" w14:textId="77777777" w:rsidR="00BB73DA" w:rsidRDefault="00BB73DA" w:rsidP="00BB73DA">
      <w:pPr>
        <w:pStyle w:val="ListParagraph"/>
        <w:numPr>
          <w:ilvl w:val="0"/>
          <w:numId w:val="1"/>
        </w:numPr>
        <w:suppressAutoHyphens/>
        <w:autoSpaceDN w:val="0"/>
        <w:spacing w:line="276" w:lineRule="auto"/>
        <w:contextualSpacing w:val="0"/>
      </w:pPr>
      <w:r>
        <w:t xml:space="preserve">A single point of responsibility simplifies communication and project management. </w:t>
      </w:r>
    </w:p>
    <w:p w14:paraId="1E877034" w14:textId="77777777" w:rsidR="00BB73DA" w:rsidRDefault="00BB73DA" w:rsidP="00BB73DA">
      <w:r>
        <w:t>Disadvantages:</w:t>
      </w:r>
    </w:p>
    <w:p w14:paraId="4CE840A6" w14:textId="77777777" w:rsidR="00BB73DA" w:rsidRDefault="00BB73DA" w:rsidP="00BB73DA">
      <w:pPr>
        <w:pStyle w:val="ListParagraph"/>
        <w:numPr>
          <w:ilvl w:val="0"/>
          <w:numId w:val="1"/>
        </w:numPr>
        <w:suppressAutoHyphens/>
        <w:autoSpaceDN w:val="0"/>
        <w:spacing w:line="276" w:lineRule="auto"/>
        <w:contextualSpacing w:val="0"/>
      </w:pPr>
      <w:r>
        <w:t xml:space="preserve">Reduced client control over design quality, unless requirements are clearly specified. </w:t>
      </w:r>
    </w:p>
    <w:p w14:paraId="0504FE45" w14:textId="77777777" w:rsidR="00BB73DA" w:rsidRDefault="00BB73DA" w:rsidP="00BB73DA">
      <w:pPr>
        <w:pStyle w:val="ListParagraph"/>
        <w:numPr>
          <w:ilvl w:val="0"/>
          <w:numId w:val="1"/>
        </w:numPr>
        <w:suppressAutoHyphens/>
        <w:autoSpaceDN w:val="0"/>
        <w:spacing w:line="276" w:lineRule="auto"/>
        <w:contextualSpacing w:val="0"/>
      </w:pPr>
      <w:r>
        <w:t xml:space="preserve">Potential for contractors to prioritise cost efficiency over quality. </w:t>
      </w:r>
    </w:p>
    <w:p w14:paraId="2B9B4800" w14:textId="77777777" w:rsidR="00BB73DA" w:rsidRDefault="00BB73DA" w:rsidP="00BB73DA">
      <w:pPr>
        <w:pStyle w:val="ListParagraph"/>
        <w:numPr>
          <w:ilvl w:val="0"/>
          <w:numId w:val="1"/>
        </w:numPr>
        <w:suppressAutoHyphens/>
        <w:autoSpaceDN w:val="0"/>
        <w:spacing w:line="276" w:lineRule="auto"/>
        <w:contextualSpacing w:val="0"/>
      </w:pPr>
      <w:r>
        <w:t xml:space="preserve">Changes after contract award can be costly and difficult to implement. </w:t>
      </w:r>
    </w:p>
    <w:p w14:paraId="7F2604E8" w14:textId="77777777" w:rsidR="00BB73DA" w:rsidRDefault="00BB73DA" w:rsidP="00BB73DA">
      <w:r>
        <w:t>The Chartered Institute of Building (2010) identifies Design and Build as an effective method for achieving cost certainty and transferring risk, although Jack Masterman (2002) emphasises that its success is dependent on the clarity of the Employer’s Requirements.</w:t>
      </w:r>
    </w:p>
    <w:p w14:paraId="70974179" w14:textId="77777777" w:rsidR="00BB73DA" w:rsidRDefault="00BB73DA" w:rsidP="00BB73DA"/>
    <w:p w14:paraId="75B7AF46" w14:textId="77777777" w:rsidR="00BB73DA" w:rsidRDefault="00BB73DA" w:rsidP="00BB73DA">
      <w:r>
        <w:lastRenderedPageBreak/>
        <w:t xml:space="preserve">2 </w:t>
      </w:r>
      <w:r w:rsidRPr="00115E30">
        <w:rPr>
          <w:b/>
          <w:bCs/>
          <w:u w:val="single"/>
        </w:rPr>
        <w:t>Management Based Procurement Routes</w:t>
      </w:r>
    </w:p>
    <w:p w14:paraId="22CBF50F" w14:textId="77777777" w:rsidR="00BB73DA" w:rsidRDefault="00BB73DA" w:rsidP="00BB73DA">
      <w:r>
        <w:t>Management procurement routes, including Construction Management and Management Contracting, involve the appointment of a manager to coordinate a series of trade contracts. These routes are typically adopted for complex or fast-track projects.</w:t>
      </w:r>
    </w:p>
    <w:p w14:paraId="05851832" w14:textId="77777777" w:rsidR="00BB73DA" w:rsidRDefault="00BB73DA" w:rsidP="00BB73DA">
      <w:r>
        <w:t>Advantages:</w:t>
      </w:r>
    </w:p>
    <w:p w14:paraId="5DFDDE2D" w14:textId="77777777" w:rsidR="00BB73DA" w:rsidRDefault="00BB73DA" w:rsidP="00BB73DA">
      <w:pPr>
        <w:pStyle w:val="ListParagraph"/>
        <w:numPr>
          <w:ilvl w:val="0"/>
          <w:numId w:val="1"/>
        </w:numPr>
        <w:suppressAutoHyphens/>
        <w:autoSpaceDN w:val="0"/>
        <w:spacing w:line="276" w:lineRule="auto"/>
        <w:contextualSpacing w:val="0"/>
      </w:pPr>
      <w:r>
        <w:t xml:space="preserve">Enables early commencement on site, reducing overall project duration. </w:t>
      </w:r>
    </w:p>
    <w:p w14:paraId="6F413E09" w14:textId="77777777" w:rsidR="00BB73DA" w:rsidRDefault="00BB73DA" w:rsidP="00BB73DA">
      <w:pPr>
        <w:pStyle w:val="ListParagraph"/>
        <w:numPr>
          <w:ilvl w:val="0"/>
          <w:numId w:val="1"/>
        </w:numPr>
        <w:suppressAutoHyphens/>
        <w:autoSpaceDN w:val="0"/>
        <w:spacing w:line="276" w:lineRule="auto"/>
        <w:contextualSpacing w:val="0"/>
      </w:pPr>
      <w:r>
        <w:t xml:space="preserve">Provides flexibility in design development, allowing changes to be incorporated. </w:t>
      </w:r>
    </w:p>
    <w:p w14:paraId="34F5C95E" w14:textId="77777777" w:rsidR="00BB73DA" w:rsidRDefault="00BB73DA" w:rsidP="00BB73DA">
      <w:pPr>
        <w:pStyle w:val="ListParagraph"/>
        <w:numPr>
          <w:ilvl w:val="0"/>
          <w:numId w:val="1"/>
        </w:numPr>
        <w:suppressAutoHyphens/>
        <w:autoSpaceDN w:val="0"/>
        <w:spacing w:line="276" w:lineRule="auto"/>
        <w:contextualSpacing w:val="0"/>
      </w:pPr>
      <w:r>
        <w:t xml:space="preserve">Facilitates early contractor involvement, improving coordination and buildability. </w:t>
      </w:r>
    </w:p>
    <w:p w14:paraId="543AFCC7" w14:textId="77777777" w:rsidR="00BB73DA" w:rsidRDefault="00BB73DA" w:rsidP="00BB73DA">
      <w:r>
        <w:t>Disadvantages:</w:t>
      </w:r>
    </w:p>
    <w:p w14:paraId="76005221" w14:textId="77777777" w:rsidR="00BB73DA" w:rsidRDefault="00BB73DA" w:rsidP="00BB73DA">
      <w:pPr>
        <w:pStyle w:val="ListParagraph"/>
        <w:numPr>
          <w:ilvl w:val="0"/>
          <w:numId w:val="1"/>
        </w:numPr>
        <w:suppressAutoHyphens/>
        <w:autoSpaceDN w:val="0"/>
        <w:spacing w:line="276" w:lineRule="auto"/>
        <w:contextualSpacing w:val="0"/>
      </w:pPr>
      <w:proofErr w:type="gramStart"/>
      <w:r>
        <w:t>Low cost</w:t>
      </w:r>
      <w:proofErr w:type="gramEnd"/>
      <w:r>
        <w:t xml:space="preserve"> certainty at the outset, as the final project cost is not established until all trade packages are procured. </w:t>
      </w:r>
    </w:p>
    <w:p w14:paraId="055BB527" w14:textId="77777777" w:rsidR="00BB73DA" w:rsidRDefault="00BB73DA" w:rsidP="00BB73DA">
      <w:pPr>
        <w:pStyle w:val="ListParagraph"/>
        <w:numPr>
          <w:ilvl w:val="0"/>
          <w:numId w:val="1"/>
        </w:numPr>
        <w:suppressAutoHyphens/>
        <w:autoSpaceDN w:val="0"/>
        <w:spacing w:line="276" w:lineRule="auto"/>
        <w:contextualSpacing w:val="0"/>
      </w:pPr>
      <w:r>
        <w:t xml:space="preserve">Increased financial risk for the client, particularly under Construction Management. </w:t>
      </w:r>
    </w:p>
    <w:p w14:paraId="2A4141B5" w14:textId="77777777" w:rsidR="00BB73DA" w:rsidRDefault="00BB73DA" w:rsidP="00BB73DA">
      <w:pPr>
        <w:pStyle w:val="ListParagraph"/>
        <w:numPr>
          <w:ilvl w:val="0"/>
          <w:numId w:val="1"/>
        </w:numPr>
        <w:suppressAutoHyphens/>
        <w:autoSpaceDN w:val="0"/>
        <w:spacing w:line="276" w:lineRule="auto"/>
        <w:contextualSpacing w:val="0"/>
      </w:pPr>
      <w:r>
        <w:t xml:space="preserve">Requires a high level of client expertise and involvement. </w:t>
      </w:r>
    </w:p>
    <w:p w14:paraId="24827A7F" w14:textId="77777777" w:rsidR="00BB73DA" w:rsidRDefault="00BB73DA" w:rsidP="00BB73DA">
      <w:r>
        <w:t>According to Keith Potts and Nii Ankrah (2014), these routes are best suited to experienced clients managing highly complex developments, rather than projects with strict budget constraints.</w:t>
      </w:r>
    </w:p>
    <w:p w14:paraId="3CA22763" w14:textId="77777777" w:rsidR="00BB73DA" w:rsidRDefault="00BB73DA" w:rsidP="00BB73DA"/>
    <w:p w14:paraId="77C69648" w14:textId="77777777" w:rsidR="00BB73DA" w:rsidRDefault="00BB73DA" w:rsidP="00BB73DA">
      <w:r>
        <w:t>Advantages:</w:t>
      </w:r>
    </w:p>
    <w:p w14:paraId="18803016" w14:textId="77777777" w:rsidR="00BB73DA" w:rsidRDefault="00BB73DA" w:rsidP="00BB73DA">
      <w:pPr>
        <w:ind w:left="720"/>
      </w:pPr>
      <w:r>
        <w:t xml:space="preserve">-Promotes collaboration between the client, contractor, and design team. </w:t>
      </w:r>
    </w:p>
    <w:p w14:paraId="08C16D13" w14:textId="77777777" w:rsidR="00BB73DA" w:rsidRDefault="00BB73DA" w:rsidP="00BB73DA">
      <w:pPr>
        <w:ind w:left="720"/>
      </w:pPr>
      <w:r>
        <w:t xml:space="preserve">- Enables more accurate cost planning, as subcontractor input is obtained during design development. </w:t>
      </w:r>
    </w:p>
    <w:p w14:paraId="7F822467" w14:textId="77777777" w:rsidR="00BB73DA" w:rsidRDefault="00BB73DA" w:rsidP="00BB73DA">
      <w:pPr>
        <w:ind w:left="720"/>
      </w:pPr>
      <w:r>
        <w:t xml:space="preserve">- Improves build ability and risk management through early contractor involvement. </w:t>
      </w:r>
    </w:p>
    <w:p w14:paraId="3EBB6D97" w14:textId="77777777" w:rsidR="00BB73DA" w:rsidRDefault="00BB73DA" w:rsidP="00BB73DA">
      <w:pPr>
        <w:ind w:left="720"/>
      </w:pPr>
      <w:r>
        <w:t xml:space="preserve">- Reduces the likelihood of disputes and variations. </w:t>
      </w:r>
    </w:p>
    <w:p w14:paraId="37682288" w14:textId="48DA0837" w:rsidR="00BB73DA" w:rsidRDefault="00BB73DA" w:rsidP="00BB73DA">
      <w:r>
        <w:t>The Joint Contracts Tribunal highlights that two</w:t>
      </w:r>
      <w:r w:rsidR="001C707F">
        <w:t xml:space="preserve"> </w:t>
      </w:r>
      <w:r>
        <w:t>stage tendering facilitates a more integrated and cooperative approach to project delivery.</w:t>
      </w:r>
    </w:p>
    <w:p w14:paraId="31018BBB" w14:textId="77777777" w:rsidR="00BB73DA" w:rsidRPr="0065774F" w:rsidRDefault="00BB73DA" w:rsidP="00BB73DA">
      <w:pPr>
        <w:rPr>
          <w:b/>
          <w:bCs/>
          <w:u w:val="single"/>
        </w:rPr>
      </w:pPr>
    </w:p>
    <w:p w14:paraId="235A53FC" w14:textId="16265F52" w:rsidR="00BB73DA" w:rsidRPr="0065774F" w:rsidRDefault="00BB73DA" w:rsidP="00BB73DA">
      <w:pPr>
        <w:rPr>
          <w:b/>
          <w:bCs/>
          <w:u w:val="single"/>
        </w:rPr>
      </w:pPr>
      <w:r w:rsidRPr="0065774F">
        <w:rPr>
          <w:b/>
          <w:bCs/>
          <w:u w:val="single"/>
        </w:rPr>
        <w:t xml:space="preserve"> Single</w:t>
      </w:r>
      <w:r w:rsidR="00B17FBF">
        <w:rPr>
          <w:b/>
          <w:bCs/>
          <w:u w:val="single"/>
        </w:rPr>
        <w:t xml:space="preserve"> </w:t>
      </w:r>
      <w:r w:rsidRPr="0065774F">
        <w:rPr>
          <w:b/>
          <w:bCs/>
          <w:u w:val="single"/>
        </w:rPr>
        <w:t>Stage Tendering (Alternative Option)</w:t>
      </w:r>
    </w:p>
    <w:p w14:paraId="5B54B639" w14:textId="79EAE851" w:rsidR="00BB73DA" w:rsidRDefault="00BB73DA" w:rsidP="00BB73DA">
      <w:r>
        <w:t>Single</w:t>
      </w:r>
      <w:r w:rsidR="00B17FBF">
        <w:t xml:space="preserve"> </w:t>
      </w:r>
      <w:r>
        <w:t>stage tendering involves inviting contractors to submit fixed</w:t>
      </w:r>
      <w:r w:rsidR="00B17FBF">
        <w:t xml:space="preserve"> </w:t>
      </w:r>
      <w:r>
        <w:t>price bids based on a completed design.</w:t>
      </w:r>
    </w:p>
    <w:p w14:paraId="0424B792" w14:textId="77777777" w:rsidR="00722DB9" w:rsidRPr="00722DB9" w:rsidRDefault="00722DB9" w:rsidP="00722DB9">
      <w:pPr>
        <w:rPr>
          <w:b/>
          <w:bCs/>
        </w:rPr>
      </w:pPr>
      <w:r w:rsidRPr="00722DB9">
        <w:rPr>
          <w:b/>
          <w:bCs/>
        </w:rPr>
        <w:lastRenderedPageBreak/>
        <w:t>3. Recommended Procurement Route</w:t>
      </w:r>
    </w:p>
    <w:p w14:paraId="0FA30328" w14:textId="0489F560" w:rsidR="00722DB9" w:rsidRPr="00722DB9" w:rsidRDefault="00A97890" w:rsidP="00722DB9">
      <w:r w:rsidRPr="00722DB9">
        <w:t>Considering</w:t>
      </w:r>
      <w:r w:rsidR="00722DB9" w:rsidRPr="00722DB9">
        <w:t xml:space="preserve"> the client’s primary objective of delivering the project within a fixed budget, the Design and Build procurement route is considered the most appropriate strategy for the proposed centre of excellence in Swansea SA1. This recommendation is based on its ability to achieve an optimal balance between cost certainty, risk allocation, and programme efficiency when compared with alternative procurement methods.</w:t>
      </w:r>
    </w:p>
    <w:p w14:paraId="7BBCC1F6" w14:textId="4AF20F7A" w:rsidR="00722DB9" w:rsidRPr="00722DB9" w:rsidRDefault="00722DB9" w:rsidP="00722DB9">
      <w:r w:rsidRPr="00722DB9">
        <w:t xml:space="preserve">While Traditional procurement can provide a high degree of cost certainty, this is typically achieved only upon completion of the design and receipt of tenders. As a result, the client remains exposed to potential cost escalation during the design phase, particularly in the context of inflationary pressures and market volatility. Furthermore, the sequential nature of the Traditional route extends the overall programme, increasing the risk of budget overruns. In contrast, </w:t>
      </w:r>
      <w:proofErr w:type="gramStart"/>
      <w:r w:rsidRPr="00722DB9">
        <w:t>management</w:t>
      </w:r>
      <w:r w:rsidR="002F3C2B">
        <w:t xml:space="preserve"> </w:t>
      </w:r>
      <w:r w:rsidRPr="00722DB9">
        <w:t>based</w:t>
      </w:r>
      <w:proofErr w:type="gramEnd"/>
      <w:r w:rsidRPr="00722DB9">
        <w:t xml:space="preserve"> procurement routes, such as Construction Management, offer programme advantages through early commencement on site and design flexibility however, they inherently lack cost certainty at the outset. This places a significant proportion of financial risk on the client, rendering such approaches less suitable for projects dependent on external funding and strict budgetary control.</w:t>
      </w:r>
    </w:p>
    <w:p w14:paraId="1369EF8F" w14:textId="2823531E" w:rsidR="00722DB9" w:rsidRPr="00722DB9" w:rsidRDefault="00722DB9" w:rsidP="00722DB9">
      <w:r w:rsidRPr="00722DB9">
        <w:t xml:space="preserve">Design and Build </w:t>
      </w:r>
      <w:r w:rsidR="00A97890" w:rsidRPr="00722DB9">
        <w:t>address</w:t>
      </w:r>
      <w:r w:rsidRPr="00722DB9">
        <w:t xml:space="preserve"> these limitations by enabling the establishment of a contract sum at an earlier stage in the project lifecycle. This early price certainty is particularly advantageous where funding constraints require a clear and reliable financial commitment. In addition, the integration of design and construction responsibilities under a single contractor facilitates a more effective allocation of risk, as the contractor assumes responsibility for both design coordination and delivery. This reduces the likelihood of disputes arising from design discrepancies and enhances overall project accountability.</w:t>
      </w:r>
    </w:p>
    <w:p w14:paraId="6217F7B8" w14:textId="77777777" w:rsidR="00722DB9" w:rsidRPr="00722DB9" w:rsidRDefault="00722DB9" w:rsidP="00722DB9">
      <w:r w:rsidRPr="00722DB9">
        <w:t>A further advantage of the Design and Build route is the potential for programme efficiency through the overlap of design and construction activities. This can mitigate the impact of inflation and reduce time-related costs. However, it is acknowledged that this approach may result in reduced client control over design quality. To address this limitation, it is essential that the client develops comprehensive and well-defined Employer’s Requirements, clearly articulating performance standards, functional needs, and quality expectations. The appointment of experienced professional advisors is therefore critical to ensure that these requirements are robust and that the client’s interests are protected throughout the project.</w:t>
      </w:r>
    </w:p>
    <w:p w14:paraId="4C874594" w14:textId="77777777" w:rsidR="00722DB9" w:rsidRPr="00722DB9" w:rsidRDefault="00722DB9" w:rsidP="00722DB9">
      <w:r w:rsidRPr="00722DB9">
        <w:t>On balance, Design and Build represents the most suitable procurement route for this project, as it provides a pragmatic and controlled approach to achieving cost certainty while appropriately allocating risk and maintaining programme efficiency.</w:t>
      </w:r>
    </w:p>
    <w:p w14:paraId="7C8522A4" w14:textId="77777777" w:rsidR="00722DB9" w:rsidRPr="00722DB9" w:rsidRDefault="00000000" w:rsidP="00722DB9">
      <w:r>
        <w:pict w14:anchorId="2B8E10BC">
          <v:rect id="_x0000_i1025" style="width:0;height:1.5pt" o:hralign="center" o:hrstd="t" o:hr="t" fillcolor="#a0a0a0" stroked="f"/>
        </w:pict>
      </w:r>
    </w:p>
    <w:p w14:paraId="1A8EF2A7" w14:textId="77777777" w:rsidR="00722DB9" w:rsidRPr="00722DB9" w:rsidRDefault="00722DB9" w:rsidP="00722DB9">
      <w:pPr>
        <w:rPr>
          <w:b/>
          <w:bCs/>
        </w:rPr>
      </w:pPr>
      <w:r w:rsidRPr="00722DB9">
        <w:rPr>
          <w:b/>
          <w:bCs/>
        </w:rPr>
        <w:lastRenderedPageBreak/>
        <w:t>4. Tendering Strategy</w:t>
      </w:r>
    </w:p>
    <w:p w14:paraId="78FFBAEB" w14:textId="09C1A1F9" w:rsidR="00722DB9" w:rsidRPr="00722DB9" w:rsidRDefault="00722DB9" w:rsidP="00722DB9">
      <w:r w:rsidRPr="00722DB9">
        <w:t xml:space="preserve">In </w:t>
      </w:r>
      <w:r w:rsidR="00334F24" w:rsidRPr="00722DB9">
        <w:t>combining</w:t>
      </w:r>
      <w:r w:rsidRPr="00722DB9">
        <w:t xml:space="preserve"> with the Design and Build procurement route, a two-stage tendering process is recommended as the most appropriate approach for contractor selection. This method aligns closely with the client’s priority of cost control while also supporting improved collaboration and risk management.</w:t>
      </w:r>
    </w:p>
    <w:p w14:paraId="05B2C9CD" w14:textId="321B011E" w:rsidR="00722DB9" w:rsidRPr="00722DB9" w:rsidRDefault="00722DB9" w:rsidP="00722DB9">
      <w:r w:rsidRPr="00722DB9">
        <w:t xml:space="preserve">During the first stage, contractors are invited to submit proposals based on </w:t>
      </w:r>
      <w:r w:rsidR="00334F24" w:rsidRPr="00722DB9">
        <w:t>initial</w:t>
      </w:r>
      <w:r w:rsidRPr="00722DB9">
        <w:t xml:space="preserve"> information, with selection primarily determined by qualitative criteria such as relevant experience, technical capability, and an initial pricing framework. This enables the identification of a suitably qualified contractor without requiring a fully developed design. In the second stage, the selected contractor works collaboratively with the client and design team to develop the design in greater detail and to establish a final contract sum based on more accurate and informed pricing.</w:t>
      </w:r>
    </w:p>
    <w:p w14:paraId="36F47DD6" w14:textId="33488C1E" w:rsidR="00722DB9" w:rsidRPr="00722DB9" w:rsidRDefault="00722DB9" w:rsidP="00722DB9">
      <w:r w:rsidRPr="00722DB9">
        <w:t>The principal advantage of two</w:t>
      </w:r>
      <w:r w:rsidR="001F752A">
        <w:t xml:space="preserve"> </w:t>
      </w:r>
      <w:r w:rsidRPr="00722DB9">
        <w:t>stage tendering lies in its ability to enhance cost certainty through early contractor involvement. By engaging the contractor during the design development phase, the project benefits from real</w:t>
      </w:r>
      <w:r w:rsidR="001F752A">
        <w:t xml:space="preserve"> </w:t>
      </w:r>
      <w:r w:rsidRPr="00722DB9">
        <w:t>time input on bu</w:t>
      </w:r>
      <w:r w:rsidR="00531EC5">
        <w:t>ilding on time</w:t>
      </w:r>
      <w:r w:rsidRPr="00722DB9">
        <w:t xml:space="preserve"> and supply chain pricing. This reduces the likelihood of pricing inaccuracies, excessive risk allowances, and subsequent cost variations, which are common in single-stage tendering processes based on incomplete or evolving designs.</w:t>
      </w:r>
    </w:p>
    <w:p w14:paraId="5C8C55B4" w14:textId="77777777" w:rsidR="00722DB9" w:rsidRPr="00722DB9" w:rsidRDefault="00722DB9" w:rsidP="00722DB9">
      <w:r w:rsidRPr="00722DB9">
        <w:t>Furthermore, this approach promotes a more collaborative working environment, which can lead to improved risk management and a reduction in adversarial behaviours. For a project of this scale and complexity, particularly where the client has comparatively limited experience of large developments, such collaboration is highly beneficial in ensuring that both technical and financial risks are effectively managed.</w:t>
      </w:r>
    </w:p>
    <w:p w14:paraId="1FC1FC3A" w14:textId="3DF6D6B2" w:rsidR="00722DB9" w:rsidRDefault="00722DB9" w:rsidP="00BB73DA">
      <w:r w:rsidRPr="00722DB9">
        <w:t>Although single-stage tendering can provide apparent cost certainty at the point of contract award, it is often associated with inflated pricing due to contractor risk allowances or, conversely, unrealistically low bids that may result in claims and disputes during construction. As such, it is considered less suitable for this project.</w:t>
      </w:r>
    </w:p>
    <w:p w14:paraId="5BDF9414" w14:textId="77777777" w:rsidR="00BB73DA" w:rsidRDefault="00BB73DA" w:rsidP="00BB73DA">
      <w:r>
        <w:t>Advantages:</w:t>
      </w:r>
    </w:p>
    <w:p w14:paraId="2B40A845" w14:textId="136568CE" w:rsidR="00BB73DA" w:rsidRDefault="00BB73DA" w:rsidP="00BB73DA">
      <w:pPr>
        <w:pStyle w:val="ListParagraph"/>
        <w:numPr>
          <w:ilvl w:val="0"/>
          <w:numId w:val="1"/>
        </w:numPr>
        <w:suppressAutoHyphens/>
        <w:autoSpaceDN w:val="0"/>
        <w:spacing w:line="276" w:lineRule="auto"/>
        <w:contextualSpacing w:val="0"/>
      </w:pPr>
      <w:r>
        <w:t xml:space="preserve">Provides cost </w:t>
      </w:r>
      <w:r w:rsidR="002303AF">
        <w:t>confidence</w:t>
      </w:r>
      <w:r>
        <w:t xml:space="preserve"> at contract award. </w:t>
      </w:r>
    </w:p>
    <w:p w14:paraId="6A843335" w14:textId="77777777" w:rsidR="00BB73DA" w:rsidRDefault="00BB73DA" w:rsidP="00BB73DA">
      <w:pPr>
        <w:pStyle w:val="ListParagraph"/>
        <w:numPr>
          <w:ilvl w:val="0"/>
          <w:numId w:val="1"/>
        </w:numPr>
        <w:suppressAutoHyphens/>
        <w:autoSpaceDN w:val="0"/>
        <w:spacing w:line="276" w:lineRule="auto"/>
        <w:contextualSpacing w:val="0"/>
      </w:pPr>
      <w:r>
        <w:t xml:space="preserve">Encourages competitive pricing. </w:t>
      </w:r>
    </w:p>
    <w:p w14:paraId="6CAD77C8" w14:textId="77777777" w:rsidR="00BB73DA" w:rsidRDefault="00BB73DA" w:rsidP="00BB73DA">
      <w:r>
        <w:t>Disadvantages:</w:t>
      </w:r>
    </w:p>
    <w:p w14:paraId="55D91357" w14:textId="77777777" w:rsidR="00BB73DA" w:rsidRDefault="00BB73DA" w:rsidP="00BB73DA">
      <w:pPr>
        <w:pStyle w:val="ListParagraph"/>
        <w:numPr>
          <w:ilvl w:val="0"/>
          <w:numId w:val="1"/>
        </w:numPr>
        <w:suppressAutoHyphens/>
        <w:autoSpaceDN w:val="0"/>
        <w:spacing w:line="276" w:lineRule="auto"/>
        <w:contextualSpacing w:val="0"/>
      </w:pPr>
      <w:r>
        <w:t xml:space="preserve">Contractors may include high risk allowances, increasing costs. </w:t>
      </w:r>
    </w:p>
    <w:p w14:paraId="03C7C8CD" w14:textId="77777777" w:rsidR="00BB73DA" w:rsidRDefault="00BB73DA" w:rsidP="00BB73DA">
      <w:pPr>
        <w:pStyle w:val="ListParagraph"/>
        <w:numPr>
          <w:ilvl w:val="0"/>
          <w:numId w:val="1"/>
        </w:numPr>
        <w:suppressAutoHyphens/>
        <w:autoSpaceDN w:val="0"/>
        <w:spacing w:line="276" w:lineRule="auto"/>
        <w:contextualSpacing w:val="0"/>
      </w:pPr>
      <w:r>
        <w:t xml:space="preserve">Risk of unrealistically low bids, leading to claims and disputes. </w:t>
      </w:r>
    </w:p>
    <w:p w14:paraId="226F0BEF" w14:textId="77777777" w:rsidR="00BB73DA" w:rsidRDefault="00BB73DA" w:rsidP="00BB73DA">
      <w:pPr>
        <w:pStyle w:val="ListParagraph"/>
        <w:numPr>
          <w:ilvl w:val="0"/>
          <w:numId w:val="1"/>
        </w:numPr>
        <w:suppressAutoHyphens/>
        <w:autoSpaceDN w:val="0"/>
        <w:spacing w:line="276" w:lineRule="auto"/>
        <w:contextualSpacing w:val="0"/>
      </w:pPr>
      <w:r>
        <w:t xml:space="preserve">Limited opportunity for contractor input during design. </w:t>
      </w:r>
    </w:p>
    <w:p w14:paraId="192990CA" w14:textId="25219B7F" w:rsidR="00BB73DA" w:rsidRDefault="00BB73DA" w:rsidP="00BB73DA">
      <w:r>
        <w:lastRenderedPageBreak/>
        <w:t>For a project of this scale and complexity, single</w:t>
      </w:r>
      <w:r w:rsidR="001C707F">
        <w:t xml:space="preserve"> </w:t>
      </w:r>
      <w:r>
        <w:t>stage tendering is considered less suitable due to the increased risk of inaccurate pricing and adversarial relationships.</w:t>
      </w:r>
    </w:p>
    <w:p w14:paraId="6AA45B5D" w14:textId="77777777" w:rsidR="00BB73DA" w:rsidRDefault="00BB73DA" w:rsidP="00BB73DA"/>
    <w:p w14:paraId="3E51F1A7" w14:textId="77777777" w:rsidR="00BB73DA" w:rsidRDefault="00BB73DA" w:rsidP="00BB73DA">
      <w:r>
        <w:t>5. Conclusion</w:t>
      </w:r>
    </w:p>
    <w:p w14:paraId="68B0589A" w14:textId="564FDCC6" w:rsidR="00BB73DA" w:rsidRDefault="00BB73DA" w:rsidP="00BB73DA">
      <w:r>
        <w:t xml:space="preserve">In conclusion, the selection of </w:t>
      </w:r>
      <w:r w:rsidR="002303AF">
        <w:t>purchasing</w:t>
      </w:r>
      <w:r>
        <w:t xml:space="preserve"> and tendering strategies is fundamental to the successful delivery of the proposed centre of excellence in SA1, Swansea. Among the available procurement routes, Design and Build offers the most appropriate balance of cost certainty, risk transfer, and programme efficiency. Its suitability is particularly evident in the context of externally funded projects where financial control is paramount.</w:t>
      </w:r>
    </w:p>
    <w:p w14:paraId="5043E9FB" w14:textId="77777777" w:rsidR="00BB73DA" w:rsidRDefault="00BB73DA" w:rsidP="00BB73DA">
      <w:r>
        <w:t>When combined with a two-stage tendering process, this approach enables early contractor involvement, enhances cost accuracy, and promotes collaboration among project stakeholders. By adopting this strategy and ensuring the development of detailed Employer’s Requirements, the client will be well positioned to achieve project objectives and deliver the development within budget while maintaining the required quality standards.</w:t>
      </w:r>
    </w:p>
    <w:p w14:paraId="58741A73" w14:textId="77777777" w:rsidR="00BB73DA" w:rsidRDefault="00BB73DA" w:rsidP="00BB73DA"/>
    <w:p w14:paraId="79278690" w14:textId="77777777" w:rsidR="00BB73DA" w:rsidRDefault="00BB73DA" w:rsidP="00BB73DA">
      <w:r>
        <w:t>6. References (Harvard Style)</w:t>
      </w:r>
    </w:p>
    <w:p w14:paraId="3837340D" w14:textId="77777777" w:rsidR="00BB73DA" w:rsidRDefault="00BB73DA" w:rsidP="00BB73DA">
      <w:pPr>
        <w:pStyle w:val="NormalWeb"/>
        <w:numPr>
          <w:ilvl w:val="0"/>
          <w:numId w:val="2"/>
        </w:numPr>
        <w:rPr>
          <w:rFonts w:ascii="Georgia" w:hAnsi="Georgia"/>
        </w:rPr>
      </w:pPr>
      <w:proofErr w:type="spellStart"/>
      <w:r>
        <w:rPr>
          <w:rFonts w:ascii="Georgia" w:hAnsi="Georgia"/>
        </w:rPr>
        <w:t>Ciob</w:t>
      </w:r>
      <w:proofErr w:type="spellEnd"/>
      <w:r>
        <w:rPr>
          <w:rFonts w:ascii="Georgia" w:hAnsi="Georgia"/>
        </w:rPr>
        <w:t xml:space="preserve"> (2002) </w:t>
      </w:r>
      <w:r>
        <w:rPr>
          <w:rFonts w:ascii="Georgia" w:hAnsi="Georgia"/>
          <w:i/>
          <w:iCs/>
        </w:rPr>
        <w:t>Code of practice for project management: Chartered/code</w:t>
      </w:r>
      <w:r>
        <w:rPr>
          <w:rFonts w:ascii="Georgia" w:hAnsi="Georgia"/>
        </w:rPr>
        <w:t>. 3rd edition. Philadelphia, PA: Blackwell Science.</w:t>
      </w:r>
    </w:p>
    <w:p w14:paraId="75266DEB" w14:textId="77777777" w:rsidR="00BB73DA" w:rsidRDefault="00BB73DA" w:rsidP="00BB73DA">
      <w:pPr>
        <w:pStyle w:val="NormalWeb"/>
        <w:ind w:left="720"/>
        <w:rPr>
          <w:rFonts w:ascii="Georgia" w:hAnsi="Georgia"/>
        </w:rPr>
      </w:pPr>
    </w:p>
    <w:p w14:paraId="132994EF" w14:textId="3EA9555B" w:rsidR="00BB73DA" w:rsidRDefault="00BB73DA" w:rsidP="00BB73DA">
      <w:pPr>
        <w:pStyle w:val="NormalWeb"/>
        <w:numPr>
          <w:ilvl w:val="0"/>
          <w:numId w:val="2"/>
        </w:numPr>
        <w:rPr>
          <w:rFonts w:ascii="Georgia" w:hAnsi="Georgia"/>
        </w:rPr>
      </w:pPr>
      <w:r>
        <w:rPr>
          <w:rFonts w:ascii="Georgia" w:hAnsi="Georgia"/>
        </w:rPr>
        <w:t>Edum-</w:t>
      </w:r>
      <w:proofErr w:type="spellStart"/>
      <w:r>
        <w:rPr>
          <w:rFonts w:ascii="Georgia" w:hAnsi="Georgia"/>
        </w:rPr>
        <w:t>Fotwe</w:t>
      </w:r>
      <w:proofErr w:type="spellEnd"/>
      <w:r>
        <w:rPr>
          <w:rFonts w:ascii="Georgia" w:hAnsi="Georgia"/>
        </w:rPr>
        <w:t>, F.T. (2002) “Introduction to building procurement systems,” </w:t>
      </w:r>
      <w:r>
        <w:rPr>
          <w:rFonts w:ascii="Georgia" w:hAnsi="Georgia"/>
          <w:i/>
          <w:iCs/>
        </w:rPr>
        <w:t>Engineering Construction and Architectural Management</w:t>
      </w:r>
      <w:r>
        <w:rPr>
          <w:rFonts w:ascii="Georgia" w:hAnsi="Georgia"/>
        </w:rPr>
        <w:t xml:space="preserve">, 9(4), pp. 363–364. Available at: </w:t>
      </w:r>
      <w:hyperlink r:id="rId8" w:history="1">
        <w:r w:rsidRPr="00B04A40">
          <w:rPr>
            <w:rStyle w:val="Hyperlink"/>
            <w:rFonts w:ascii="Georgia" w:hAnsi="Georgia"/>
          </w:rPr>
          <w:t>https://doi.org/10.1046/j.1365-232x.2002.00239.x</w:t>
        </w:r>
      </w:hyperlink>
      <w:r>
        <w:rPr>
          <w:rFonts w:ascii="Georgia" w:hAnsi="Georgia"/>
        </w:rPr>
        <w:t>.</w:t>
      </w:r>
    </w:p>
    <w:p w14:paraId="013C4F37" w14:textId="77777777" w:rsidR="00BB73DA" w:rsidRDefault="00BB73DA" w:rsidP="00BB73DA">
      <w:pPr>
        <w:pStyle w:val="ListParagraph"/>
        <w:rPr>
          <w:rFonts w:ascii="Georgia" w:hAnsi="Georgia"/>
        </w:rPr>
      </w:pPr>
    </w:p>
    <w:p w14:paraId="6F46E62D" w14:textId="1D4B4386" w:rsidR="00BB73DA" w:rsidRPr="002C396D" w:rsidRDefault="002C396D" w:rsidP="002C396D">
      <w:pPr>
        <w:pStyle w:val="NormalWeb"/>
        <w:numPr>
          <w:ilvl w:val="0"/>
          <w:numId w:val="2"/>
        </w:numPr>
        <w:rPr>
          <w:rFonts w:ascii="Georgia" w:hAnsi="Georgia"/>
        </w:rPr>
      </w:pPr>
      <w:hyperlink r:id="rId9" w:history="1">
        <w:r w:rsidRPr="00B04A40">
          <w:rPr>
            <w:rStyle w:val="Hyperlink"/>
            <w:rFonts w:ascii="Georgia" w:hAnsi="Georgia"/>
          </w:rPr>
          <w:t>https://www.academia.edu/144791748/Code_of_Practice_for_Project_Mana</w:t>
        </w:r>
      </w:hyperlink>
      <w:r w:rsidRPr="002C396D">
        <w:rPr>
          <w:rFonts w:ascii="Georgia" w:hAnsi="Georgia"/>
        </w:rPr>
        <w:t>gement_for_Construction_and_Development</w:t>
      </w:r>
    </w:p>
    <w:p w14:paraId="62DDC052" w14:textId="77777777" w:rsidR="002C396D" w:rsidRDefault="002C396D" w:rsidP="002C396D">
      <w:pPr>
        <w:suppressAutoHyphens/>
        <w:autoSpaceDN w:val="0"/>
        <w:spacing w:line="276" w:lineRule="auto"/>
        <w:ind w:left="720"/>
      </w:pPr>
    </w:p>
    <w:p w14:paraId="4714D4FC" w14:textId="77777777" w:rsidR="002C396D" w:rsidRDefault="00BB73DA" w:rsidP="002C396D">
      <w:pPr>
        <w:suppressAutoHyphens/>
        <w:autoSpaceDN w:val="0"/>
        <w:spacing w:line="276" w:lineRule="auto"/>
        <w:ind w:left="720"/>
      </w:pPr>
      <w:r>
        <w:t xml:space="preserve"> </w:t>
      </w:r>
      <w:r w:rsidR="002C396D" w:rsidRPr="002C396D">
        <w:rPr>
          <w:i/>
          <w:iCs/>
        </w:rPr>
        <w:t xml:space="preserve">Masterman, </w:t>
      </w:r>
      <w:proofErr w:type="spellStart"/>
      <w:r w:rsidR="002C396D" w:rsidRPr="002C396D">
        <w:rPr>
          <w:i/>
          <w:iCs/>
        </w:rPr>
        <w:t>J.w.e</w:t>
      </w:r>
      <w:proofErr w:type="spellEnd"/>
      <w:r w:rsidR="002C396D" w:rsidRPr="002C396D">
        <w:rPr>
          <w:i/>
          <w:iCs/>
        </w:rPr>
        <w:t>. (2002) An Introduction to Building Procurement Systems. E&amp;FN Spon, London. - references - scientific research publishing</w:t>
      </w:r>
      <w:r w:rsidR="002C396D" w:rsidRPr="002C396D">
        <w:t> (no date) </w:t>
      </w:r>
      <w:r w:rsidR="002C396D" w:rsidRPr="002C396D">
        <w:rPr>
          <w:i/>
          <w:iCs/>
        </w:rPr>
        <w:t>Scirp.org</w:t>
      </w:r>
      <w:r w:rsidR="002C396D" w:rsidRPr="002C396D">
        <w:t xml:space="preserve">. Available at: </w:t>
      </w:r>
    </w:p>
    <w:p w14:paraId="047D4C82" w14:textId="7027EF50" w:rsidR="002C396D" w:rsidRDefault="002C396D" w:rsidP="002C396D">
      <w:pPr>
        <w:suppressAutoHyphens/>
        <w:autoSpaceDN w:val="0"/>
        <w:spacing w:line="276" w:lineRule="auto"/>
        <w:ind w:left="720"/>
      </w:pPr>
      <w:r w:rsidRPr="002C396D">
        <w:t>https://www.scirp.org/reference/referencespapers?referenceid=2955925 (Accessed: April 23, 2026).</w:t>
      </w:r>
    </w:p>
    <w:p w14:paraId="71DBEC43" w14:textId="77777777" w:rsidR="002C396D" w:rsidRPr="002C396D" w:rsidRDefault="002C396D" w:rsidP="002C396D">
      <w:pPr>
        <w:suppressAutoHyphens/>
        <w:autoSpaceDN w:val="0"/>
        <w:spacing w:line="276" w:lineRule="auto"/>
        <w:ind w:left="720"/>
      </w:pPr>
      <w:r w:rsidRPr="002C396D">
        <w:lastRenderedPageBreak/>
        <w:t>Potts, K. and Ankrah, N. (2014) </w:t>
      </w:r>
      <w:r w:rsidRPr="002C396D">
        <w:rPr>
          <w:i/>
          <w:iCs/>
        </w:rPr>
        <w:t>Construction cost management: Learning from case studies</w:t>
      </w:r>
      <w:r w:rsidRPr="002C396D">
        <w:t>. Routledge.</w:t>
      </w:r>
    </w:p>
    <w:p w14:paraId="7F429DE5" w14:textId="77777777" w:rsidR="002C396D" w:rsidRDefault="002C396D" w:rsidP="002C396D">
      <w:pPr>
        <w:rPr>
          <w:i/>
          <w:iCs/>
        </w:rPr>
      </w:pPr>
    </w:p>
    <w:p w14:paraId="192A05EA" w14:textId="1ABDD289" w:rsidR="002C396D" w:rsidRPr="002C396D" w:rsidRDefault="002C396D" w:rsidP="002C396D">
      <w:r w:rsidRPr="002C396D">
        <w:rPr>
          <w:i/>
          <w:iCs/>
        </w:rPr>
        <w:t>Global Professional Statement: Procurement and Tendering. RICS</w:t>
      </w:r>
      <w:r w:rsidRPr="002C396D">
        <w:t> (2013).</w:t>
      </w:r>
    </w:p>
    <w:p w14:paraId="7BDBF905" w14:textId="2BD42BE8" w:rsidR="00BB73DA" w:rsidRDefault="00BB73DA"/>
    <w:p w14:paraId="05A52E23" w14:textId="77777777" w:rsidR="00BB73DA" w:rsidRDefault="00BB73DA">
      <w:r>
        <w:br w:type="page"/>
      </w:r>
    </w:p>
    <w:p w14:paraId="7E4EB073" w14:textId="4B15FCA7" w:rsidR="00BB73DA" w:rsidRDefault="00BB73DA"/>
    <w:p w14:paraId="258A6C36" w14:textId="77777777" w:rsidR="00BB73DA" w:rsidRDefault="00BB73DA">
      <w:r>
        <w:br w:type="page"/>
      </w:r>
    </w:p>
    <w:p w14:paraId="50CFB315" w14:textId="77777777" w:rsidR="00BB73DA" w:rsidRDefault="00BB73DA"/>
    <w:sectPr w:rsidR="00BB73DA" w:rsidSect="00A421BE">
      <w:headerReference w:type="default" r:id="rId10"/>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425CD" w14:textId="77777777" w:rsidR="00F02FAA" w:rsidRDefault="00F02FAA" w:rsidP="00A421BE">
      <w:pPr>
        <w:spacing w:after="0" w:line="240" w:lineRule="auto"/>
      </w:pPr>
      <w:r>
        <w:separator/>
      </w:r>
    </w:p>
  </w:endnote>
  <w:endnote w:type="continuationSeparator" w:id="0">
    <w:p w14:paraId="3BF706F5" w14:textId="77777777" w:rsidR="00F02FAA" w:rsidRDefault="00F02FAA" w:rsidP="00A42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488A1" w14:textId="77777777" w:rsidR="00F02FAA" w:rsidRDefault="00F02FAA" w:rsidP="00A421BE">
      <w:pPr>
        <w:spacing w:after="0" w:line="240" w:lineRule="auto"/>
      </w:pPr>
      <w:r>
        <w:separator/>
      </w:r>
    </w:p>
  </w:footnote>
  <w:footnote w:type="continuationSeparator" w:id="0">
    <w:p w14:paraId="257FEE88" w14:textId="77777777" w:rsidR="00F02FAA" w:rsidRDefault="00F02FAA" w:rsidP="00A421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18F94" w14:textId="1E50098A" w:rsidR="000E3E9D" w:rsidRDefault="000E3E9D">
    <w:pPr>
      <w:pStyle w:val="Header"/>
    </w:pPr>
    <w: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A94CF2"/>
    <w:multiLevelType w:val="multilevel"/>
    <w:tmpl w:val="43545E7E"/>
    <w:lvl w:ilvl="0">
      <w:numFmt w:val="bullet"/>
      <w:lvlText w:val="-"/>
      <w:lvlJc w:val="left"/>
      <w:pPr>
        <w:ind w:left="720" w:hanging="360"/>
      </w:pPr>
      <w:rPr>
        <w:rFonts w:ascii="Aptos" w:eastAsia="DengXian" w:hAnsi="Aptos"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B665688"/>
    <w:multiLevelType w:val="multilevel"/>
    <w:tmpl w:val="BB4A830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148282707">
    <w:abstractNumId w:val="0"/>
  </w:num>
  <w:num w:numId="2" w16cid:durableId="19297746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3DA"/>
    <w:rsid w:val="00044442"/>
    <w:rsid w:val="000E3E9D"/>
    <w:rsid w:val="00184E55"/>
    <w:rsid w:val="001C707F"/>
    <w:rsid w:val="001F752A"/>
    <w:rsid w:val="00203BAB"/>
    <w:rsid w:val="002303AF"/>
    <w:rsid w:val="002C396D"/>
    <w:rsid w:val="002D61A6"/>
    <w:rsid w:val="002F3C2B"/>
    <w:rsid w:val="00302BE5"/>
    <w:rsid w:val="00334F24"/>
    <w:rsid w:val="003F09A9"/>
    <w:rsid w:val="00420F94"/>
    <w:rsid w:val="0048219E"/>
    <w:rsid w:val="004909C6"/>
    <w:rsid w:val="0052176D"/>
    <w:rsid w:val="00530D7B"/>
    <w:rsid w:val="00531EC5"/>
    <w:rsid w:val="005457BF"/>
    <w:rsid w:val="006A6D95"/>
    <w:rsid w:val="006B06A7"/>
    <w:rsid w:val="006F566F"/>
    <w:rsid w:val="0070352B"/>
    <w:rsid w:val="00722DB9"/>
    <w:rsid w:val="00886D1B"/>
    <w:rsid w:val="00890816"/>
    <w:rsid w:val="008E55AC"/>
    <w:rsid w:val="0090338A"/>
    <w:rsid w:val="009D0575"/>
    <w:rsid w:val="00A421BE"/>
    <w:rsid w:val="00A71D54"/>
    <w:rsid w:val="00A97890"/>
    <w:rsid w:val="00B17FBF"/>
    <w:rsid w:val="00BB73DA"/>
    <w:rsid w:val="00C03C5A"/>
    <w:rsid w:val="00C451D4"/>
    <w:rsid w:val="00C52A62"/>
    <w:rsid w:val="00C964AB"/>
    <w:rsid w:val="00D57964"/>
    <w:rsid w:val="00DE31AE"/>
    <w:rsid w:val="00F02FAA"/>
    <w:rsid w:val="00F13A9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06CC03"/>
  <w15:chartTrackingRefBased/>
  <w15:docId w15:val="{9DCE0159-D2B4-4150-8995-2B9BBD22B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73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73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73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73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73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73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73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73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73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73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73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73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73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73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73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73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73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73DA"/>
    <w:rPr>
      <w:rFonts w:eastAsiaTheme="majorEastAsia" w:cstheme="majorBidi"/>
      <w:color w:val="272727" w:themeColor="text1" w:themeTint="D8"/>
    </w:rPr>
  </w:style>
  <w:style w:type="paragraph" w:styleId="Title">
    <w:name w:val="Title"/>
    <w:basedOn w:val="Normal"/>
    <w:next w:val="Normal"/>
    <w:link w:val="TitleChar"/>
    <w:uiPriority w:val="10"/>
    <w:qFormat/>
    <w:rsid w:val="00BB73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73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73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73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73DA"/>
    <w:pPr>
      <w:spacing w:before="160"/>
      <w:jc w:val="center"/>
    </w:pPr>
    <w:rPr>
      <w:i/>
      <w:iCs/>
      <w:color w:val="404040" w:themeColor="text1" w:themeTint="BF"/>
    </w:rPr>
  </w:style>
  <w:style w:type="character" w:customStyle="1" w:styleId="QuoteChar">
    <w:name w:val="Quote Char"/>
    <w:basedOn w:val="DefaultParagraphFont"/>
    <w:link w:val="Quote"/>
    <w:uiPriority w:val="29"/>
    <w:rsid w:val="00BB73DA"/>
    <w:rPr>
      <w:i/>
      <w:iCs/>
      <w:color w:val="404040" w:themeColor="text1" w:themeTint="BF"/>
    </w:rPr>
  </w:style>
  <w:style w:type="paragraph" w:styleId="ListParagraph">
    <w:name w:val="List Paragraph"/>
    <w:basedOn w:val="Normal"/>
    <w:qFormat/>
    <w:rsid w:val="00BB73DA"/>
    <w:pPr>
      <w:ind w:left="720"/>
      <w:contextualSpacing/>
    </w:pPr>
  </w:style>
  <w:style w:type="character" w:styleId="IntenseEmphasis">
    <w:name w:val="Intense Emphasis"/>
    <w:basedOn w:val="DefaultParagraphFont"/>
    <w:uiPriority w:val="21"/>
    <w:qFormat/>
    <w:rsid w:val="00BB73DA"/>
    <w:rPr>
      <w:i/>
      <w:iCs/>
      <w:color w:val="0F4761" w:themeColor="accent1" w:themeShade="BF"/>
    </w:rPr>
  </w:style>
  <w:style w:type="paragraph" w:styleId="IntenseQuote">
    <w:name w:val="Intense Quote"/>
    <w:basedOn w:val="Normal"/>
    <w:next w:val="Normal"/>
    <w:link w:val="IntenseQuoteChar"/>
    <w:uiPriority w:val="30"/>
    <w:qFormat/>
    <w:rsid w:val="00BB73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73DA"/>
    <w:rPr>
      <w:i/>
      <w:iCs/>
      <w:color w:val="0F4761" w:themeColor="accent1" w:themeShade="BF"/>
    </w:rPr>
  </w:style>
  <w:style w:type="character" w:styleId="IntenseReference">
    <w:name w:val="Intense Reference"/>
    <w:basedOn w:val="DefaultParagraphFont"/>
    <w:uiPriority w:val="32"/>
    <w:qFormat/>
    <w:rsid w:val="00BB73DA"/>
    <w:rPr>
      <w:b/>
      <w:bCs/>
      <w:smallCaps/>
      <w:color w:val="0F4761" w:themeColor="accent1" w:themeShade="BF"/>
      <w:spacing w:val="5"/>
    </w:rPr>
  </w:style>
  <w:style w:type="paragraph" w:styleId="NormalWeb">
    <w:name w:val="Normal (Web)"/>
    <w:basedOn w:val="Normal"/>
    <w:uiPriority w:val="99"/>
    <w:unhideWhenUsed/>
    <w:rsid w:val="00BB73D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BB73DA"/>
    <w:rPr>
      <w:color w:val="467886" w:themeColor="hyperlink"/>
      <w:u w:val="single"/>
    </w:rPr>
  </w:style>
  <w:style w:type="character" w:styleId="UnresolvedMention">
    <w:name w:val="Unresolved Mention"/>
    <w:basedOn w:val="DefaultParagraphFont"/>
    <w:uiPriority w:val="99"/>
    <w:semiHidden/>
    <w:unhideWhenUsed/>
    <w:rsid w:val="00BB73DA"/>
    <w:rPr>
      <w:color w:val="605E5C"/>
      <w:shd w:val="clear" w:color="auto" w:fill="E1DFDD"/>
    </w:rPr>
  </w:style>
  <w:style w:type="paragraph" w:styleId="NoSpacing">
    <w:name w:val="No Spacing"/>
    <w:link w:val="NoSpacingChar"/>
    <w:uiPriority w:val="1"/>
    <w:qFormat/>
    <w:rsid w:val="00C52A62"/>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C52A62"/>
    <w:rPr>
      <w:kern w:val="0"/>
      <w:sz w:val="22"/>
      <w:szCs w:val="22"/>
      <w14:ligatures w14:val="none"/>
    </w:rPr>
  </w:style>
  <w:style w:type="paragraph" w:styleId="Header">
    <w:name w:val="header"/>
    <w:basedOn w:val="Normal"/>
    <w:link w:val="HeaderChar"/>
    <w:uiPriority w:val="99"/>
    <w:unhideWhenUsed/>
    <w:rsid w:val="00A421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21BE"/>
  </w:style>
  <w:style w:type="paragraph" w:styleId="Footer">
    <w:name w:val="footer"/>
    <w:basedOn w:val="Normal"/>
    <w:link w:val="FooterChar"/>
    <w:uiPriority w:val="99"/>
    <w:unhideWhenUsed/>
    <w:rsid w:val="00A421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21BE"/>
  </w:style>
  <w:style w:type="paragraph" w:styleId="Date">
    <w:name w:val="Date"/>
    <w:basedOn w:val="Normal"/>
    <w:next w:val="Normal"/>
    <w:link w:val="DateChar"/>
    <w:uiPriority w:val="99"/>
    <w:semiHidden/>
    <w:unhideWhenUsed/>
    <w:rsid w:val="00D57964"/>
  </w:style>
  <w:style w:type="character" w:customStyle="1" w:styleId="DateChar">
    <w:name w:val="Date Char"/>
    <w:basedOn w:val="DefaultParagraphFont"/>
    <w:link w:val="Date"/>
    <w:uiPriority w:val="99"/>
    <w:semiHidden/>
    <w:rsid w:val="00D579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46/j.1365-232x.2002.00239.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cademia.edu/144791748/Code_of_Practice_for_Project_Ma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8837C-4CDF-49E7-A130-45D55F10D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10</Pages>
  <Words>1885</Words>
  <Characters>10749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processes</dc:title>
  <dc:subject/>
  <dc:creator>Aaron Hussain (2521146)</dc:creator>
  <cp:keywords/>
  <dc:description/>
  <cp:lastModifiedBy>Aaron Hussain (2521146)</cp:lastModifiedBy>
  <cp:revision>37</cp:revision>
  <dcterms:created xsi:type="dcterms:W3CDTF">2026-04-23T08:25:00Z</dcterms:created>
  <dcterms:modified xsi:type="dcterms:W3CDTF">2026-04-23T15:47:00Z</dcterms:modified>
</cp:coreProperties>
</file>