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349C8" w14:textId="77777777" w:rsidR="002651BF" w:rsidRDefault="002651BF">
      <w:pPr>
        <w:pStyle w:val="Normal1"/>
        <w:spacing w:line="360" w:lineRule="auto"/>
        <w:jc w:val="center"/>
        <w:rPr>
          <w:b/>
          <w:sz w:val="32"/>
          <w:szCs w:val="32"/>
          <w:lang w:val="en-GB"/>
        </w:rPr>
      </w:pPr>
    </w:p>
    <w:p w14:paraId="03923D57" w14:textId="77777777" w:rsidR="002651BF" w:rsidRDefault="002651BF">
      <w:pPr>
        <w:pStyle w:val="Normal1"/>
        <w:spacing w:line="360" w:lineRule="auto"/>
        <w:jc w:val="center"/>
        <w:rPr>
          <w:b/>
          <w:sz w:val="32"/>
          <w:szCs w:val="32"/>
          <w:lang w:val="en-GB"/>
        </w:rPr>
      </w:pPr>
    </w:p>
    <w:p w14:paraId="1C47E5F9" w14:textId="77777777" w:rsidR="002651BF" w:rsidRDefault="002651BF">
      <w:pPr>
        <w:pStyle w:val="Normal1"/>
        <w:spacing w:line="360" w:lineRule="auto"/>
        <w:jc w:val="center"/>
        <w:rPr>
          <w:b/>
          <w:sz w:val="32"/>
          <w:szCs w:val="32"/>
          <w:lang w:val="en-GB"/>
        </w:rPr>
      </w:pPr>
    </w:p>
    <w:p w14:paraId="0D4E3580" w14:textId="77777777" w:rsidR="002651BF" w:rsidRDefault="002651BF">
      <w:pPr>
        <w:pStyle w:val="Normal1"/>
        <w:spacing w:line="360" w:lineRule="auto"/>
        <w:jc w:val="center"/>
        <w:rPr>
          <w:b/>
          <w:sz w:val="32"/>
          <w:szCs w:val="32"/>
          <w:lang w:val="en-GB"/>
        </w:rPr>
      </w:pPr>
    </w:p>
    <w:p w14:paraId="0C671588" w14:textId="77777777" w:rsidR="002651BF" w:rsidRDefault="002651BF">
      <w:pPr>
        <w:pStyle w:val="Normal1"/>
        <w:spacing w:line="360" w:lineRule="auto"/>
        <w:jc w:val="center"/>
        <w:rPr>
          <w:b/>
          <w:sz w:val="32"/>
          <w:szCs w:val="32"/>
          <w:lang w:val="en-GB"/>
        </w:rPr>
      </w:pPr>
    </w:p>
    <w:p w14:paraId="69B1A9B4" w14:textId="77777777" w:rsidR="002651BF" w:rsidRDefault="002651BF">
      <w:pPr>
        <w:pStyle w:val="Normal1"/>
        <w:spacing w:line="360" w:lineRule="auto"/>
        <w:jc w:val="center"/>
        <w:rPr>
          <w:b/>
          <w:sz w:val="32"/>
          <w:szCs w:val="32"/>
          <w:lang w:val="en-GB"/>
        </w:rPr>
      </w:pPr>
    </w:p>
    <w:p w14:paraId="5FC855CA" w14:textId="77777777" w:rsidR="002651BF" w:rsidRDefault="002651BF">
      <w:pPr>
        <w:pStyle w:val="Normal1"/>
        <w:spacing w:line="360" w:lineRule="auto"/>
        <w:jc w:val="center"/>
        <w:rPr>
          <w:b/>
          <w:sz w:val="32"/>
          <w:szCs w:val="32"/>
          <w:lang w:val="en-GB"/>
        </w:rPr>
      </w:pPr>
    </w:p>
    <w:p w14:paraId="238FFE0D" w14:textId="77777777" w:rsidR="002651BF" w:rsidRDefault="002651BF">
      <w:pPr>
        <w:pStyle w:val="Normal1"/>
        <w:spacing w:line="360" w:lineRule="auto"/>
        <w:jc w:val="center"/>
        <w:rPr>
          <w:b/>
          <w:sz w:val="32"/>
          <w:szCs w:val="32"/>
          <w:lang w:val="en-GB"/>
        </w:rPr>
      </w:pPr>
    </w:p>
    <w:p w14:paraId="66120021" w14:textId="77777777" w:rsidR="002651BF" w:rsidRDefault="002651BF">
      <w:pPr>
        <w:pStyle w:val="Normal1"/>
        <w:spacing w:line="360" w:lineRule="auto"/>
        <w:jc w:val="center"/>
        <w:rPr>
          <w:b/>
          <w:sz w:val="32"/>
          <w:szCs w:val="32"/>
          <w:lang w:val="en-GB"/>
        </w:rPr>
      </w:pPr>
    </w:p>
    <w:p w14:paraId="5B9BCFCC" w14:textId="77777777" w:rsidR="00BD18A5" w:rsidRPr="002651BF" w:rsidRDefault="00323A7B">
      <w:pPr>
        <w:pStyle w:val="Normal1"/>
        <w:spacing w:line="360" w:lineRule="auto"/>
        <w:jc w:val="center"/>
        <w:rPr>
          <w:b/>
          <w:sz w:val="32"/>
          <w:szCs w:val="32"/>
          <w:u w:val="single"/>
          <w:lang w:val="en-GB"/>
        </w:rPr>
      </w:pPr>
      <w:r w:rsidRPr="002651BF">
        <w:rPr>
          <w:b/>
          <w:sz w:val="32"/>
          <w:szCs w:val="32"/>
          <w:u w:val="single"/>
          <w:lang w:val="en-GB"/>
        </w:rPr>
        <w:t>How to engage employees throughout the employee lifecycle</w:t>
      </w:r>
    </w:p>
    <w:p w14:paraId="037FAED6" w14:textId="06B4CDEE" w:rsidR="00BD18A5" w:rsidRPr="009900A7" w:rsidRDefault="00323A7B">
      <w:pPr>
        <w:pStyle w:val="Normal1"/>
        <w:spacing w:before="240" w:after="240" w:line="360" w:lineRule="auto"/>
        <w:jc w:val="center"/>
        <w:rPr>
          <w:b/>
          <w:i/>
          <w:sz w:val="24"/>
          <w:szCs w:val="24"/>
          <w:highlight w:val="white"/>
          <w:lang w:val="en-GB"/>
        </w:rPr>
      </w:pPr>
      <w:r w:rsidRPr="009900A7">
        <w:rPr>
          <w:b/>
          <w:i/>
          <w:sz w:val="24"/>
          <w:szCs w:val="24"/>
          <w:highlight w:val="white"/>
          <w:lang w:val="en-GB"/>
        </w:rPr>
        <w:t>Student’s name:</w:t>
      </w:r>
      <w:r w:rsidR="00387A4A">
        <w:rPr>
          <w:b/>
          <w:i/>
          <w:sz w:val="24"/>
          <w:szCs w:val="24"/>
          <w:highlight w:val="white"/>
          <w:lang w:val="en-GB"/>
        </w:rPr>
        <w:t>Adriana Alexandra Birsan</w:t>
      </w:r>
    </w:p>
    <w:p w14:paraId="54630688" w14:textId="14F2594D" w:rsidR="00BD18A5" w:rsidRPr="009900A7" w:rsidRDefault="00323A7B">
      <w:pPr>
        <w:pStyle w:val="Normal1"/>
        <w:spacing w:before="240" w:after="240" w:line="360" w:lineRule="auto"/>
        <w:jc w:val="center"/>
        <w:rPr>
          <w:b/>
          <w:i/>
          <w:sz w:val="24"/>
          <w:szCs w:val="24"/>
          <w:highlight w:val="white"/>
          <w:lang w:val="en-GB"/>
        </w:rPr>
      </w:pPr>
      <w:r w:rsidRPr="009900A7">
        <w:rPr>
          <w:b/>
          <w:i/>
          <w:sz w:val="24"/>
          <w:szCs w:val="24"/>
          <w:highlight w:val="white"/>
          <w:lang w:val="en-GB"/>
        </w:rPr>
        <w:t>Student’s id:</w:t>
      </w:r>
      <w:r w:rsidR="00387A4A">
        <w:rPr>
          <w:b/>
          <w:i/>
          <w:sz w:val="24"/>
          <w:szCs w:val="24"/>
          <w:highlight w:val="white"/>
          <w:lang w:val="en-GB"/>
        </w:rPr>
        <w:t>2118849</w:t>
      </w:r>
    </w:p>
    <w:p w14:paraId="75FE717C" w14:textId="2114BC41" w:rsidR="00BD18A5" w:rsidRPr="009900A7" w:rsidRDefault="00323A7B">
      <w:pPr>
        <w:pStyle w:val="Normal1"/>
        <w:spacing w:before="240" w:after="240" w:line="360" w:lineRule="auto"/>
        <w:jc w:val="center"/>
        <w:rPr>
          <w:b/>
          <w:i/>
          <w:sz w:val="24"/>
          <w:szCs w:val="24"/>
          <w:highlight w:val="white"/>
          <w:lang w:val="en-GB"/>
        </w:rPr>
      </w:pPr>
      <w:r w:rsidRPr="009900A7">
        <w:rPr>
          <w:b/>
          <w:i/>
          <w:sz w:val="24"/>
          <w:szCs w:val="24"/>
          <w:highlight w:val="white"/>
          <w:lang w:val="en-GB"/>
        </w:rPr>
        <w:t>Course name:</w:t>
      </w:r>
      <w:r w:rsidR="00387A4A">
        <w:rPr>
          <w:b/>
          <w:i/>
          <w:sz w:val="24"/>
          <w:szCs w:val="24"/>
          <w:highlight w:val="white"/>
          <w:lang w:val="en-GB"/>
        </w:rPr>
        <w:t>BA Hotel Management</w:t>
      </w:r>
    </w:p>
    <w:p w14:paraId="3D549955" w14:textId="53CB6B5C" w:rsidR="00BD18A5" w:rsidRDefault="00323A7B">
      <w:pPr>
        <w:pStyle w:val="Normal1"/>
        <w:spacing w:before="240" w:after="240" w:line="360" w:lineRule="auto"/>
        <w:jc w:val="center"/>
        <w:rPr>
          <w:b/>
          <w:i/>
          <w:sz w:val="24"/>
          <w:szCs w:val="24"/>
          <w:highlight w:val="white"/>
          <w:lang w:val="en-GB"/>
        </w:rPr>
      </w:pPr>
      <w:r w:rsidRPr="009900A7">
        <w:rPr>
          <w:b/>
          <w:i/>
          <w:sz w:val="24"/>
          <w:szCs w:val="24"/>
          <w:highlight w:val="white"/>
          <w:lang w:val="en-GB"/>
        </w:rPr>
        <w:t>Subject Name:</w:t>
      </w:r>
      <w:r w:rsidR="00813709">
        <w:rPr>
          <w:b/>
          <w:i/>
          <w:sz w:val="24"/>
          <w:szCs w:val="24"/>
          <w:highlight w:val="white"/>
          <w:lang w:val="en-GB"/>
        </w:rPr>
        <w:t xml:space="preserve">Personnel Resourcing&amp; Development </w:t>
      </w:r>
    </w:p>
    <w:p w14:paraId="3DE2887B" w14:textId="0D2F4E0A" w:rsidR="00813709" w:rsidRPr="009900A7" w:rsidRDefault="00813709">
      <w:pPr>
        <w:pStyle w:val="Normal1"/>
        <w:spacing w:before="240" w:after="240" w:line="360" w:lineRule="auto"/>
        <w:jc w:val="center"/>
        <w:rPr>
          <w:b/>
          <w:i/>
          <w:sz w:val="24"/>
          <w:szCs w:val="24"/>
          <w:highlight w:val="white"/>
          <w:lang w:val="en-GB"/>
        </w:rPr>
      </w:pPr>
      <w:r>
        <w:rPr>
          <w:b/>
          <w:i/>
          <w:sz w:val="24"/>
          <w:szCs w:val="24"/>
          <w:highlight w:val="white"/>
          <w:lang w:val="en-GB"/>
        </w:rPr>
        <w:t>Teacher:Emma Roberts</w:t>
      </w:r>
    </w:p>
    <w:p w14:paraId="050417A6" w14:textId="77777777" w:rsidR="00813709" w:rsidRDefault="00813709">
      <w:pPr>
        <w:pStyle w:val="Normal1"/>
        <w:spacing w:line="360" w:lineRule="auto"/>
        <w:jc w:val="both"/>
        <w:rPr>
          <w:lang w:val="en-GB"/>
        </w:rPr>
      </w:pPr>
    </w:p>
    <w:p w14:paraId="718B324F" w14:textId="6AD19312" w:rsidR="00BD18A5" w:rsidRPr="009900A7" w:rsidRDefault="00323A7B">
      <w:pPr>
        <w:pStyle w:val="Normal1"/>
        <w:spacing w:line="360" w:lineRule="auto"/>
        <w:jc w:val="both"/>
        <w:rPr>
          <w:b/>
          <w:sz w:val="24"/>
          <w:szCs w:val="24"/>
          <w:lang w:val="en-GB"/>
        </w:rPr>
      </w:pPr>
      <w:r w:rsidRPr="009900A7">
        <w:rPr>
          <w:lang w:val="en-GB"/>
        </w:rPr>
        <w:br w:type="page"/>
      </w:r>
    </w:p>
    <w:p w14:paraId="0415F824" w14:textId="77777777" w:rsidR="00BD18A5" w:rsidRPr="009900A7" w:rsidRDefault="00323A7B">
      <w:pPr>
        <w:pStyle w:val="Normal1"/>
        <w:spacing w:line="360" w:lineRule="auto"/>
        <w:jc w:val="both"/>
        <w:rPr>
          <w:b/>
          <w:sz w:val="24"/>
          <w:szCs w:val="24"/>
          <w:lang w:val="en-GB"/>
        </w:rPr>
      </w:pPr>
      <w:r w:rsidRPr="009900A7">
        <w:rPr>
          <w:b/>
          <w:sz w:val="24"/>
          <w:szCs w:val="24"/>
          <w:lang w:val="en-GB"/>
        </w:rPr>
        <w:lastRenderedPageBreak/>
        <w:t xml:space="preserve">Introduction </w:t>
      </w:r>
    </w:p>
    <w:p w14:paraId="59DD1EDF"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opined by </w:t>
      </w:r>
      <w:r w:rsidRPr="009900A7">
        <w:rPr>
          <w:sz w:val="24"/>
          <w:szCs w:val="24"/>
          <w:highlight w:val="white"/>
          <w:lang w:val="en-GB"/>
        </w:rPr>
        <w:t xml:space="preserve">Lee </w:t>
      </w:r>
      <w:r w:rsidRPr="009900A7">
        <w:rPr>
          <w:i/>
          <w:sz w:val="24"/>
          <w:szCs w:val="24"/>
          <w:highlight w:val="white"/>
          <w:lang w:val="en-GB"/>
        </w:rPr>
        <w:t xml:space="preserve">et al., </w:t>
      </w:r>
      <w:r w:rsidRPr="009900A7">
        <w:rPr>
          <w:sz w:val="24"/>
          <w:szCs w:val="24"/>
          <w:lang w:val="en-GB"/>
        </w:rPr>
        <w:t xml:space="preserve">(2020, p. 10), within the workplace employee engagement is an approach which results in the right conditions for all employees to give their best working day. Indeed, employee engagement is dependent on the integrity, and trust which follow two-way commitment and communication between employees and the organisation. Employee engagement is an approach which increases business success and contributes to organisational productivity. The hotel organisation Hilton provides a good workplace and career progression for the employees (hilton.com, 2023). HR of Hilton keeps employees engaged offering regular events, programs and awards to acknowledge the team members within the workplace. However, the study discusses the roles of HR to engage employees and evaluate the employee lifecycle. </w:t>
      </w:r>
    </w:p>
    <w:p w14:paraId="12F627C8"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Background </w:t>
      </w:r>
    </w:p>
    <w:p w14:paraId="0860E42C"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stated by </w:t>
      </w:r>
      <w:r w:rsidRPr="009900A7">
        <w:rPr>
          <w:sz w:val="24"/>
          <w:szCs w:val="24"/>
          <w:highlight w:val="white"/>
          <w:lang w:val="en-GB"/>
        </w:rPr>
        <w:t xml:space="preserve">Turner </w:t>
      </w:r>
      <w:r w:rsidRPr="009900A7">
        <w:rPr>
          <w:sz w:val="24"/>
          <w:szCs w:val="24"/>
          <w:lang w:val="en-GB"/>
        </w:rPr>
        <w:t xml:space="preserve">(2020, p. 28), employee engagement is significant in any business industry. Indeed, it requires effective strategies to boost employee engagement that can bring positive impacts on staff turnover rate, consumer relationships and work culture that leads to company profitability. The hotel industry depends on consumer services where employee engagement is required to manifest the hospitality brand’s values, ethics and principles. The hotel Hilton believes in well-trained employees who have extensive experiences that can boost the organisation’s productivity in the competitive market. </w:t>
      </w:r>
    </w:p>
    <w:p w14:paraId="081E2E86" w14:textId="77777777" w:rsidR="00BD18A5" w:rsidRPr="009900A7" w:rsidRDefault="00323A7B">
      <w:pPr>
        <w:pStyle w:val="Normal1"/>
        <w:spacing w:line="360" w:lineRule="auto"/>
        <w:jc w:val="center"/>
        <w:rPr>
          <w:sz w:val="24"/>
          <w:szCs w:val="24"/>
          <w:lang w:val="en-GB"/>
        </w:rPr>
      </w:pPr>
      <w:r w:rsidRPr="009900A7">
        <w:rPr>
          <w:noProof/>
          <w:sz w:val="24"/>
          <w:szCs w:val="24"/>
          <w:lang w:eastAsia="en-IN"/>
        </w:rPr>
        <w:drawing>
          <wp:inline distT="114300" distB="114300" distL="114300" distR="114300" wp14:anchorId="7CEB7F74" wp14:editId="71857B13">
            <wp:extent cx="2560631" cy="2018816"/>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4"/>
                    <a:stretch>
                      <a:fillRect/>
                    </a:stretch>
                  </pic:blipFill>
                  <pic:spPr>
                    <a:xfrm>
                      <a:off x="0" y="0"/>
                      <a:ext cx="2560631" cy="2018816"/>
                    </a:xfrm>
                    <a:prstGeom prst="rect">
                      <a:avLst/>
                    </a:prstGeom>
                    <a:ln w="12700">
                      <a:solidFill>
                        <a:srgbClr val="000000"/>
                      </a:solidFill>
                      <a:prstDash val="solid"/>
                    </a:ln>
                  </pic:spPr>
                </pic:pic>
              </a:graphicData>
            </a:graphic>
          </wp:inline>
        </w:drawing>
      </w:r>
    </w:p>
    <w:p w14:paraId="08EB898C" w14:textId="77777777" w:rsidR="00BD18A5" w:rsidRPr="009900A7" w:rsidRDefault="00323A7B">
      <w:pPr>
        <w:pStyle w:val="Normal1"/>
        <w:spacing w:line="360" w:lineRule="auto"/>
        <w:jc w:val="center"/>
        <w:rPr>
          <w:b/>
          <w:sz w:val="24"/>
          <w:szCs w:val="24"/>
          <w:lang w:val="en-GB"/>
        </w:rPr>
      </w:pPr>
      <w:r w:rsidRPr="009900A7">
        <w:rPr>
          <w:b/>
          <w:sz w:val="24"/>
          <w:szCs w:val="24"/>
          <w:lang w:val="en-GB"/>
        </w:rPr>
        <w:t>Figure 1: Hotel Hilton</w:t>
      </w:r>
    </w:p>
    <w:p w14:paraId="4F08828C" w14:textId="77777777" w:rsidR="00BD18A5" w:rsidRPr="009900A7" w:rsidRDefault="00323A7B">
      <w:pPr>
        <w:pStyle w:val="Normal1"/>
        <w:spacing w:line="360" w:lineRule="auto"/>
        <w:jc w:val="center"/>
        <w:rPr>
          <w:sz w:val="24"/>
          <w:szCs w:val="24"/>
          <w:lang w:val="en-GB"/>
        </w:rPr>
      </w:pPr>
      <w:r w:rsidRPr="009900A7">
        <w:rPr>
          <w:sz w:val="24"/>
          <w:szCs w:val="24"/>
          <w:lang w:val="en-GB"/>
        </w:rPr>
        <w:t>(Source: traveldailymedia.com,</w:t>
      </w:r>
      <w:r w:rsidR="002651BF">
        <w:rPr>
          <w:sz w:val="24"/>
          <w:szCs w:val="24"/>
          <w:lang w:val="en-GB"/>
        </w:rPr>
        <w:t xml:space="preserve"> </w:t>
      </w:r>
      <w:r w:rsidRPr="009900A7">
        <w:rPr>
          <w:sz w:val="24"/>
          <w:szCs w:val="24"/>
          <w:lang w:val="en-GB"/>
        </w:rPr>
        <w:t>2022)</w:t>
      </w:r>
    </w:p>
    <w:p w14:paraId="148501AA"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Discussion </w:t>
      </w:r>
    </w:p>
    <w:p w14:paraId="4D9D9134"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The role of human resources in engaging the employee </w:t>
      </w:r>
    </w:p>
    <w:p w14:paraId="30D84571" w14:textId="77777777" w:rsidR="00BD18A5" w:rsidRPr="009900A7" w:rsidRDefault="00323A7B">
      <w:pPr>
        <w:pStyle w:val="Normal1"/>
        <w:spacing w:line="360" w:lineRule="auto"/>
        <w:jc w:val="both"/>
        <w:rPr>
          <w:sz w:val="24"/>
          <w:szCs w:val="24"/>
          <w:lang w:val="en-GB"/>
        </w:rPr>
      </w:pPr>
      <w:r w:rsidRPr="009900A7">
        <w:rPr>
          <w:sz w:val="24"/>
          <w:szCs w:val="24"/>
          <w:lang w:val="en-GB"/>
        </w:rPr>
        <w:lastRenderedPageBreak/>
        <w:t xml:space="preserve">As stated by </w:t>
      </w:r>
      <w:r w:rsidRPr="009900A7">
        <w:rPr>
          <w:sz w:val="24"/>
          <w:szCs w:val="24"/>
          <w:highlight w:val="white"/>
          <w:lang w:val="en-GB"/>
        </w:rPr>
        <w:t>Wood</w:t>
      </w:r>
      <w:r w:rsidRPr="009900A7">
        <w:rPr>
          <w:i/>
          <w:sz w:val="24"/>
          <w:szCs w:val="24"/>
          <w:highlight w:val="white"/>
          <w:lang w:val="en-GB"/>
        </w:rPr>
        <w:t xml:space="preserve"> et al., </w:t>
      </w:r>
      <w:r w:rsidRPr="009900A7">
        <w:rPr>
          <w:sz w:val="24"/>
          <w:szCs w:val="24"/>
          <w:lang w:val="en-GB"/>
        </w:rPr>
        <w:t xml:space="preserve">(2020, p. 245), the workplace method of employee engagement has been designed to develop employees’ emotional attachment and feelings to the business organisation. Employee engagement deals with job duties and position within the organisation and HR departments generally use employee engagement tactics to boost welling as well as productivity all over the organisation levels. Employee engagement in HR helps every employee be fully committed to the organisation’s values, goals and mission which also helps to inspire the employees.  </w:t>
      </w:r>
    </w:p>
    <w:p w14:paraId="73ECD9D0"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Within Hotel Hilton HR professionals understand the importance of employee engagement and offer noteworthy to the employees. The </w:t>
      </w:r>
      <w:r w:rsidR="00230860" w:rsidRPr="009900A7">
        <w:rPr>
          <w:sz w:val="24"/>
          <w:szCs w:val="24"/>
          <w:lang w:val="en-GB"/>
        </w:rPr>
        <w:t>staffs</w:t>
      </w:r>
      <w:r w:rsidR="00E70B8E" w:rsidRPr="009900A7">
        <w:rPr>
          <w:sz w:val="24"/>
          <w:szCs w:val="24"/>
          <w:lang w:val="en-GB"/>
        </w:rPr>
        <w:t xml:space="preserve"> of the hotel organisation offers</w:t>
      </w:r>
      <w:r w:rsidRPr="009900A7">
        <w:rPr>
          <w:sz w:val="24"/>
          <w:szCs w:val="24"/>
          <w:lang w:val="en-GB"/>
        </w:rPr>
        <w:t xml:space="preserve"> expanded paternity leave, bereavement leaves and paid time off for the employees. Therefore, HRs </w:t>
      </w:r>
      <w:r w:rsidR="00230860" w:rsidRPr="009900A7">
        <w:rPr>
          <w:sz w:val="24"/>
          <w:szCs w:val="24"/>
          <w:lang w:val="en-GB"/>
        </w:rPr>
        <w:t>encourages</w:t>
      </w:r>
      <w:r w:rsidRPr="009900A7">
        <w:rPr>
          <w:sz w:val="24"/>
          <w:szCs w:val="24"/>
          <w:lang w:val="en-GB"/>
        </w:rPr>
        <w:t xml:space="preserve"> ongoing performance dialogue in setting the goal practices in the business environment. </w:t>
      </w:r>
    </w:p>
    <w:p w14:paraId="606CF1A1"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The HR professionals are also responsible to provide </w:t>
      </w:r>
      <w:r w:rsidR="00C04F6F" w:rsidRPr="009900A7">
        <w:rPr>
          <w:sz w:val="24"/>
          <w:szCs w:val="24"/>
          <w:lang w:val="en-GB"/>
        </w:rPr>
        <w:t>training;</w:t>
      </w:r>
      <w:r w:rsidRPr="009900A7">
        <w:rPr>
          <w:sz w:val="24"/>
          <w:szCs w:val="24"/>
          <w:lang w:val="en-GB"/>
        </w:rPr>
        <w:t xml:space="preserve"> guiding and coaching to the department managers as such they can engage their staff toward work. As opined by </w:t>
      </w:r>
      <w:proofErr w:type="spellStart"/>
      <w:r w:rsidRPr="009900A7">
        <w:rPr>
          <w:sz w:val="24"/>
          <w:szCs w:val="24"/>
          <w:highlight w:val="white"/>
          <w:lang w:val="en-GB"/>
        </w:rPr>
        <w:t>Ababneh</w:t>
      </w:r>
      <w:proofErr w:type="spellEnd"/>
      <w:r w:rsidRPr="009900A7">
        <w:rPr>
          <w:sz w:val="24"/>
          <w:szCs w:val="24"/>
          <w:highlight w:val="white"/>
          <w:lang w:val="en-GB"/>
        </w:rPr>
        <w:t xml:space="preserve"> </w:t>
      </w:r>
      <w:r w:rsidRPr="009900A7">
        <w:rPr>
          <w:sz w:val="24"/>
          <w:szCs w:val="24"/>
          <w:lang w:val="en-GB"/>
        </w:rPr>
        <w:t xml:space="preserve">(2021, p. 1220), focusing on the betterment of the employee, engagement approaches point out the past scores and metrics within the </w:t>
      </w:r>
      <w:proofErr w:type="spellStart"/>
      <w:r w:rsidRPr="009900A7">
        <w:rPr>
          <w:sz w:val="24"/>
          <w:szCs w:val="24"/>
          <w:lang w:val="en-GB"/>
        </w:rPr>
        <w:t>organization</w:t>
      </w:r>
      <w:proofErr w:type="spellEnd"/>
      <w:r w:rsidRPr="009900A7">
        <w:rPr>
          <w:sz w:val="24"/>
          <w:szCs w:val="24"/>
          <w:lang w:val="en-GB"/>
        </w:rPr>
        <w:t xml:space="preserve">. HR professionals are also responsible to bring excitement, enthusiasm and inspiration to the business processes. The values of individual contributions of each employee have been fostered and recognised as productive collaboration. </w:t>
      </w:r>
    </w:p>
    <w:p w14:paraId="4E7E8B13"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Internal growth opportunities are a great way to enhance employee engagement in the hotel industry. Indeed, HR professionals build confidence among employees and managers should be sure to set clear expectations within the business environment. Moreover, at Hilton, the HRs </w:t>
      </w:r>
      <w:r w:rsidR="009571BD" w:rsidRPr="009900A7">
        <w:rPr>
          <w:sz w:val="24"/>
          <w:szCs w:val="24"/>
          <w:lang w:val="en-GB"/>
        </w:rPr>
        <w:t>is</w:t>
      </w:r>
      <w:r w:rsidRPr="009900A7">
        <w:rPr>
          <w:sz w:val="24"/>
          <w:szCs w:val="24"/>
          <w:lang w:val="en-GB"/>
        </w:rPr>
        <w:t xml:space="preserve"> playing an executive leadership role to enhance engagement tactics and ensure transparency in the business environment. </w:t>
      </w:r>
    </w:p>
    <w:p w14:paraId="67AA2CB8" w14:textId="77777777" w:rsidR="00BD18A5" w:rsidRPr="009900A7" w:rsidRDefault="00323A7B">
      <w:pPr>
        <w:pStyle w:val="Normal1"/>
        <w:spacing w:line="360" w:lineRule="auto"/>
        <w:jc w:val="both"/>
        <w:rPr>
          <w:b/>
          <w:sz w:val="24"/>
          <w:szCs w:val="24"/>
          <w:lang w:val="en-GB"/>
        </w:rPr>
      </w:pPr>
      <w:r w:rsidRPr="009900A7">
        <w:rPr>
          <w:b/>
          <w:sz w:val="24"/>
          <w:szCs w:val="24"/>
          <w:lang w:val="en-GB"/>
        </w:rPr>
        <w:t>How to engage and the advantages of engaging a team</w:t>
      </w:r>
    </w:p>
    <w:p w14:paraId="0682805D"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stated by </w:t>
      </w:r>
      <w:r w:rsidRPr="009900A7">
        <w:rPr>
          <w:sz w:val="24"/>
          <w:szCs w:val="24"/>
          <w:highlight w:val="white"/>
          <w:lang w:val="en-GB"/>
        </w:rPr>
        <w:t xml:space="preserve">Davis </w:t>
      </w:r>
      <w:r w:rsidRPr="009900A7">
        <w:rPr>
          <w:i/>
          <w:sz w:val="24"/>
          <w:szCs w:val="24"/>
          <w:highlight w:val="white"/>
          <w:lang w:val="en-GB"/>
        </w:rPr>
        <w:t xml:space="preserve">et al., </w:t>
      </w:r>
      <w:r w:rsidRPr="009900A7">
        <w:rPr>
          <w:sz w:val="24"/>
          <w:szCs w:val="24"/>
          <w:lang w:val="en-GB"/>
        </w:rPr>
        <w:t xml:space="preserve">(2019, p. 260), highly engaged employees are feeling happy with their professional roles and are passionate towards work. Employee engagement helps to resolve any hard work and develop the organisation’s mission and value in their trust. People are feeling pleased with engagement levels and provide a clear vision of the tasks within the business organisation. It has been evidenced that happy employees are loyal and they become a great asset to the organisation. </w:t>
      </w:r>
    </w:p>
    <w:p w14:paraId="57832A61"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Employee engagement develops better consumer satisfaction and generates positive consumer experiences in the business organisation. Indeed, it also strengthens employee loyalty, knowledge and expertise within a team of business organisation. As opined by </w:t>
      </w:r>
      <w:r w:rsidRPr="009900A7">
        <w:rPr>
          <w:sz w:val="24"/>
          <w:szCs w:val="24"/>
          <w:highlight w:val="white"/>
          <w:lang w:val="en-GB"/>
        </w:rPr>
        <w:t xml:space="preserve">Lee </w:t>
      </w:r>
      <w:r w:rsidRPr="009900A7">
        <w:rPr>
          <w:i/>
          <w:sz w:val="24"/>
          <w:szCs w:val="24"/>
          <w:highlight w:val="white"/>
          <w:lang w:val="en-GB"/>
        </w:rPr>
        <w:t xml:space="preserve">et al., </w:t>
      </w:r>
      <w:r w:rsidRPr="009900A7">
        <w:rPr>
          <w:sz w:val="24"/>
          <w:szCs w:val="24"/>
          <w:lang w:val="en-GB"/>
        </w:rPr>
        <w:t xml:space="preserve">(2021, p. 1540), internal networking is advantageous in sharing information where engaged employees can apply themselves to perform an excellent job within the tentative time-period. </w:t>
      </w:r>
    </w:p>
    <w:p w14:paraId="5DFDA6B9" w14:textId="77777777" w:rsidR="00BD18A5" w:rsidRPr="009900A7" w:rsidRDefault="00323A7B">
      <w:pPr>
        <w:pStyle w:val="Normal1"/>
        <w:spacing w:line="360" w:lineRule="auto"/>
        <w:jc w:val="both"/>
        <w:rPr>
          <w:sz w:val="24"/>
          <w:szCs w:val="24"/>
          <w:lang w:val="en-GB"/>
        </w:rPr>
      </w:pPr>
      <w:r w:rsidRPr="009900A7">
        <w:rPr>
          <w:sz w:val="24"/>
          <w:szCs w:val="24"/>
          <w:lang w:val="en-GB"/>
        </w:rPr>
        <w:t>Employee engagement also minimises employee stress which increases organisational productivity within a team or the organisation. Indeed, it also creates employee commitment and develops staff morale value within the organisation. It increases employee productivity as such the research found that engaged workforces are more than 20 percent more productive which brings longevity and profitability to the organisation (</w:t>
      </w:r>
      <w:r w:rsidRPr="009900A7">
        <w:rPr>
          <w:sz w:val="24"/>
          <w:szCs w:val="24"/>
          <w:highlight w:val="white"/>
          <w:lang w:val="en-GB"/>
        </w:rPr>
        <w:t xml:space="preserve">Ali </w:t>
      </w:r>
      <w:r w:rsidRPr="009900A7">
        <w:rPr>
          <w:i/>
          <w:sz w:val="24"/>
          <w:szCs w:val="24"/>
          <w:highlight w:val="white"/>
          <w:lang w:val="en-GB"/>
        </w:rPr>
        <w:t>et al.,</w:t>
      </w:r>
      <w:r w:rsidRPr="009900A7">
        <w:rPr>
          <w:sz w:val="24"/>
          <w:szCs w:val="24"/>
          <w:highlight w:val="white"/>
          <w:lang w:val="en-GB"/>
        </w:rPr>
        <w:t xml:space="preserve"> 2021, p. 190</w:t>
      </w:r>
      <w:r w:rsidRPr="009900A7">
        <w:rPr>
          <w:sz w:val="24"/>
          <w:szCs w:val="24"/>
          <w:lang w:val="en-GB"/>
        </w:rPr>
        <w:t xml:space="preserve">). </w:t>
      </w:r>
    </w:p>
    <w:p w14:paraId="66F1FF17"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Hilton organisation generally demonstrates appreciation and regular recognition to engage their employees. It also offers words of appreciation, and encouragement through effective communication to develop encouragement of the employees. However, employee engagement promotes better consumer services and improved collaboration within the workplace.  </w:t>
      </w:r>
    </w:p>
    <w:p w14:paraId="6CD4072B" w14:textId="77777777" w:rsidR="00BD18A5" w:rsidRPr="009900A7" w:rsidRDefault="00BD18A5">
      <w:pPr>
        <w:pStyle w:val="Normal1"/>
        <w:spacing w:line="360" w:lineRule="auto"/>
        <w:jc w:val="both"/>
        <w:rPr>
          <w:b/>
          <w:sz w:val="24"/>
          <w:szCs w:val="24"/>
          <w:lang w:val="en-GB"/>
        </w:rPr>
      </w:pPr>
    </w:p>
    <w:p w14:paraId="1D23F974"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The employee lifecycle </w:t>
      </w:r>
    </w:p>
    <w:p w14:paraId="0825A24C"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per the view of </w:t>
      </w:r>
      <w:r w:rsidRPr="009900A7">
        <w:rPr>
          <w:sz w:val="24"/>
          <w:szCs w:val="24"/>
          <w:highlight w:val="white"/>
          <w:lang w:val="en-GB"/>
        </w:rPr>
        <w:t>Zhang</w:t>
      </w:r>
      <w:r w:rsidRPr="009900A7">
        <w:rPr>
          <w:i/>
          <w:sz w:val="24"/>
          <w:szCs w:val="24"/>
          <w:highlight w:val="white"/>
          <w:lang w:val="en-GB"/>
        </w:rPr>
        <w:t xml:space="preserve"> et al., </w:t>
      </w:r>
      <w:r w:rsidRPr="009900A7">
        <w:rPr>
          <w:sz w:val="24"/>
          <w:szCs w:val="24"/>
          <w:lang w:val="en-GB"/>
        </w:rPr>
        <w:t xml:space="preserve">(2019, p. 5408), the employee life cycle model is used to express and identify the various and important stages within the </w:t>
      </w:r>
      <w:proofErr w:type="spellStart"/>
      <w:r w:rsidRPr="009900A7">
        <w:rPr>
          <w:sz w:val="24"/>
          <w:szCs w:val="24"/>
          <w:lang w:val="en-GB"/>
        </w:rPr>
        <w:t>organization</w:t>
      </w:r>
      <w:proofErr w:type="spellEnd"/>
      <w:r w:rsidRPr="009900A7">
        <w:rPr>
          <w:sz w:val="24"/>
          <w:szCs w:val="24"/>
          <w:lang w:val="en-GB"/>
        </w:rPr>
        <w:t xml:space="preserve">. Indeed, the organisational method is used to visualise employee engagement within the business organisation. HR professionals understand the employee lifecycle and develop employee experiences in the organisational environment. </w:t>
      </w:r>
    </w:p>
    <w:p w14:paraId="26CFF835"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 xml:space="preserve">Attraction </w:t>
      </w:r>
    </w:p>
    <w:p w14:paraId="1371BE62"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The first stage is attraction considering the employee lifecycle which is responsible to attract people to work for the organisation. Indeed, the company or organisation needs to understand the employee’s talent as such they feel comfortable working with the organisation. As stated by </w:t>
      </w:r>
      <w:r w:rsidRPr="009900A7">
        <w:rPr>
          <w:sz w:val="24"/>
          <w:szCs w:val="24"/>
          <w:highlight w:val="white"/>
          <w:lang w:val="en-GB"/>
        </w:rPr>
        <w:t xml:space="preserve">Kwon, and Park </w:t>
      </w:r>
      <w:r w:rsidRPr="009900A7">
        <w:rPr>
          <w:sz w:val="24"/>
          <w:szCs w:val="24"/>
          <w:lang w:val="en-GB"/>
        </w:rPr>
        <w:t xml:space="preserve">(2019, p. 360), the managers or HRs set the business goals before going to attract talent. Brand awareness of hotel Hilton can attract the role attracting the company. In addition, the marketing team plays an important role in attracting more employees. However, based on social media views attraction can be tracked by the HR professionals of the organisation. </w:t>
      </w:r>
    </w:p>
    <w:p w14:paraId="0DA160C3"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 xml:space="preserve">Recruitment </w:t>
      </w:r>
    </w:p>
    <w:p w14:paraId="0309E44C" w14:textId="77777777" w:rsidR="00BD18A5" w:rsidRPr="009900A7" w:rsidRDefault="00323A7B">
      <w:pPr>
        <w:pStyle w:val="Normal1"/>
        <w:spacing w:line="360" w:lineRule="auto"/>
        <w:jc w:val="both"/>
        <w:rPr>
          <w:sz w:val="24"/>
          <w:szCs w:val="24"/>
          <w:lang w:val="en-GB"/>
        </w:rPr>
      </w:pPr>
      <w:r w:rsidRPr="009900A7">
        <w:rPr>
          <w:sz w:val="24"/>
          <w:szCs w:val="24"/>
          <w:lang w:val="en-GB"/>
        </w:rPr>
        <w:t>Next comes the stage of recruitment which has been focused on bringing talent to the company. Indeed, the company needs to develop a recruitment plan after attracting the candidates (</w:t>
      </w:r>
      <w:proofErr w:type="spellStart"/>
      <w:r w:rsidRPr="009900A7">
        <w:rPr>
          <w:sz w:val="24"/>
          <w:szCs w:val="24"/>
          <w:highlight w:val="white"/>
          <w:lang w:val="en-GB"/>
        </w:rPr>
        <w:t>Jalaei</w:t>
      </w:r>
      <w:proofErr w:type="spellEnd"/>
      <w:r w:rsidRPr="009900A7">
        <w:rPr>
          <w:sz w:val="24"/>
          <w:szCs w:val="24"/>
          <w:highlight w:val="white"/>
          <w:lang w:val="en-GB"/>
        </w:rPr>
        <w:t xml:space="preserve"> </w:t>
      </w:r>
      <w:r w:rsidRPr="009900A7">
        <w:rPr>
          <w:i/>
          <w:sz w:val="24"/>
          <w:szCs w:val="24"/>
          <w:highlight w:val="white"/>
          <w:lang w:val="en-GB"/>
        </w:rPr>
        <w:t>et al.,</w:t>
      </w:r>
      <w:r w:rsidRPr="009900A7">
        <w:rPr>
          <w:sz w:val="24"/>
          <w:szCs w:val="24"/>
          <w:highlight w:val="white"/>
          <w:lang w:val="en-GB"/>
        </w:rPr>
        <w:t xml:space="preserve"> 2021, p. 785</w:t>
      </w:r>
      <w:r w:rsidRPr="009900A7">
        <w:rPr>
          <w:sz w:val="24"/>
          <w:szCs w:val="24"/>
          <w:lang w:val="en-GB"/>
        </w:rPr>
        <w:t xml:space="preserve">). The concerned authority asked themselves what kinds of employees have been recruited that might be decided by the professionals of the organisations.  Recruiting is important because it can bring more talent as well as employees to the organisation’s field. HR of hotel Hilton make a recruiting plan and involve employees to track the recruiting success. </w:t>
      </w:r>
    </w:p>
    <w:p w14:paraId="2D87E7B7"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Onboarding</w:t>
      </w:r>
    </w:p>
    <w:p w14:paraId="51D1227C" w14:textId="77777777" w:rsidR="00BD18A5" w:rsidRPr="009900A7" w:rsidRDefault="00323A7B">
      <w:pPr>
        <w:pStyle w:val="Normal1"/>
        <w:spacing w:line="360" w:lineRule="auto"/>
        <w:jc w:val="both"/>
        <w:rPr>
          <w:sz w:val="24"/>
          <w:szCs w:val="24"/>
          <w:lang w:val="en-GB"/>
        </w:rPr>
      </w:pPr>
      <w:r w:rsidRPr="009900A7">
        <w:rPr>
          <w:sz w:val="24"/>
          <w:szCs w:val="24"/>
          <w:lang w:val="en-GB"/>
        </w:rPr>
        <w:t>After recruitment, the onboarding process has been ensured by the HR department and it clears the new employee on their first day in the company. Indeed, the expected date or week, their roles and responsibilities and what kinds of training would be provided are mentioned in the onboarding process. Before starting work paperwork needs to be completed, it has been evidenced that a shocking 60 percent of employees are going to stay with the company after their first day (</w:t>
      </w:r>
      <w:r w:rsidRPr="009900A7">
        <w:rPr>
          <w:sz w:val="24"/>
          <w:szCs w:val="24"/>
          <w:highlight w:val="white"/>
          <w:lang w:val="en-GB"/>
        </w:rPr>
        <w:t xml:space="preserve">Lee </w:t>
      </w:r>
      <w:r w:rsidRPr="009900A7">
        <w:rPr>
          <w:i/>
          <w:sz w:val="24"/>
          <w:szCs w:val="24"/>
          <w:highlight w:val="white"/>
          <w:lang w:val="en-GB"/>
        </w:rPr>
        <w:t>et al.,</w:t>
      </w:r>
      <w:r w:rsidRPr="009900A7">
        <w:rPr>
          <w:sz w:val="24"/>
          <w:szCs w:val="24"/>
          <w:highlight w:val="white"/>
          <w:lang w:val="en-GB"/>
        </w:rPr>
        <w:t xml:space="preserve"> 2019, p. 44</w:t>
      </w:r>
      <w:r w:rsidRPr="009900A7">
        <w:rPr>
          <w:sz w:val="24"/>
          <w:szCs w:val="24"/>
          <w:lang w:val="en-GB"/>
        </w:rPr>
        <w:t xml:space="preserve">). The company’s vision and values are also working on an onboarding survey. </w:t>
      </w:r>
    </w:p>
    <w:p w14:paraId="5F24D912"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 xml:space="preserve">Development </w:t>
      </w:r>
    </w:p>
    <w:p w14:paraId="23A86234" w14:textId="77777777" w:rsidR="00BD18A5" w:rsidRPr="009900A7" w:rsidRDefault="00323A7B">
      <w:pPr>
        <w:pStyle w:val="Normal1"/>
        <w:spacing w:line="360" w:lineRule="auto"/>
        <w:jc w:val="both"/>
        <w:rPr>
          <w:sz w:val="24"/>
          <w:szCs w:val="24"/>
          <w:lang w:val="en-GB"/>
        </w:rPr>
      </w:pPr>
      <w:r w:rsidRPr="009900A7">
        <w:rPr>
          <w:sz w:val="24"/>
          <w:szCs w:val="24"/>
          <w:lang w:val="en-GB"/>
        </w:rPr>
        <w:t>The organisation's recruitment cell needs to develop a clear plan for the employees where many job seekers list progression and development in looking for their next job. Employee self-motivation has been developed when the organisation offer opportunities for development (</w:t>
      </w:r>
      <w:proofErr w:type="spellStart"/>
      <w:r w:rsidRPr="009900A7">
        <w:rPr>
          <w:sz w:val="24"/>
          <w:szCs w:val="24"/>
          <w:highlight w:val="white"/>
          <w:lang w:val="en-GB"/>
        </w:rPr>
        <w:t>Stachová</w:t>
      </w:r>
      <w:proofErr w:type="spellEnd"/>
      <w:r w:rsidRPr="009900A7">
        <w:rPr>
          <w:sz w:val="24"/>
          <w:szCs w:val="24"/>
          <w:highlight w:val="white"/>
          <w:lang w:val="en-GB"/>
        </w:rPr>
        <w:t xml:space="preserve"> </w:t>
      </w:r>
      <w:r w:rsidRPr="009900A7">
        <w:rPr>
          <w:i/>
          <w:sz w:val="24"/>
          <w:szCs w:val="24"/>
          <w:highlight w:val="white"/>
          <w:lang w:val="en-GB"/>
        </w:rPr>
        <w:t>et al.,</w:t>
      </w:r>
      <w:r w:rsidRPr="009900A7">
        <w:rPr>
          <w:sz w:val="24"/>
          <w:szCs w:val="24"/>
          <w:highlight w:val="white"/>
          <w:lang w:val="en-GB"/>
        </w:rPr>
        <w:t xml:space="preserve"> 2019, p. 345</w:t>
      </w:r>
      <w:r w:rsidRPr="009900A7">
        <w:rPr>
          <w:sz w:val="24"/>
          <w:szCs w:val="24"/>
          <w:lang w:val="en-GB"/>
        </w:rPr>
        <w:t xml:space="preserve">). Hotel Hilton provides learning and leadership development programmes to improve the employability of the employees. The team members of Hilton's robust programmes continue to grow with the organisation and go to extra mile to impress guests. </w:t>
      </w:r>
    </w:p>
    <w:p w14:paraId="0DCC367E"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 xml:space="preserve">Retention </w:t>
      </w:r>
    </w:p>
    <w:p w14:paraId="6E532BD4"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opined by </w:t>
      </w:r>
      <w:proofErr w:type="spellStart"/>
      <w:r w:rsidRPr="009900A7">
        <w:rPr>
          <w:sz w:val="24"/>
          <w:szCs w:val="24"/>
          <w:highlight w:val="white"/>
          <w:lang w:val="en-GB"/>
        </w:rPr>
        <w:t>Sato</w:t>
      </w:r>
      <w:proofErr w:type="spellEnd"/>
      <w:r w:rsidRPr="009900A7">
        <w:rPr>
          <w:sz w:val="24"/>
          <w:szCs w:val="24"/>
          <w:highlight w:val="white"/>
          <w:lang w:val="en-GB"/>
        </w:rPr>
        <w:t xml:space="preserve"> </w:t>
      </w:r>
      <w:r w:rsidRPr="009900A7">
        <w:rPr>
          <w:i/>
          <w:sz w:val="24"/>
          <w:szCs w:val="24"/>
          <w:highlight w:val="white"/>
          <w:lang w:val="en-GB"/>
        </w:rPr>
        <w:t xml:space="preserve">et al., </w:t>
      </w:r>
      <w:r w:rsidRPr="009900A7">
        <w:rPr>
          <w:sz w:val="24"/>
          <w:szCs w:val="24"/>
          <w:lang w:val="en-GB"/>
        </w:rPr>
        <w:t xml:space="preserve">(2020, p. 150), retention is the step where the organisation is concerned to keep the employees. It has been evidenced that if the organisation does an effective job of attracting, recruiting, onboarding and developing talent, the freshers are more likely to stay with the organisation. Company culture, benefits, appreciation, appraisal bonuses, and team morale help to retain employees. Hilton promotes diversity workplace culture and offers weekly performance recognition to retain their talents. </w:t>
      </w:r>
    </w:p>
    <w:p w14:paraId="07C55CBB" w14:textId="77777777" w:rsidR="00BD18A5" w:rsidRPr="009900A7" w:rsidRDefault="00323A7B">
      <w:pPr>
        <w:pStyle w:val="Normal1"/>
        <w:spacing w:line="360" w:lineRule="auto"/>
        <w:jc w:val="both"/>
        <w:rPr>
          <w:b/>
          <w:i/>
          <w:sz w:val="24"/>
          <w:szCs w:val="24"/>
          <w:lang w:val="en-GB"/>
        </w:rPr>
      </w:pPr>
      <w:r w:rsidRPr="009900A7">
        <w:rPr>
          <w:b/>
          <w:i/>
          <w:sz w:val="24"/>
          <w:szCs w:val="24"/>
          <w:lang w:val="en-GB"/>
        </w:rPr>
        <w:t xml:space="preserve">Separation </w:t>
      </w:r>
    </w:p>
    <w:p w14:paraId="39831706" w14:textId="77777777" w:rsidR="00BD18A5" w:rsidRPr="009900A7" w:rsidRDefault="00323A7B">
      <w:pPr>
        <w:pStyle w:val="Normal1"/>
        <w:spacing w:line="360" w:lineRule="auto"/>
        <w:jc w:val="both"/>
        <w:rPr>
          <w:sz w:val="24"/>
          <w:szCs w:val="24"/>
          <w:lang w:val="en-GB"/>
        </w:rPr>
      </w:pPr>
      <w:r w:rsidRPr="009900A7">
        <w:rPr>
          <w:sz w:val="24"/>
          <w:szCs w:val="24"/>
          <w:lang w:val="en-GB"/>
        </w:rPr>
        <w:t>The last stage is a separation in which employees experience the all previous stages as such not all separations are bad (</w:t>
      </w:r>
      <w:proofErr w:type="spellStart"/>
      <w:r w:rsidRPr="009900A7">
        <w:rPr>
          <w:sz w:val="24"/>
          <w:szCs w:val="24"/>
          <w:highlight w:val="white"/>
          <w:lang w:val="en-GB"/>
        </w:rPr>
        <w:t>Cattermole</w:t>
      </w:r>
      <w:proofErr w:type="spellEnd"/>
      <w:r w:rsidRPr="009900A7">
        <w:rPr>
          <w:sz w:val="24"/>
          <w:szCs w:val="24"/>
          <w:highlight w:val="white"/>
          <w:lang w:val="en-GB"/>
        </w:rPr>
        <w:t>, 2019, p. 260</w:t>
      </w:r>
      <w:r w:rsidRPr="009900A7">
        <w:rPr>
          <w:sz w:val="24"/>
          <w:szCs w:val="24"/>
          <w:lang w:val="en-GB"/>
        </w:rPr>
        <w:t xml:space="preserve">). Some employees decide to swift another industry to pursue a job. Better paying job opportunities can separate the employees which influences them to switch from the present organisation. However, the HR department plays an important role in ensuring each employee leaves without any major disruptions. Hence, separation can be successful when the employee and the organisation leave on good terms. </w:t>
      </w:r>
    </w:p>
    <w:p w14:paraId="751717A5" w14:textId="77777777" w:rsidR="00BD18A5" w:rsidRPr="009900A7" w:rsidRDefault="00323A7B">
      <w:pPr>
        <w:pStyle w:val="Normal1"/>
        <w:spacing w:line="360" w:lineRule="auto"/>
        <w:jc w:val="center"/>
        <w:rPr>
          <w:sz w:val="24"/>
          <w:szCs w:val="24"/>
          <w:lang w:val="en-GB"/>
        </w:rPr>
      </w:pPr>
      <w:r w:rsidRPr="009900A7">
        <w:rPr>
          <w:noProof/>
          <w:sz w:val="24"/>
          <w:szCs w:val="24"/>
          <w:lang w:eastAsia="en-IN"/>
        </w:rPr>
        <w:drawing>
          <wp:inline distT="114300" distB="114300" distL="114300" distR="114300" wp14:anchorId="28CF8483" wp14:editId="3C1B4BC3">
            <wp:extent cx="4079411" cy="2547938"/>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5"/>
                    <a:stretch>
                      <a:fillRect/>
                    </a:stretch>
                  </pic:blipFill>
                  <pic:spPr>
                    <a:xfrm>
                      <a:off x="0" y="0"/>
                      <a:ext cx="4079411" cy="2547938"/>
                    </a:xfrm>
                    <a:prstGeom prst="rect">
                      <a:avLst/>
                    </a:prstGeom>
                    <a:ln w="12700">
                      <a:solidFill>
                        <a:srgbClr val="000000"/>
                      </a:solidFill>
                      <a:prstDash val="solid"/>
                    </a:ln>
                  </pic:spPr>
                </pic:pic>
              </a:graphicData>
            </a:graphic>
          </wp:inline>
        </w:drawing>
      </w:r>
    </w:p>
    <w:p w14:paraId="11F30650" w14:textId="77777777" w:rsidR="00BD18A5" w:rsidRPr="009900A7" w:rsidRDefault="00323A7B">
      <w:pPr>
        <w:pStyle w:val="Normal1"/>
        <w:spacing w:line="360" w:lineRule="auto"/>
        <w:jc w:val="center"/>
        <w:rPr>
          <w:b/>
          <w:sz w:val="24"/>
          <w:szCs w:val="24"/>
          <w:lang w:val="en-GB"/>
        </w:rPr>
      </w:pPr>
      <w:r w:rsidRPr="009900A7">
        <w:rPr>
          <w:b/>
          <w:sz w:val="24"/>
          <w:szCs w:val="24"/>
          <w:lang w:val="en-GB"/>
        </w:rPr>
        <w:t xml:space="preserve">Figure 2: Employee Lifecycle </w:t>
      </w:r>
    </w:p>
    <w:p w14:paraId="3345D7CC" w14:textId="77777777" w:rsidR="00BD18A5" w:rsidRPr="009900A7" w:rsidRDefault="00323A7B">
      <w:pPr>
        <w:pStyle w:val="Normal1"/>
        <w:spacing w:line="360" w:lineRule="auto"/>
        <w:jc w:val="center"/>
        <w:rPr>
          <w:sz w:val="24"/>
          <w:szCs w:val="24"/>
          <w:lang w:val="en-GB"/>
        </w:rPr>
      </w:pPr>
      <w:r w:rsidRPr="009900A7">
        <w:rPr>
          <w:sz w:val="24"/>
          <w:szCs w:val="24"/>
          <w:lang w:val="en-GB"/>
        </w:rPr>
        <w:t xml:space="preserve">(Source: </w:t>
      </w:r>
      <w:proofErr w:type="spellStart"/>
      <w:r w:rsidRPr="009900A7">
        <w:rPr>
          <w:sz w:val="24"/>
          <w:szCs w:val="24"/>
          <w:lang w:val="en-GB"/>
        </w:rPr>
        <w:t>employeecycle</w:t>
      </w:r>
      <w:proofErr w:type="spellEnd"/>
      <w:r w:rsidRPr="009900A7">
        <w:rPr>
          <w:sz w:val="24"/>
          <w:szCs w:val="24"/>
          <w:lang w:val="en-GB"/>
        </w:rPr>
        <w:t>, 2022)</w:t>
      </w:r>
    </w:p>
    <w:p w14:paraId="19747172"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Provide examples of an engaging team </w:t>
      </w:r>
    </w:p>
    <w:p w14:paraId="2330EF11"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opined by </w:t>
      </w:r>
      <w:proofErr w:type="spellStart"/>
      <w:r w:rsidRPr="009900A7">
        <w:rPr>
          <w:sz w:val="24"/>
          <w:szCs w:val="24"/>
          <w:highlight w:val="white"/>
          <w:lang w:val="en-GB"/>
        </w:rPr>
        <w:t>Cornelissen</w:t>
      </w:r>
      <w:proofErr w:type="spellEnd"/>
      <w:r w:rsidRPr="009900A7">
        <w:rPr>
          <w:sz w:val="24"/>
          <w:szCs w:val="24"/>
          <w:highlight w:val="white"/>
          <w:lang w:val="en-GB"/>
        </w:rPr>
        <w:t xml:space="preserve"> </w:t>
      </w:r>
      <w:r w:rsidRPr="009900A7">
        <w:rPr>
          <w:sz w:val="24"/>
          <w:szCs w:val="24"/>
          <w:lang w:val="en-GB"/>
        </w:rPr>
        <w:t>(2020, p. 330), engaged employees offer a lot of benefits to the business organisation. Employees want to feel invested as well as connected to the work premises. Engaging employees, team performance has been boosted to create strong company culture. In addition, employee engagement is the result of a satisfactory relationship between employees and the organisation. The levels of engagement are going to be higher when the employees feel strong dedication and connection to the organisation’s core values, vision and mission (</w:t>
      </w:r>
      <w:r w:rsidRPr="009900A7">
        <w:rPr>
          <w:sz w:val="24"/>
          <w:szCs w:val="24"/>
          <w:highlight w:val="white"/>
          <w:lang w:val="en-GB"/>
        </w:rPr>
        <w:t xml:space="preserve">Swanson </w:t>
      </w:r>
      <w:r w:rsidRPr="009900A7">
        <w:rPr>
          <w:i/>
          <w:sz w:val="24"/>
          <w:szCs w:val="24"/>
          <w:highlight w:val="white"/>
          <w:lang w:val="en-GB"/>
        </w:rPr>
        <w:t>et al.,</w:t>
      </w:r>
      <w:r w:rsidRPr="009900A7">
        <w:rPr>
          <w:sz w:val="24"/>
          <w:szCs w:val="24"/>
          <w:highlight w:val="white"/>
          <w:lang w:val="en-GB"/>
        </w:rPr>
        <w:t xml:space="preserve"> 2019, p. 45</w:t>
      </w:r>
      <w:r w:rsidRPr="009900A7">
        <w:rPr>
          <w:sz w:val="24"/>
          <w:szCs w:val="24"/>
          <w:lang w:val="en-GB"/>
        </w:rPr>
        <w:t xml:space="preserve">). For example, </w:t>
      </w:r>
      <w:r w:rsidR="00F27F01" w:rsidRPr="009900A7">
        <w:rPr>
          <w:sz w:val="24"/>
          <w:szCs w:val="24"/>
          <w:lang w:val="en-GB"/>
        </w:rPr>
        <w:t>Hotel</w:t>
      </w:r>
      <w:r w:rsidRPr="009900A7">
        <w:rPr>
          <w:sz w:val="24"/>
          <w:szCs w:val="24"/>
          <w:lang w:val="en-GB"/>
        </w:rPr>
        <w:t xml:space="preserve"> Hilton becomes the number 2 multinational workplace in 2019 which has true passion. Therefore, the team members of Hilton are committed to creating a great workplace environment along with meaningful opportunities for the benefits and growth of the </w:t>
      </w:r>
      <w:proofErr w:type="spellStart"/>
      <w:r w:rsidRPr="009900A7">
        <w:rPr>
          <w:sz w:val="24"/>
          <w:szCs w:val="24"/>
          <w:lang w:val="en-GB"/>
        </w:rPr>
        <w:t>organization</w:t>
      </w:r>
      <w:proofErr w:type="spellEnd"/>
      <w:r w:rsidRPr="009900A7">
        <w:rPr>
          <w:sz w:val="24"/>
          <w:szCs w:val="24"/>
          <w:lang w:val="en-GB"/>
        </w:rPr>
        <w:t xml:space="preserve">. Employee engagement holds many advantages for employers involving high rates of retention, increased productivity and improved profitability in the business environment. Every team member of hotel Hilton can deliver fundamentals and legacy to get success. As opined by </w:t>
      </w:r>
      <w:r w:rsidRPr="009900A7">
        <w:rPr>
          <w:sz w:val="24"/>
          <w:szCs w:val="24"/>
          <w:highlight w:val="white"/>
          <w:lang w:val="en-GB"/>
        </w:rPr>
        <w:t xml:space="preserve">McNeill, and </w:t>
      </w:r>
      <w:proofErr w:type="spellStart"/>
      <w:r w:rsidRPr="009900A7">
        <w:rPr>
          <w:sz w:val="24"/>
          <w:szCs w:val="24"/>
          <w:highlight w:val="white"/>
          <w:lang w:val="en-GB"/>
        </w:rPr>
        <w:t>Nienaber</w:t>
      </w:r>
      <w:proofErr w:type="spellEnd"/>
      <w:r w:rsidRPr="009900A7">
        <w:rPr>
          <w:sz w:val="24"/>
          <w:szCs w:val="24"/>
          <w:highlight w:val="white"/>
          <w:lang w:val="en-GB"/>
        </w:rPr>
        <w:t xml:space="preserve"> </w:t>
      </w:r>
      <w:r w:rsidRPr="009900A7">
        <w:rPr>
          <w:sz w:val="24"/>
          <w:szCs w:val="24"/>
          <w:lang w:val="en-GB"/>
        </w:rPr>
        <w:t xml:space="preserve">(2020, p. 25), Hilton creates a partnership with leading organisations and supports furloughed team members internationally. On the other hand, Hotel focuses on creating a great place to work collaboratively with the team members that ensure organisational success in the hotel industry. However, hotel organisations such as Hilton, Marriott, and Premier Inn deliver team performances in a business organisation. However, engaged team members become committed, loyal and productive which helps to bring more benefits to the hotel organisations. </w:t>
      </w:r>
    </w:p>
    <w:p w14:paraId="2750320C"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An employee engagement model and how it can be implemented </w:t>
      </w:r>
    </w:p>
    <w:p w14:paraId="4A9CCC27" w14:textId="77777777" w:rsidR="00BD18A5" w:rsidRPr="009900A7" w:rsidRDefault="00323A7B">
      <w:pPr>
        <w:pStyle w:val="Normal1"/>
        <w:spacing w:line="360" w:lineRule="auto"/>
        <w:jc w:val="both"/>
        <w:rPr>
          <w:i/>
          <w:sz w:val="24"/>
          <w:szCs w:val="24"/>
          <w:lang w:val="en-GB"/>
        </w:rPr>
      </w:pPr>
      <w:r w:rsidRPr="009900A7">
        <w:rPr>
          <w:i/>
          <w:sz w:val="24"/>
          <w:szCs w:val="24"/>
          <w:lang w:val="en-GB"/>
        </w:rPr>
        <w:t xml:space="preserve">Zinger Model </w:t>
      </w:r>
    </w:p>
    <w:p w14:paraId="7C50CD2E"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stated by </w:t>
      </w:r>
      <w:proofErr w:type="spellStart"/>
      <w:r w:rsidRPr="009900A7">
        <w:rPr>
          <w:sz w:val="24"/>
          <w:szCs w:val="24"/>
          <w:highlight w:val="white"/>
          <w:lang w:val="en-GB"/>
        </w:rPr>
        <w:t>Mamprin</w:t>
      </w:r>
      <w:proofErr w:type="spellEnd"/>
      <w:r w:rsidRPr="009900A7">
        <w:rPr>
          <w:sz w:val="24"/>
          <w:szCs w:val="24"/>
          <w:highlight w:val="white"/>
          <w:lang w:val="en-GB"/>
        </w:rPr>
        <w:t xml:space="preserve"> </w:t>
      </w:r>
      <w:r w:rsidRPr="009900A7">
        <w:rPr>
          <w:i/>
          <w:sz w:val="24"/>
          <w:szCs w:val="24"/>
          <w:highlight w:val="white"/>
          <w:lang w:val="en-GB"/>
        </w:rPr>
        <w:t xml:space="preserve">et al., </w:t>
      </w:r>
      <w:r w:rsidRPr="009900A7">
        <w:rPr>
          <w:sz w:val="24"/>
          <w:szCs w:val="24"/>
          <w:lang w:val="en-GB"/>
        </w:rPr>
        <w:t>(2021, p. 22), the Zinger model of employee engagement deals with leaders' and managers' actions to engage employees. The model helps to foster engagement within the workplace. It forms a pyramid which has a bottom row, middle row, top row and top of the pyramid. The necessities such as well-being, leveraging strengths and energy are considered in the bottom row. In the middle row, it deals with fostering recognition, and meaningful work relationships in the business organisation. The top row involves boosting performance and enabling staff in making progress (</w:t>
      </w:r>
      <w:r w:rsidRPr="009900A7">
        <w:rPr>
          <w:sz w:val="24"/>
          <w:szCs w:val="24"/>
          <w:highlight w:val="white"/>
          <w:lang w:val="en-GB"/>
        </w:rPr>
        <w:t xml:space="preserve">Ghosh, and </w:t>
      </w:r>
      <w:proofErr w:type="spellStart"/>
      <w:r w:rsidRPr="009900A7">
        <w:rPr>
          <w:sz w:val="24"/>
          <w:szCs w:val="24"/>
          <w:highlight w:val="white"/>
          <w:lang w:val="en-GB"/>
        </w:rPr>
        <w:t>Sourav</w:t>
      </w:r>
      <w:proofErr w:type="spellEnd"/>
      <w:r w:rsidRPr="009900A7">
        <w:rPr>
          <w:sz w:val="24"/>
          <w:szCs w:val="24"/>
          <w:highlight w:val="white"/>
          <w:lang w:val="en-GB"/>
        </w:rPr>
        <w:t>, 2019, p. 550</w:t>
      </w:r>
      <w:r w:rsidRPr="009900A7">
        <w:rPr>
          <w:sz w:val="24"/>
          <w:szCs w:val="24"/>
          <w:lang w:val="en-GB"/>
        </w:rPr>
        <w:t xml:space="preserve">). At the top of the pyramid, it deals with achieving results of employee engagement. Hotel Hilton can apply the Zinger model to </w:t>
      </w:r>
      <w:proofErr w:type="spellStart"/>
      <w:r w:rsidRPr="009900A7">
        <w:rPr>
          <w:sz w:val="24"/>
          <w:szCs w:val="24"/>
          <w:lang w:val="en-GB"/>
        </w:rPr>
        <w:t>maximize</w:t>
      </w:r>
      <w:proofErr w:type="spellEnd"/>
      <w:r w:rsidRPr="009900A7">
        <w:rPr>
          <w:sz w:val="24"/>
          <w:szCs w:val="24"/>
          <w:lang w:val="en-GB"/>
        </w:rPr>
        <w:t xml:space="preserve"> employee engagement which helps to develop the productivity of the business organisation. By applying to the HR department of Hilton, the professionals can understand the team members and create engagement by developing their skills and performance. However, it marks progress and </w:t>
      </w:r>
      <w:proofErr w:type="spellStart"/>
      <w:r w:rsidRPr="009900A7">
        <w:rPr>
          <w:sz w:val="24"/>
          <w:szCs w:val="24"/>
          <w:lang w:val="en-GB"/>
        </w:rPr>
        <w:t>maximizes</w:t>
      </w:r>
      <w:proofErr w:type="spellEnd"/>
      <w:r w:rsidRPr="009900A7">
        <w:rPr>
          <w:sz w:val="24"/>
          <w:szCs w:val="24"/>
          <w:lang w:val="en-GB"/>
        </w:rPr>
        <w:t xml:space="preserve"> the performance of the individual and builds relationships with the team members of Hilton. </w:t>
      </w:r>
    </w:p>
    <w:p w14:paraId="42DC55D2" w14:textId="77777777" w:rsidR="00BD18A5" w:rsidRPr="009900A7" w:rsidRDefault="00323A7B">
      <w:pPr>
        <w:pStyle w:val="Normal1"/>
        <w:spacing w:line="360" w:lineRule="auto"/>
        <w:jc w:val="center"/>
        <w:rPr>
          <w:sz w:val="24"/>
          <w:szCs w:val="24"/>
          <w:lang w:val="en-GB"/>
        </w:rPr>
      </w:pPr>
      <w:r w:rsidRPr="009900A7">
        <w:rPr>
          <w:noProof/>
          <w:sz w:val="24"/>
          <w:szCs w:val="24"/>
          <w:lang w:eastAsia="en-IN"/>
        </w:rPr>
        <w:drawing>
          <wp:inline distT="114300" distB="114300" distL="114300" distR="114300" wp14:anchorId="7E365E30" wp14:editId="06C85C4A">
            <wp:extent cx="2984457" cy="2765152"/>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6"/>
                    <a:stretch>
                      <a:fillRect/>
                    </a:stretch>
                  </pic:blipFill>
                  <pic:spPr>
                    <a:xfrm>
                      <a:off x="0" y="0"/>
                      <a:ext cx="2984457" cy="2765152"/>
                    </a:xfrm>
                    <a:prstGeom prst="rect">
                      <a:avLst/>
                    </a:prstGeom>
                    <a:ln w="12700">
                      <a:solidFill>
                        <a:srgbClr val="000000"/>
                      </a:solidFill>
                      <a:prstDash val="solid"/>
                    </a:ln>
                  </pic:spPr>
                </pic:pic>
              </a:graphicData>
            </a:graphic>
          </wp:inline>
        </w:drawing>
      </w:r>
    </w:p>
    <w:p w14:paraId="19D539B9" w14:textId="77777777" w:rsidR="00BD18A5" w:rsidRPr="009900A7" w:rsidRDefault="00323A7B">
      <w:pPr>
        <w:pStyle w:val="Normal1"/>
        <w:spacing w:line="360" w:lineRule="auto"/>
        <w:jc w:val="center"/>
        <w:rPr>
          <w:b/>
          <w:sz w:val="24"/>
          <w:szCs w:val="24"/>
          <w:lang w:val="en-GB"/>
        </w:rPr>
      </w:pPr>
      <w:r w:rsidRPr="009900A7">
        <w:rPr>
          <w:b/>
          <w:sz w:val="24"/>
          <w:szCs w:val="24"/>
          <w:lang w:val="en-GB"/>
        </w:rPr>
        <w:t xml:space="preserve">Figure 3: Zinger Model </w:t>
      </w:r>
    </w:p>
    <w:p w14:paraId="24143F48" w14:textId="77777777" w:rsidR="00BD18A5" w:rsidRPr="009900A7" w:rsidRDefault="00323A7B">
      <w:pPr>
        <w:pStyle w:val="Normal1"/>
        <w:spacing w:line="360" w:lineRule="auto"/>
        <w:jc w:val="center"/>
        <w:rPr>
          <w:sz w:val="24"/>
          <w:szCs w:val="24"/>
          <w:lang w:val="en-GB"/>
        </w:rPr>
      </w:pPr>
      <w:r w:rsidRPr="009900A7">
        <w:rPr>
          <w:sz w:val="24"/>
          <w:szCs w:val="24"/>
          <w:lang w:val="en-GB"/>
        </w:rPr>
        <w:t>(Source: davidzinger.com,</w:t>
      </w:r>
      <w:r w:rsidR="002651BF">
        <w:rPr>
          <w:sz w:val="24"/>
          <w:szCs w:val="24"/>
          <w:lang w:val="en-GB"/>
        </w:rPr>
        <w:t xml:space="preserve"> </w:t>
      </w:r>
      <w:r w:rsidRPr="009900A7">
        <w:rPr>
          <w:sz w:val="24"/>
          <w:szCs w:val="24"/>
          <w:lang w:val="en-GB"/>
        </w:rPr>
        <w:t>2015)</w:t>
      </w:r>
    </w:p>
    <w:p w14:paraId="37CC752A"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Provide examples from the industry </w:t>
      </w:r>
    </w:p>
    <w:p w14:paraId="39B79517" w14:textId="77777777" w:rsidR="00BD18A5" w:rsidRPr="009900A7" w:rsidRDefault="00323A7B">
      <w:pPr>
        <w:pStyle w:val="Normal1"/>
        <w:spacing w:line="360" w:lineRule="auto"/>
        <w:jc w:val="both"/>
        <w:rPr>
          <w:sz w:val="24"/>
          <w:szCs w:val="24"/>
          <w:lang w:val="en-GB"/>
        </w:rPr>
      </w:pPr>
      <w:r w:rsidRPr="009900A7">
        <w:rPr>
          <w:sz w:val="24"/>
          <w:szCs w:val="24"/>
          <w:lang w:val="en-GB"/>
        </w:rPr>
        <w:t xml:space="preserve">As opined by </w:t>
      </w:r>
      <w:proofErr w:type="spellStart"/>
      <w:r w:rsidRPr="009900A7">
        <w:rPr>
          <w:sz w:val="24"/>
          <w:szCs w:val="24"/>
          <w:highlight w:val="white"/>
          <w:lang w:val="en-GB"/>
        </w:rPr>
        <w:t>Dhir</w:t>
      </w:r>
      <w:proofErr w:type="spellEnd"/>
      <w:r w:rsidRPr="009900A7">
        <w:rPr>
          <w:sz w:val="24"/>
          <w:szCs w:val="24"/>
          <w:highlight w:val="white"/>
          <w:lang w:val="en-GB"/>
        </w:rPr>
        <w:t xml:space="preserve">, and </w:t>
      </w:r>
      <w:proofErr w:type="spellStart"/>
      <w:r w:rsidRPr="009900A7">
        <w:rPr>
          <w:sz w:val="24"/>
          <w:szCs w:val="24"/>
          <w:highlight w:val="white"/>
          <w:lang w:val="en-GB"/>
        </w:rPr>
        <w:t>Shukla</w:t>
      </w:r>
      <w:proofErr w:type="spellEnd"/>
      <w:r w:rsidRPr="009900A7">
        <w:rPr>
          <w:sz w:val="24"/>
          <w:szCs w:val="24"/>
          <w:highlight w:val="white"/>
          <w:lang w:val="en-GB"/>
        </w:rPr>
        <w:t xml:space="preserve"> </w:t>
      </w:r>
      <w:r w:rsidRPr="009900A7">
        <w:rPr>
          <w:sz w:val="24"/>
          <w:szCs w:val="24"/>
          <w:lang w:val="en-GB"/>
        </w:rPr>
        <w:t xml:space="preserve">(2019), employee engagement is the level or degree at which the employees invest their emotional and cognitive energies towards organisational outcomes. The hotel Premier Inn develops an emotional commitment to lead the organisation in achieving organisational goals. The </w:t>
      </w:r>
      <w:r w:rsidRPr="009900A7">
        <w:rPr>
          <w:i/>
          <w:sz w:val="24"/>
          <w:szCs w:val="24"/>
          <w:lang w:val="en-GB"/>
        </w:rPr>
        <w:t>hotel Premier Inn</w:t>
      </w:r>
      <w:r w:rsidRPr="009900A7">
        <w:rPr>
          <w:sz w:val="24"/>
          <w:szCs w:val="24"/>
          <w:lang w:val="en-GB"/>
        </w:rPr>
        <w:t xml:space="preserve"> eliminates employee engagement crises by promoting the employee engagement model. On the other hand, </w:t>
      </w:r>
      <w:r w:rsidRPr="009900A7">
        <w:rPr>
          <w:i/>
          <w:sz w:val="24"/>
          <w:szCs w:val="24"/>
          <w:lang w:val="en-GB"/>
        </w:rPr>
        <w:t xml:space="preserve">Marriott </w:t>
      </w:r>
      <w:r w:rsidRPr="009900A7">
        <w:rPr>
          <w:sz w:val="24"/>
          <w:szCs w:val="24"/>
          <w:lang w:val="en-GB"/>
        </w:rPr>
        <w:t xml:space="preserve">developed loyalty programs, rewards and recognition to satisfy the employees. Strategic success has been achieved in guiding the employees and improving understanding to make a real sense of ownership among business organisations. The strategic HR of </w:t>
      </w:r>
      <w:r w:rsidRPr="009900A7">
        <w:rPr>
          <w:i/>
          <w:sz w:val="24"/>
          <w:szCs w:val="24"/>
          <w:lang w:val="en-GB"/>
        </w:rPr>
        <w:t>Hilton hotel</w:t>
      </w:r>
      <w:r w:rsidRPr="009900A7">
        <w:rPr>
          <w:sz w:val="24"/>
          <w:szCs w:val="24"/>
          <w:lang w:val="en-GB"/>
        </w:rPr>
        <w:t xml:space="preserve"> promotes regular feedback to encourage the employees and bring more benefits to the business market. Moreover, Hilton delivers acknowledgement to the team members for their invaluable efforts to bring organisational success. </w:t>
      </w:r>
    </w:p>
    <w:p w14:paraId="52DF5C1C" w14:textId="77777777" w:rsidR="00BD18A5" w:rsidRPr="009900A7" w:rsidRDefault="00323A7B">
      <w:pPr>
        <w:pStyle w:val="Normal1"/>
        <w:spacing w:line="360" w:lineRule="auto"/>
        <w:jc w:val="both"/>
        <w:rPr>
          <w:b/>
          <w:sz w:val="24"/>
          <w:szCs w:val="24"/>
          <w:lang w:val="en-GB"/>
        </w:rPr>
      </w:pPr>
      <w:r w:rsidRPr="009900A7">
        <w:rPr>
          <w:lang w:val="en-GB"/>
        </w:rPr>
        <w:br w:type="page"/>
      </w:r>
    </w:p>
    <w:p w14:paraId="5DDD8652"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Conclusion </w:t>
      </w:r>
    </w:p>
    <w:p w14:paraId="1676E410" w14:textId="77777777" w:rsidR="00BD18A5" w:rsidRPr="009900A7" w:rsidRDefault="00323A7B">
      <w:pPr>
        <w:pStyle w:val="Normal1"/>
        <w:spacing w:line="360" w:lineRule="auto"/>
        <w:jc w:val="both"/>
        <w:rPr>
          <w:b/>
          <w:sz w:val="24"/>
          <w:szCs w:val="24"/>
          <w:lang w:val="en-GB"/>
        </w:rPr>
      </w:pPr>
      <w:r w:rsidRPr="009900A7">
        <w:rPr>
          <w:sz w:val="24"/>
          <w:szCs w:val="24"/>
          <w:lang w:val="en-GB"/>
        </w:rPr>
        <w:t xml:space="preserve">Employee engagement is the concept in a work setting in which develops engagement among the business organisation. The study focuses on team engagement in the hotel industry where employees build strong connections with their colleagues and their performances. Moreover, employee engagement helps to develop employee satisfaction that motivates employees to perform quality work and boost productivity. However, it can be concluded that employee engagement can change the work culture and foster economic growth. </w:t>
      </w:r>
      <w:r w:rsidRPr="009900A7">
        <w:rPr>
          <w:lang w:val="en-GB"/>
        </w:rPr>
        <w:br w:type="page"/>
      </w:r>
    </w:p>
    <w:p w14:paraId="6A17FF58" w14:textId="77777777" w:rsidR="00BD18A5" w:rsidRPr="009900A7" w:rsidRDefault="00323A7B">
      <w:pPr>
        <w:pStyle w:val="Normal1"/>
        <w:spacing w:line="360" w:lineRule="auto"/>
        <w:jc w:val="both"/>
        <w:rPr>
          <w:b/>
          <w:sz w:val="24"/>
          <w:szCs w:val="24"/>
          <w:lang w:val="en-GB"/>
        </w:rPr>
      </w:pPr>
      <w:r w:rsidRPr="009900A7">
        <w:rPr>
          <w:b/>
          <w:sz w:val="24"/>
          <w:szCs w:val="24"/>
          <w:lang w:val="en-GB"/>
        </w:rPr>
        <w:t xml:space="preserve">References </w:t>
      </w:r>
    </w:p>
    <w:p w14:paraId="35ABC263" w14:textId="77777777" w:rsidR="00BD18A5" w:rsidRPr="009900A7" w:rsidRDefault="00323A7B">
      <w:pPr>
        <w:pStyle w:val="Normal1"/>
        <w:spacing w:before="240" w:after="240" w:line="360" w:lineRule="auto"/>
        <w:jc w:val="both"/>
        <w:rPr>
          <w:b/>
          <w:sz w:val="24"/>
          <w:szCs w:val="24"/>
          <w:highlight w:val="white"/>
          <w:lang w:val="en-GB"/>
        </w:rPr>
      </w:pPr>
      <w:r w:rsidRPr="009900A7">
        <w:rPr>
          <w:b/>
          <w:sz w:val="24"/>
          <w:szCs w:val="24"/>
          <w:highlight w:val="white"/>
          <w:lang w:val="en-GB"/>
        </w:rPr>
        <w:t xml:space="preserve"> Book</w:t>
      </w:r>
    </w:p>
    <w:p w14:paraId="194D2DA1" w14:textId="77777777" w:rsidR="00BD18A5" w:rsidRPr="009900A7" w:rsidRDefault="00323A7B">
      <w:pPr>
        <w:pStyle w:val="Normal1"/>
        <w:spacing w:before="240" w:after="240" w:line="360" w:lineRule="auto"/>
        <w:jc w:val="both"/>
        <w:rPr>
          <w:color w:val="1155CC"/>
          <w:sz w:val="24"/>
          <w:szCs w:val="24"/>
          <w:highlight w:val="white"/>
          <w:u w:val="single"/>
          <w:lang w:val="en-GB"/>
        </w:rPr>
      </w:pPr>
      <w:r w:rsidRPr="009900A7">
        <w:rPr>
          <w:sz w:val="24"/>
          <w:szCs w:val="24"/>
          <w:highlight w:val="white"/>
          <w:lang w:val="en-GB"/>
        </w:rPr>
        <w:t xml:space="preserve">Turner, P. and Turner, P., 2020. </w:t>
      </w:r>
      <w:r w:rsidRPr="009900A7">
        <w:rPr>
          <w:i/>
          <w:sz w:val="24"/>
          <w:szCs w:val="24"/>
          <w:lang w:val="en-GB"/>
        </w:rPr>
        <w:t>What Is Employee Engagement?</w:t>
      </w:r>
      <w:r w:rsidRPr="009900A7">
        <w:rPr>
          <w:sz w:val="24"/>
          <w:szCs w:val="24"/>
          <w:lang w:val="en-GB"/>
        </w:rPr>
        <w:t xml:space="preserve"> (pp. 27-56). Springer International Publishing.</w:t>
      </w:r>
      <w:hyperlink r:id="rId7"/>
      <w:hyperlink r:id="rId8">
        <w:r w:rsidRPr="009900A7">
          <w:rPr>
            <w:color w:val="1155CC"/>
            <w:sz w:val="24"/>
            <w:szCs w:val="24"/>
            <w:highlight w:val="white"/>
            <w:u w:val="single"/>
            <w:lang w:val="en-GB"/>
          </w:rPr>
          <w:t>https://link.springer.com/chapter/10.1007/978-3-030-36387-1_2</w:t>
        </w:r>
      </w:hyperlink>
    </w:p>
    <w:p w14:paraId="40DC2EEA" w14:textId="77777777" w:rsidR="00BD18A5" w:rsidRPr="009900A7" w:rsidRDefault="00323A7B">
      <w:pPr>
        <w:pStyle w:val="Normal1"/>
        <w:spacing w:before="240" w:after="240" w:line="360" w:lineRule="auto"/>
        <w:jc w:val="both"/>
        <w:rPr>
          <w:b/>
          <w:sz w:val="24"/>
          <w:szCs w:val="24"/>
          <w:highlight w:val="white"/>
          <w:lang w:val="en-GB"/>
        </w:rPr>
      </w:pPr>
      <w:r w:rsidRPr="009900A7">
        <w:rPr>
          <w:b/>
          <w:sz w:val="24"/>
          <w:szCs w:val="24"/>
          <w:highlight w:val="white"/>
          <w:lang w:val="en-GB"/>
        </w:rPr>
        <w:t xml:space="preserve"> Official website</w:t>
      </w:r>
    </w:p>
    <w:p w14:paraId="5A008E0A" w14:textId="77777777" w:rsidR="00BD18A5" w:rsidRPr="009900A7" w:rsidRDefault="00323A7B">
      <w:pPr>
        <w:pStyle w:val="Normal1"/>
        <w:spacing w:before="240" w:after="240" w:line="360" w:lineRule="auto"/>
        <w:jc w:val="both"/>
        <w:rPr>
          <w:sz w:val="24"/>
          <w:szCs w:val="24"/>
          <w:lang w:val="en-GB"/>
        </w:rPr>
      </w:pPr>
      <w:r w:rsidRPr="009900A7">
        <w:rPr>
          <w:sz w:val="24"/>
          <w:szCs w:val="24"/>
          <w:lang w:val="en-GB"/>
        </w:rPr>
        <w:t xml:space="preserve">Blanks, K. (2022) </w:t>
      </w:r>
      <w:r w:rsidRPr="009900A7">
        <w:rPr>
          <w:i/>
          <w:sz w:val="24"/>
          <w:szCs w:val="24"/>
          <w:lang w:val="en-GB"/>
        </w:rPr>
        <w:t>HR metrics for every phase of the employee life cycle</w:t>
      </w:r>
      <w:r w:rsidRPr="009900A7">
        <w:rPr>
          <w:sz w:val="24"/>
          <w:szCs w:val="24"/>
          <w:lang w:val="en-GB"/>
        </w:rPr>
        <w:t xml:space="preserve">, </w:t>
      </w:r>
      <w:r w:rsidRPr="009900A7">
        <w:rPr>
          <w:i/>
          <w:sz w:val="24"/>
          <w:szCs w:val="24"/>
          <w:lang w:val="en-GB"/>
        </w:rPr>
        <w:t>Employee Cycle</w:t>
      </w:r>
      <w:r w:rsidRPr="009900A7">
        <w:rPr>
          <w:sz w:val="24"/>
          <w:szCs w:val="24"/>
          <w:lang w:val="en-GB"/>
        </w:rPr>
        <w:t>. Available at: https://www.employeecycle.com/hr_metrics_for_every_phase_of_the_employee_lifecycle/ (Accessed: January 28, 2023).</w:t>
      </w:r>
    </w:p>
    <w:p w14:paraId="6255F6F7" w14:textId="77777777" w:rsidR="00BD18A5" w:rsidRPr="009900A7" w:rsidRDefault="00323A7B">
      <w:pPr>
        <w:pStyle w:val="Normal1"/>
        <w:spacing w:before="240" w:after="240" w:line="360" w:lineRule="auto"/>
        <w:jc w:val="both"/>
        <w:rPr>
          <w:sz w:val="24"/>
          <w:szCs w:val="24"/>
          <w:lang w:val="en-GB"/>
        </w:rPr>
      </w:pPr>
      <w:r w:rsidRPr="009900A7">
        <w:rPr>
          <w:i/>
          <w:sz w:val="24"/>
          <w:szCs w:val="24"/>
          <w:lang w:val="en-GB"/>
        </w:rPr>
        <w:t>Customer support</w:t>
      </w:r>
      <w:r w:rsidRPr="009900A7">
        <w:rPr>
          <w:sz w:val="24"/>
          <w:szCs w:val="24"/>
          <w:lang w:val="en-GB"/>
        </w:rPr>
        <w:t>. Available at: https://help.hilton.com/s/article/What-is-the-Go-Hilton-employee-program (Accessed: January 28, 2023).</w:t>
      </w:r>
    </w:p>
    <w:p w14:paraId="16F039B3" w14:textId="77777777" w:rsidR="00BD18A5" w:rsidRPr="009900A7" w:rsidRDefault="00323A7B">
      <w:pPr>
        <w:pStyle w:val="Normal1"/>
        <w:spacing w:before="240" w:after="240" w:line="360" w:lineRule="auto"/>
        <w:jc w:val="both"/>
        <w:rPr>
          <w:sz w:val="24"/>
          <w:szCs w:val="24"/>
          <w:lang w:val="en-GB"/>
        </w:rPr>
      </w:pPr>
      <w:r w:rsidRPr="009900A7">
        <w:rPr>
          <w:sz w:val="24"/>
          <w:szCs w:val="24"/>
          <w:lang w:val="en-GB"/>
        </w:rPr>
        <w:t xml:space="preserve">Mariano, K. (2022) </w:t>
      </w:r>
      <w:r w:rsidRPr="009900A7">
        <w:rPr>
          <w:i/>
          <w:sz w:val="24"/>
          <w:szCs w:val="24"/>
          <w:lang w:val="en-GB"/>
        </w:rPr>
        <w:t>Hilton to hire 1,400 members, open four new locations in the UK</w:t>
      </w:r>
      <w:r w:rsidRPr="009900A7">
        <w:rPr>
          <w:sz w:val="24"/>
          <w:szCs w:val="24"/>
          <w:lang w:val="en-GB"/>
        </w:rPr>
        <w:t xml:space="preserve">, </w:t>
      </w:r>
      <w:r w:rsidRPr="009900A7">
        <w:rPr>
          <w:i/>
          <w:sz w:val="24"/>
          <w:szCs w:val="24"/>
          <w:lang w:val="en-GB"/>
        </w:rPr>
        <w:t>Travel Daily</w:t>
      </w:r>
      <w:r w:rsidRPr="009900A7">
        <w:rPr>
          <w:sz w:val="24"/>
          <w:szCs w:val="24"/>
          <w:lang w:val="en-GB"/>
        </w:rPr>
        <w:t>. Available at: https://www.traveldailymedia.com/hilton-to-hire-members-open-four-new-locations-uk/ (Accessed: January 28, 2023).</w:t>
      </w:r>
    </w:p>
    <w:p w14:paraId="18E244F2" w14:textId="77777777" w:rsidR="00BD18A5" w:rsidRPr="009900A7" w:rsidRDefault="00323A7B">
      <w:pPr>
        <w:pStyle w:val="Normal1"/>
        <w:spacing w:before="240" w:after="240" w:line="360" w:lineRule="auto"/>
        <w:jc w:val="both"/>
        <w:rPr>
          <w:sz w:val="24"/>
          <w:szCs w:val="24"/>
          <w:lang w:val="en-GB"/>
        </w:rPr>
      </w:pPr>
      <w:r w:rsidRPr="009900A7">
        <w:rPr>
          <w:sz w:val="24"/>
          <w:szCs w:val="24"/>
          <w:lang w:val="en-GB"/>
        </w:rPr>
        <w:t xml:space="preserve">Zinger, D. (2015) </w:t>
      </w:r>
      <w:r w:rsidRPr="009900A7">
        <w:rPr>
          <w:i/>
          <w:sz w:val="24"/>
          <w:szCs w:val="24"/>
          <w:lang w:val="en-GB"/>
        </w:rPr>
        <w:t>Home</w:t>
      </w:r>
      <w:r w:rsidRPr="009900A7">
        <w:rPr>
          <w:sz w:val="24"/>
          <w:szCs w:val="24"/>
          <w:lang w:val="en-GB"/>
        </w:rPr>
        <w:t xml:space="preserve">, </w:t>
      </w:r>
      <w:r w:rsidRPr="009900A7">
        <w:rPr>
          <w:i/>
          <w:sz w:val="24"/>
          <w:szCs w:val="24"/>
          <w:lang w:val="en-GB"/>
        </w:rPr>
        <w:t>employee engagement model</w:t>
      </w:r>
      <w:r w:rsidRPr="009900A7">
        <w:rPr>
          <w:sz w:val="24"/>
          <w:szCs w:val="24"/>
          <w:lang w:val="en-GB"/>
        </w:rPr>
        <w:t>. Available at: http://www.davidzinger.com/tag/employee-engagement-model/ (Accessed: January 28, 2023).</w:t>
      </w:r>
    </w:p>
    <w:p w14:paraId="3B7BC53E" w14:textId="77777777" w:rsidR="00BD18A5" w:rsidRPr="009900A7" w:rsidRDefault="00323A7B">
      <w:pPr>
        <w:pStyle w:val="Normal1"/>
        <w:spacing w:before="240" w:after="240" w:line="360" w:lineRule="auto"/>
        <w:jc w:val="both"/>
        <w:rPr>
          <w:b/>
          <w:sz w:val="24"/>
          <w:szCs w:val="24"/>
          <w:highlight w:val="white"/>
          <w:lang w:val="en-GB"/>
        </w:rPr>
      </w:pPr>
      <w:r w:rsidRPr="009900A7">
        <w:rPr>
          <w:b/>
          <w:sz w:val="24"/>
          <w:szCs w:val="24"/>
          <w:highlight w:val="white"/>
          <w:lang w:val="en-GB"/>
        </w:rPr>
        <w:t>PDF or Journal</w:t>
      </w:r>
    </w:p>
    <w:p w14:paraId="164AA063"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Ababneh</w:t>
      </w:r>
      <w:proofErr w:type="spellEnd"/>
      <w:r w:rsidRPr="009900A7">
        <w:rPr>
          <w:sz w:val="24"/>
          <w:szCs w:val="24"/>
          <w:highlight w:val="white"/>
          <w:lang w:val="en-GB"/>
        </w:rPr>
        <w:t xml:space="preserve">, O.M.A., 2021. How do green HRM practices affect employees’ green </w:t>
      </w:r>
      <w:proofErr w:type="spellStart"/>
      <w:r w:rsidRPr="009900A7">
        <w:rPr>
          <w:sz w:val="24"/>
          <w:szCs w:val="24"/>
          <w:highlight w:val="white"/>
          <w:lang w:val="en-GB"/>
        </w:rPr>
        <w:t>behaviors</w:t>
      </w:r>
      <w:proofErr w:type="spellEnd"/>
      <w:r w:rsidRPr="009900A7">
        <w:rPr>
          <w:sz w:val="24"/>
          <w:szCs w:val="24"/>
          <w:highlight w:val="white"/>
          <w:lang w:val="en-GB"/>
        </w:rPr>
        <w:t xml:space="preserve">? The role of employee engagement and personality attributes. </w:t>
      </w:r>
      <w:r w:rsidRPr="009900A7">
        <w:rPr>
          <w:i/>
          <w:sz w:val="24"/>
          <w:szCs w:val="24"/>
          <w:lang w:val="en-GB"/>
        </w:rPr>
        <w:t>Journal of Environmental Planning and Management</w:t>
      </w:r>
      <w:r w:rsidRPr="009900A7">
        <w:rPr>
          <w:sz w:val="24"/>
          <w:szCs w:val="24"/>
          <w:lang w:val="en-GB"/>
        </w:rPr>
        <w:t xml:space="preserve">, </w:t>
      </w:r>
      <w:r w:rsidRPr="009900A7">
        <w:rPr>
          <w:i/>
          <w:sz w:val="24"/>
          <w:szCs w:val="24"/>
          <w:lang w:val="en-GB"/>
        </w:rPr>
        <w:t>64</w:t>
      </w:r>
      <w:r w:rsidRPr="009900A7">
        <w:rPr>
          <w:sz w:val="24"/>
          <w:szCs w:val="24"/>
          <w:lang w:val="en-GB"/>
        </w:rPr>
        <w:t>(7), pp.1204-1226.</w:t>
      </w:r>
      <w:r w:rsidRPr="009900A7">
        <w:rPr>
          <w:sz w:val="24"/>
          <w:szCs w:val="24"/>
          <w:highlight w:val="white"/>
          <w:lang w:val="en-GB"/>
        </w:rPr>
        <w:t xml:space="preserve"> https://www.tandfonline.com/doi/abs/10.1080/09640568.2020.1814708</w:t>
      </w:r>
    </w:p>
    <w:p w14:paraId="47F7A6AB" w14:textId="77777777" w:rsidR="00BD18A5" w:rsidRPr="009900A7" w:rsidRDefault="00323A7B">
      <w:pPr>
        <w:pStyle w:val="Normal1"/>
        <w:spacing w:before="240" w:after="240" w:line="360" w:lineRule="auto"/>
        <w:jc w:val="both"/>
        <w:rPr>
          <w:color w:val="1155CC"/>
          <w:sz w:val="24"/>
          <w:szCs w:val="24"/>
          <w:highlight w:val="white"/>
          <w:u w:val="single"/>
          <w:lang w:val="en-GB"/>
        </w:rPr>
      </w:pPr>
      <w:r w:rsidRPr="009900A7">
        <w:rPr>
          <w:sz w:val="24"/>
          <w:szCs w:val="24"/>
          <w:highlight w:val="white"/>
          <w:lang w:val="en-GB"/>
        </w:rPr>
        <w:t xml:space="preserve">Ali, M., Ali, I., </w:t>
      </w:r>
      <w:proofErr w:type="spellStart"/>
      <w:r w:rsidRPr="009900A7">
        <w:rPr>
          <w:sz w:val="24"/>
          <w:szCs w:val="24"/>
          <w:highlight w:val="white"/>
          <w:lang w:val="en-GB"/>
        </w:rPr>
        <w:t>Albort-Morant</w:t>
      </w:r>
      <w:proofErr w:type="spellEnd"/>
      <w:r w:rsidRPr="009900A7">
        <w:rPr>
          <w:sz w:val="24"/>
          <w:szCs w:val="24"/>
          <w:highlight w:val="white"/>
          <w:lang w:val="en-GB"/>
        </w:rPr>
        <w:t xml:space="preserve">, G. and Leal-Rodríguez, A.L., 2021. How do job insecurity and perceived well-being affect expatriate employees’ willingness to share or hide knowledge?. </w:t>
      </w:r>
      <w:r w:rsidRPr="009900A7">
        <w:rPr>
          <w:i/>
          <w:sz w:val="24"/>
          <w:szCs w:val="24"/>
          <w:lang w:val="en-GB"/>
        </w:rPr>
        <w:t>International Entrepreneurship and Management Journal</w:t>
      </w:r>
      <w:r w:rsidRPr="009900A7">
        <w:rPr>
          <w:sz w:val="24"/>
          <w:szCs w:val="24"/>
          <w:lang w:val="en-GB"/>
        </w:rPr>
        <w:t xml:space="preserve">, </w:t>
      </w:r>
      <w:r w:rsidRPr="009900A7">
        <w:rPr>
          <w:i/>
          <w:sz w:val="24"/>
          <w:szCs w:val="24"/>
          <w:lang w:val="en-GB"/>
        </w:rPr>
        <w:t>17</w:t>
      </w:r>
      <w:r w:rsidRPr="009900A7">
        <w:rPr>
          <w:sz w:val="24"/>
          <w:szCs w:val="24"/>
          <w:lang w:val="en-GB"/>
        </w:rPr>
        <w:t>, pp.185-210.</w:t>
      </w:r>
      <w:hyperlink r:id="rId9"/>
      <w:hyperlink r:id="rId10">
        <w:r w:rsidRPr="009900A7">
          <w:rPr>
            <w:color w:val="1155CC"/>
            <w:sz w:val="24"/>
            <w:szCs w:val="24"/>
            <w:highlight w:val="white"/>
            <w:u w:val="single"/>
            <w:lang w:val="en-GB"/>
          </w:rPr>
          <w:t>https://link.springer.com/article/10.1007/s11365-020-00638-1</w:t>
        </w:r>
      </w:hyperlink>
    </w:p>
    <w:p w14:paraId="02C1CA83"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Cattermole</w:t>
      </w:r>
      <w:proofErr w:type="spellEnd"/>
      <w:r w:rsidRPr="009900A7">
        <w:rPr>
          <w:sz w:val="24"/>
          <w:szCs w:val="24"/>
          <w:highlight w:val="white"/>
          <w:lang w:val="en-GB"/>
        </w:rPr>
        <w:t xml:space="preserve">, G., 2019. Developing the employee lifecycle to keep top talent. </w:t>
      </w:r>
      <w:r w:rsidRPr="009900A7">
        <w:rPr>
          <w:i/>
          <w:sz w:val="24"/>
          <w:szCs w:val="24"/>
          <w:lang w:val="en-GB"/>
        </w:rPr>
        <w:t>Strategic HR review</w:t>
      </w:r>
      <w:r w:rsidRPr="009900A7">
        <w:rPr>
          <w:sz w:val="24"/>
          <w:szCs w:val="24"/>
          <w:lang w:val="en-GB"/>
        </w:rPr>
        <w:t xml:space="preserve">, </w:t>
      </w:r>
      <w:r w:rsidRPr="009900A7">
        <w:rPr>
          <w:i/>
          <w:sz w:val="24"/>
          <w:szCs w:val="24"/>
          <w:lang w:val="en-GB"/>
        </w:rPr>
        <w:t>18</w:t>
      </w:r>
      <w:r w:rsidRPr="009900A7">
        <w:rPr>
          <w:sz w:val="24"/>
          <w:szCs w:val="24"/>
          <w:lang w:val="en-GB"/>
        </w:rPr>
        <w:t>(6), pp.258-262.</w:t>
      </w:r>
      <w:r w:rsidRPr="009900A7">
        <w:rPr>
          <w:sz w:val="24"/>
          <w:szCs w:val="24"/>
          <w:highlight w:val="white"/>
          <w:lang w:val="en-GB"/>
        </w:rPr>
        <w:t xml:space="preserve"> https://www.emerald.com/insight/content/doi/10.1108/SHR-05-2019-0042</w:t>
      </w:r>
    </w:p>
    <w:p w14:paraId="5F82B5A4"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Cornelissen</w:t>
      </w:r>
      <w:proofErr w:type="spellEnd"/>
      <w:r w:rsidRPr="009900A7">
        <w:rPr>
          <w:sz w:val="24"/>
          <w:szCs w:val="24"/>
          <w:highlight w:val="white"/>
          <w:lang w:val="en-GB"/>
        </w:rPr>
        <w:t xml:space="preserve">, J.P., 2020. Corporate communication: A guide to theory and practice. </w:t>
      </w:r>
      <w:r w:rsidRPr="009900A7">
        <w:rPr>
          <w:i/>
          <w:sz w:val="24"/>
          <w:szCs w:val="24"/>
          <w:lang w:val="en-GB"/>
        </w:rPr>
        <w:t>Corporate Communication</w:t>
      </w:r>
      <w:r w:rsidRPr="009900A7">
        <w:rPr>
          <w:sz w:val="24"/>
          <w:szCs w:val="24"/>
          <w:lang w:val="en-GB"/>
        </w:rPr>
        <w:t>, pp.1-336.</w:t>
      </w:r>
      <w:r w:rsidRPr="009900A7">
        <w:rPr>
          <w:sz w:val="24"/>
          <w:szCs w:val="24"/>
          <w:highlight w:val="white"/>
          <w:lang w:val="en-GB"/>
        </w:rPr>
        <w:t xml:space="preserve"> https://www.torrossa.com/gs/resourceProxy?an=5017883&amp;publisher=FZ7200</w:t>
      </w:r>
    </w:p>
    <w:p w14:paraId="347F3B4F"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Davis, N.L., Gough, M. and Taylor, L.L., 2019. Online teaching: Advantages, obstacles and tools for getting it right. </w:t>
      </w:r>
      <w:r w:rsidRPr="009900A7">
        <w:rPr>
          <w:i/>
          <w:sz w:val="24"/>
          <w:szCs w:val="24"/>
          <w:lang w:val="en-GB"/>
        </w:rPr>
        <w:t>Journal of Teaching in Travel &amp; Tourism</w:t>
      </w:r>
      <w:r w:rsidRPr="009900A7">
        <w:rPr>
          <w:sz w:val="24"/>
          <w:szCs w:val="24"/>
          <w:lang w:val="en-GB"/>
        </w:rPr>
        <w:t xml:space="preserve">, </w:t>
      </w:r>
      <w:r w:rsidRPr="009900A7">
        <w:rPr>
          <w:i/>
          <w:sz w:val="24"/>
          <w:szCs w:val="24"/>
          <w:lang w:val="en-GB"/>
        </w:rPr>
        <w:t>19</w:t>
      </w:r>
      <w:r w:rsidRPr="009900A7">
        <w:rPr>
          <w:sz w:val="24"/>
          <w:szCs w:val="24"/>
          <w:lang w:val="en-GB"/>
        </w:rPr>
        <w:t>(3), pp.256-263.</w:t>
      </w:r>
      <w:r w:rsidRPr="009900A7">
        <w:rPr>
          <w:sz w:val="24"/>
          <w:szCs w:val="24"/>
          <w:highlight w:val="white"/>
          <w:lang w:val="en-GB"/>
        </w:rPr>
        <w:t xml:space="preserve"> https://www.tandfonline.com/doi/abs/10.1080/15313220.2019.1612313</w:t>
      </w:r>
    </w:p>
    <w:p w14:paraId="1013114E"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Dhir</w:t>
      </w:r>
      <w:proofErr w:type="spellEnd"/>
      <w:r w:rsidRPr="009900A7">
        <w:rPr>
          <w:sz w:val="24"/>
          <w:szCs w:val="24"/>
          <w:highlight w:val="white"/>
          <w:lang w:val="en-GB"/>
        </w:rPr>
        <w:t xml:space="preserve">, S. and </w:t>
      </w:r>
      <w:proofErr w:type="spellStart"/>
      <w:r w:rsidRPr="009900A7">
        <w:rPr>
          <w:sz w:val="24"/>
          <w:szCs w:val="24"/>
          <w:highlight w:val="white"/>
          <w:lang w:val="en-GB"/>
        </w:rPr>
        <w:t>Shukla</w:t>
      </w:r>
      <w:proofErr w:type="spellEnd"/>
      <w:r w:rsidRPr="009900A7">
        <w:rPr>
          <w:sz w:val="24"/>
          <w:szCs w:val="24"/>
          <w:highlight w:val="white"/>
          <w:lang w:val="en-GB"/>
        </w:rPr>
        <w:t xml:space="preserve">, A., 2019. Role of </w:t>
      </w:r>
      <w:proofErr w:type="spellStart"/>
      <w:r w:rsidRPr="009900A7">
        <w:rPr>
          <w:sz w:val="24"/>
          <w:szCs w:val="24"/>
          <w:highlight w:val="white"/>
          <w:lang w:val="en-GB"/>
        </w:rPr>
        <w:t>organizational</w:t>
      </w:r>
      <w:proofErr w:type="spellEnd"/>
      <w:r w:rsidRPr="009900A7">
        <w:rPr>
          <w:sz w:val="24"/>
          <w:szCs w:val="24"/>
          <w:highlight w:val="white"/>
          <w:lang w:val="en-GB"/>
        </w:rPr>
        <w:t xml:space="preserve"> image in employee engagement and performance. </w:t>
      </w:r>
      <w:r w:rsidRPr="009900A7">
        <w:rPr>
          <w:i/>
          <w:sz w:val="24"/>
          <w:szCs w:val="24"/>
          <w:lang w:val="en-GB"/>
        </w:rPr>
        <w:t>Benchmarking: An International Journal</w:t>
      </w:r>
      <w:r w:rsidRPr="009900A7">
        <w:rPr>
          <w:sz w:val="24"/>
          <w:szCs w:val="24"/>
          <w:lang w:val="en-GB"/>
        </w:rPr>
        <w:t>.</w:t>
      </w:r>
      <w:r w:rsidRPr="009900A7">
        <w:rPr>
          <w:sz w:val="24"/>
          <w:szCs w:val="24"/>
          <w:highlight w:val="white"/>
          <w:lang w:val="en-GB"/>
        </w:rPr>
        <w:t xml:space="preserve"> https://www.emerald.com/insight/content/doi/10.1108/BIJ-04-2018-0094/full/html</w:t>
      </w:r>
    </w:p>
    <w:p w14:paraId="468B9B60"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Ghosh, A. and </w:t>
      </w:r>
      <w:proofErr w:type="spellStart"/>
      <w:r w:rsidRPr="009900A7">
        <w:rPr>
          <w:sz w:val="24"/>
          <w:szCs w:val="24"/>
          <w:highlight w:val="white"/>
          <w:lang w:val="en-GB"/>
        </w:rPr>
        <w:t>Sourav</w:t>
      </w:r>
      <w:proofErr w:type="spellEnd"/>
      <w:r w:rsidRPr="009900A7">
        <w:rPr>
          <w:sz w:val="24"/>
          <w:szCs w:val="24"/>
          <w:highlight w:val="white"/>
          <w:lang w:val="en-GB"/>
        </w:rPr>
        <w:t xml:space="preserve">, S., 2019. A comprehensive study of Employee Engagement: Contemplating 7-D model in view of NIFTY 50 companies. </w:t>
      </w:r>
      <w:r w:rsidRPr="009900A7">
        <w:rPr>
          <w:i/>
          <w:sz w:val="24"/>
          <w:szCs w:val="24"/>
          <w:lang w:val="en-GB"/>
        </w:rPr>
        <w:t>International Journal of Advanced Engineering, Management and Science</w:t>
      </w:r>
      <w:r w:rsidRPr="009900A7">
        <w:rPr>
          <w:sz w:val="24"/>
          <w:szCs w:val="24"/>
          <w:lang w:val="en-GB"/>
        </w:rPr>
        <w:t xml:space="preserve">, </w:t>
      </w:r>
      <w:r w:rsidRPr="009900A7">
        <w:rPr>
          <w:i/>
          <w:sz w:val="24"/>
          <w:szCs w:val="24"/>
          <w:lang w:val="en-GB"/>
        </w:rPr>
        <w:t>5</w:t>
      </w:r>
      <w:r w:rsidRPr="009900A7">
        <w:rPr>
          <w:sz w:val="24"/>
          <w:szCs w:val="24"/>
          <w:lang w:val="en-GB"/>
        </w:rPr>
        <w:t>(9), pp.549-555.</w:t>
      </w:r>
      <w:r w:rsidRPr="009900A7">
        <w:rPr>
          <w:sz w:val="24"/>
          <w:szCs w:val="24"/>
          <w:highlight w:val="white"/>
          <w:lang w:val="en-GB"/>
        </w:rPr>
        <w:t xml:space="preserve"> https://www.researchgate.net/profile/Avik-Ghosh-11/publication/336277990_A_comprehensive_study_of_Employee_Engagement_Contemplating_7-D_model_in_view_of_NIFTY_50_companies/links/61f4e39e4393577abef93079/A-comprehensive-study-of-Employee-Engagement-Contemplating-7-D-model-in-view-of-NIFTY-50-companies.pdf</w:t>
      </w:r>
    </w:p>
    <w:p w14:paraId="74D49AFF"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Jalaei</w:t>
      </w:r>
      <w:proofErr w:type="spellEnd"/>
      <w:r w:rsidRPr="009900A7">
        <w:rPr>
          <w:sz w:val="24"/>
          <w:szCs w:val="24"/>
          <w:highlight w:val="white"/>
          <w:lang w:val="en-GB"/>
        </w:rPr>
        <w:t xml:space="preserve">, F., </w:t>
      </w:r>
      <w:proofErr w:type="spellStart"/>
      <w:r w:rsidRPr="009900A7">
        <w:rPr>
          <w:sz w:val="24"/>
          <w:szCs w:val="24"/>
          <w:highlight w:val="white"/>
          <w:lang w:val="en-GB"/>
        </w:rPr>
        <w:t>Zoghi</w:t>
      </w:r>
      <w:proofErr w:type="spellEnd"/>
      <w:r w:rsidRPr="009900A7">
        <w:rPr>
          <w:sz w:val="24"/>
          <w:szCs w:val="24"/>
          <w:highlight w:val="white"/>
          <w:lang w:val="en-GB"/>
        </w:rPr>
        <w:t xml:space="preserve">, M. and </w:t>
      </w:r>
      <w:proofErr w:type="spellStart"/>
      <w:r w:rsidRPr="009900A7">
        <w:rPr>
          <w:sz w:val="24"/>
          <w:szCs w:val="24"/>
          <w:highlight w:val="white"/>
          <w:lang w:val="en-GB"/>
        </w:rPr>
        <w:t>Khoshand</w:t>
      </w:r>
      <w:proofErr w:type="spellEnd"/>
      <w:r w:rsidRPr="009900A7">
        <w:rPr>
          <w:sz w:val="24"/>
          <w:szCs w:val="24"/>
          <w:highlight w:val="white"/>
          <w:lang w:val="en-GB"/>
        </w:rPr>
        <w:t xml:space="preserve">, A., 2021. Life cycle environmental impact assessment to manage and </w:t>
      </w:r>
      <w:proofErr w:type="spellStart"/>
      <w:r w:rsidRPr="009900A7">
        <w:rPr>
          <w:sz w:val="24"/>
          <w:szCs w:val="24"/>
          <w:highlight w:val="white"/>
          <w:lang w:val="en-GB"/>
        </w:rPr>
        <w:t>optimize</w:t>
      </w:r>
      <w:proofErr w:type="spellEnd"/>
      <w:r w:rsidRPr="009900A7">
        <w:rPr>
          <w:sz w:val="24"/>
          <w:szCs w:val="24"/>
          <w:highlight w:val="white"/>
          <w:lang w:val="en-GB"/>
        </w:rPr>
        <w:t xml:space="preserve"> construction waste using Building Information </w:t>
      </w:r>
      <w:proofErr w:type="spellStart"/>
      <w:r w:rsidRPr="009900A7">
        <w:rPr>
          <w:sz w:val="24"/>
          <w:szCs w:val="24"/>
          <w:highlight w:val="white"/>
          <w:lang w:val="en-GB"/>
        </w:rPr>
        <w:t>Modeling</w:t>
      </w:r>
      <w:proofErr w:type="spellEnd"/>
      <w:r w:rsidRPr="009900A7">
        <w:rPr>
          <w:sz w:val="24"/>
          <w:szCs w:val="24"/>
          <w:highlight w:val="white"/>
          <w:lang w:val="en-GB"/>
        </w:rPr>
        <w:t xml:space="preserve"> (BIM). </w:t>
      </w:r>
      <w:r w:rsidRPr="009900A7">
        <w:rPr>
          <w:i/>
          <w:sz w:val="24"/>
          <w:szCs w:val="24"/>
          <w:lang w:val="en-GB"/>
        </w:rPr>
        <w:t>International Journal of Construction Management</w:t>
      </w:r>
      <w:r w:rsidRPr="009900A7">
        <w:rPr>
          <w:sz w:val="24"/>
          <w:szCs w:val="24"/>
          <w:lang w:val="en-GB"/>
        </w:rPr>
        <w:t xml:space="preserve">, </w:t>
      </w:r>
      <w:r w:rsidRPr="009900A7">
        <w:rPr>
          <w:i/>
          <w:sz w:val="24"/>
          <w:szCs w:val="24"/>
          <w:lang w:val="en-GB"/>
        </w:rPr>
        <w:t>21</w:t>
      </w:r>
      <w:r w:rsidRPr="009900A7">
        <w:rPr>
          <w:sz w:val="24"/>
          <w:szCs w:val="24"/>
          <w:lang w:val="en-GB"/>
        </w:rPr>
        <w:t>(8), pp.784-801.</w:t>
      </w:r>
      <w:r w:rsidRPr="009900A7">
        <w:rPr>
          <w:sz w:val="24"/>
          <w:szCs w:val="24"/>
          <w:highlight w:val="white"/>
          <w:lang w:val="en-GB"/>
        </w:rPr>
        <w:t xml:space="preserve"> https://www.tandfonline.com/doi/abs/10.1080/15623599.2019.1583850</w:t>
      </w:r>
    </w:p>
    <w:p w14:paraId="1B4B22C6"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Kwon, K. and Park, J., 2019. The life cycle of employee engagement theory in HRD research. </w:t>
      </w:r>
      <w:r w:rsidRPr="009900A7">
        <w:rPr>
          <w:i/>
          <w:sz w:val="24"/>
          <w:szCs w:val="24"/>
          <w:lang w:val="en-GB"/>
        </w:rPr>
        <w:t>Advances in Developing Human Resources</w:t>
      </w:r>
      <w:r w:rsidRPr="009900A7">
        <w:rPr>
          <w:sz w:val="24"/>
          <w:szCs w:val="24"/>
          <w:lang w:val="en-GB"/>
        </w:rPr>
        <w:t xml:space="preserve">, </w:t>
      </w:r>
      <w:r w:rsidRPr="009900A7">
        <w:rPr>
          <w:i/>
          <w:sz w:val="24"/>
          <w:szCs w:val="24"/>
          <w:lang w:val="en-GB"/>
        </w:rPr>
        <w:t>21</w:t>
      </w:r>
      <w:r w:rsidRPr="009900A7">
        <w:rPr>
          <w:sz w:val="24"/>
          <w:szCs w:val="24"/>
          <w:lang w:val="en-GB"/>
        </w:rPr>
        <w:t>(3), pp.352-370.</w:t>
      </w:r>
      <w:r w:rsidRPr="009900A7">
        <w:rPr>
          <w:sz w:val="24"/>
          <w:szCs w:val="24"/>
          <w:highlight w:val="white"/>
          <w:lang w:val="en-GB"/>
        </w:rPr>
        <w:t xml:space="preserve"> https://journals.sagepub.com/doi/pdf/10.1177/1523422319851443</w:t>
      </w:r>
    </w:p>
    <w:p w14:paraId="2C81BC67" w14:textId="77777777" w:rsidR="00BD18A5" w:rsidRPr="009900A7" w:rsidRDefault="00323A7B">
      <w:pPr>
        <w:pStyle w:val="Normal1"/>
        <w:spacing w:before="240" w:after="240" w:line="360" w:lineRule="auto"/>
        <w:jc w:val="both"/>
        <w:rPr>
          <w:color w:val="1155CC"/>
          <w:sz w:val="24"/>
          <w:szCs w:val="24"/>
          <w:highlight w:val="white"/>
          <w:u w:val="single"/>
          <w:lang w:val="en-GB"/>
        </w:rPr>
      </w:pPr>
      <w:r w:rsidRPr="009900A7">
        <w:rPr>
          <w:sz w:val="24"/>
          <w:szCs w:val="24"/>
          <w:highlight w:val="white"/>
          <w:lang w:val="en-GB"/>
        </w:rPr>
        <w:t xml:space="preserve">Lee, J., </w:t>
      </w:r>
      <w:proofErr w:type="spellStart"/>
      <w:r w:rsidRPr="009900A7">
        <w:rPr>
          <w:sz w:val="24"/>
          <w:szCs w:val="24"/>
          <w:highlight w:val="white"/>
          <w:lang w:val="en-GB"/>
        </w:rPr>
        <w:t>Suh</w:t>
      </w:r>
      <w:proofErr w:type="spellEnd"/>
      <w:r w:rsidRPr="009900A7">
        <w:rPr>
          <w:sz w:val="24"/>
          <w:szCs w:val="24"/>
          <w:highlight w:val="white"/>
          <w:lang w:val="en-GB"/>
        </w:rPr>
        <w:t xml:space="preserve">, T., Roy, D. and Baucus, M., 2019. Emerging technology and business model innovation: the case of artificial intelligence. </w:t>
      </w:r>
      <w:r w:rsidRPr="009900A7">
        <w:rPr>
          <w:i/>
          <w:sz w:val="24"/>
          <w:szCs w:val="24"/>
          <w:lang w:val="en-GB"/>
        </w:rPr>
        <w:t>Journal of Open Innovation: Technology, Market, and Complexity</w:t>
      </w:r>
      <w:r w:rsidRPr="009900A7">
        <w:rPr>
          <w:sz w:val="24"/>
          <w:szCs w:val="24"/>
          <w:lang w:val="en-GB"/>
        </w:rPr>
        <w:t xml:space="preserve">, </w:t>
      </w:r>
      <w:r w:rsidRPr="009900A7">
        <w:rPr>
          <w:i/>
          <w:sz w:val="24"/>
          <w:szCs w:val="24"/>
          <w:lang w:val="en-GB"/>
        </w:rPr>
        <w:t>5</w:t>
      </w:r>
      <w:r w:rsidRPr="009900A7">
        <w:rPr>
          <w:sz w:val="24"/>
          <w:szCs w:val="24"/>
          <w:lang w:val="en-GB"/>
        </w:rPr>
        <w:t>(3), p.44.</w:t>
      </w:r>
      <w:hyperlink r:id="rId11"/>
      <w:hyperlink r:id="rId12">
        <w:r w:rsidRPr="009900A7">
          <w:rPr>
            <w:color w:val="1155CC"/>
            <w:sz w:val="24"/>
            <w:szCs w:val="24"/>
            <w:highlight w:val="white"/>
            <w:u w:val="single"/>
            <w:lang w:val="en-GB"/>
          </w:rPr>
          <w:t>https://www.mdpi.com/500892</w:t>
        </w:r>
      </w:hyperlink>
    </w:p>
    <w:p w14:paraId="08259749"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Lee, J.Y., Rocco, T.S. and Shuck, B., 2020. What is a resource: Toward a taxonomy of resources for employee engagement. </w:t>
      </w:r>
      <w:r w:rsidRPr="009900A7">
        <w:rPr>
          <w:i/>
          <w:sz w:val="24"/>
          <w:szCs w:val="24"/>
          <w:lang w:val="en-GB"/>
        </w:rPr>
        <w:t>Human Resource Development Review</w:t>
      </w:r>
      <w:r w:rsidRPr="009900A7">
        <w:rPr>
          <w:sz w:val="24"/>
          <w:szCs w:val="24"/>
          <w:lang w:val="en-GB"/>
        </w:rPr>
        <w:t xml:space="preserve">, </w:t>
      </w:r>
      <w:r w:rsidRPr="009900A7">
        <w:rPr>
          <w:i/>
          <w:sz w:val="24"/>
          <w:szCs w:val="24"/>
          <w:lang w:val="en-GB"/>
        </w:rPr>
        <w:t>19</w:t>
      </w:r>
      <w:r w:rsidRPr="009900A7">
        <w:rPr>
          <w:sz w:val="24"/>
          <w:szCs w:val="24"/>
          <w:lang w:val="en-GB"/>
        </w:rPr>
        <w:t>(1), pp.5-38.</w:t>
      </w:r>
      <w:r w:rsidRPr="009900A7">
        <w:rPr>
          <w:sz w:val="24"/>
          <w:szCs w:val="24"/>
          <w:highlight w:val="white"/>
          <w:lang w:val="en-GB"/>
        </w:rPr>
        <w:t xml:space="preserve"> https://journals.sagepub.com/doi/pdf/10.1177/1534484319853100</w:t>
      </w:r>
    </w:p>
    <w:p w14:paraId="25297329"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Lee, Y., Tao, W., Li, J.Y.Q. and Sun, R., 2021. Enhancing employees’ knowledge sharing through diversity-oriented leadership and strategic internal communication during the COVID-19 outbreak. </w:t>
      </w:r>
      <w:r w:rsidRPr="009900A7">
        <w:rPr>
          <w:i/>
          <w:sz w:val="24"/>
          <w:szCs w:val="24"/>
          <w:lang w:val="en-GB"/>
        </w:rPr>
        <w:t>Journal of Knowledge Management</w:t>
      </w:r>
      <w:r w:rsidRPr="009900A7">
        <w:rPr>
          <w:sz w:val="24"/>
          <w:szCs w:val="24"/>
          <w:lang w:val="en-GB"/>
        </w:rPr>
        <w:t xml:space="preserve">, </w:t>
      </w:r>
      <w:r w:rsidRPr="009900A7">
        <w:rPr>
          <w:i/>
          <w:sz w:val="24"/>
          <w:szCs w:val="24"/>
          <w:lang w:val="en-GB"/>
        </w:rPr>
        <w:t>25</w:t>
      </w:r>
      <w:r w:rsidRPr="009900A7">
        <w:rPr>
          <w:sz w:val="24"/>
          <w:szCs w:val="24"/>
          <w:lang w:val="en-GB"/>
        </w:rPr>
        <w:t>(6), pp.1526-1549.</w:t>
      </w:r>
      <w:r w:rsidRPr="009900A7">
        <w:rPr>
          <w:sz w:val="24"/>
          <w:szCs w:val="24"/>
          <w:highlight w:val="white"/>
          <w:lang w:val="en-GB"/>
        </w:rPr>
        <w:t xml:space="preserve"> https://www.emerald.com/insight/content/doi/10.1108/JKM-06-2020-0483/full/html</w:t>
      </w:r>
    </w:p>
    <w:p w14:paraId="4233A2BE" w14:textId="77777777" w:rsidR="00BD18A5" w:rsidRPr="009900A7" w:rsidRDefault="00323A7B">
      <w:pPr>
        <w:pStyle w:val="Normal1"/>
        <w:spacing w:before="240" w:after="240" w:line="360" w:lineRule="auto"/>
        <w:jc w:val="both"/>
        <w:rPr>
          <w:color w:val="1155CC"/>
          <w:sz w:val="24"/>
          <w:szCs w:val="24"/>
          <w:highlight w:val="white"/>
          <w:u w:val="single"/>
          <w:lang w:val="en-GB"/>
        </w:rPr>
      </w:pPr>
      <w:proofErr w:type="spellStart"/>
      <w:r w:rsidRPr="009900A7">
        <w:rPr>
          <w:sz w:val="24"/>
          <w:szCs w:val="24"/>
          <w:highlight w:val="white"/>
          <w:lang w:val="en-GB"/>
        </w:rPr>
        <w:t>Mamprin</w:t>
      </w:r>
      <w:proofErr w:type="spellEnd"/>
      <w:r w:rsidRPr="009900A7">
        <w:rPr>
          <w:sz w:val="24"/>
          <w:szCs w:val="24"/>
          <w:highlight w:val="white"/>
          <w:lang w:val="en-GB"/>
        </w:rPr>
        <w:t xml:space="preserve">, M., </w:t>
      </w:r>
      <w:proofErr w:type="spellStart"/>
      <w:r w:rsidRPr="009900A7">
        <w:rPr>
          <w:sz w:val="24"/>
          <w:szCs w:val="24"/>
          <w:highlight w:val="white"/>
          <w:lang w:val="en-GB"/>
        </w:rPr>
        <w:t>Zelis</w:t>
      </w:r>
      <w:proofErr w:type="spellEnd"/>
      <w:r w:rsidRPr="009900A7">
        <w:rPr>
          <w:sz w:val="24"/>
          <w:szCs w:val="24"/>
          <w:highlight w:val="white"/>
          <w:lang w:val="en-GB"/>
        </w:rPr>
        <w:t xml:space="preserve">, J.M., Tonino, P.A., Zinger, S. and de With, P.H., 2021. Decision trees for predicting mortality in </w:t>
      </w:r>
      <w:proofErr w:type="spellStart"/>
      <w:r w:rsidRPr="009900A7">
        <w:rPr>
          <w:sz w:val="24"/>
          <w:szCs w:val="24"/>
          <w:highlight w:val="white"/>
          <w:lang w:val="en-GB"/>
        </w:rPr>
        <w:t>transcatheter</w:t>
      </w:r>
      <w:proofErr w:type="spellEnd"/>
      <w:r w:rsidRPr="009900A7">
        <w:rPr>
          <w:sz w:val="24"/>
          <w:szCs w:val="24"/>
          <w:highlight w:val="white"/>
          <w:lang w:val="en-GB"/>
        </w:rPr>
        <w:t xml:space="preserve"> aortic valve implantation. </w:t>
      </w:r>
      <w:r w:rsidRPr="009900A7">
        <w:rPr>
          <w:i/>
          <w:sz w:val="24"/>
          <w:szCs w:val="24"/>
          <w:lang w:val="en-GB"/>
        </w:rPr>
        <w:t>Bioengineering</w:t>
      </w:r>
      <w:r w:rsidRPr="009900A7">
        <w:rPr>
          <w:sz w:val="24"/>
          <w:szCs w:val="24"/>
          <w:lang w:val="en-GB"/>
        </w:rPr>
        <w:t xml:space="preserve">, </w:t>
      </w:r>
      <w:r w:rsidRPr="009900A7">
        <w:rPr>
          <w:i/>
          <w:sz w:val="24"/>
          <w:szCs w:val="24"/>
          <w:lang w:val="en-GB"/>
        </w:rPr>
        <w:t>8</w:t>
      </w:r>
      <w:r w:rsidRPr="009900A7">
        <w:rPr>
          <w:sz w:val="24"/>
          <w:szCs w:val="24"/>
          <w:lang w:val="en-GB"/>
        </w:rPr>
        <w:t>(2), p.22.</w:t>
      </w:r>
      <w:hyperlink r:id="rId13"/>
      <w:hyperlink r:id="rId14">
        <w:r w:rsidRPr="009900A7">
          <w:rPr>
            <w:color w:val="1155CC"/>
            <w:sz w:val="24"/>
            <w:szCs w:val="24"/>
            <w:highlight w:val="white"/>
            <w:u w:val="single"/>
            <w:lang w:val="en-GB"/>
          </w:rPr>
          <w:t>https://www.mdpi.com/991962</w:t>
        </w:r>
      </w:hyperlink>
    </w:p>
    <w:p w14:paraId="51F72B5D"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McNeill, R. and </w:t>
      </w:r>
      <w:proofErr w:type="spellStart"/>
      <w:r w:rsidRPr="009900A7">
        <w:rPr>
          <w:sz w:val="24"/>
          <w:szCs w:val="24"/>
          <w:highlight w:val="white"/>
          <w:lang w:val="en-GB"/>
        </w:rPr>
        <w:t>Nienaber</w:t>
      </w:r>
      <w:proofErr w:type="spellEnd"/>
      <w:r w:rsidRPr="009900A7">
        <w:rPr>
          <w:sz w:val="24"/>
          <w:szCs w:val="24"/>
          <w:highlight w:val="white"/>
          <w:lang w:val="en-GB"/>
        </w:rPr>
        <w:t xml:space="preserve">, H., 2020. </w:t>
      </w:r>
      <w:proofErr w:type="spellStart"/>
      <w:r w:rsidRPr="009900A7">
        <w:rPr>
          <w:sz w:val="24"/>
          <w:szCs w:val="24"/>
          <w:highlight w:val="white"/>
          <w:lang w:val="en-GB"/>
        </w:rPr>
        <w:t>Co-opetition</w:t>
      </w:r>
      <w:proofErr w:type="spellEnd"/>
      <w:r w:rsidRPr="009900A7">
        <w:rPr>
          <w:sz w:val="24"/>
          <w:szCs w:val="24"/>
          <w:highlight w:val="white"/>
          <w:lang w:val="en-GB"/>
        </w:rPr>
        <w:t xml:space="preserve">: The morphology of evolving USA corporate hotel B2B sales. </w:t>
      </w:r>
      <w:r w:rsidRPr="009900A7">
        <w:rPr>
          <w:i/>
          <w:sz w:val="24"/>
          <w:szCs w:val="24"/>
          <w:lang w:val="en-GB"/>
        </w:rPr>
        <w:t>Journal of Global Business and Technology</w:t>
      </w:r>
      <w:r w:rsidRPr="009900A7">
        <w:rPr>
          <w:sz w:val="24"/>
          <w:szCs w:val="24"/>
          <w:lang w:val="en-GB"/>
        </w:rPr>
        <w:t xml:space="preserve">, </w:t>
      </w:r>
      <w:r w:rsidRPr="009900A7">
        <w:rPr>
          <w:i/>
          <w:sz w:val="24"/>
          <w:szCs w:val="24"/>
          <w:lang w:val="en-GB"/>
        </w:rPr>
        <w:t>16</w:t>
      </w:r>
      <w:r w:rsidRPr="009900A7">
        <w:rPr>
          <w:sz w:val="24"/>
          <w:szCs w:val="24"/>
          <w:lang w:val="en-GB"/>
        </w:rPr>
        <w:t>(1), pp.21-44.</w:t>
      </w:r>
      <w:r w:rsidRPr="009900A7">
        <w:rPr>
          <w:sz w:val="24"/>
          <w:szCs w:val="24"/>
          <w:highlight w:val="white"/>
          <w:lang w:val="en-GB"/>
        </w:rPr>
        <w:t xml:space="preserve"> https://search.proquest.com/openview/f86d28a7b196d67cc12ea4fbfc97f1d5/1?pq-origsite=gscholar&amp;cbl=38740</w:t>
      </w:r>
    </w:p>
    <w:p w14:paraId="12476E8C"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Sato</w:t>
      </w:r>
      <w:proofErr w:type="spellEnd"/>
      <w:r w:rsidRPr="009900A7">
        <w:rPr>
          <w:sz w:val="24"/>
          <w:szCs w:val="24"/>
          <w:highlight w:val="white"/>
          <w:lang w:val="en-GB"/>
        </w:rPr>
        <w:t xml:space="preserve">, Y., Kobayashi, N. and </w:t>
      </w:r>
      <w:proofErr w:type="spellStart"/>
      <w:r w:rsidRPr="009900A7">
        <w:rPr>
          <w:sz w:val="24"/>
          <w:szCs w:val="24"/>
          <w:highlight w:val="white"/>
          <w:lang w:val="en-GB"/>
        </w:rPr>
        <w:t>Shirasaka</w:t>
      </w:r>
      <w:proofErr w:type="spellEnd"/>
      <w:r w:rsidRPr="009900A7">
        <w:rPr>
          <w:sz w:val="24"/>
          <w:szCs w:val="24"/>
          <w:highlight w:val="white"/>
          <w:lang w:val="en-GB"/>
        </w:rPr>
        <w:t xml:space="preserve">, S., 2020. An analysis of human resource management for knowledge workers: Using the three axes of target employee, lifecycle stage, and human resource flow. </w:t>
      </w:r>
      <w:r w:rsidRPr="009900A7">
        <w:rPr>
          <w:i/>
          <w:sz w:val="24"/>
          <w:szCs w:val="24"/>
          <w:lang w:val="en-GB"/>
        </w:rPr>
        <w:t>Review of Integrative Business and Economics Research</w:t>
      </w:r>
      <w:r w:rsidRPr="009900A7">
        <w:rPr>
          <w:sz w:val="24"/>
          <w:szCs w:val="24"/>
          <w:lang w:val="en-GB"/>
        </w:rPr>
        <w:t xml:space="preserve">, </w:t>
      </w:r>
      <w:r w:rsidRPr="009900A7">
        <w:rPr>
          <w:i/>
          <w:sz w:val="24"/>
          <w:szCs w:val="24"/>
          <w:lang w:val="en-GB"/>
        </w:rPr>
        <w:t>9</w:t>
      </w:r>
      <w:r w:rsidRPr="009900A7">
        <w:rPr>
          <w:sz w:val="24"/>
          <w:szCs w:val="24"/>
          <w:lang w:val="en-GB"/>
        </w:rPr>
        <w:t>(1), pp.140-156.</w:t>
      </w:r>
      <w:r w:rsidRPr="009900A7">
        <w:rPr>
          <w:sz w:val="24"/>
          <w:szCs w:val="24"/>
          <w:highlight w:val="white"/>
          <w:lang w:val="en-GB"/>
        </w:rPr>
        <w:t xml:space="preserve"> http://w.sibresearch.org/uploads/3/4/0/9/34097180/riber_9-1_10_t19-074_140-156.pdf</w:t>
      </w:r>
    </w:p>
    <w:p w14:paraId="5968A994" w14:textId="77777777" w:rsidR="00BD18A5" w:rsidRPr="009900A7" w:rsidRDefault="00323A7B">
      <w:pPr>
        <w:pStyle w:val="Normal1"/>
        <w:spacing w:before="240" w:after="240" w:line="360" w:lineRule="auto"/>
        <w:jc w:val="both"/>
        <w:rPr>
          <w:sz w:val="24"/>
          <w:szCs w:val="24"/>
          <w:highlight w:val="white"/>
          <w:lang w:val="en-GB"/>
        </w:rPr>
      </w:pPr>
      <w:proofErr w:type="spellStart"/>
      <w:r w:rsidRPr="009900A7">
        <w:rPr>
          <w:sz w:val="24"/>
          <w:szCs w:val="24"/>
          <w:highlight w:val="white"/>
          <w:lang w:val="en-GB"/>
        </w:rPr>
        <w:t>Stachová</w:t>
      </w:r>
      <w:proofErr w:type="spellEnd"/>
      <w:r w:rsidRPr="009900A7">
        <w:rPr>
          <w:sz w:val="24"/>
          <w:szCs w:val="24"/>
          <w:highlight w:val="white"/>
          <w:lang w:val="en-GB"/>
        </w:rPr>
        <w:t xml:space="preserve">, K., </w:t>
      </w:r>
      <w:proofErr w:type="spellStart"/>
      <w:r w:rsidRPr="009900A7">
        <w:rPr>
          <w:sz w:val="24"/>
          <w:szCs w:val="24"/>
          <w:highlight w:val="white"/>
          <w:lang w:val="en-GB"/>
        </w:rPr>
        <w:t>Papula</w:t>
      </w:r>
      <w:proofErr w:type="spellEnd"/>
      <w:r w:rsidRPr="009900A7">
        <w:rPr>
          <w:sz w:val="24"/>
          <w:szCs w:val="24"/>
          <w:highlight w:val="white"/>
          <w:lang w:val="en-GB"/>
        </w:rPr>
        <w:t xml:space="preserve">, J., </w:t>
      </w:r>
      <w:proofErr w:type="spellStart"/>
      <w:r w:rsidRPr="009900A7">
        <w:rPr>
          <w:sz w:val="24"/>
          <w:szCs w:val="24"/>
          <w:highlight w:val="white"/>
          <w:lang w:val="en-GB"/>
        </w:rPr>
        <w:t>Stacho</w:t>
      </w:r>
      <w:proofErr w:type="spellEnd"/>
      <w:r w:rsidRPr="009900A7">
        <w:rPr>
          <w:sz w:val="24"/>
          <w:szCs w:val="24"/>
          <w:highlight w:val="white"/>
          <w:lang w:val="en-GB"/>
        </w:rPr>
        <w:t xml:space="preserve">, Z. and </w:t>
      </w:r>
      <w:proofErr w:type="spellStart"/>
      <w:r w:rsidRPr="009900A7">
        <w:rPr>
          <w:sz w:val="24"/>
          <w:szCs w:val="24"/>
          <w:highlight w:val="white"/>
          <w:lang w:val="en-GB"/>
        </w:rPr>
        <w:t>Kohnová</w:t>
      </w:r>
      <w:proofErr w:type="spellEnd"/>
      <w:r w:rsidRPr="009900A7">
        <w:rPr>
          <w:sz w:val="24"/>
          <w:szCs w:val="24"/>
          <w:highlight w:val="white"/>
          <w:lang w:val="en-GB"/>
        </w:rPr>
        <w:t xml:space="preserve">, L., 2019. External partnerships in employee education and development as the key to facing industry 4.0 challenges. </w:t>
      </w:r>
      <w:r w:rsidRPr="009900A7">
        <w:rPr>
          <w:i/>
          <w:sz w:val="24"/>
          <w:szCs w:val="24"/>
          <w:lang w:val="en-GB"/>
        </w:rPr>
        <w:t>Sustainability</w:t>
      </w:r>
      <w:r w:rsidRPr="009900A7">
        <w:rPr>
          <w:sz w:val="24"/>
          <w:szCs w:val="24"/>
          <w:lang w:val="en-GB"/>
        </w:rPr>
        <w:t xml:space="preserve">, </w:t>
      </w:r>
      <w:r w:rsidRPr="009900A7">
        <w:rPr>
          <w:i/>
          <w:sz w:val="24"/>
          <w:szCs w:val="24"/>
          <w:lang w:val="en-GB"/>
        </w:rPr>
        <w:t>11</w:t>
      </w:r>
      <w:r w:rsidRPr="009900A7">
        <w:rPr>
          <w:sz w:val="24"/>
          <w:szCs w:val="24"/>
          <w:lang w:val="en-GB"/>
        </w:rPr>
        <w:t>(2), p.345.</w:t>
      </w:r>
      <w:r w:rsidRPr="009900A7">
        <w:rPr>
          <w:sz w:val="24"/>
          <w:szCs w:val="24"/>
          <w:highlight w:val="white"/>
          <w:lang w:val="en-GB"/>
        </w:rPr>
        <w:t xml:space="preserve"> https://www.mdpi.com/393730</w:t>
      </w:r>
    </w:p>
    <w:p w14:paraId="1F3E7FDD"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Swanson, E., </w:t>
      </w:r>
      <w:proofErr w:type="spellStart"/>
      <w:r w:rsidRPr="009900A7">
        <w:rPr>
          <w:sz w:val="24"/>
          <w:szCs w:val="24"/>
          <w:highlight w:val="white"/>
          <w:lang w:val="en-GB"/>
        </w:rPr>
        <w:t>McCulley</w:t>
      </w:r>
      <w:proofErr w:type="spellEnd"/>
      <w:r w:rsidRPr="009900A7">
        <w:rPr>
          <w:sz w:val="24"/>
          <w:szCs w:val="24"/>
          <w:highlight w:val="white"/>
          <w:lang w:val="en-GB"/>
        </w:rPr>
        <w:t xml:space="preserve">, L.V., Osman, D.J., </w:t>
      </w:r>
      <w:proofErr w:type="spellStart"/>
      <w:r w:rsidRPr="009900A7">
        <w:rPr>
          <w:sz w:val="24"/>
          <w:szCs w:val="24"/>
          <w:highlight w:val="white"/>
          <w:lang w:val="en-GB"/>
        </w:rPr>
        <w:t>Scammacca</w:t>
      </w:r>
      <w:proofErr w:type="spellEnd"/>
      <w:r w:rsidRPr="009900A7">
        <w:rPr>
          <w:sz w:val="24"/>
          <w:szCs w:val="24"/>
          <w:highlight w:val="white"/>
          <w:lang w:val="en-GB"/>
        </w:rPr>
        <w:t xml:space="preserve"> Lewis, N. and Solis, M., 2019. The effect of team-based learning on content knowledge: A meta-analysis. </w:t>
      </w:r>
      <w:r w:rsidRPr="009900A7">
        <w:rPr>
          <w:i/>
          <w:sz w:val="24"/>
          <w:szCs w:val="24"/>
          <w:lang w:val="en-GB"/>
        </w:rPr>
        <w:t>Active learning in higher education</w:t>
      </w:r>
      <w:r w:rsidRPr="009900A7">
        <w:rPr>
          <w:sz w:val="24"/>
          <w:szCs w:val="24"/>
          <w:lang w:val="en-GB"/>
        </w:rPr>
        <w:t xml:space="preserve">, </w:t>
      </w:r>
      <w:r w:rsidRPr="009900A7">
        <w:rPr>
          <w:i/>
          <w:sz w:val="24"/>
          <w:szCs w:val="24"/>
          <w:lang w:val="en-GB"/>
        </w:rPr>
        <w:t>20</w:t>
      </w:r>
      <w:r w:rsidRPr="009900A7">
        <w:rPr>
          <w:sz w:val="24"/>
          <w:szCs w:val="24"/>
          <w:lang w:val="en-GB"/>
        </w:rPr>
        <w:t>(1), pp.39-50.</w:t>
      </w:r>
      <w:r w:rsidRPr="009900A7">
        <w:rPr>
          <w:sz w:val="24"/>
          <w:szCs w:val="24"/>
          <w:highlight w:val="white"/>
          <w:lang w:val="en-GB"/>
        </w:rPr>
        <w:t xml:space="preserve"> https://journals.sagepub.com/doi/pdf/10.1177/1469787417731201</w:t>
      </w:r>
    </w:p>
    <w:p w14:paraId="3BBC06BF" w14:textId="77777777" w:rsidR="00BD18A5" w:rsidRPr="009900A7" w:rsidRDefault="00323A7B">
      <w:pPr>
        <w:pStyle w:val="Normal1"/>
        <w:spacing w:before="240" w:after="240" w:line="360" w:lineRule="auto"/>
        <w:jc w:val="both"/>
        <w:rPr>
          <w:sz w:val="24"/>
          <w:szCs w:val="24"/>
          <w:highlight w:val="white"/>
          <w:lang w:val="en-GB"/>
        </w:rPr>
      </w:pPr>
      <w:r w:rsidRPr="009900A7">
        <w:rPr>
          <w:sz w:val="24"/>
          <w:szCs w:val="24"/>
          <w:highlight w:val="white"/>
          <w:lang w:val="en-GB"/>
        </w:rPr>
        <w:t xml:space="preserve">Wood, J., Oh, J., Park, J. and Kim, W., 2020. The relationship between work engagement and work–life balance in </w:t>
      </w:r>
      <w:proofErr w:type="spellStart"/>
      <w:r w:rsidRPr="009900A7">
        <w:rPr>
          <w:sz w:val="24"/>
          <w:szCs w:val="24"/>
          <w:highlight w:val="white"/>
          <w:lang w:val="en-GB"/>
        </w:rPr>
        <w:t>organizations</w:t>
      </w:r>
      <w:proofErr w:type="spellEnd"/>
      <w:r w:rsidRPr="009900A7">
        <w:rPr>
          <w:sz w:val="24"/>
          <w:szCs w:val="24"/>
          <w:highlight w:val="white"/>
          <w:lang w:val="en-GB"/>
        </w:rPr>
        <w:t xml:space="preserve">: A review of the empirical research. </w:t>
      </w:r>
      <w:r w:rsidRPr="009900A7">
        <w:rPr>
          <w:i/>
          <w:sz w:val="24"/>
          <w:szCs w:val="24"/>
          <w:lang w:val="en-GB"/>
        </w:rPr>
        <w:t>Human Resource Development Review</w:t>
      </w:r>
      <w:r w:rsidRPr="009900A7">
        <w:rPr>
          <w:sz w:val="24"/>
          <w:szCs w:val="24"/>
          <w:lang w:val="en-GB"/>
        </w:rPr>
        <w:t xml:space="preserve">, </w:t>
      </w:r>
      <w:r w:rsidRPr="009900A7">
        <w:rPr>
          <w:i/>
          <w:sz w:val="24"/>
          <w:szCs w:val="24"/>
          <w:lang w:val="en-GB"/>
        </w:rPr>
        <w:t>19</w:t>
      </w:r>
      <w:r w:rsidRPr="009900A7">
        <w:rPr>
          <w:sz w:val="24"/>
          <w:szCs w:val="24"/>
          <w:lang w:val="en-GB"/>
        </w:rPr>
        <w:t>(3), pp.240-262.</w:t>
      </w:r>
      <w:r w:rsidRPr="009900A7">
        <w:rPr>
          <w:sz w:val="24"/>
          <w:szCs w:val="24"/>
          <w:highlight w:val="white"/>
          <w:lang w:val="en-GB"/>
        </w:rPr>
        <w:t xml:space="preserve"> https://journals.sagepub.com/doi/pdf/10.1177/1534484320917560</w:t>
      </w:r>
    </w:p>
    <w:p w14:paraId="375B8F79" w14:textId="77777777" w:rsidR="00BD18A5" w:rsidRPr="009900A7" w:rsidRDefault="00323A7B">
      <w:pPr>
        <w:pStyle w:val="Normal1"/>
        <w:spacing w:before="240" w:after="240" w:line="360" w:lineRule="auto"/>
        <w:jc w:val="both"/>
        <w:rPr>
          <w:color w:val="1155CC"/>
          <w:sz w:val="24"/>
          <w:szCs w:val="24"/>
          <w:highlight w:val="white"/>
          <w:u w:val="single"/>
          <w:lang w:val="en-GB"/>
        </w:rPr>
      </w:pPr>
      <w:r w:rsidRPr="009900A7">
        <w:rPr>
          <w:sz w:val="24"/>
          <w:szCs w:val="24"/>
          <w:highlight w:val="white"/>
          <w:lang w:val="en-GB"/>
        </w:rPr>
        <w:t xml:space="preserve">Zhang, Y., </w:t>
      </w:r>
      <w:proofErr w:type="spellStart"/>
      <w:r w:rsidRPr="009900A7">
        <w:rPr>
          <w:sz w:val="24"/>
          <w:szCs w:val="24"/>
          <w:highlight w:val="white"/>
          <w:lang w:val="en-GB"/>
        </w:rPr>
        <w:t>Luo</w:t>
      </w:r>
      <w:proofErr w:type="spellEnd"/>
      <w:r w:rsidRPr="009900A7">
        <w:rPr>
          <w:sz w:val="24"/>
          <w:szCs w:val="24"/>
          <w:highlight w:val="white"/>
          <w:lang w:val="en-GB"/>
        </w:rPr>
        <w:t xml:space="preserve">, Y., Zhang, X. and Zhao, J., 2019. How green human resource management can promote green employee </w:t>
      </w:r>
      <w:proofErr w:type="spellStart"/>
      <w:r w:rsidRPr="009900A7">
        <w:rPr>
          <w:sz w:val="24"/>
          <w:szCs w:val="24"/>
          <w:highlight w:val="white"/>
          <w:lang w:val="en-GB"/>
        </w:rPr>
        <w:t>behavior</w:t>
      </w:r>
      <w:proofErr w:type="spellEnd"/>
      <w:r w:rsidRPr="009900A7">
        <w:rPr>
          <w:sz w:val="24"/>
          <w:szCs w:val="24"/>
          <w:highlight w:val="white"/>
          <w:lang w:val="en-GB"/>
        </w:rPr>
        <w:t xml:space="preserve"> in China: A technology acceptance model perspective. </w:t>
      </w:r>
      <w:r w:rsidRPr="009900A7">
        <w:rPr>
          <w:i/>
          <w:sz w:val="24"/>
          <w:szCs w:val="24"/>
          <w:lang w:val="en-GB"/>
        </w:rPr>
        <w:t>Sustainability</w:t>
      </w:r>
      <w:r w:rsidRPr="009900A7">
        <w:rPr>
          <w:sz w:val="24"/>
          <w:szCs w:val="24"/>
          <w:lang w:val="en-GB"/>
        </w:rPr>
        <w:t xml:space="preserve">, </w:t>
      </w:r>
      <w:r w:rsidRPr="009900A7">
        <w:rPr>
          <w:i/>
          <w:sz w:val="24"/>
          <w:szCs w:val="24"/>
          <w:lang w:val="en-GB"/>
        </w:rPr>
        <w:t>11</w:t>
      </w:r>
      <w:r w:rsidRPr="009900A7">
        <w:rPr>
          <w:sz w:val="24"/>
          <w:szCs w:val="24"/>
          <w:lang w:val="en-GB"/>
        </w:rPr>
        <w:t>(19), p.5408.</w:t>
      </w:r>
      <w:hyperlink r:id="rId15"/>
      <w:hyperlink r:id="rId16">
        <w:r w:rsidRPr="009900A7">
          <w:rPr>
            <w:color w:val="1155CC"/>
            <w:sz w:val="24"/>
            <w:szCs w:val="24"/>
            <w:highlight w:val="white"/>
            <w:u w:val="single"/>
            <w:lang w:val="en-GB"/>
          </w:rPr>
          <w:t>https://www.mdpi.com/544312</w:t>
        </w:r>
      </w:hyperlink>
    </w:p>
    <w:p w14:paraId="4E9BF6BD" w14:textId="77777777" w:rsidR="00BD18A5" w:rsidRPr="009900A7" w:rsidRDefault="00323A7B">
      <w:pPr>
        <w:pStyle w:val="Normal1"/>
        <w:spacing w:line="360" w:lineRule="auto"/>
        <w:jc w:val="both"/>
        <w:rPr>
          <w:sz w:val="24"/>
          <w:szCs w:val="24"/>
          <w:lang w:val="en-GB"/>
        </w:rPr>
      </w:pPr>
      <w:r w:rsidRPr="009900A7">
        <w:rPr>
          <w:lang w:val="en-GB"/>
        </w:rPr>
        <w:br w:type="page"/>
      </w:r>
    </w:p>
    <w:p w14:paraId="50558C12" w14:textId="77777777" w:rsidR="00BD18A5" w:rsidRPr="009900A7" w:rsidRDefault="00BD18A5">
      <w:pPr>
        <w:pStyle w:val="Normal1"/>
        <w:spacing w:line="360" w:lineRule="auto"/>
        <w:jc w:val="both"/>
        <w:rPr>
          <w:sz w:val="24"/>
          <w:szCs w:val="24"/>
          <w:lang w:val="en-GB"/>
        </w:rPr>
      </w:pPr>
    </w:p>
    <w:sectPr w:rsidR="00BD18A5" w:rsidRPr="009900A7" w:rsidSect="00BD18A5">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18A5"/>
    <w:rsid w:val="00230860"/>
    <w:rsid w:val="002651BF"/>
    <w:rsid w:val="00323A7B"/>
    <w:rsid w:val="00387A4A"/>
    <w:rsid w:val="00387C33"/>
    <w:rsid w:val="00813709"/>
    <w:rsid w:val="008368DD"/>
    <w:rsid w:val="008818B0"/>
    <w:rsid w:val="009571BD"/>
    <w:rsid w:val="009900A7"/>
    <w:rsid w:val="00AB5834"/>
    <w:rsid w:val="00BD18A5"/>
    <w:rsid w:val="00C04F6F"/>
    <w:rsid w:val="00D9090F"/>
    <w:rsid w:val="00E70B8E"/>
    <w:rsid w:val="00F27F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CE844"/>
  <w15:docId w15:val="{D0C75504-FD67-49B4-8A7D-D1CC5FEF7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BD18A5"/>
    <w:pPr>
      <w:keepNext/>
      <w:keepLines/>
      <w:spacing w:before="400" w:after="120"/>
      <w:outlineLvl w:val="0"/>
    </w:pPr>
    <w:rPr>
      <w:sz w:val="40"/>
      <w:szCs w:val="40"/>
    </w:rPr>
  </w:style>
  <w:style w:type="paragraph" w:styleId="Titlu2">
    <w:name w:val="heading 2"/>
    <w:basedOn w:val="Normal1"/>
    <w:next w:val="Normal1"/>
    <w:rsid w:val="00BD18A5"/>
    <w:pPr>
      <w:keepNext/>
      <w:keepLines/>
      <w:spacing w:before="360" w:after="120"/>
      <w:outlineLvl w:val="1"/>
    </w:pPr>
    <w:rPr>
      <w:sz w:val="32"/>
      <w:szCs w:val="32"/>
    </w:rPr>
  </w:style>
  <w:style w:type="paragraph" w:styleId="Titlu3">
    <w:name w:val="heading 3"/>
    <w:basedOn w:val="Normal1"/>
    <w:next w:val="Normal1"/>
    <w:rsid w:val="00BD18A5"/>
    <w:pPr>
      <w:keepNext/>
      <w:keepLines/>
      <w:spacing w:before="320" w:after="80"/>
      <w:outlineLvl w:val="2"/>
    </w:pPr>
    <w:rPr>
      <w:color w:val="434343"/>
      <w:sz w:val="28"/>
      <w:szCs w:val="28"/>
    </w:rPr>
  </w:style>
  <w:style w:type="paragraph" w:styleId="Titlu4">
    <w:name w:val="heading 4"/>
    <w:basedOn w:val="Normal1"/>
    <w:next w:val="Normal1"/>
    <w:rsid w:val="00BD18A5"/>
    <w:pPr>
      <w:keepNext/>
      <w:keepLines/>
      <w:spacing w:before="280" w:after="80"/>
      <w:outlineLvl w:val="3"/>
    </w:pPr>
    <w:rPr>
      <w:color w:val="666666"/>
      <w:sz w:val="24"/>
      <w:szCs w:val="24"/>
    </w:rPr>
  </w:style>
  <w:style w:type="paragraph" w:styleId="Titlu5">
    <w:name w:val="heading 5"/>
    <w:basedOn w:val="Normal1"/>
    <w:next w:val="Normal1"/>
    <w:rsid w:val="00BD18A5"/>
    <w:pPr>
      <w:keepNext/>
      <w:keepLines/>
      <w:spacing w:before="240" w:after="80"/>
      <w:outlineLvl w:val="4"/>
    </w:pPr>
    <w:rPr>
      <w:color w:val="666666"/>
    </w:rPr>
  </w:style>
  <w:style w:type="paragraph" w:styleId="Titlu6">
    <w:name w:val="heading 6"/>
    <w:basedOn w:val="Normal1"/>
    <w:next w:val="Normal1"/>
    <w:rsid w:val="00BD18A5"/>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BD18A5"/>
  </w:style>
  <w:style w:type="table" w:customStyle="1" w:styleId="TableNormal1">
    <w:name w:val="Table Normal1"/>
    <w:rsid w:val="00BD18A5"/>
    <w:tblPr>
      <w:tblCellMar>
        <w:top w:w="0" w:type="dxa"/>
        <w:left w:w="0" w:type="dxa"/>
        <w:bottom w:w="0" w:type="dxa"/>
        <w:right w:w="0" w:type="dxa"/>
      </w:tblCellMar>
    </w:tblPr>
  </w:style>
  <w:style w:type="paragraph" w:styleId="Titlu">
    <w:name w:val="Title"/>
    <w:basedOn w:val="Normal1"/>
    <w:next w:val="Normal1"/>
    <w:rsid w:val="00BD18A5"/>
    <w:pPr>
      <w:keepNext/>
      <w:keepLines/>
      <w:spacing w:after="60"/>
    </w:pPr>
    <w:rPr>
      <w:sz w:val="52"/>
      <w:szCs w:val="52"/>
    </w:rPr>
  </w:style>
  <w:style w:type="paragraph" w:styleId="Subtitlu">
    <w:name w:val="Subtitle"/>
    <w:basedOn w:val="Normal1"/>
    <w:next w:val="Normal1"/>
    <w:rsid w:val="00BD18A5"/>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9900A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900A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36387-1_2" TargetMode="External"/><Relationship Id="rId13" Type="http://schemas.openxmlformats.org/officeDocument/2006/relationships/hyperlink" Target="https://www.mdpi.com/99196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springer.com/chapter/10.1007/978-3-030-36387-1_2" TargetMode="External"/><Relationship Id="rId12" Type="http://schemas.openxmlformats.org/officeDocument/2006/relationships/hyperlink" Target="https://www.mdpi.com/50089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dpi.com/544312"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mdpi.com/500892" TargetMode="External"/><Relationship Id="rId5" Type="http://schemas.openxmlformats.org/officeDocument/2006/relationships/image" Target="media/image2.png"/><Relationship Id="rId15" Type="http://schemas.openxmlformats.org/officeDocument/2006/relationships/hyperlink" Target="https://www.mdpi.com/544312" TargetMode="External"/><Relationship Id="rId10" Type="http://schemas.openxmlformats.org/officeDocument/2006/relationships/hyperlink" Target="https://link.springer.com/article/10.1007/s11365-020-00638-1" TargetMode="External"/><Relationship Id="rId4" Type="http://schemas.openxmlformats.org/officeDocument/2006/relationships/image" Target="media/image1.png"/><Relationship Id="rId9" Type="http://schemas.openxmlformats.org/officeDocument/2006/relationships/hyperlink" Target="https://link.springer.com/article/10.1007/s11365-020-00638-1" TargetMode="External"/><Relationship Id="rId14" Type="http://schemas.openxmlformats.org/officeDocument/2006/relationships/hyperlink" Target="https://www.mdpi.com/9919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3039</Words>
  <Characters>17630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Adriana Alexandra Birsan (2118849)</cp:lastModifiedBy>
  <cp:revision>2</cp:revision>
  <dcterms:created xsi:type="dcterms:W3CDTF">2023-02-08T15:51:00Z</dcterms:created>
  <dcterms:modified xsi:type="dcterms:W3CDTF">2023-02-08T15:51:00Z</dcterms:modified>
</cp:coreProperties>
</file>