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02222B" w14:textId="4191366B" w:rsidR="00C72930" w:rsidRDefault="00FD0A0D">
      <w:pPr>
        <w:spacing w:after="100" w:line="480" w:lineRule="auto"/>
      </w:pPr>
      <w:r>
        <w:t xml:space="preserve">Marian Raducanu </w:t>
      </w:r>
    </w:p>
    <w:p w14:paraId="36C906AA" w14:textId="719DD6FC" w:rsidR="00FD0A0D" w:rsidRDefault="00FD0A0D">
      <w:pPr>
        <w:spacing w:after="100" w:line="480" w:lineRule="auto"/>
      </w:pPr>
      <w:r>
        <w:t xml:space="preserve">Introduction </w:t>
      </w:r>
      <w:r w:rsidR="00685F3E">
        <w:t>to Ethics</w:t>
      </w:r>
    </w:p>
    <w:p w14:paraId="6C68E9A2" w14:textId="6E493E7C" w:rsidR="00685F3E" w:rsidRDefault="00685F3E">
      <w:pPr>
        <w:spacing w:after="100" w:line="480" w:lineRule="auto"/>
      </w:pPr>
      <w:r>
        <w:t>Assessment one</w:t>
      </w:r>
    </w:p>
    <w:p w14:paraId="07E5C216" w14:textId="77777777" w:rsidR="00C72930" w:rsidRDefault="00C72930">
      <w:pPr>
        <w:spacing w:after="200" w:line="480" w:lineRule="auto"/>
      </w:pPr>
    </w:p>
    <w:p w14:paraId="14538024" w14:textId="77777777" w:rsidR="00C72930" w:rsidRDefault="006D31E8">
      <w:pPr>
        <w:spacing w:after="300" w:line="480" w:lineRule="auto"/>
        <w:jc w:val="center"/>
      </w:pPr>
      <w:r>
        <w:rPr>
          <w:b/>
          <w:bCs/>
          <w:sz w:val="28"/>
          <w:szCs w:val="28"/>
        </w:rPr>
        <w:t>On What Basis Does Christian Ethics Make a Claim to Universalism, and How Convincing Is This?</w:t>
      </w:r>
    </w:p>
    <w:p w14:paraId="626796C1" w14:textId="77777777" w:rsidR="00C72930" w:rsidRDefault="00C72930">
      <w:pPr>
        <w:spacing w:after="200" w:line="480" w:lineRule="auto"/>
      </w:pPr>
    </w:p>
    <w:p w14:paraId="3B0F545D" w14:textId="77777777" w:rsidR="00C72930" w:rsidRDefault="006D31E8">
      <w:pPr>
        <w:spacing w:before="360" w:after="200" w:line="480" w:lineRule="auto"/>
      </w:pPr>
      <w:r>
        <w:rPr>
          <w:b/>
          <w:bCs/>
        </w:rPr>
        <w:t>Introduction</w:t>
      </w:r>
    </w:p>
    <w:p w14:paraId="56243CFD" w14:textId="77777777" w:rsidR="00C72930" w:rsidRDefault="006D31E8">
      <w:pPr>
        <w:spacing w:after="200" w:line="480" w:lineRule="auto"/>
        <w:jc w:val="both"/>
      </w:pPr>
      <w:r>
        <w:t>Christian ethics has long maintained that its moral teachings possess a universality that extends beyond the boundaries of the Christian community itself, applying to all persons regardless of culture, nationality, or religious affiliation. The term ‘universalism’ in this context does not refer to the soteriological doctrine that all people will ultimately be saved, but rather to the claim that the moral principles articulated within the Christian tradition are binding upon every human being by virtue of their shared nature and their relationship to God. This essay examines the principal foundations upon which this claim rests – namely the doctrine of creation, the natural law tradition, the universal scope of the gospel, and the unchanging character of God – before evaluating how persuasive these arguments are in the face of challenges from religious pluralism, moral diversity, secular ethical alternatives, and internal Christian tensions. It will be argued that whilst the Christian claim to moral universalism possesses considerable internal coherence and can draw upon genuinely impressive philosophical resources, its persuasiveness in the contemporary pluralistic public square remains contested and ultimately depends upon prior commitments regarding the authority of revelation and the capacity of human reason.</w:t>
      </w:r>
    </w:p>
    <w:p w14:paraId="4744A182" w14:textId="77777777" w:rsidR="00C72930" w:rsidRDefault="006D31E8">
      <w:pPr>
        <w:spacing w:before="360" w:after="200" w:line="480" w:lineRule="auto"/>
      </w:pPr>
      <w:r>
        <w:rPr>
          <w:b/>
          <w:bCs/>
        </w:rPr>
        <w:t>The Doctrine of Creation and the Imago Dei</w:t>
      </w:r>
    </w:p>
    <w:p w14:paraId="2EF4CBC6" w14:textId="77777777" w:rsidR="00C72930" w:rsidRDefault="006D31E8">
      <w:pPr>
        <w:spacing w:after="200" w:line="480" w:lineRule="auto"/>
        <w:jc w:val="both"/>
      </w:pPr>
      <w:r>
        <w:t>The most fundamental basis for the Christian claim to ethical universalism lies in the doctrine that all human beings are created in the image of God. The book of Genesis declares that God made humanity in his own image and likeness, bestowing upon every person a dignity and moral constitution that transcends cultural or historical particularity.</w:t>
      </w:r>
      <w:r>
        <w:rPr>
          <w:rStyle w:val="Referinnotdesubsol"/>
        </w:rPr>
        <w:footnoteReference w:id="1"/>
      </w:r>
      <w:r>
        <w:t xml:space="preserve"> If every human being bears the </w:t>
      </w:r>
      <w:r>
        <w:rPr>
          <w:i/>
          <w:iCs/>
        </w:rPr>
        <w:t>imago Dei</w:t>
      </w:r>
      <w:r>
        <w:t>, then moral obligations rooted in this shared nature apply universally, not merely to those who explicitly acknowledge God. The Apostle Paul develops this reasoning in his Epistle to the Romans, arguing that even Gentiles who lack the Mosaic law demonstrate that the requirements of the law are inscribed upon their hearts, their consciences bearing witness to a moral order that precedes and transcends any particular code of legislation.</w:t>
      </w:r>
      <w:r>
        <w:rPr>
          <w:rStyle w:val="Referinnotdesubsol"/>
        </w:rPr>
        <w:footnoteReference w:id="2"/>
      </w:r>
      <w:r>
        <w:t xml:space="preserve"> This theological anthropology provides a powerful warrant for universalism: if all people share a common Creator and a common nature, then what is morally good or evil is not determined by cultural convention but by the very structure of human existence as willed by God.</w:t>
      </w:r>
    </w:p>
    <w:p w14:paraId="003A32B7" w14:textId="77777777" w:rsidR="00C72930" w:rsidRDefault="006D31E8">
      <w:pPr>
        <w:spacing w:before="360" w:after="200" w:line="480" w:lineRule="auto"/>
      </w:pPr>
      <w:r>
        <w:rPr>
          <w:b/>
          <w:bCs/>
        </w:rPr>
        <w:t>The Natural Law Tradition</w:t>
      </w:r>
    </w:p>
    <w:p w14:paraId="53B84A68" w14:textId="77777777" w:rsidR="00C72930" w:rsidRDefault="006D31E8">
      <w:pPr>
        <w:spacing w:after="200" w:line="480" w:lineRule="auto"/>
        <w:jc w:val="both"/>
      </w:pPr>
      <w:r>
        <w:t xml:space="preserve">Building upon the </w:t>
      </w:r>
      <w:r>
        <w:rPr>
          <w:i/>
          <w:iCs/>
        </w:rPr>
        <w:t>imago Dei</w:t>
      </w:r>
      <w:r>
        <w:t>, the natural law tradition – developed most systematically by Thomas Aquinas – argues that moral principles can be discerned through the exercise of human reason reflecting upon the God-given purposes of human nature. Aquinas held that the natural law is a participation of the rational creature in the eternal law of God, accessible to all who possess the faculty of reason.</w:t>
      </w:r>
      <w:r>
        <w:rPr>
          <w:rStyle w:val="Referinnotdesubsol"/>
        </w:rPr>
        <w:footnoteReference w:id="3"/>
      </w:r>
      <w:r>
        <w:t xml:space="preserve"> On this account, basic moral precepts such as the preservation of life, the pursuit of truth, the education of offspring, and the maintenance of just social relations are universally knowable because they arise from inclinations common to all human beings.</w:t>
      </w:r>
      <w:r>
        <w:rPr>
          <w:rStyle w:val="Referinnotdesubsol"/>
        </w:rPr>
        <w:footnoteReference w:id="4"/>
      </w:r>
      <w:r>
        <w:t xml:space="preserve"> Crucially, the natural law argument does not require assent to Scripture or membership of the Church; it claims that morality is accessible to anyone who reasons carefully about human flourishing. This tradition finds striking parallels in Stoic philosophy, and it was precisely this affinity that enabled early Christian apologists to present their faith not as a sectarian innovation but as the fulfilment of what the best pagan thinkers had already dimly apprehended. C. S. Lewis drew upon this tradition in </w:t>
      </w:r>
      <w:r>
        <w:rPr>
          <w:i/>
          <w:iCs/>
        </w:rPr>
        <w:t>The Abolition of Man</w:t>
      </w:r>
      <w:r>
        <w:t xml:space="preserve">, arguing that virtually all civilisations have recognised a common moral framework – what he termed the </w:t>
      </w:r>
      <w:r>
        <w:rPr>
          <w:i/>
          <w:iCs/>
        </w:rPr>
        <w:t>Tao</w:t>
      </w:r>
      <w:r>
        <w:t xml:space="preserve"> – which constitutes the foundation of any coherent ethical system.</w:t>
      </w:r>
      <w:r>
        <w:rPr>
          <w:rStyle w:val="Referinnotdesubsol"/>
        </w:rPr>
        <w:footnoteReference w:id="5"/>
      </w:r>
    </w:p>
    <w:p w14:paraId="600B4CE6" w14:textId="77777777" w:rsidR="00C72930" w:rsidRDefault="006D31E8">
      <w:pPr>
        <w:spacing w:before="360" w:after="200" w:line="480" w:lineRule="auto"/>
      </w:pPr>
      <w:r>
        <w:rPr>
          <w:b/>
          <w:bCs/>
        </w:rPr>
        <w:t>The Universal Scope of the Gospel</w:t>
      </w:r>
    </w:p>
    <w:p w14:paraId="2C9208F8" w14:textId="77777777" w:rsidR="00C72930" w:rsidRDefault="006D31E8">
      <w:pPr>
        <w:spacing w:after="200" w:line="480" w:lineRule="auto"/>
        <w:jc w:val="both"/>
      </w:pPr>
      <w:r>
        <w:t>A further basis for the universalist claim arises from the scope of the gospel itself. The Great Commission recorded in the Gospel of Matthew commands the disciples to go and make disciples of all nations, teaching them to observe all that Christ has commanded.</w:t>
      </w:r>
      <w:r>
        <w:rPr>
          <w:rStyle w:val="Referinnotdesubsol"/>
        </w:rPr>
        <w:footnoteReference w:id="6"/>
      </w:r>
      <w:r>
        <w:t xml:space="preserve"> The ethical teachings of Jesus – exemplified in the Sermon on the Mount, the love commands, and the parables of the Kingdom – are thus presented not as tribal customs pertaining to one ethnic group, but as the true description of what it means to live as God intends. If these teachings were merely culturally specific, the commission to proclaim them to every nation would be unintelligible. Paul reinforces this universalism by declaring that in Christ there is neither Jew nor Gentile, slave nor free, male nor female, for all are united in one new humanity.</w:t>
      </w:r>
      <w:r>
        <w:rPr>
          <w:rStyle w:val="Referinnotdesubsol"/>
        </w:rPr>
        <w:footnoteReference w:id="7"/>
      </w:r>
      <w:r>
        <w:t xml:space="preserve"> The Christian moral vision is thus inseparable from a theological conviction that God’s redemptive purposes encompass the whole of humanity, and that the ethical implications of the gospel are intended for universal application.</w:t>
      </w:r>
    </w:p>
    <w:p w14:paraId="796EDDC5" w14:textId="77777777" w:rsidR="00C72930" w:rsidRDefault="006D31E8">
      <w:pPr>
        <w:spacing w:before="360" w:after="200" w:line="480" w:lineRule="auto"/>
      </w:pPr>
      <w:r>
        <w:rPr>
          <w:b/>
          <w:bCs/>
        </w:rPr>
        <w:t>The Character of God as Unchanging Moral Standard</w:t>
      </w:r>
    </w:p>
    <w:p w14:paraId="2D3EB9F1" w14:textId="164E3865" w:rsidR="00C72930" w:rsidRDefault="006D31E8">
      <w:pPr>
        <w:spacing w:after="200" w:line="480" w:lineRule="auto"/>
        <w:jc w:val="both"/>
      </w:pPr>
      <w:r>
        <w:t xml:space="preserve">Finally, Christian ethics grounds its universalist claim </w:t>
      </w:r>
      <w:r w:rsidR="000F7DDB">
        <w:t>in God</w:t>
      </w:r>
      <w:r>
        <w:t xml:space="preserve"> himself. If morality is ultimately rooted not in human consensus but in the character of a God who is perfectly good, just, and loving, then moral standards are as unchanging and universal as God’s own nature. The author of the Epistle to the Hebrews affirms that Jesus Christ is the same yesterday, today, and for ever.</w:t>
      </w:r>
      <w:r>
        <w:rPr>
          <w:rStyle w:val="Referinnotdesubsol"/>
        </w:rPr>
        <w:footnoteReference w:id="8"/>
      </w:r>
      <w:r>
        <w:t xml:space="preserve"> Augustine likewise argued that the moral order is grounded in the eternal and immutable wisdom of God, so that the rightness or wrongness of an action does not depend upon the shifting opinions of any particular society.</w:t>
      </w:r>
      <w:r>
        <w:rPr>
          <w:rStyle w:val="Referinnotdesubsol"/>
        </w:rPr>
        <w:footnoteReference w:id="9"/>
      </w:r>
      <w:r>
        <w:t xml:space="preserve"> On this view, what pleases God in one era or culture pleases him in every era and culture, and human beings are obligated to conform their conduct to this divine standard irrespective of whether they recognise its source.</w:t>
      </w:r>
    </w:p>
    <w:p w14:paraId="5A701144" w14:textId="77777777" w:rsidR="00C72930" w:rsidRDefault="006D31E8">
      <w:pPr>
        <w:spacing w:before="360" w:after="200" w:line="480" w:lineRule="auto"/>
      </w:pPr>
      <w:r>
        <w:rPr>
          <w:b/>
          <w:bCs/>
        </w:rPr>
        <w:t>Evaluating the Persuasiveness of the Claim</w:t>
      </w:r>
    </w:p>
    <w:p w14:paraId="185338D2" w14:textId="77777777" w:rsidR="00C72930" w:rsidRDefault="006D31E8">
      <w:pPr>
        <w:spacing w:after="200" w:line="480" w:lineRule="auto"/>
        <w:jc w:val="both"/>
      </w:pPr>
      <w:r>
        <w:t>The Christian claim to ethical universalism draws considerable support from the observable phenomenon of moral convergence across cultures. Virtually every known society has condemned unprovoked killing, valued honesty, and upheld some form of justice and reciprocity. Lewis marshalled extensive evidence for this convergence, arguing that differences between moral codes are far less significant than the basic moral grammar they share.</w:t>
      </w:r>
      <w:r>
        <w:rPr>
          <w:rStyle w:val="Referinnotdesubsol"/>
        </w:rPr>
        <w:footnoteReference w:id="10"/>
      </w:r>
      <w:r>
        <w:t xml:space="preserve"> Furthermore, the modern discourse of universal human rights – with its insistence upon the inherent dignity and equality of every person – owes a profound, if sometimes unacknowledged, debt to Christian creation theology. If one accepts that human rights are genuinely universal, then the Christian tradition provides a coherent metaphysical foundation for them, grounding dignity not in social convention but in the creative act of God. The natural law tradition also retains considerable philosophical force, precisely because it does not demand prior religious commitment but appeals instead to the deliverances of reason concerning human flourishing. In an age of fragmented moral discourse, the natural law approach offers a potential lingua franca for ethical conversation across worldview boundaries.</w:t>
      </w:r>
    </w:p>
    <w:p w14:paraId="4BB77EF8" w14:textId="77777777" w:rsidR="00C72930" w:rsidRDefault="006D31E8">
      <w:pPr>
        <w:spacing w:before="360" w:after="200" w:line="480" w:lineRule="auto"/>
      </w:pPr>
      <w:r>
        <w:rPr>
          <w:b/>
          <w:bCs/>
        </w:rPr>
        <w:t>Challenges to the Universalist Claim</w:t>
      </w:r>
    </w:p>
    <w:p w14:paraId="598ED027" w14:textId="77777777" w:rsidR="00C72930" w:rsidRDefault="006D31E8">
      <w:pPr>
        <w:spacing w:after="200" w:line="480" w:lineRule="auto"/>
        <w:jc w:val="both"/>
      </w:pPr>
      <w:r>
        <w:t>Nevertheless, the Christian claim faces formidable challenges. The reality of religious pluralism poses perhaps the most pressing difficulty. Islam, Buddhism, Hinduism, and other traditions also articulate moral frameworks that claim universal validity, and these frequently diverge from Christian teaching on substantive matters. The mere existence of multiple competing universalisms threatens to undermine each of them: if several traditions claim that their ethics alone are truly universal, an external observer may reasonably conclude that none can demonstrate its superiority without begging the question. Alasdair MacIntyre has argued influentially that the Enlightenment project of establishing a universal morality independent of any particular tradition has comprehensively failed, leaving contemporary moral discourse in a state of interminable disagreement.</w:t>
      </w:r>
      <w:r>
        <w:rPr>
          <w:rStyle w:val="Referinnotdesubsol"/>
        </w:rPr>
        <w:footnoteReference w:id="11"/>
      </w:r>
      <w:r>
        <w:t xml:space="preserve"> Whilst MacIntyre himself returned to the Thomist tradition as a remedy, his diagnosis nevertheless highlights the difficulty of securing genuinely universal moral agreement.</w:t>
      </w:r>
    </w:p>
    <w:p w14:paraId="56D43CC3" w14:textId="77777777" w:rsidR="00C72930" w:rsidRDefault="006D31E8">
      <w:pPr>
        <w:spacing w:after="200" w:line="480" w:lineRule="auto"/>
        <w:jc w:val="both"/>
      </w:pPr>
      <w:r>
        <w:t>A related challenge concerns the role of special revelation. Although the natural law tradition claims that moral truth is accessible to reason alone, much of Christian ethics in practice draws upon Scripture, the teaching of Jesus, and the authority of the Church – sources that are not accepted by those outside the Christian community. If Christian universalism rests even partly upon revealed truths, its claim to universal applicability is weakened, since it presupposes commitments that many people do not share. Furthermore, the sheer extent of moral disagreement across cultures – on matters such as sexual ethics, capital punishment, the status of women, and obligations to strangers – poses a significant empirical challenge to the claim that natural law is clearly discernible by all reasonable persons. If the moral law were truly written upon every heart, one might expect greater convergence than history reveals.</w:t>
      </w:r>
    </w:p>
    <w:p w14:paraId="272BE174" w14:textId="77777777" w:rsidR="00C72930" w:rsidRDefault="006D31E8">
      <w:pPr>
        <w:spacing w:after="200" w:line="480" w:lineRule="auto"/>
        <w:jc w:val="both"/>
      </w:pPr>
      <w:r>
        <w:t>Secular ethical traditions present a further challenge. Utilitarianism, Kantianism, and various forms of virtue ethics all claim to identify universal moral principles without reference to God. If morality can be grounded independently of theism, the distinctively Christian contribution may appear dispensable. The historical record also furnishes uncomfortable examples of purportedly universal Christian ethics being deployed to justify colonialism, slavery, and cultural imperialism, suggesting that what was presented as universal was in reality the projection of one culture’s values upon others.</w:t>
      </w:r>
    </w:p>
    <w:p w14:paraId="5974E619" w14:textId="77777777" w:rsidR="00C72930" w:rsidRDefault="006D31E8">
      <w:pPr>
        <w:spacing w:before="360" w:after="200" w:line="480" w:lineRule="auto"/>
      </w:pPr>
      <w:r>
        <w:rPr>
          <w:b/>
          <w:bCs/>
        </w:rPr>
        <w:t>Internal Christian Tensions</w:t>
      </w:r>
    </w:p>
    <w:p w14:paraId="74AC2771" w14:textId="77777777" w:rsidR="00C72930" w:rsidRDefault="006D31E8">
      <w:pPr>
        <w:spacing w:after="200" w:line="480" w:lineRule="auto"/>
        <w:jc w:val="both"/>
      </w:pPr>
      <w:r>
        <w:t>The universalist claim is further complicated by disagreements within Christianity itself. The Catholic tradition, with its robust natural law framework, can more readily argue that moral truth is universally accessible through reason. Protestant traditions, by contrast, have often emphasised the noetic effects of sin – the corruption of human reason by the Fall – casting doubt upon whether anyone can reliably discern the moral law apart from the grace of God and the illumination of Scripture. Stanley Hauerwas has mounted a sustained critique of Christian universalism from within the tradition, arguing that the Church should not seek to ground its ethics in universal reason but should instead cultivate a distinctive community of character shaped by the narrative of Christ.</w:t>
      </w:r>
      <w:r>
        <w:rPr>
          <w:rStyle w:val="Referinnotdesubsol"/>
        </w:rPr>
        <w:footnoteReference w:id="12"/>
      </w:r>
      <w:r>
        <w:t xml:space="preserve"> For Hauerwas, the attempt to make Christian ethics universally acceptable inevitably dilutes its radical distinctiveness. John Milbank, from the perspective of Radical Orthodoxy, has similarly challenged the legitimacy of secular reason as a neutral arbiter of universal values, arguing that all purportedly secular universalisms are in fact covert theologies.</w:t>
      </w:r>
      <w:r>
        <w:rPr>
          <w:rStyle w:val="Referinnotdesubsol"/>
        </w:rPr>
        <w:footnoteReference w:id="13"/>
      </w:r>
      <w:r>
        <w:t xml:space="preserve"> These internal debates reveal that the universalist claim is by no means uncontested even among Christian ethicists.</w:t>
      </w:r>
    </w:p>
    <w:p w14:paraId="0B721C81" w14:textId="77777777" w:rsidR="00C72930" w:rsidRDefault="006D31E8">
      <w:pPr>
        <w:spacing w:before="360" w:after="200" w:line="480" w:lineRule="auto"/>
      </w:pPr>
      <w:r>
        <w:rPr>
          <w:b/>
          <w:bCs/>
        </w:rPr>
        <w:t>Conclusion</w:t>
      </w:r>
    </w:p>
    <w:p w14:paraId="33BC3D7B" w14:textId="77777777" w:rsidR="00C72930" w:rsidRDefault="006D31E8">
      <w:pPr>
        <w:spacing w:after="200" w:line="480" w:lineRule="auto"/>
        <w:jc w:val="both"/>
      </w:pPr>
      <w:r>
        <w:t>Christian ethics claims universalism on the basis of creation theology, natural law, the worldwide scope of the gospel, and the unchanging character of God. These grounds provide the tradition with a substantial and internally coherent account of why moral truth transcends cultural and religious boundaries. The observable convergence of moral intuitions across civilisations and the deep roots of human rights discourse in Christian anthropology lend further weight to the claim. However, the persuasiveness of this universalism diminishes significantly when assessed from outside the tradition. The reality of religious pluralism, the persistence of deep moral disagreement, the availability of secular ethical alternatives, and the troubling historical misuses of Christian moral claims all constitute serious challenges. Moreover, internal Christian debates between Catholic and Protestant emphases, and between universalists and particularists such as Hauerwas, demonstrate that the scope and basis of Christian moral universalism remain actively contested. In the final analysis, the claim is most convincing when expressed through the natural law tradition, which offers a genuine bridge for moral dialogue that does not demand prior religious commitment. Yet even this bridge requires interlocutors who share certain assumptions about human nature and rational enquiry – assumptions that cannot themselves be demonstrated with the universality that the tradition claims for its conclusions.</w:t>
      </w:r>
    </w:p>
    <w:p w14:paraId="578F6F80" w14:textId="77777777" w:rsidR="00C72930" w:rsidRDefault="00C72930">
      <w:pPr>
        <w:spacing w:after="200" w:line="480" w:lineRule="auto"/>
      </w:pPr>
    </w:p>
    <w:p w14:paraId="34B556D8" w14:textId="77777777" w:rsidR="00C72930" w:rsidRDefault="006D31E8">
      <w:pPr>
        <w:spacing w:before="360" w:after="200" w:line="480" w:lineRule="auto"/>
      </w:pPr>
      <w:r>
        <w:rPr>
          <w:b/>
          <w:bCs/>
        </w:rPr>
        <w:t>Bibliography</w:t>
      </w:r>
    </w:p>
    <w:p w14:paraId="2BD1720A" w14:textId="77777777" w:rsidR="00C72930" w:rsidRDefault="006D31E8">
      <w:pPr>
        <w:spacing w:after="160" w:line="360" w:lineRule="auto"/>
        <w:ind w:left="720" w:hanging="720"/>
      </w:pPr>
      <w:r>
        <w:t xml:space="preserve">Aquinas, Thomas, </w:t>
      </w:r>
      <w:r>
        <w:rPr>
          <w:i/>
          <w:iCs/>
        </w:rPr>
        <w:t>Summa Theologica</w:t>
      </w:r>
      <w:r>
        <w:t xml:space="preserve"> (London: Burns, Oates and Washbourne, 1920)</w:t>
      </w:r>
    </w:p>
    <w:p w14:paraId="1D10ADBF" w14:textId="77777777" w:rsidR="00C72930" w:rsidRDefault="006D31E8">
      <w:pPr>
        <w:spacing w:after="160" w:line="360" w:lineRule="auto"/>
        <w:ind w:left="720" w:hanging="720"/>
      </w:pPr>
      <w:r>
        <w:t xml:space="preserve">Augustine of Hippo, </w:t>
      </w:r>
      <w:r>
        <w:rPr>
          <w:i/>
          <w:iCs/>
        </w:rPr>
        <w:t>The City of God</w:t>
      </w:r>
      <w:r>
        <w:t>, trans. by Henry Bettenson (London: Penguin, 2003)</w:t>
      </w:r>
    </w:p>
    <w:p w14:paraId="23E63023" w14:textId="77777777" w:rsidR="00C72930" w:rsidRDefault="006D31E8">
      <w:pPr>
        <w:spacing w:after="160" w:line="360" w:lineRule="auto"/>
        <w:ind w:left="720" w:hanging="720"/>
      </w:pPr>
      <w:r>
        <w:t xml:space="preserve">Hauerwas, Stanley, </w:t>
      </w:r>
      <w:r>
        <w:rPr>
          <w:i/>
          <w:iCs/>
        </w:rPr>
        <w:t>A Community of Character: Toward a Constructive Christian Social Ethic</w:t>
      </w:r>
      <w:r>
        <w:t xml:space="preserve"> (Notre Dame, IN: University of Notre Dame Press, 1981)</w:t>
      </w:r>
    </w:p>
    <w:p w14:paraId="50D16796" w14:textId="77777777" w:rsidR="00C72930" w:rsidRDefault="006D31E8">
      <w:pPr>
        <w:spacing w:after="160" w:line="360" w:lineRule="auto"/>
        <w:ind w:left="720" w:hanging="720"/>
      </w:pPr>
      <w:r>
        <w:t xml:space="preserve">Lewis, C. S., </w:t>
      </w:r>
      <w:r>
        <w:rPr>
          <w:i/>
          <w:iCs/>
        </w:rPr>
        <w:t>The Abolition of Man</w:t>
      </w:r>
      <w:r>
        <w:t xml:space="preserve"> (Oxford: Oxford University Press, 1943)</w:t>
      </w:r>
    </w:p>
    <w:p w14:paraId="0C7FBA2A" w14:textId="77777777" w:rsidR="00C72930" w:rsidRDefault="006D31E8">
      <w:pPr>
        <w:spacing w:after="160" w:line="360" w:lineRule="auto"/>
        <w:ind w:left="720" w:hanging="720"/>
      </w:pPr>
      <w:r>
        <w:t xml:space="preserve">MacIntyre, Alasdair, </w:t>
      </w:r>
      <w:r>
        <w:rPr>
          <w:i/>
          <w:iCs/>
        </w:rPr>
        <w:t>After Virtue: A Study in Moral Theory</w:t>
      </w:r>
      <w:r>
        <w:t>, 3rd edn (London: Duckworth, 2007)</w:t>
      </w:r>
    </w:p>
    <w:p w14:paraId="1B159A7A" w14:textId="77777777" w:rsidR="00C72930" w:rsidRDefault="006D31E8">
      <w:pPr>
        <w:spacing w:after="160" w:line="360" w:lineRule="auto"/>
        <w:ind w:left="720" w:hanging="720"/>
      </w:pPr>
      <w:r>
        <w:t xml:space="preserve">Milbank, John, </w:t>
      </w:r>
      <w:r>
        <w:rPr>
          <w:i/>
          <w:iCs/>
        </w:rPr>
        <w:t>Theology and Social Theory: Beyond Secular Reason</w:t>
      </w:r>
      <w:r>
        <w:t>, 2nd edn (Oxford: Blackwell, 2006)</w:t>
      </w:r>
    </w:p>
    <w:p w14:paraId="26D3FD29" w14:textId="77777777" w:rsidR="00C72930" w:rsidRDefault="006D31E8">
      <w:pPr>
        <w:spacing w:after="160" w:line="360" w:lineRule="auto"/>
        <w:ind w:left="720" w:hanging="720"/>
      </w:pPr>
      <w:r>
        <w:rPr>
          <w:i/>
          <w:iCs/>
        </w:rPr>
        <w:t>The Holy Bible: New Revised Standard Version</w:t>
      </w:r>
      <w:r>
        <w:t xml:space="preserve"> (London: HarperCollins, 1989)</w:t>
      </w:r>
    </w:p>
    <w:sectPr w:rsidR="00C7293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869813" w14:textId="77777777" w:rsidR="006D31E8" w:rsidRDefault="006D31E8">
      <w:r>
        <w:separator/>
      </w:r>
    </w:p>
  </w:endnote>
  <w:endnote w:type="continuationSeparator" w:id="0">
    <w:p w14:paraId="01933F31" w14:textId="77777777" w:rsidR="006D31E8" w:rsidRDefault="006D31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CB109" w14:textId="77777777" w:rsidR="006D31E8" w:rsidRDefault="006D31E8">
      <w:r>
        <w:separator/>
      </w:r>
    </w:p>
  </w:footnote>
  <w:footnote w:type="continuationSeparator" w:id="0">
    <w:p w14:paraId="1C52F0A6" w14:textId="77777777" w:rsidR="006D31E8" w:rsidRDefault="006D31E8">
      <w:r>
        <w:continuationSeparator/>
      </w:r>
    </w:p>
  </w:footnote>
  <w:footnote w:id="1">
    <w:p w14:paraId="603AA0DF" w14:textId="77777777" w:rsidR="00C72930" w:rsidRDefault="006D31E8">
      <w:pPr>
        <w:spacing w:after="100" w:line="276" w:lineRule="auto"/>
        <w:jc w:val="both"/>
      </w:pPr>
      <w:r>
        <w:rPr>
          <w:rStyle w:val="Referinnotdesubsol"/>
        </w:rPr>
        <w:footnoteRef/>
      </w:r>
      <w:r>
        <w:t>Genesis 1:26-27 (New Revised Standard Version).</w:t>
      </w:r>
    </w:p>
  </w:footnote>
  <w:footnote w:id="2">
    <w:p w14:paraId="443A788F" w14:textId="77777777" w:rsidR="00C72930" w:rsidRDefault="006D31E8">
      <w:pPr>
        <w:spacing w:after="100" w:line="276" w:lineRule="auto"/>
        <w:jc w:val="both"/>
      </w:pPr>
      <w:r>
        <w:rPr>
          <w:rStyle w:val="Referinnotdesubsol"/>
        </w:rPr>
        <w:footnoteRef/>
      </w:r>
      <w:r>
        <w:t>Romans 2:14-15 (NRSV).</w:t>
      </w:r>
    </w:p>
  </w:footnote>
  <w:footnote w:id="3">
    <w:p w14:paraId="122FCEDC" w14:textId="77777777" w:rsidR="00C72930" w:rsidRDefault="006D31E8">
      <w:pPr>
        <w:spacing w:after="100" w:line="276" w:lineRule="auto"/>
        <w:jc w:val="both"/>
      </w:pPr>
      <w:r>
        <w:rPr>
          <w:rStyle w:val="Referinnotdesubsol"/>
        </w:rPr>
        <w:footnoteRef/>
      </w:r>
      <w:r>
        <w:t xml:space="preserve">Thomas Aquinas, </w:t>
      </w:r>
      <w:r>
        <w:rPr>
          <w:i/>
          <w:iCs/>
        </w:rPr>
        <w:t>Summa Theologica</w:t>
      </w:r>
      <w:r>
        <w:t>, I-II, q. 94, a. 2 (London: Burns, Oates and Washbourne, 1920).</w:t>
      </w:r>
    </w:p>
  </w:footnote>
  <w:footnote w:id="4">
    <w:p w14:paraId="4F1F7748" w14:textId="77777777" w:rsidR="00C72930" w:rsidRDefault="006D31E8">
      <w:pPr>
        <w:spacing w:after="100" w:line="276" w:lineRule="auto"/>
        <w:jc w:val="both"/>
      </w:pPr>
      <w:r>
        <w:rPr>
          <w:rStyle w:val="Referinnotdesubsol"/>
        </w:rPr>
        <w:footnoteRef/>
      </w:r>
      <w:r>
        <w:t xml:space="preserve">Aquinas, </w:t>
      </w:r>
      <w:r>
        <w:rPr>
          <w:i/>
          <w:iCs/>
        </w:rPr>
        <w:t>Summa Theologica</w:t>
      </w:r>
      <w:r>
        <w:t>, I-II, q. 91, a. 2.</w:t>
      </w:r>
    </w:p>
  </w:footnote>
  <w:footnote w:id="5">
    <w:p w14:paraId="052FE930" w14:textId="77777777" w:rsidR="00C72930" w:rsidRDefault="006D31E8">
      <w:pPr>
        <w:spacing w:after="100" w:line="276" w:lineRule="auto"/>
        <w:jc w:val="both"/>
      </w:pPr>
      <w:r>
        <w:rPr>
          <w:rStyle w:val="Referinnotdesubsol"/>
        </w:rPr>
        <w:footnoteRef/>
      </w:r>
      <w:r>
        <w:t xml:space="preserve">C. S. Lewis, </w:t>
      </w:r>
      <w:r>
        <w:rPr>
          <w:i/>
          <w:iCs/>
        </w:rPr>
        <w:t>The Abolition of Man</w:t>
      </w:r>
      <w:r>
        <w:t xml:space="preserve"> (Oxford: Oxford University Press, 1943), pp. 11-26.</w:t>
      </w:r>
    </w:p>
  </w:footnote>
  <w:footnote w:id="6">
    <w:p w14:paraId="1A119CB9" w14:textId="77777777" w:rsidR="00C72930" w:rsidRDefault="006D31E8">
      <w:pPr>
        <w:spacing w:after="100" w:line="276" w:lineRule="auto"/>
        <w:jc w:val="both"/>
      </w:pPr>
      <w:r>
        <w:rPr>
          <w:rStyle w:val="Referinnotdesubsol"/>
        </w:rPr>
        <w:footnoteRef/>
      </w:r>
      <w:r>
        <w:t>Matthew 28:19 (NRSV).</w:t>
      </w:r>
    </w:p>
  </w:footnote>
  <w:footnote w:id="7">
    <w:p w14:paraId="30B62738" w14:textId="77777777" w:rsidR="00C72930" w:rsidRDefault="006D31E8">
      <w:pPr>
        <w:spacing w:after="100" w:line="276" w:lineRule="auto"/>
        <w:jc w:val="both"/>
      </w:pPr>
      <w:r>
        <w:rPr>
          <w:rStyle w:val="Referinnotdesubsol"/>
        </w:rPr>
        <w:footnoteRef/>
      </w:r>
      <w:r>
        <w:t>Galatians 3:28 (NRSV).</w:t>
      </w:r>
    </w:p>
  </w:footnote>
  <w:footnote w:id="8">
    <w:p w14:paraId="570B6A28" w14:textId="77777777" w:rsidR="00C72930" w:rsidRDefault="006D31E8">
      <w:pPr>
        <w:spacing w:after="100" w:line="276" w:lineRule="auto"/>
        <w:jc w:val="both"/>
      </w:pPr>
      <w:r>
        <w:rPr>
          <w:rStyle w:val="Referinnotdesubsol"/>
        </w:rPr>
        <w:footnoteRef/>
      </w:r>
      <w:r>
        <w:t>Hebrews 13:8 (NRSV).</w:t>
      </w:r>
    </w:p>
  </w:footnote>
  <w:footnote w:id="9">
    <w:p w14:paraId="6BF46010" w14:textId="77777777" w:rsidR="00C72930" w:rsidRDefault="006D31E8">
      <w:pPr>
        <w:spacing w:after="100" w:line="276" w:lineRule="auto"/>
        <w:jc w:val="both"/>
      </w:pPr>
      <w:r>
        <w:rPr>
          <w:rStyle w:val="Referinnotdesubsol"/>
        </w:rPr>
        <w:footnoteRef/>
      </w:r>
      <w:r>
        <w:t xml:space="preserve">Augustine of Hippo, </w:t>
      </w:r>
      <w:r>
        <w:rPr>
          <w:i/>
          <w:iCs/>
        </w:rPr>
        <w:t>The City of God</w:t>
      </w:r>
      <w:r>
        <w:t>, trans. by Henry Bettenson (London: Penguin, 2003), XIX.13.</w:t>
      </w:r>
    </w:p>
  </w:footnote>
  <w:footnote w:id="10">
    <w:p w14:paraId="1916365C" w14:textId="77777777" w:rsidR="00C72930" w:rsidRDefault="006D31E8">
      <w:pPr>
        <w:spacing w:after="100" w:line="276" w:lineRule="auto"/>
        <w:jc w:val="both"/>
      </w:pPr>
      <w:r>
        <w:rPr>
          <w:rStyle w:val="Referinnotdesubsol"/>
        </w:rPr>
        <w:footnoteRef/>
      </w:r>
      <w:r>
        <w:t xml:space="preserve">Lewis, </w:t>
      </w:r>
      <w:r>
        <w:rPr>
          <w:i/>
          <w:iCs/>
        </w:rPr>
        <w:t>The Abolition of Man</w:t>
      </w:r>
      <w:r>
        <w:t>, pp. 49-59.</w:t>
      </w:r>
    </w:p>
  </w:footnote>
  <w:footnote w:id="11">
    <w:p w14:paraId="0430144F" w14:textId="77777777" w:rsidR="00C72930" w:rsidRDefault="006D31E8">
      <w:pPr>
        <w:spacing w:after="100" w:line="276" w:lineRule="auto"/>
        <w:jc w:val="both"/>
      </w:pPr>
      <w:r>
        <w:rPr>
          <w:rStyle w:val="Referinnotdesubsol"/>
        </w:rPr>
        <w:footnoteRef/>
      </w:r>
      <w:r>
        <w:t xml:space="preserve">Alasdair MacIntyre, </w:t>
      </w:r>
      <w:r>
        <w:rPr>
          <w:i/>
          <w:iCs/>
        </w:rPr>
        <w:t>After Virtue: A Study in Moral Theory</w:t>
      </w:r>
      <w:r>
        <w:t>, 3rd edn (London: Duckworth, 2007), pp. 6-22.</w:t>
      </w:r>
    </w:p>
  </w:footnote>
  <w:footnote w:id="12">
    <w:p w14:paraId="4387C69B" w14:textId="77777777" w:rsidR="00C72930" w:rsidRDefault="006D31E8">
      <w:pPr>
        <w:spacing w:after="100" w:line="276" w:lineRule="auto"/>
        <w:jc w:val="both"/>
      </w:pPr>
      <w:r>
        <w:rPr>
          <w:rStyle w:val="Referinnotdesubsol"/>
        </w:rPr>
        <w:footnoteRef/>
      </w:r>
      <w:r>
        <w:t xml:space="preserve">Stanley Hauerwas, </w:t>
      </w:r>
      <w:r>
        <w:rPr>
          <w:i/>
          <w:iCs/>
        </w:rPr>
        <w:t>A Community of Character: Toward a Constructive Christian Social Ethic</w:t>
      </w:r>
      <w:r>
        <w:t xml:space="preserve"> (Notre Dame, IN: University of Notre Dame Press, 1981), pp. 1-12.</w:t>
      </w:r>
    </w:p>
  </w:footnote>
  <w:footnote w:id="13">
    <w:p w14:paraId="4ADB1315" w14:textId="77777777" w:rsidR="00C72930" w:rsidRDefault="006D31E8">
      <w:pPr>
        <w:spacing w:after="100" w:line="276" w:lineRule="auto"/>
        <w:jc w:val="both"/>
      </w:pPr>
      <w:r>
        <w:rPr>
          <w:rStyle w:val="Referinnotdesubsol"/>
        </w:rPr>
        <w:footnoteRef/>
      </w:r>
      <w:r>
        <w:t xml:space="preserve">John Milbank, </w:t>
      </w:r>
      <w:r>
        <w:rPr>
          <w:i/>
          <w:iCs/>
        </w:rPr>
        <w:t>Theology and Social Theory: Beyond Secular Reason</w:t>
      </w:r>
      <w:r>
        <w:t>, 2nd edn (Oxford: Blackwell, 2006), pp. 278-325.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501A0D"/>
    <w:multiLevelType w:val="hybridMultilevel"/>
    <w:tmpl w:val="FF3A1D26"/>
    <w:lvl w:ilvl="0" w:tplc="851E535E">
      <w:start w:val="1"/>
      <w:numFmt w:val="bullet"/>
      <w:lvlText w:val="●"/>
      <w:lvlJc w:val="left"/>
      <w:pPr>
        <w:ind w:left="720" w:hanging="360"/>
      </w:pPr>
    </w:lvl>
    <w:lvl w:ilvl="1" w:tplc="D108AA20">
      <w:start w:val="1"/>
      <w:numFmt w:val="bullet"/>
      <w:lvlText w:val="○"/>
      <w:lvlJc w:val="left"/>
      <w:pPr>
        <w:ind w:left="1440" w:hanging="360"/>
      </w:pPr>
    </w:lvl>
    <w:lvl w:ilvl="2" w:tplc="19DC7D38">
      <w:start w:val="1"/>
      <w:numFmt w:val="bullet"/>
      <w:lvlText w:val="■"/>
      <w:lvlJc w:val="left"/>
      <w:pPr>
        <w:ind w:left="2160" w:hanging="360"/>
      </w:pPr>
    </w:lvl>
    <w:lvl w:ilvl="3" w:tplc="5FE8DAE0">
      <w:start w:val="1"/>
      <w:numFmt w:val="bullet"/>
      <w:lvlText w:val="●"/>
      <w:lvlJc w:val="left"/>
      <w:pPr>
        <w:ind w:left="2880" w:hanging="360"/>
      </w:pPr>
    </w:lvl>
    <w:lvl w:ilvl="4" w:tplc="4E407756">
      <w:start w:val="1"/>
      <w:numFmt w:val="bullet"/>
      <w:lvlText w:val="○"/>
      <w:lvlJc w:val="left"/>
      <w:pPr>
        <w:ind w:left="3600" w:hanging="360"/>
      </w:pPr>
    </w:lvl>
    <w:lvl w:ilvl="5" w:tplc="C378884C">
      <w:start w:val="1"/>
      <w:numFmt w:val="bullet"/>
      <w:lvlText w:val="■"/>
      <w:lvlJc w:val="left"/>
      <w:pPr>
        <w:ind w:left="4320" w:hanging="360"/>
      </w:pPr>
    </w:lvl>
    <w:lvl w:ilvl="6" w:tplc="3FDADA0A">
      <w:start w:val="1"/>
      <w:numFmt w:val="bullet"/>
      <w:lvlText w:val="●"/>
      <w:lvlJc w:val="left"/>
      <w:pPr>
        <w:ind w:left="5040" w:hanging="360"/>
      </w:pPr>
    </w:lvl>
    <w:lvl w:ilvl="7" w:tplc="2F3A4B76">
      <w:start w:val="1"/>
      <w:numFmt w:val="bullet"/>
      <w:lvlText w:val="●"/>
      <w:lvlJc w:val="left"/>
      <w:pPr>
        <w:ind w:left="5760" w:hanging="360"/>
      </w:pPr>
    </w:lvl>
    <w:lvl w:ilvl="8" w:tplc="3D069734">
      <w:start w:val="1"/>
      <w:numFmt w:val="bullet"/>
      <w:lvlText w:val="●"/>
      <w:lvlJc w:val="left"/>
      <w:pPr>
        <w:ind w:left="6480" w:hanging="360"/>
      </w:pPr>
    </w:lvl>
  </w:abstractNum>
  <w:num w:numId="1" w16cid:durableId="168246583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95"/>
  <w:removePersonalInformation/>
  <w:removeDateAndTime/>
  <w:displayBackgroundShape/>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2930"/>
    <w:rsid w:val="000F7DDB"/>
    <w:rsid w:val="004A2EA9"/>
    <w:rsid w:val="005A4674"/>
    <w:rsid w:val="00685F3E"/>
    <w:rsid w:val="006D31E8"/>
    <w:rsid w:val="00862805"/>
    <w:rsid w:val="00B210A8"/>
    <w:rsid w:val="00C72930"/>
    <w:rsid w:val="00FD0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D2C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uiPriority w:val="9"/>
    <w:qFormat/>
    <w:pPr>
      <w:outlineLvl w:val="0"/>
    </w:pPr>
    <w:rPr>
      <w:color w:val="2E74B5"/>
      <w:sz w:val="32"/>
      <w:szCs w:val="32"/>
    </w:rPr>
  </w:style>
  <w:style w:type="paragraph" w:styleId="Titlu2">
    <w:name w:val="heading 2"/>
    <w:uiPriority w:val="9"/>
    <w:semiHidden/>
    <w:unhideWhenUsed/>
    <w:qFormat/>
    <w:pPr>
      <w:outlineLvl w:val="1"/>
    </w:pPr>
    <w:rPr>
      <w:color w:val="2E74B5"/>
      <w:sz w:val="26"/>
      <w:szCs w:val="26"/>
    </w:rPr>
  </w:style>
  <w:style w:type="paragraph" w:styleId="Titlu3">
    <w:name w:val="heading 3"/>
    <w:uiPriority w:val="9"/>
    <w:semiHidden/>
    <w:unhideWhenUsed/>
    <w:qFormat/>
    <w:pPr>
      <w:outlineLvl w:val="2"/>
    </w:pPr>
    <w:rPr>
      <w:color w:val="1F4D78"/>
    </w:rPr>
  </w:style>
  <w:style w:type="paragraph" w:styleId="Titlu4">
    <w:name w:val="heading 4"/>
    <w:uiPriority w:val="9"/>
    <w:semiHidden/>
    <w:unhideWhenUsed/>
    <w:qFormat/>
    <w:pPr>
      <w:outlineLvl w:val="3"/>
    </w:pPr>
    <w:rPr>
      <w:i/>
      <w:iCs/>
      <w:color w:val="2E74B5"/>
    </w:rPr>
  </w:style>
  <w:style w:type="paragraph" w:styleId="Titlu5">
    <w:name w:val="heading 5"/>
    <w:uiPriority w:val="9"/>
    <w:semiHidden/>
    <w:unhideWhenUsed/>
    <w:qFormat/>
    <w:pPr>
      <w:outlineLvl w:val="4"/>
    </w:pPr>
    <w:rPr>
      <w:color w:val="2E74B5"/>
    </w:rPr>
  </w:style>
  <w:style w:type="paragraph" w:styleId="Titlu6">
    <w:name w:val="heading 6"/>
    <w:uiPriority w:val="9"/>
    <w:semiHidden/>
    <w:unhideWhenUsed/>
    <w:qFormat/>
    <w:pPr>
      <w:outlineLvl w:val="5"/>
    </w:pPr>
    <w:rPr>
      <w:color w:val="1F4D7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uiPriority w:val="10"/>
    <w:qFormat/>
    <w:rPr>
      <w:sz w:val="56"/>
      <w:szCs w:val="56"/>
    </w:rPr>
  </w:style>
  <w:style w:type="paragraph" w:customStyle="1" w:styleId="Strong1">
    <w:name w:val="Strong1"/>
    <w:qFormat/>
    <w:rPr>
      <w:b/>
      <w:bCs/>
    </w:rPr>
  </w:style>
  <w:style w:type="paragraph" w:styleId="Listparagraf">
    <w:name w:val="List Paragraph"/>
    <w:qFormat/>
  </w:style>
  <w:style w:type="character" w:styleId="Hyperlink">
    <w:name w:val="Hyperlink"/>
    <w:uiPriority w:val="99"/>
    <w:unhideWhenUsed/>
    <w:rPr>
      <w:color w:val="0563C1"/>
      <w:u w:val="single"/>
    </w:rPr>
  </w:style>
  <w:style w:type="character" w:styleId="Referinnotdesubsol">
    <w:name w:val="footnote reference"/>
    <w:uiPriority w:val="99"/>
    <w:semiHidden/>
    <w:unhideWhenUsed/>
    <w:rPr>
      <w:vertAlign w:val="superscript"/>
    </w:rPr>
  </w:style>
  <w:style w:type="paragraph" w:styleId="Textnotdesubsol">
    <w:name w:val="footnote text"/>
    <w:link w:val="TextnotdesubsolCaracter"/>
    <w:uiPriority w:val="99"/>
    <w:semiHidden/>
    <w:unhideWhenUsed/>
    <w:rPr>
      <w:sz w:val="20"/>
      <w:szCs w:val="20"/>
    </w:rPr>
  </w:style>
  <w:style w:type="character" w:customStyle="1" w:styleId="TextnotdesubsolCaracter">
    <w:name w:val="Text notă de subsol Caracter"/>
    <w:link w:val="Textnotdesubsol"/>
    <w:uiPriority w:val="99"/>
    <w:semiHidden/>
    <w:unhideWhenUsed/>
    <w:rPr>
      <w:sz w:val="20"/>
      <w:szCs w:val="20"/>
    </w:rPr>
  </w:style>
  <w:style w:type="character" w:styleId="Referinnotdefinal">
    <w:name w:val="endnote reference"/>
    <w:uiPriority w:val="99"/>
    <w:semiHidden/>
    <w:unhideWhenUsed/>
    <w:rPr>
      <w:vertAlign w:val="superscript"/>
    </w:rPr>
  </w:style>
  <w:style w:type="paragraph" w:styleId="Textnotdefinal">
    <w:name w:val="endnote text"/>
    <w:link w:val="TextnotdefinalCaracter"/>
    <w:uiPriority w:val="99"/>
    <w:semiHidden/>
    <w:unhideWhenUsed/>
    <w:rPr>
      <w:sz w:val="20"/>
      <w:szCs w:val="20"/>
    </w:rPr>
  </w:style>
  <w:style w:type="character" w:customStyle="1" w:styleId="TextnotdefinalCaracter">
    <w:name w:val="Text notă de final Caracter"/>
    <w:link w:val="Textnotdefinal"/>
    <w:uiPriority w:val="99"/>
    <w:semiHidden/>
    <w:unhideWhenUsed/>
    <w:rPr>
      <w:sz w:val="20"/>
      <w:szCs w:val="20"/>
    </w:rPr>
  </w:style>
  <w:style w:type="paragraph" w:styleId="Antet">
    <w:name w:val="header"/>
    <w:basedOn w:val="Normal"/>
    <w:link w:val="AntetCaracter"/>
    <w:uiPriority w:val="99"/>
    <w:unhideWhenUsed/>
    <w:rsid w:val="00B210A8"/>
    <w:pPr>
      <w:tabs>
        <w:tab w:val="center" w:pos="4513"/>
        <w:tab w:val="right" w:pos="9026"/>
      </w:tabs>
    </w:pPr>
  </w:style>
  <w:style w:type="character" w:customStyle="1" w:styleId="AntetCaracter">
    <w:name w:val="Antet Caracter"/>
    <w:basedOn w:val="Fontdeparagrafimplicit"/>
    <w:link w:val="Antet"/>
    <w:uiPriority w:val="99"/>
    <w:rsid w:val="00B210A8"/>
  </w:style>
  <w:style w:type="paragraph" w:styleId="Subsol">
    <w:name w:val="footer"/>
    <w:basedOn w:val="Normal"/>
    <w:link w:val="SubsolCaracter"/>
    <w:uiPriority w:val="99"/>
    <w:unhideWhenUsed/>
    <w:rsid w:val="00B210A8"/>
    <w:pPr>
      <w:tabs>
        <w:tab w:val="center" w:pos="4513"/>
        <w:tab w:val="right" w:pos="9026"/>
      </w:tabs>
    </w:pPr>
  </w:style>
  <w:style w:type="character" w:customStyle="1" w:styleId="SubsolCaracter">
    <w:name w:val="Subsol Caracter"/>
    <w:basedOn w:val="Fontdeparagrafimplicit"/>
    <w:link w:val="Subsol"/>
    <w:uiPriority w:val="99"/>
    <w:rsid w:val="00B210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1968</Words>
  <Characters>11418</Characters>
  <Application>Microsoft Office Word</Application>
  <DocSecurity>0</DocSecurity>
  <Lines>95</Lines>
  <Paragraphs>26</Paragraphs>
  <ScaleCrop>false</ScaleCrop>
  <Company/>
  <LinksUpToDate>false</LinksUpToDate>
  <CharactersWithSpaces>13360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2026-03-25T11:59:00Z</dcterms:created>
  <dcterms:modified xsi:type="dcterms:W3CDTF">2026-03-25T11:59:00Z</dcterms:modified>
</cp:coreProperties>
</file>