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2008936213"/>
        <w:docPartObj>
          <w:docPartGallery w:val="Cover Pages"/>
          <w:docPartUnique/>
        </w:docPartObj>
      </w:sdtPr>
      <w:sdtEndPr>
        <w:rPr>
          <w:b/>
          <w:bCs/>
        </w:rPr>
      </w:sdtEndPr>
      <w:sdtContent>
        <w:p w14:paraId="5CDD54D1" w14:textId="3D41AC77" w:rsidR="00763B8D" w:rsidRPr="008D7359" w:rsidRDefault="00763B8D" w:rsidP="00BB17C3">
          <w:pPr>
            <w:spacing w:line="360" w:lineRule="auto"/>
            <w:rPr>
              <w:rFonts w:ascii="Arial" w:hAnsi="Arial" w:cs="Arial"/>
            </w:rPr>
          </w:pPr>
          <w:r w:rsidRPr="008D7359">
            <w:rPr>
              <w:rFonts w:ascii="Arial" w:hAnsi="Arial" w:cs="Arial"/>
              <w:noProof/>
            </w:rPr>
            <w:drawing>
              <wp:inline distT="0" distB="0" distL="0" distR="0" wp14:anchorId="005A2B7E" wp14:editId="1E4320EC">
                <wp:extent cx="2941955" cy="144018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941955" cy="1440180"/>
                        </a:xfrm>
                        <a:prstGeom prst="rect">
                          <a:avLst/>
                        </a:prstGeom>
                      </pic:spPr>
                    </pic:pic>
                  </a:graphicData>
                </a:graphic>
              </wp:inline>
            </w:drawing>
          </w:r>
        </w:p>
        <w:p w14:paraId="1B82186A" w14:textId="1FB2F68C" w:rsidR="00763B8D" w:rsidRPr="008D7359" w:rsidRDefault="00763B8D" w:rsidP="00BB17C3">
          <w:pPr>
            <w:spacing w:line="360" w:lineRule="auto"/>
            <w:rPr>
              <w:rFonts w:ascii="Arial" w:hAnsi="Arial" w:cs="Arial"/>
            </w:rPr>
          </w:pPr>
        </w:p>
        <w:p w14:paraId="2FA91208" w14:textId="77777777" w:rsidR="00763B8D" w:rsidRPr="008D7359" w:rsidRDefault="00763B8D" w:rsidP="00BB17C3">
          <w:pPr>
            <w:spacing w:line="360" w:lineRule="auto"/>
            <w:rPr>
              <w:rFonts w:ascii="Arial" w:hAnsi="Arial" w:cs="Arial"/>
            </w:rPr>
          </w:pPr>
        </w:p>
        <w:p w14:paraId="0603E0A5" w14:textId="03A778B2" w:rsidR="00763B8D" w:rsidRPr="008D7359" w:rsidRDefault="00763B8D" w:rsidP="00BB17C3">
          <w:pPr>
            <w:spacing w:after="273" w:line="360" w:lineRule="auto"/>
            <w:jc w:val="center"/>
            <w:rPr>
              <w:rFonts w:ascii="Arial" w:hAnsi="Arial" w:cs="Arial"/>
            </w:rPr>
          </w:pPr>
          <w:r w:rsidRPr="008D7359">
            <w:rPr>
              <w:rFonts w:ascii="Arial" w:hAnsi="Arial" w:cs="Arial"/>
              <w:b/>
              <w:bCs/>
            </w:rPr>
            <w:t xml:space="preserve">Assignment Title: </w:t>
          </w:r>
          <w:r w:rsidRPr="008D7359">
            <w:rPr>
              <w:rFonts w:ascii="Arial" w:hAnsi="Arial" w:cs="Arial"/>
            </w:rPr>
            <w:t>Assessment 2: Bibliography &amp; report</w:t>
          </w:r>
        </w:p>
        <w:p w14:paraId="25729539" w14:textId="0D3407B3" w:rsidR="00763B8D" w:rsidRPr="008D7359" w:rsidRDefault="00763B8D" w:rsidP="00BB17C3">
          <w:pPr>
            <w:spacing w:after="273" w:line="360" w:lineRule="auto"/>
            <w:jc w:val="center"/>
            <w:rPr>
              <w:rFonts w:ascii="Arial" w:hAnsi="Arial" w:cs="Arial"/>
            </w:rPr>
          </w:pPr>
          <w:r w:rsidRPr="008D7359">
            <w:rPr>
              <w:rFonts w:ascii="Arial" w:hAnsi="Arial" w:cs="Arial"/>
              <w:b/>
              <w:bCs/>
            </w:rPr>
            <w:t>Programme:</w:t>
          </w:r>
          <w:r w:rsidRPr="008D7359">
            <w:rPr>
              <w:rFonts w:ascii="Arial" w:hAnsi="Arial" w:cs="Arial"/>
            </w:rPr>
            <w:t xml:space="preserve"> Certificate of Higher Education in Health and Social Care</w:t>
          </w:r>
        </w:p>
        <w:p w14:paraId="3D2BEA95" w14:textId="3974354D" w:rsidR="00834883" w:rsidRPr="008D7359" w:rsidRDefault="00834883" w:rsidP="00BB17C3">
          <w:pPr>
            <w:spacing w:after="273" w:line="360" w:lineRule="auto"/>
            <w:rPr>
              <w:rFonts w:ascii="Arial" w:hAnsi="Arial" w:cs="Arial"/>
              <w:b/>
            </w:rPr>
          </w:pPr>
          <w:r w:rsidRPr="008D7359">
            <w:rPr>
              <w:rFonts w:ascii="Arial" w:hAnsi="Arial" w:cs="Arial"/>
              <w:b/>
            </w:rPr>
            <w:t xml:space="preserve">Module Title: </w:t>
          </w:r>
          <w:r w:rsidRPr="008D7359">
            <w:rPr>
              <w:rFonts w:ascii="Arial" w:hAnsi="Arial" w:cs="Arial"/>
            </w:rPr>
            <w:t>Psychology in Health and Social Care</w:t>
          </w:r>
        </w:p>
        <w:p w14:paraId="58D320FB" w14:textId="77777777" w:rsidR="00834883" w:rsidRPr="008D7359" w:rsidRDefault="00834883" w:rsidP="00BB17C3">
          <w:pPr>
            <w:spacing w:after="273" w:line="360" w:lineRule="auto"/>
            <w:rPr>
              <w:rFonts w:ascii="Arial" w:hAnsi="Arial" w:cs="Arial"/>
              <w:b/>
              <w:bCs/>
            </w:rPr>
          </w:pPr>
          <w:r w:rsidRPr="008D7359">
            <w:rPr>
              <w:rFonts w:ascii="Arial" w:hAnsi="Arial" w:cs="Arial"/>
              <w:b/>
            </w:rPr>
            <w:t xml:space="preserve">Module code: </w:t>
          </w:r>
          <w:r w:rsidRPr="008D7359">
            <w:rPr>
              <w:rFonts w:ascii="Arial" w:hAnsi="Arial" w:cs="Arial"/>
            </w:rPr>
            <w:t>LCHS4010</w:t>
          </w:r>
        </w:p>
        <w:p w14:paraId="20181361" w14:textId="36A528A2" w:rsidR="00834883" w:rsidRPr="008D7359" w:rsidRDefault="00834883" w:rsidP="00BB17C3">
          <w:pPr>
            <w:spacing w:after="273" w:line="360" w:lineRule="auto"/>
            <w:rPr>
              <w:rFonts w:ascii="Arial" w:hAnsi="Arial" w:cs="Arial"/>
              <w:b/>
              <w:u w:val="single"/>
            </w:rPr>
          </w:pPr>
        </w:p>
        <w:p w14:paraId="6CE722BD" w14:textId="77777777" w:rsidR="00834883" w:rsidRPr="008D7359" w:rsidRDefault="00834883" w:rsidP="00BB17C3">
          <w:pPr>
            <w:spacing w:after="275" w:line="360" w:lineRule="auto"/>
            <w:ind w:left="64"/>
            <w:rPr>
              <w:rFonts w:ascii="Arial" w:hAnsi="Arial" w:cs="Arial"/>
              <w:b/>
              <w:bCs/>
              <w:u w:val="single"/>
            </w:rPr>
          </w:pPr>
          <w:r w:rsidRPr="008D7359">
            <w:rPr>
              <w:rFonts w:ascii="Arial" w:hAnsi="Arial" w:cs="Arial"/>
              <w:b/>
              <w:bCs/>
              <w:u w:val="single"/>
            </w:rPr>
            <w:t xml:space="preserve">Submitted to </w:t>
          </w:r>
        </w:p>
        <w:p w14:paraId="7A2C9EC6" w14:textId="21112C8F" w:rsidR="00834883" w:rsidRPr="008D7359" w:rsidRDefault="00834883" w:rsidP="00BB17C3">
          <w:pPr>
            <w:spacing w:after="275" w:line="360" w:lineRule="auto"/>
            <w:ind w:left="64"/>
            <w:rPr>
              <w:rFonts w:ascii="Arial" w:hAnsi="Arial" w:cs="Arial"/>
              <w:b/>
              <w:bCs/>
            </w:rPr>
          </w:pPr>
          <w:r w:rsidRPr="008D7359">
            <w:rPr>
              <w:rFonts w:ascii="Arial" w:hAnsi="Arial" w:cs="Arial"/>
              <w:b/>
              <w:bCs/>
            </w:rPr>
            <w:t>Lecturer</w:t>
          </w:r>
          <w:r w:rsidRPr="008D7359">
            <w:rPr>
              <w:rFonts w:ascii="Arial" w:hAnsi="Arial" w:cs="Arial"/>
            </w:rPr>
            <w:t xml:space="preserve"> </w:t>
          </w:r>
          <w:r w:rsidRPr="008D7359">
            <w:rPr>
              <w:rFonts w:ascii="Arial" w:hAnsi="Arial" w:cs="Arial"/>
              <w:b/>
              <w:bCs/>
            </w:rPr>
            <w:t xml:space="preserve">name: </w:t>
          </w:r>
          <w:r w:rsidRPr="008D7359">
            <w:rPr>
              <w:rFonts w:ascii="Arial" w:hAnsi="Arial" w:cs="Arial"/>
            </w:rPr>
            <w:t>Jolly Nwankwo</w:t>
          </w:r>
        </w:p>
        <w:p w14:paraId="1CD40459" w14:textId="77777777" w:rsidR="00834883" w:rsidRPr="008D7359" w:rsidRDefault="00834883" w:rsidP="00BB17C3">
          <w:pPr>
            <w:spacing w:line="360" w:lineRule="auto"/>
            <w:ind w:left="64"/>
            <w:rPr>
              <w:rFonts w:ascii="Arial" w:hAnsi="Arial" w:cs="Arial"/>
              <w:b/>
              <w:bCs/>
            </w:rPr>
          </w:pPr>
          <w:r w:rsidRPr="008D7359">
            <w:rPr>
              <w:rFonts w:ascii="Arial" w:hAnsi="Arial" w:cs="Arial"/>
              <w:b/>
              <w:bCs/>
            </w:rPr>
            <w:t>University of Wales Trinity Saint David</w:t>
          </w:r>
        </w:p>
        <w:p w14:paraId="79149475" w14:textId="77777777" w:rsidR="00834883" w:rsidRPr="008D7359" w:rsidRDefault="00834883" w:rsidP="00BB17C3">
          <w:pPr>
            <w:spacing w:after="273" w:line="360" w:lineRule="auto"/>
            <w:rPr>
              <w:rFonts w:ascii="Arial" w:hAnsi="Arial" w:cs="Arial"/>
              <w:b/>
              <w:u w:val="single"/>
            </w:rPr>
          </w:pPr>
        </w:p>
        <w:p w14:paraId="55219FB4" w14:textId="0DB64B47" w:rsidR="00763B8D" w:rsidRPr="008D7359" w:rsidRDefault="00763B8D" w:rsidP="00BB17C3">
          <w:pPr>
            <w:spacing w:after="273" w:line="360" w:lineRule="auto"/>
            <w:rPr>
              <w:rFonts w:ascii="Arial" w:hAnsi="Arial" w:cs="Arial"/>
              <w:b/>
              <w:u w:val="single"/>
            </w:rPr>
          </w:pPr>
          <w:r w:rsidRPr="008D7359">
            <w:rPr>
              <w:rFonts w:ascii="Arial" w:hAnsi="Arial" w:cs="Arial"/>
              <w:b/>
              <w:u w:val="single"/>
            </w:rPr>
            <w:t>Submitted by</w:t>
          </w:r>
        </w:p>
        <w:p w14:paraId="05F894F6" w14:textId="7834C75D" w:rsidR="00763B8D" w:rsidRPr="008D7359" w:rsidRDefault="00763B8D" w:rsidP="00BB17C3">
          <w:pPr>
            <w:spacing w:after="273" w:line="360" w:lineRule="auto"/>
            <w:rPr>
              <w:rFonts w:ascii="Arial" w:hAnsi="Arial" w:cs="Arial"/>
              <w:b/>
            </w:rPr>
          </w:pPr>
          <w:r w:rsidRPr="008D7359">
            <w:rPr>
              <w:rFonts w:ascii="Arial" w:hAnsi="Arial" w:cs="Arial"/>
              <w:b/>
            </w:rPr>
            <w:t xml:space="preserve">Name: </w:t>
          </w:r>
          <w:r w:rsidR="00834883" w:rsidRPr="008D7359">
            <w:rPr>
              <w:rFonts w:ascii="Arial" w:hAnsi="Arial" w:cs="Arial"/>
            </w:rPr>
            <w:t>Halisa Garcia</w:t>
          </w:r>
        </w:p>
        <w:p w14:paraId="2C77494E" w14:textId="28AAFDCF" w:rsidR="00763B8D" w:rsidRPr="008D7359" w:rsidRDefault="00763B8D" w:rsidP="00BB17C3">
          <w:pPr>
            <w:spacing w:after="273" w:line="360" w:lineRule="auto"/>
            <w:rPr>
              <w:rFonts w:ascii="Arial" w:hAnsi="Arial" w:cs="Arial"/>
              <w:b/>
            </w:rPr>
          </w:pPr>
          <w:r w:rsidRPr="008D7359">
            <w:rPr>
              <w:rFonts w:ascii="Arial" w:hAnsi="Arial" w:cs="Arial"/>
              <w:b/>
            </w:rPr>
            <w:t>Student Number:</w:t>
          </w:r>
          <w:r w:rsidR="00DA658C" w:rsidRPr="008D7359">
            <w:rPr>
              <w:rFonts w:ascii="Arial" w:eastAsia="Arial" w:hAnsi="Arial" w:cs="Arial"/>
              <w:sz w:val="24"/>
              <w:szCs w:val="24"/>
            </w:rPr>
            <w:t xml:space="preserve"> </w:t>
          </w:r>
          <w:r w:rsidR="003C0CE0" w:rsidRPr="003C0CE0">
            <w:rPr>
              <w:rFonts w:ascii="Arial" w:eastAsia="Arial" w:hAnsi="Arial" w:cs="Arial"/>
              <w:sz w:val="24"/>
              <w:szCs w:val="24"/>
            </w:rPr>
            <w:t>2414112</w:t>
          </w:r>
        </w:p>
        <w:p w14:paraId="27245811" w14:textId="77777777" w:rsidR="00763B8D" w:rsidRPr="008D7359" w:rsidRDefault="00763B8D" w:rsidP="00BB17C3">
          <w:pPr>
            <w:spacing w:after="273" w:line="360" w:lineRule="auto"/>
            <w:rPr>
              <w:rFonts w:ascii="Arial" w:hAnsi="Arial" w:cs="Arial"/>
              <w:b/>
            </w:rPr>
          </w:pPr>
        </w:p>
        <w:p w14:paraId="26C5DF6D" w14:textId="77777777" w:rsidR="00834883" w:rsidRPr="008D7359" w:rsidRDefault="00834883" w:rsidP="00BB17C3">
          <w:pPr>
            <w:spacing w:after="273" w:line="360" w:lineRule="auto"/>
            <w:jc w:val="center"/>
            <w:rPr>
              <w:rFonts w:ascii="Arial" w:hAnsi="Arial" w:cs="Arial"/>
              <w:b/>
              <w:bCs/>
            </w:rPr>
          </w:pPr>
        </w:p>
        <w:p w14:paraId="41A7BCD2" w14:textId="56AC304D" w:rsidR="00763B8D" w:rsidRPr="008D7359" w:rsidRDefault="00763B8D" w:rsidP="00BB17C3">
          <w:pPr>
            <w:spacing w:after="273" w:line="360" w:lineRule="auto"/>
            <w:rPr>
              <w:rFonts w:ascii="Arial" w:hAnsi="Arial" w:cs="Arial"/>
              <w:b/>
              <w:bCs/>
            </w:rPr>
          </w:pPr>
          <w:r w:rsidRPr="008D7359">
            <w:rPr>
              <w:rFonts w:ascii="Arial" w:hAnsi="Arial" w:cs="Arial"/>
              <w:b/>
              <w:bCs/>
            </w:rPr>
            <w:br w:type="page"/>
          </w:r>
        </w:p>
      </w:sdtContent>
    </w:sdt>
    <w:p w14:paraId="73F710EE" w14:textId="0EFD2DF6" w:rsidR="009C1B30" w:rsidRPr="009C1B30" w:rsidRDefault="008D7359" w:rsidP="009C1B30">
      <w:pPr>
        <w:pStyle w:val="Heading1"/>
        <w:spacing w:line="360" w:lineRule="auto"/>
      </w:pPr>
      <w:r w:rsidRPr="008D7359">
        <w:lastRenderedPageBreak/>
        <w:t>Part A: Annotated Bibliography</w:t>
      </w:r>
    </w:p>
    <w:p w14:paraId="35F5340C" w14:textId="379CA1EF" w:rsidR="009C1B30" w:rsidRPr="009C1B30" w:rsidRDefault="009C1B30" w:rsidP="009C1B30">
      <w:pPr>
        <w:spacing w:line="360" w:lineRule="auto"/>
        <w:rPr>
          <w:b/>
          <w:bCs/>
          <w:sz w:val="24"/>
          <w:szCs w:val="24"/>
        </w:rPr>
      </w:pPr>
      <w:r w:rsidRPr="009C1B30">
        <w:rPr>
          <w:b/>
          <w:bCs/>
          <w:sz w:val="24"/>
          <w:szCs w:val="24"/>
        </w:rPr>
        <w:t>Source 1</w:t>
      </w:r>
    </w:p>
    <w:p w14:paraId="0AD57455" w14:textId="77777777" w:rsidR="008D7359" w:rsidRPr="008D7359" w:rsidRDefault="008D7359" w:rsidP="009C1B30">
      <w:pPr>
        <w:spacing w:line="360" w:lineRule="auto"/>
        <w:jc w:val="both"/>
        <w:rPr>
          <w:rFonts w:ascii="Arial" w:hAnsi="Arial" w:cs="Arial"/>
        </w:rPr>
      </w:pPr>
      <w:r w:rsidRPr="008D7359">
        <w:rPr>
          <w:rFonts w:ascii="Arial" w:hAnsi="Arial" w:cs="Arial"/>
        </w:rPr>
        <w:t xml:space="preserve">Erikson, E.H. (1982) The Life Cycle Completed. New York: W.W. Norton &amp; Company. </w:t>
      </w:r>
    </w:p>
    <w:p w14:paraId="39DC8EBC" w14:textId="77777777" w:rsidR="008D7359" w:rsidRPr="008D7359" w:rsidRDefault="008D7359" w:rsidP="009C1B30">
      <w:pPr>
        <w:spacing w:line="360" w:lineRule="auto"/>
        <w:ind w:firstLine="720"/>
        <w:jc w:val="both"/>
        <w:rPr>
          <w:rFonts w:ascii="Arial" w:hAnsi="Arial" w:cs="Arial"/>
        </w:rPr>
      </w:pPr>
      <w:r w:rsidRPr="008D7359">
        <w:rPr>
          <w:rFonts w:ascii="Arial" w:hAnsi="Arial" w:cs="Arial"/>
        </w:rPr>
        <w:t>Erikson’s psychosocial developmental theory conceptualizes eight stages of developments at each life stage, Where the principal tenet is based on the central conflict faced by individuals. In later adulthood, the last development stage is ego integrity versus despair. This stage is characterized by older adults reflecting on their lives and developing a sense of accomplishment if they are positive or despair if they have regrets. Therefore, it is vital for older adults to find meaning in their life, reflect back to find meaning and accept death as part of the cycle of life. Erikson's theory suggests that those who have developed a successful will develop wisdom and psychological wellbeing. This theory is highly applicable within both a health and social care environment, specifically within the residential care of older adults. The significance of supporting various life review experiences (like reminiscence therapy) and allowing opportunities for older people to recount their memories are emphasized. The overgeneralization of aging, however, as being one age group in one particular phase fails to take into account important sociocultural differences in how people have aged and developed. Despite this, there is a very solid framework for understanding emotional needs in late life</w:t>
      </w:r>
    </w:p>
    <w:p w14:paraId="5D5CA26E" w14:textId="77777777" w:rsidR="008D7359" w:rsidRPr="008D7359" w:rsidRDefault="008D7359" w:rsidP="009C1B30">
      <w:pPr>
        <w:spacing w:line="360" w:lineRule="auto"/>
        <w:jc w:val="both"/>
        <w:rPr>
          <w:rFonts w:ascii="Arial" w:hAnsi="Arial" w:cs="Arial"/>
        </w:rPr>
      </w:pPr>
    </w:p>
    <w:p w14:paraId="4AEC4F9B" w14:textId="21D8EB92" w:rsidR="009C1B30" w:rsidRPr="008D7359" w:rsidRDefault="008D7359" w:rsidP="009C1B30">
      <w:pPr>
        <w:spacing w:line="360" w:lineRule="auto"/>
        <w:jc w:val="both"/>
        <w:rPr>
          <w:rFonts w:ascii="Arial" w:hAnsi="Arial" w:cs="Arial"/>
          <w:b/>
          <w:bCs/>
        </w:rPr>
      </w:pPr>
      <w:r w:rsidRPr="008D7359">
        <w:rPr>
          <w:rFonts w:ascii="Arial" w:hAnsi="Arial" w:cs="Arial"/>
          <w:b/>
          <w:bCs/>
        </w:rPr>
        <w:t>Source 2</w:t>
      </w:r>
    </w:p>
    <w:p w14:paraId="5F08BA2B" w14:textId="77777777" w:rsidR="008D7359" w:rsidRPr="008D7359" w:rsidRDefault="008D7359" w:rsidP="009C1B30">
      <w:pPr>
        <w:spacing w:line="360" w:lineRule="auto"/>
        <w:jc w:val="both"/>
        <w:rPr>
          <w:rFonts w:ascii="Arial" w:hAnsi="Arial" w:cs="Arial"/>
        </w:rPr>
      </w:pPr>
      <w:r w:rsidRPr="008D7359">
        <w:rPr>
          <w:rFonts w:ascii="Arial" w:hAnsi="Arial" w:cs="Arial"/>
        </w:rPr>
        <w:t>Bowlby, J. (1988) A Secure Base: Parent-Child Attachment and Healthy Human Development. London: Routledge.</w:t>
      </w:r>
    </w:p>
    <w:p w14:paraId="6CDAF150" w14:textId="77777777" w:rsidR="008D7359" w:rsidRPr="008D7359" w:rsidRDefault="008D7359" w:rsidP="009C1B30">
      <w:pPr>
        <w:spacing w:line="360" w:lineRule="auto"/>
        <w:ind w:firstLine="720"/>
        <w:jc w:val="both"/>
        <w:rPr>
          <w:rFonts w:ascii="Arial" w:hAnsi="Arial" w:cs="Arial"/>
        </w:rPr>
      </w:pPr>
      <w:r w:rsidRPr="008D7359">
        <w:rPr>
          <w:rFonts w:ascii="Arial" w:hAnsi="Arial" w:cs="Arial"/>
        </w:rPr>
        <w:t xml:space="preserve">The attachment theory by Bowlby illustrates that one's early relationship with their caregiver will impact their ability to manage emotions and form healthy relationships during their entire lifetime. A secure attachment builds confidence and resiliency whereas an insecure attachment often leads to anxiety or avoidance. During later life, attachment needs are still very important--especially during times of illness or when an individual is dependent on another person. Although this theory was based upon information about infants and children, it has now been expanded to show that older adults continue to seek comfort, security, and meaningful relationships. Attachment theory is important in caregiving settings because it highlights the </w:t>
      </w:r>
      <w:r w:rsidRPr="008D7359">
        <w:rPr>
          <w:rFonts w:ascii="Arial" w:hAnsi="Arial" w:cs="Arial"/>
        </w:rPr>
        <w:lastRenderedPageBreak/>
        <w:t>importance of establishing a consistent and trusting relationship between the resident and the caregiver. Older adults living in residential care facilities can experience reduced anxiety and improved quality of life from the development of secure attachments with their staff. One challenge to implementing this theory has been the inconsistency in staff, typically due to staff turnover and limited time available to establish new relationships. However, it provides a solid framework for person-centered care practices.</w:t>
      </w:r>
    </w:p>
    <w:p w14:paraId="26688745" w14:textId="77777777" w:rsidR="008D7359" w:rsidRPr="008D7359" w:rsidRDefault="008D7359" w:rsidP="009C1B30">
      <w:pPr>
        <w:spacing w:line="360" w:lineRule="auto"/>
        <w:jc w:val="both"/>
        <w:rPr>
          <w:rFonts w:ascii="Arial" w:hAnsi="Arial" w:cs="Arial"/>
        </w:rPr>
      </w:pPr>
    </w:p>
    <w:p w14:paraId="0F7E11E6" w14:textId="19D1F22B" w:rsidR="009C1B30" w:rsidRPr="009C1B30" w:rsidRDefault="008D7359" w:rsidP="009C1B30">
      <w:pPr>
        <w:spacing w:line="360" w:lineRule="auto"/>
        <w:jc w:val="both"/>
        <w:rPr>
          <w:rFonts w:ascii="Arial" w:hAnsi="Arial" w:cs="Arial"/>
          <w:b/>
          <w:bCs/>
        </w:rPr>
      </w:pPr>
      <w:r w:rsidRPr="009C1B30">
        <w:rPr>
          <w:rFonts w:ascii="Arial" w:hAnsi="Arial" w:cs="Arial"/>
          <w:b/>
          <w:bCs/>
        </w:rPr>
        <w:t>Source 3</w:t>
      </w:r>
    </w:p>
    <w:p w14:paraId="6DBBA482" w14:textId="66B6D7B4" w:rsidR="008D7359" w:rsidRPr="008D7359" w:rsidRDefault="008D7359" w:rsidP="009C1B30">
      <w:pPr>
        <w:spacing w:line="360" w:lineRule="auto"/>
        <w:jc w:val="both"/>
        <w:rPr>
          <w:rFonts w:ascii="Arial" w:hAnsi="Arial" w:cs="Arial"/>
        </w:rPr>
      </w:pPr>
      <w:r w:rsidRPr="008D7359">
        <w:rPr>
          <w:rFonts w:ascii="Arial" w:hAnsi="Arial" w:cs="Arial"/>
        </w:rPr>
        <w:t>Havighurst, R.J. (1961) ‘Successful aging’, The Gerontologist, 1(1), pp. 8–13.</w:t>
      </w:r>
    </w:p>
    <w:p w14:paraId="5D226F81" w14:textId="6D8FF693" w:rsidR="008D7359" w:rsidRPr="008D7359" w:rsidRDefault="008D7359" w:rsidP="003C0CE0">
      <w:pPr>
        <w:spacing w:line="360" w:lineRule="auto"/>
        <w:ind w:firstLine="720"/>
        <w:jc w:val="both"/>
        <w:rPr>
          <w:rFonts w:ascii="Arial" w:hAnsi="Arial" w:cs="Arial"/>
        </w:rPr>
      </w:pPr>
      <w:r w:rsidRPr="008D7359">
        <w:rPr>
          <w:rFonts w:ascii="Arial" w:hAnsi="Arial" w:cs="Arial"/>
        </w:rPr>
        <w:t>According to Havighurst's Activity Theory, older adults who are engaged socially, physically and cognitively are more likely to age successfully. The completion of roles within those activities will create satisfaction and well-being in life. Withdrawal from society will lead to a poorer quality of life, but continuing to participate in society will result in positive aging. The application of this theory in a residential care setting is relevant because there is an emphasis on encouraging participation and engagement in activities, which can help enhance an individual's well-being. It supports developing structured programs that include group activities or events (such as holiday celebrations). Another limitation of the Activity Theory comes from the fact that there may be individuals who cannot be highly active due to physical or cognitive limitations. The professionals who work with the elderly must adapt their activities according to the individual's capabilities.</w:t>
      </w:r>
    </w:p>
    <w:p w14:paraId="0D1C8C6C" w14:textId="77777777" w:rsidR="008D7359" w:rsidRPr="008D7359" w:rsidRDefault="008D7359" w:rsidP="009C1B30">
      <w:pPr>
        <w:spacing w:line="360" w:lineRule="auto"/>
        <w:jc w:val="both"/>
        <w:rPr>
          <w:rFonts w:ascii="Arial" w:hAnsi="Arial" w:cs="Arial"/>
        </w:rPr>
      </w:pPr>
    </w:p>
    <w:p w14:paraId="1B43B592" w14:textId="77777777" w:rsidR="008D7359" w:rsidRPr="009C1B30" w:rsidRDefault="008D7359" w:rsidP="009C1B30">
      <w:pPr>
        <w:spacing w:line="360" w:lineRule="auto"/>
        <w:jc w:val="both"/>
        <w:rPr>
          <w:rFonts w:ascii="Arial" w:hAnsi="Arial" w:cs="Arial"/>
          <w:b/>
          <w:bCs/>
        </w:rPr>
      </w:pPr>
      <w:r w:rsidRPr="009C1B30">
        <w:rPr>
          <w:rFonts w:ascii="Arial" w:hAnsi="Arial" w:cs="Arial"/>
          <w:b/>
          <w:bCs/>
        </w:rPr>
        <w:t>Source 4</w:t>
      </w:r>
    </w:p>
    <w:p w14:paraId="0F996D92" w14:textId="77777777" w:rsidR="008D7359" w:rsidRPr="008D7359" w:rsidRDefault="008D7359" w:rsidP="009C1B30">
      <w:pPr>
        <w:spacing w:line="360" w:lineRule="auto"/>
        <w:jc w:val="both"/>
        <w:rPr>
          <w:rFonts w:ascii="Arial" w:hAnsi="Arial" w:cs="Arial"/>
        </w:rPr>
      </w:pPr>
      <w:r w:rsidRPr="008D7359">
        <w:rPr>
          <w:rFonts w:ascii="Arial" w:hAnsi="Arial" w:cs="Arial"/>
        </w:rPr>
        <w:t>Seligman, M.E.P. (2011) Flourish: A Visionary New Understanding of Happiness and Well-being. New York: Free Press.</w:t>
      </w:r>
    </w:p>
    <w:p w14:paraId="71835C65" w14:textId="0C0D311D" w:rsidR="004255ED" w:rsidRPr="008D7359" w:rsidRDefault="008D7359" w:rsidP="003C0CE0">
      <w:pPr>
        <w:spacing w:line="360" w:lineRule="auto"/>
        <w:ind w:firstLine="720"/>
        <w:jc w:val="both"/>
        <w:rPr>
          <w:rFonts w:ascii="Arial" w:hAnsi="Arial" w:cs="Arial"/>
        </w:rPr>
      </w:pPr>
      <w:r w:rsidRPr="008D7359">
        <w:rPr>
          <w:rFonts w:ascii="Arial" w:hAnsi="Arial" w:cs="Arial"/>
        </w:rPr>
        <w:t xml:space="preserve">According to the PERMA Model, there are five dimensions that contribute to Well Being: Positive Emotion, Engagement, Relationships, Meaning, and Accomplishment; when applied together, the PERMA model has the potential to enhance the quality of life in older populations through the enhancement of these five dimensions (Positive Emotion, Engagement, Relationships, Meaning, &amp; Accomplishment) by Using strengths and Well Being (Well Being-Based) Interventions Regardless of whether they have been identified with experiencing any type of Declining Physical Health Conditions. In addition, the use of the PERMA Model can also provide staff a way to assist older adults, through transformational care/support, participate in things that </w:t>
      </w:r>
      <w:r w:rsidRPr="008D7359">
        <w:rPr>
          <w:rFonts w:ascii="Arial" w:hAnsi="Arial" w:cs="Arial"/>
        </w:rPr>
        <w:lastRenderedPageBreak/>
        <w:t>they enjoy, create connection with others by building social connections, and help them find purpose in their daily lives. Critics of the Positive Psychology Approach contend that it does not adequately account for any limitations imposed by Structural Barriers (i.e., lack of staff, funding, or resources) which limits the ability of staff to provide Holistic and Person-Centered Care. However, the PERMA Model can still serve as an important foundation for providing Holistic &amp; Person-Centered Services to older adults.</w:t>
      </w:r>
    </w:p>
    <w:p w14:paraId="75171B30" w14:textId="582EDBBB" w:rsidR="007E4239" w:rsidRPr="008D7359" w:rsidRDefault="007E4239" w:rsidP="00BB17C3">
      <w:pPr>
        <w:spacing w:line="360" w:lineRule="auto"/>
        <w:ind w:left="720"/>
        <w:rPr>
          <w:rFonts w:ascii="Arial" w:hAnsi="Arial" w:cs="Arial"/>
        </w:rPr>
      </w:pPr>
      <w:r w:rsidRPr="008D7359">
        <w:rPr>
          <w:rFonts w:ascii="Arial" w:hAnsi="Arial" w:cs="Arial"/>
        </w:rPr>
        <w:br w:type="page"/>
      </w:r>
    </w:p>
    <w:p w14:paraId="29C150EE" w14:textId="0FC20366" w:rsidR="004B2F9E" w:rsidRPr="008D7359" w:rsidRDefault="004B2F9E" w:rsidP="00BB17C3">
      <w:pPr>
        <w:spacing w:before="100" w:beforeAutospacing="1" w:after="100" w:afterAutospacing="1" w:line="360" w:lineRule="auto"/>
        <w:outlineLvl w:val="0"/>
        <w:rPr>
          <w:rFonts w:ascii="Arial" w:eastAsia="Times New Roman" w:hAnsi="Arial" w:cs="Arial"/>
          <w:b/>
          <w:bCs/>
          <w:kern w:val="36"/>
          <w:sz w:val="48"/>
          <w:szCs w:val="48"/>
        </w:rPr>
      </w:pPr>
      <w:r w:rsidRPr="008D7359">
        <w:rPr>
          <w:rFonts w:ascii="Arial" w:eastAsia="Times New Roman" w:hAnsi="Arial" w:cs="Arial"/>
          <w:b/>
          <w:bCs/>
          <w:kern w:val="36"/>
          <w:sz w:val="48"/>
          <w:szCs w:val="48"/>
        </w:rPr>
        <w:lastRenderedPageBreak/>
        <w:t>Part B: Short Report</w:t>
      </w:r>
    </w:p>
    <w:p w14:paraId="2D9D68BC" w14:textId="4479B65C" w:rsidR="008A4F74" w:rsidRPr="008D7359" w:rsidRDefault="008A4F74" w:rsidP="00BB17C3">
      <w:pPr>
        <w:spacing w:before="100" w:beforeAutospacing="1" w:after="100" w:afterAutospacing="1" w:line="360" w:lineRule="auto"/>
        <w:jc w:val="center"/>
        <w:rPr>
          <w:rFonts w:ascii="Arial" w:eastAsia="Times New Roman" w:hAnsi="Arial" w:cs="Arial"/>
        </w:rPr>
      </w:pPr>
      <w:r w:rsidRPr="008D7359">
        <w:rPr>
          <w:rFonts w:ascii="Arial" w:eastAsia="Times New Roman" w:hAnsi="Arial" w:cs="Arial"/>
          <w:b/>
          <w:bCs/>
        </w:rPr>
        <w:t>Applying Erikson’s Psychosocial Theory to Improve Wellbeing in Older Adults in Residential Care</w:t>
      </w:r>
    </w:p>
    <w:p w14:paraId="585B1A74" w14:textId="3BA1535B" w:rsidR="008A4F74" w:rsidRPr="008D7359" w:rsidRDefault="008A4F74" w:rsidP="00BB17C3">
      <w:pPr>
        <w:spacing w:before="100" w:beforeAutospacing="1" w:after="100" w:afterAutospacing="1" w:line="360" w:lineRule="auto"/>
        <w:rPr>
          <w:rFonts w:ascii="Arial" w:eastAsia="Times New Roman" w:hAnsi="Arial" w:cs="Arial"/>
        </w:rPr>
      </w:pPr>
      <w:r w:rsidRPr="008D7359">
        <w:rPr>
          <w:rFonts w:ascii="Arial" w:eastAsia="Times New Roman" w:hAnsi="Arial" w:cs="Arial"/>
          <w:b/>
          <w:bCs/>
        </w:rPr>
        <w:t>Introduction</w:t>
      </w:r>
      <w:r w:rsidRPr="008D7359">
        <w:rPr>
          <w:rFonts w:ascii="Arial" w:eastAsia="Times New Roman" w:hAnsi="Arial" w:cs="Arial"/>
        </w:rPr>
        <w:br/>
      </w:r>
      <w:r w:rsidR="007A7A37" w:rsidRPr="007A7A37">
        <w:rPr>
          <w:rFonts w:ascii="Arial" w:eastAsia="Times New Roman" w:hAnsi="Arial" w:cs="Arial"/>
        </w:rPr>
        <w:t>Among the main roles of individuals in health and social care professions is to promote psychological well-being in older adults in residential care facilities. The elderly people are usually faced with lack of their independence, loss of their loved ones and physical weakening, among other problems, which all negatively influence their mental health. The theory of life stages suggested by Erikson is a great instrument to comprehend those problems, especially the last phase Ego Integrity vs. Despair.</w:t>
      </w:r>
      <w:r w:rsidR="007A7A37">
        <w:rPr>
          <w:rFonts w:ascii="Arial" w:eastAsia="Times New Roman" w:hAnsi="Arial" w:cs="Arial"/>
        </w:rPr>
        <w:t xml:space="preserve"> T</w:t>
      </w:r>
      <w:r w:rsidR="007A7A37" w:rsidRPr="007A7A37">
        <w:rPr>
          <w:rFonts w:ascii="Arial" w:eastAsia="Times New Roman" w:hAnsi="Arial" w:cs="Arial"/>
        </w:rPr>
        <w:t>o deliver truly holistic care professionals should also refer to Continuity Theory that dictates that the older adults can maintain the wellbeing of themselves by keeping the same internal and external structures intact that they had when they were younger (Atchley, 1989).</w:t>
      </w:r>
    </w:p>
    <w:p w14:paraId="5CFFC1F6" w14:textId="11C1481C" w:rsidR="00ED2072" w:rsidRPr="008D7359" w:rsidRDefault="008A4F74" w:rsidP="00BB17C3">
      <w:pPr>
        <w:spacing w:before="100" w:beforeAutospacing="1" w:after="100" w:afterAutospacing="1" w:line="360" w:lineRule="auto"/>
        <w:rPr>
          <w:rFonts w:ascii="Arial" w:eastAsia="Times New Roman" w:hAnsi="Arial" w:cs="Arial"/>
        </w:rPr>
      </w:pPr>
      <w:r w:rsidRPr="008D7359">
        <w:rPr>
          <w:rFonts w:ascii="Arial" w:eastAsia="Times New Roman" w:hAnsi="Arial" w:cs="Arial"/>
          <w:b/>
          <w:bCs/>
        </w:rPr>
        <w:t>Application of Erikson’s Theory in Residential Care</w:t>
      </w:r>
      <w:r w:rsidRPr="008D7359">
        <w:rPr>
          <w:rFonts w:ascii="Arial" w:eastAsia="Times New Roman" w:hAnsi="Arial" w:cs="Arial"/>
        </w:rPr>
        <w:br/>
      </w:r>
      <w:r w:rsidR="007A7A37" w:rsidRPr="007A7A37">
        <w:rPr>
          <w:rFonts w:ascii="Arial" w:eastAsia="Times New Roman" w:hAnsi="Arial" w:cs="Arial"/>
        </w:rPr>
        <w:t xml:space="preserve">Erikson (1982) believes that later individuals take a retrospective look at their life and either attain ego integrity or become despondent. Reminiscence activities like storytelling will help the residents to achieve a better quality of life. In complement, an additional theory is the Socioemotional Selectivity Theory, which argues that the smaller the time horizon, the more selective older adults become, and devote more resources to emotionally significant relationships and goals (Carstensen, 1992). Moreover, there is the </w:t>
      </w:r>
      <w:r w:rsidR="003C0CE0" w:rsidRPr="007A7A37">
        <w:rPr>
          <w:rFonts w:ascii="Arial" w:eastAsia="Times New Roman" w:hAnsi="Arial" w:cs="Arial"/>
        </w:rPr>
        <w:t>Gero transcendence</w:t>
      </w:r>
      <w:r w:rsidR="007A7A37" w:rsidRPr="007A7A37">
        <w:rPr>
          <w:rFonts w:ascii="Arial" w:eastAsia="Times New Roman" w:hAnsi="Arial" w:cs="Arial"/>
        </w:rPr>
        <w:t xml:space="preserve"> Theory that aging is characterized by a move towards a more cosmic and transcendent perception of the world as compared to materialistic and rational, which is often accompanied by higher life satisfaction (Tornstam, 2005). With the justification of such changing attitudes, caregivers are able to establish a person-centered atmosphere that facilitates meaning and emotional wellbeing</w:t>
      </w:r>
      <w:r w:rsidR="004B2F9E" w:rsidRPr="00E2532B">
        <w:rPr>
          <w:rFonts w:ascii="Arial" w:eastAsia="Times New Roman" w:hAnsi="Arial" w:cs="Arial"/>
        </w:rPr>
        <w:t>.</w:t>
      </w:r>
    </w:p>
    <w:p w14:paraId="639746AF" w14:textId="7C18030D" w:rsidR="004B2F9E" w:rsidRPr="008D7359" w:rsidRDefault="004B2F9E" w:rsidP="00BB17C3">
      <w:pPr>
        <w:spacing w:before="100" w:beforeAutospacing="1" w:after="100" w:afterAutospacing="1" w:line="360" w:lineRule="auto"/>
        <w:rPr>
          <w:rFonts w:ascii="Arial" w:eastAsia="Times New Roman" w:hAnsi="Arial" w:cs="Arial"/>
        </w:rPr>
      </w:pPr>
    </w:p>
    <w:p w14:paraId="403A0641" w14:textId="0D0EC142" w:rsidR="00174D49" w:rsidRPr="008D7359" w:rsidRDefault="00174D49" w:rsidP="00BB17C3">
      <w:pPr>
        <w:spacing w:before="100" w:beforeAutospacing="1" w:after="100" w:afterAutospacing="1" w:line="360" w:lineRule="auto"/>
        <w:rPr>
          <w:rFonts w:ascii="Arial" w:eastAsia="Times New Roman" w:hAnsi="Arial" w:cs="Arial"/>
        </w:rPr>
      </w:pPr>
    </w:p>
    <w:p w14:paraId="0A18CC0F" w14:textId="74590F12" w:rsidR="00174D49" w:rsidRPr="008D7359" w:rsidRDefault="00174D49" w:rsidP="00BB17C3">
      <w:pPr>
        <w:spacing w:before="100" w:beforeAutospacing="1" w:after="100" w:afterAutospacing="1" w:line="360" w:lineRule="auto"/>
        <w:rPr>
          <w:rFonts w:ascii="Arial" w:eastAsia="Times New Roman" w:hAnsi="Arial" w:cs="Arial"/>
        </w:rPr>
      </w:pPr>
    </w:p>
    <w:p w14:paraId="17A42B83" w14:textId="77777777" w:rsidR="00174D49" w:rsidRPr="008D7359" w:rsidRDefault="00174D49" w:rsidP="00BB17C3">
      <w:pPr>
        <w:spacing w:before="100" w:beforeAutospacing="1" w:after="100" w:afterAutospacing="1" w:line="360" w:lineRule="auto"/>
        <w:rPr>
          <w:rFonts w:ascii="Arial" w:eastAsia="Times New Roman" w:hAnsi="Arial" w:cs="Arial"/>
        </w:rPr>
      </w:pPr>
    </w:p>
    <w:p w14:paraId="7E8C6FF6" w14:textId="6B4A6AA9" w:rsidR="008A4F74" w:rsidRPr="008D7359" w:rsidRDefault="008A4F74" w:rsidP="00BB17C3">
      <w:pPr>
        <w:spacing w:before="100" w:beforeAutospacing="1" w:after="100" w:afterAutospacing="1" w:line="360" w:lineRule="auto"/>
        <w:rPr>
          <w:rFonts w:ascii="Arial" w:eastAsia="Times New Roman" w:hAnsi="Arial" w:cs="Arial"/>
        </w:rPr>
      </w:pPr>
      <w:r w:rsidRPr="008D7359">
        <w:rPr>
          <w:rFonts w:ascii="Arial" w:eastAsia="Times New Roman" w:hAnsi="Arial" w:cs="Arial"/>
          <w:b/>
          <w:bCs/>
        </w:rPr>
        <w:t>Case Scenario</w:t>
      </w:r>
      <w:r w:rsidRPr="008D7359">
        <w:rPr>
          <w:rFonts w:ascii="Arial" w:eastAsia="Times New Roman" w:hAnsi="Arial" w:cs="Arial"/>
        </w:rPr>
        <w:br/>
      </w:r>
      <w:r w:rsidR="007A7A37" w:rsidRPr="007A7A37">
        <w:rPr>
          <w:rFonts w:ascii="Arial" w:eastAsia="Times New Roman" w:hAnsi="Arial" w:cs="Arial"/>
        </w:rPr>
        <w:t xml:space="preserve">Mr. Ahmed is an old man aged 79 years; he had symptoms of depression because of experiencing a stroke and being isolated. Reminiscence therapy was used by the staff to help him in sharing memories out of the past as they helped him to forget the negative thoughts and embrace positive ones. Using Continuity </w:t>
      </w:r>
      <w:r w:rsidR="003C0CE0" w:rsidRPr="007A7A37">
        <w:rPr>
          <w:rFonts w:ascii="Arial" w:eastAsia="Times New Roman" w:hAnsi="Arial" w:cs="Arial"/>
        </w:rPr>
        <w:t>Theory,</w:t>
      </w:r>
      <w:r w:rsidR="007A7A37" w:rsidRPr="007A7A37">
        <w:rPr>
          <w:rFonts w:ascii="Arial" w:eastAsia="Times New Roman" w:hAnsi="Arial" w:cs="Arial"/>
        </w:rPr>
        <w:t xml:space="preserve"> the staff members also advised Mr. Ahmed to remain with his life time passion of watching birds in the facility gardens that would enable him to sustain his identity (Atchley, 1989). These integrated theoretical practices helped him to lift his mood and involvement</w:t>
      </w:r>
      <w:r w:rsidR="00174D49" w:rsidRPr="008D7359">
        <w:rPr>
          <w:rFonts w:ascii="Arial" w:eastAsia="Times New Roman" w:hAnsi="Arial" w:cs="Arial"/>
        </w:rPr>
        <w:t>.</w:t>
      </w:r>
    </w:p>
    <w:p w14:paraId="3B83EDEF" w14:textId="0C625F93" w:rsidR="008A4F74" w:rsidRPr="008D7359" w:rsidRDefault="008A4F74" w:rsidP="00BB17C3">
      <w:pPr>
        <w:spacing w:before="100" w:beforeAutospacing="1" w:after="100" w:afterAutospacing="1" w:line="360" w:lineRule="auto"/>
        <w:rPr>
          <w:rFonts w:ascii="Arial" w:eastAsia="Times New Roman" w:hAnsi="Arial" w:cs="Arial"/>
        </w:rPr>
      </w:pPr>
      <w:r w:rsidRPr="008D7359">
        <w:rPr>
          <w:rFonts w:ascii="Arial" w:eastAsia="Times New Roman" w:hAnsi="Arial" w:cs="Arial"/>
          <w:b/>
          <w:bCs/>
        </w:rPr>
        <w:t>Challenge in Applying the Theory</w:t>
      </w:r>
      <w:r w:rsidRPr="008D7359">
        <w:rPr>
          <w:rFonts w:ascii="Arial" w:eastAsia="Times New Roman" w:hAnsi="Arial" w:cs="Arial"/>
        </w:rPr>
        <w:br/>
      </w:r>
      <w:r w:rsidR="007A7A37" w:rsidRPr="007A7A37">
        <w:rPr>
          <w:rFonts w:ascii="Arial" w:eastAsia="Times New Roman" w:hAnsi="Arial" w:cs="Arial"/>
        </w:rPr>
        <w:t>A major limitation to the use of the Eriksonian theory is differences in the life experiences; the promotion of life review in the individuals with past trauma could be associated with distress instead of wellbeing. Also, according to Disengagement Theory, certain elderly people might have an inherent tendency to become disengaged in social positions, and this could be misunderstood by caregivers for someone to be depressed, and not be undergoing a normal transition (Cumming and Henry, 1961). Another criticism of Erikson theory is that, they over-generalize aging process without taking into consideration these personal or cultural differences</w:t>
      </w:r>
      <w:r w:rsidRPr="008D7359">
        <w:rPr>
          <w:rFonts w:ascii="Arial" w:eastAsia="Times New Roman" w:hAnsi="Arial" w:cs="Arial"/>
        </w:rPr>
        <w:t>.</w:t>
      </w:r>
    </w:p>
    <w:p w14:paraId="6278E3B1" w14:textId="32D27144" w:rsidR="00174D49" w:rsidRPr="008D7359" w:rsidRDefault="008A4F74" w:rsidP="00BB17C3">
      <w:pPr>
        <w:spacing w:before="100" w:beforeAutospacing="1" w:after="100" w:afterAutospacing="1" w:line="360" w:lineRule="auto"/>
        <w:rPr>
          <w:rFonts w:ascii="Arial" w:eastAsia="Times New Roman" w:hAnsi="Arial" w:cs="Arial"/>
        </w:rPr>
      </w:pPr>
      <w:r w:rsidRPr="008D7359">
        <w:rPr>
          <w:rFonts w:ascii="Arial" w:eastAsia="Times New Roman" w:hAnsi="Arial" w:cs="Arial"/>
          <w:b/>
          <w:bCs/>
        </w:rPr>
        <w:t>Strategy to Overcome the Challenge</w:t>
      </w:r>
      <w:r w:rsidRPr="008D7359">
        <w:rPr>
          <w:rFonts w:ascii="Arial" w:eastAsia="Times New Roman" w:hAnsi="Arial" w:cs="Arial"/>
        </w:rPr>
        <w:br/>
      </w:r>
      <w:r w:rsidR="007A7A37" w:rsidRPr="007A7A37">
        <w:rPr>
          <w:rFonts w:ascii="Arial" w:eastAsia="Times New Roman" w:hAnsi="Arial" w:cs="Arial"/>
        </w:rPr>
        <w:t xml:space="preserve">A personal and sensitive way of approaching the activities of life review is essential to dealing with this, where professionals need to provide an equal opportunity to residents to express both positive and negative experiences in a supportive way. Training on how to communicate and provide emotional support can assist staff in their ability to handle emotionally challenging conversations with residents. </w:t>
      </w:r>
      <w:r w:rsidR="007A7A37">
        <w:rPr>
          <w:rFonts w:ascii="Arial" w:eastAsia="Times New Roman" w:hAnsi="Arial" w:cs="Arial"/>
        </w:rPr>
        <w:t>For example,</w:t>
      </w:r>
      <w:r w:rsidR="007A7A37" w:rsidRPr="007A7A37">
        <w:rPr>
          <w:rFonts w:ascii="Arial" w:eastAsia="Times New Roman" w:hAnsi="Arial" w:cs="Arial"/>
        </w:rPr>
        <w:t xml:space="preserve"> understanding whether a resident is in need of </w:t>
      </w:r>
      <w:r w:rsidR="003C0CE0" w:rsidRPr="007A7A37">
        <w:rPr>
          <w:rFonts w:ascii="Arial" w:eastAsia="Times New Roman" w:hAnsi="Arial" w:cs="Arial"/>
        </w:rPr>
        <w:t>Gero transcendence</w:t>
      </w:r>
      <w:r w:rsidR="007A7A37" w:rsidRPr="007A7A37">
        <w:rPr>
          <w:rFonts w:ascii="Arial" w:eastAsia="Times New Roman" w:hAnsi="Arial" w:cs="Arial"/>
        </w:rPr>
        <w:t xml:space="preserve"> by contemplating silently instead of being coerced into socializing (Tornstam, 2005). The means of using person-centered planning is also necessary as understanding the individual´s background and preferences and their emotional needs, as well as the way to incorporate reflective activity will help the staff introduce reflective activities in appropriate ways. To a few residents, looking back at the current days of their lives is more reflective than looking back into their past. Making the necessary changes in the approach to each one of them based on the theoretical premises offered by Erikson, the professionals can improve their psychological wellbeing according to all the activities of life review</w:t>
      </w:r>
      <w:r w:rsidR="00ED2072" w:rsidRPr="008D7359">
        <w:rPr>
          <w:rFonts w:ascii="Arial" w:eastAsia="Times New Roman" w:hAnsi="Arial" w:cs="Arial"/>
        </w:rPr>
        <w:t>.</w:t>
      </w:r>
    </w:p>
    <w:p w14:paraId="2B8FFB1F" w14:textId="149ACD11" w:rsidR="008A4F74" w:rsidRPr="008D7359" w:rsidRDefault="008A4F74" w:rsidP="00BB17C3">
      <w:pPr>
        <w:spacing w:before="100" w:beforeAutospacing="1" w:after="100" w:afterAutospacing="1" w:line="360" w:lineRule="auto"/>
        <w:rPr>
          <w:rFonts w:ascii="Arial" w:eastAsia="Times New Roman" w:hAnsi="Arial" w:cs="Arial"/>
        </w:rPr>
      </w:pPr>
      <w:r w:rsidRPr="008D7359">
        <w:rPr>
          <w:rFonts w:ascii="Arial" w:eastAsia="Times New Roman" w:hAnsi="Arial" w:cs="Arial"/>
          <w:b/>
          <w:bCs/>
        </w:rPr>
        <w:lastRenderedPageBreak/>
        <w:t>Conclusion</w:t>
      </w:r>
      <w:r w:rsidRPr="008D7359">
        <w:rPr>
          <w:rFonts w:ascii="Arial" w:eastAsia="Times New Roman" w:hAnsi="Arial" w:cs="Arial"/>
        </w:rPr>
        <w:br/>
        <w:t>Erikson's psychosocial theory provides an important framework for understanding and meeting older adults' emotional needs in residential care. Care staff can utilize reminiscence therapy and meaningful conversation as intervention techniques to enhance an older adult's well-being by focusing on the stage of ego integrity vs. despair. Challenges related to the wide range of life experiences can be managed using a sensitive, person-centered approach. The application of Erikson's theory supports a more holistic and compassionate model of care for older adults to achieve a feeling of peace, meaning, and fulfillment in the later years of life.</w:t>
      </w:r>
    </w:p>
    <w:p w14:paraId="68D0B6D7" w14:textId="77777777" w:rsidR="00174D49" w:rsidRPr="008D7359" w:rsidRDefault="00174D49" w:rsidP="00BB17C3">
      <w:pPr>
        <w:pStyle w:val="NormalWeb"/>
        <w:spacing w:line="360" w:lineRule="auto"/>
        <w:rPr>
          <w:rFonts w:ascii="Arial" w:hAnsi="Arial" w:cs="Arial"/>
          <w:sz w:val="22"/>
          <w:szCs w:val="22"/>
        </w:rPr>
      </w:pPr>
      <w:r w:rsidRPr="008D7359">
        <w:rPr>
          <w:rFonts w:ascii="Arial" w:hAnsi="Arial" w:cs="Arial"/>
          <w:sz w:val="22"/>
          <w:szCs w:val="22"/>
        </w:rPr>
        <w:br/>
      </w:r>
      <w:r w:rsidRPr="008D7359">
        <w:rPr>
          <w:rFonts w:ascii="Arial" w:hAnsi="Arial" w:cs="Arial"/>
          <w:sz w:val="22"/>
          <w:szCs w:val="22"/>
        </w:rPr>
        <w:br/>
      </w:r>
      <w:r w:rsidRPr="008D7359">
        <w:rPr>
          <w:rFonts w:ascii="Arial" w:hAnsi="Arial" w:cs="Arial"/>
          <w:b/>
          <w:bCs/>
          <w:sz w:val="22"/>
          <w:szCs w:val="22"/>
        </w:rPr>
        <w:t>Reference List</w:t>
      </w:r>
    </w:p>
    <w:p w14:paraId="684EB2ED" w14:textId="410FEDBD" w:rsidR="00E2532B" w:rsidRPr="00E2532B" w:rsidRDefault="00E2532B" w:rsidP="00E2532B">
      <w:pPr>
        <w:pStyle w:val="ListParagraph"/>
        <w:numPr>
          <w:ilvl w:val="0"/>
          <w:numId w:val="1"/>
        </w:numPr>
        <w:spacing w:line="360" w:lineRule="auto"/>
        <w:rPr>
          <w:rFonts w:ascii="Arial" w:hAnsi="Arial" w:cs="Arial"/>
        </w:rPr>
      </w:pPr>
      <w:r w:rsidRPr="00E2532B">
        <w:rPr>
          <w:rFonts w:ascii="Arial" w:hAnsi="Arial" w:cs="Arial"/>
        </w:rPr>
        <w:t>Atchley, R.C. (1989) ‘A Continuity Theory of Normal Aging’, The Gerontologist, 29(2), pp. 183–190.</w:t>
      </w:r>
    </w:p>
    <w:p w14:paraId="2E330E45" w14:textId="064B1E59" w:rsidR="00E2532B" w:rsidRPr="00E2532B" w:rsidRDefault="00E2532B" w:rsidP="00E2532B">
      <w:pPr>
        <w:pStyle w:val="ListParagraph"/>
        <w:numPr>
          <w:ilvl w:val="0"/>
          <w:numId w:val="1"/>
        </w:numPr>
        <w:spacing w:line="360" w:lineRule="auto"/>
        <w:rPr>
          <w:rFonts w:ascii="Arial" w:hAnsi="Arial" w:cs="Arial"/>
        </w:rPr>
      </w:pPr>
      <w:r w:rsidRPr="00E2532B">
        <w:rPr>
          <w:rFonts w:ascii="Arial" w:hAnsi="Arial" w:cs="Arial"/>
        </w:rPr>
        <w:t xml:space="preserve">Bowlby, J. (1988) A Secure Base: Parent-Child Attachment and Healthy Human Development. London: Routledge. </w:t>
      </w:r>
    </w:p>
    <w:p w14:paraId="77B738E4" w14:textId="069290EE" w:rsidR="00E2532B" w:rsidRPr="00E2532B" w:rsidRDefault="00E2532B" w:rsidP="00E2532B">
      <w:pPr>
        <w:pStyle w:val="ListParagraph"/>
        <w:numPr>
          <w:ilvl w:val="0"/>
          <w:numId w:val="1"/>
        </w:numPr>
        <w:spacing w:line="360" w:lineRule="auto"/>
        <w:rPr>
          <w:rFonts w:ascii="Arial" w:hAnsi="Arial" w:cs="Arial"/>
        </w:rPr>
      </w:pPr>
      <w:r w:rsidRPr="00E2532B">
        <w:rPr>
          <w:rFonts w:ascii="Arial" w:hAnsi="Arial" w:cs="Arial"/>
        </w:rPr>
        <w:t>Carstensen, L.L. (1992) ‘Social and emotional patterns in adulthood: support for socioemotional selectivity theory’, Psychology and Aging, 7(3), pp. 331–338.</w:t>
      </w:r>
    </w:p>
    <w:p w14:paraId="4B0E7C23" w14:textId="111A604E" w:rsidR="00E2532B" w:rsidRPr="00E2532B" w:rsidRDefault="00E2532B" w:rsidP="00E2532B">
      <w:pPr>
        <w:pStyle w:val="ListParagraph"/>
        <w:numPr>
          <w:ilvl w:val="0"/>
          <w:numId w:val="1"/>
        </w:numPr>
        <w:spacing w:line="360" w:lineRule="auto"/>
        <w:rPr>
          <w:rFonts w:ascii="Arial" w:hAnsi="Arial" w:cs="Arial"/>
        </w:rPr>
      </w:pPr>
      <w:r w:rsidRPr="00E2532B">
        <w:rPr>
          <w:rFonts w:ascii="Arial" w:hAnsi="Arial" w:cs="Arial"/>
        </w:rPr>
        <w:t>Cumming, E. and Henry, W.E. (1961) Growing Old: The Process of Disengagement. New York: Basic Books.</w:t>
      </w:r>
    </w:p>
    <w:p w14:paraId="05BD278E" w14:textId="3443A025" w:rsidR="00E2532B" w:rsidRPr="00E2532B" w:rsidRDefault="00E2532B" w:rsidP="00E2532B">
      <w:pPr>
        <w:pStyle w:val="ListParagraph"/>
        <w:numPr>
          <w:ilvl w:val="0"/>
          <w:numId w:val="1"/>
        </w:numPr>
        <w:spacing w:line="360" w:lineRule="auto"/>
        <w:rPr>
          <w:rFonts w:ascii="Arial" w:hAnsi="Arial" w:cs="Arial"/>
        </w:rPr>
      </w:pPr>
      <w:r w:rsidRPr="00E2532B">
        <w:rPr>
          <w:rFonts w:ascii="Arial" w:hAnsi="Arial" w:cs="Arial"/>
        </w:rPr>
        <w:t xml:space="preserve">Erikson, E.H. (1982) The Life Cycle Completed. New York: W.W. Norton &amp; Company. </w:t>
      </w:r>
    </w:p>
    <w:p w14:paraId="44A32816" w14:textId="16FF5211" w:rsidR="00E2532B" w:rsidRPr="00E2532B" w:rsidRDefault="00E2532B" w:rsidP="00E2532B">
      <w:pPr>
        <w:pStyle w:val="ListParagraph"/>
        <w:numPr>
          <w:ilvl w:val="0"/>
          <w:numId w:val="1"/>
        </w:numPr>
        <w:spacing w:line="360" w:lineRule="auto"/>
        <w:rPr>
          <w:rFonts w:ascii="Arial" w:hAnsi="Arial" w:cs="Arial"/>
        </w:rPr>
      </w:pPr>
      <w:r w:rsidRPr="00E2532B">
        <w:rPr>
          <w:rFonts w:ascii="Arial" w:hAnsi="Arial" w:cs="Arial"/>
        </w:rPr>
        <w:t xml:space="preserve">Havighurst, R.J. (1961) ‘Successful aging’, The Gerontologist, 1(1), pp. 8–13. </w:t>
      </w:r>
    </w:p>
    <w:p w14:paraId="4245A1FE" w14:textId="6D7A805C" w:rsidR="00E2532B" w:rsidRPr="00E2532B" w:rsidRDefault="00E2532B" w:rsidP="00E2532B">
      <w:pPr>
        <w:pStyle w:val="ListParagraph"/>
        <w:numPr>
          <w:ilvl w:val="0"/>
          <w:numId w:val="1"/>
        </w:numPr>
        <w:spacing w:line="360" w:lineRule="auto"/>
        <w:rPr>
          <w:rFonts w:ascii="Arial" w:hAnsi="Arial" w:cs="Arial"/>
        </w:rPr>
      </w:pPr>
      <w:r w:rsidRPr="00E2532B">
        <w:rPr>
          <w:rFonts w:ascii="Arial" w:hAnsi="Arial" w:cs="Arial"/>
        </w:rPr>
        <w:t xml:space="preserve">Seligman, M.E.P. (2011) Flourish: A Visionary New Understanding of Happiness and Well-being. New York: Free Press. </w:t>
      </w:r>
    </w:p>
    <w:p w14:paraId="04646A7D" w14:textId="7096D219" w:rsidR="00E2532B" w:rsidRPr="00E2532B" w:rsidRDefault="00E2532B" w:rsidP="00E2532B">
      <w:pPr>
        <w:pStyle w:val="ListParagraph"/>
        <w:numPr>
          <w:ilvl w:val="0"/>
          <w:numId w:val="1"/>
        </w:numPr>
        <w:spacing w:line="360" w:lineRule="auto"/>
        <w:rPr>
          <w:rFonts w:ascii="Arial" w:hAnsi="Arial" w:cs="Arial"/>
        </w:rPr>
      </w:pPr>
      <w:r w:rsidRPr="00E2532B">
        <w:rPr>
          <w:rFonts w:ascii="Arial" w:hAnsi="Arial" w:cs="Arial"/>
        </w:rPr>
        <w:t>Tornstam, L. (2005) Gerotranscendence: A Developmental Theory of Positive Aging. New York: Springer Publishing Company.</w:t>
      </w:r>
    </w:p>
    <w:p w14:paraId="423A8EFB" w14:textId="0C550C14" w:rsidR="003803A5" w:rsidRPr="008D7359" w:rsidRDefault="003803A5" w:rsidP="00BB17C3">
      <w:pPr>
        <w:spacing w:line="360" w:lineRule="auto"/>
        <w:rPr>
          <w:rFonts w:ascii="Arial" w:hAnsi="Arial" w:cs="Arial"/>
        </w:rPr>
      </w:pPr>
    </w:p>
    <w:sectPr w:rsidR="003803A5" w:rsidRPr="008D7359" w:rsidSect="00763B8D">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2D0D3" w14:textId="77777777" w:rsidR="004168E0" w:rsidRDefault="004168E0" w:rsidP="004255ED">
      <w:pPr>
        <w:spacing w:after="0" w:line="240" w:lineRule="auto"/>
      </w:pPr>
      <w:r>
        <w:separator/>
      </w:r>
    </w:p>
  </w:endnote>
  <w:endnote w:type="continuationSeparator" w:id="0">
    <w:p w14:paraId="417338FD" w14:textId="77777777" w:rsidR="004168E0" w:rsidRDefault="004168E0" w:rsidP="00425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3430329"/>
      <w:docPartObj>
        <w:docPartGallery w:val="Page Numbers (Bottom of Page)"/>
        <w:docPartUnique/>
      </w:docPartObj>
    </w:sdtPr>
    <w:sdtContent>
      <w:p w14:paraId="286A1025" w14:textId="218DC2DA" w:rsidR="004255ED" w:rsidRDefault="004255ED">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3A199CF" w14:textId="77777777" w:rsidR="004255ED" w:rsidRDefault="004255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C3997" w14:textId="77777777" w:rsidR="004168E0" w:rsidRDefault="004168E0" w:rsidP="004255ED">
      <w:pPr>
        <w:spacing w:after="0" w:line="240" w:lineRule="auto"/>
      </w:pPr>
      <w:r>
        <w:separator/>
      </w:r>
    </w:p>
  </w:footnote>
  <w:footnote w:type="continuationSeparator" w:id="0">
    <w:p w14:paraId="7C105748" w14:textId="77777777" w:rsidR="004168E0" w:rsidRDefault="004168E0" w:rsidP="004255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13766B"/>
    <w:multiLevelType w:val="hybridMultilevel"/>
    <w:tmpl w:val="89389E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60710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759"/>
    <w:rsid w:val="00174D49"/>
    <w:rsid w:val="001B5918"/>
    <w:rsid w:val="003803A5"/>
    <w:rsid w:val="003B3D0F"/>
    <w:rsid w:val="003C0CE0"/>
    <w:rsid w:val="004168E0"/>
    <w:rsid w:val="004255ED"/>
    <w:rsid w:val="00492759"/>
    <w:rsid w:val="004B2F9E"/>
    <w:rsid w:val="006454E0"/>
    <w:rsid w:val="00705F59"/>
    <w:rsid w:val="00763B8D"/>
    <w:rsid w:val="007A7A37"/>
    <w:rsid w:val="007B105D"/>
    <w:rsid w:val="007E4239"/>
    <w:rsid w:val="00834883"/>
    <w:rsid w:val="008A4F74"/>
    <w:rsid w:val="008D7359"/>
    <w:rsid w:val="009C1B30"/>
    <w:rsid w:val="009F4B3A"/>
    <w:rsid w:val="00BB17C3"/>
    <w:rsid w:val="00C145E4"/>
    <w:rsid w:val="00CD54CA"/>
    <w:rsid w:val="00D1432C"/>
    <w:rsid w:val="00D32911"/>
    <w:rsid w:val="00D50D17"/>
    <w:rsid w:val="00D5487E"/>
    <w:rsid w:val="00D955EB"/>
    <w:rsid w:val="00DA658C"/>
    <w:rsid w:val="00DB45D6"/>
    <w:rsid w:val="00E1152A"/>
    <w:rsid w:val="00E2532B"/>
    <w:rsid w:val="00ED2072"/>
    <w:rsid w:val="00F567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4BC59"/>
  <w15:chartTrackingRefBased/>
  <w15:docId w15:val="{BDE3F18C-108B-49D1-BB05-F158E6BE9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9275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49275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2759"/>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492759"/>
    <w:rPr>
      <w:rFonts w:ascii="Times New Roman" w:eastAsia="Times New Roman" w:hAnsi="Times New Roman" w:cs="Times New Roman"/>
      <w:b/>
      <w:bCs/>
      <w:sz w:val="27"/>
      <w:szCs w:val="27"/>
    </w:rPr>
  </w:style>
  <w:style w:type="character" w:styleId="Strong">
    <w:name w:val="Strong"/>
    <w:basedOn w:val="DefaultParagraphFont"/>
    <w:uiPriority w:val="22"/>
    <w:qFormat/>
    <w:rsid w:val="00492759"/>
    <w:rPr>
      <w:b/>
      <w:bCs/>
    </w:rPr>
  </w:style>
  <w:style w:type="paragraph" w:styleId="NormalWeb">
    <w:name w:val="Normal (Web)"/>
    <w:basedOn w:val="Normal"/>
    <w:uiPriority w:val="99"/>
    <w:semiHidden/>
    <w:unhideWhenUsed/>
    <w:rsid w:val="0049275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92759"/>
    <w:rPr>
      <w:i/>
      <w:iCs/>
    </w:rPr>
  </w:style>
  <w:style w:type="character" w:customStyle="1" w:styleId="diff-highlight">
    <w:name w:val="diff-highlight"/>
    <w:basedOn w:val="DefaultParagraphFont"/>
    <w:rsid w:val="00D955EB"/>
  </w:style>
  <w:style w:type="paragraph" w:styleId="Header">
    <w:name w:val="header"/>
    <w:basedOn w:val="Normal"/>
    <w:link w:val="HeaderChar"/>
    <w:uiPriority w:val="99"/>
    <w:unhideWhenUsed/>
    <w:rsid w:val="004255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55ED"/>
  </w:style>
  <w:style w:type="paragraph" w:styleId="Footer">
    <w:name w:val="footer"/>
    <w:basedOn w:val="Normal"/>
    <w:link w:val="FooterChar"/>
    <w:uiPriority w:val="99"/>
    <w:unhideWhenUsed/>
    <w:rsid w:val="004255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55ED"/>
  </w:style>
  <w:style w:type="paragraph" w:styleId="NoSpacing">
    <w:name w:val="No Spacing"/>
    <w:link w:val="NoSpacingChar"/>
    <w:uiPriority w:val="1"/>
    <w:qFormat/>
    <w:rsid w:val="00763B8D"/>
    <w:pPr>
      <w:spacing w:after="0" w:line="240" w:lineRule="auto"/>
    </w:pPr>
    <w:rPr>
      <w:rFonts w:eastAsiaTheme="minorEastAsia"/>
    </w:rPr>
  </w:style>
  <w:style w:type="character" w:customStyle="1" w:styleId="NoSpacingChar">
    <w:name w:val="No Spacing Char"/>
    <w:basedOn w:val="DefaultParagraphFont"/>
    <w:link w:val="NoSpacing"/>
    <w:uiPriority w:val="1"/>
    <w:rsid w:val="00763B8D"/>
    <w:rPr>
      <w:rFonts w:eastAsiaTheme="minorEastAsia"/>
    </w:rPr>
  </w:style>
  <w:style w:type="paragraph" w:styleId="ListParagraph">
    <w:name w:val="List Paragraph"/>
    <w:basedOn w:val="Normal"/>
    <w:uiPriority w:val="34"/>
    <w:qFormat/>
    <w:rsid w:val="00E253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637966">
      <w:bodyDiv w:val="1"/>
      <w:marLeft w:val="0"/>
      <w:marRight w:val="0"/>
      <w:marTop w:val="0"/>
      <w:marBottom w:val="0"/>
      <w:divBdr>
        <w:top w:val="none" w:sz="0" w:space="0" w:color="auto"/>
        <w:left w:val="none" w:sz="0" w:space="0" w:color="auto"/>
        <w:bottom w:val="none" w:sz="0" w:space="0" w:color="auto"/>
        <w:right w:val="none" w:sz="0" w:space="0" w:color="auto"/>
      </w:divBdr>
    </w:div>
    <w:div w:id="552666794">
      <w:bodyDiv w:val="1"/>
      <w:marLeft w:val="0"/>
      <w:marRight w:val="0"/>
      <w:marTop w:val="0"/>
      <w:marBottom w:val="0"/>
      <w:divBdr>
        <w:top w:val="none" w:sz="0" w:space="0" w:color="auto"/>
        <w:left w:val="none" w:sz="0" w:space="0" w:color="auto"/>
        <w:bottom w:val="none" w:sz="0" w:space="0" w:color="auto"/>
        <w:right w:val="none" w:sz="0" w:space="0" w:color="auto"/>
      </w:divBdr>
    </w:div>
    <w:div w:id="842627952">
      <w:bodyDiv w:val="1"/>
      <w:marLeft w:val="0"/>
      <w:marRight w:val="0"/>
      <w:marTop w:val="0"/>
      <w:marBottom w:val="0"/>
      <w:divBdr>
        <w:top w:val="none" w:sz="0" w:space="0" w:color="auto"/>
        <w:left w:val="none" w:sz="0" w:space="0" w:color="auto"/>
        <w:bottom w:val="none" w:sz="0" w:space="0" w:color="auto"/>
        <w:right w:val="none" w:sz="0" w:space="0" w:color="auto"/>
      </w:divBdr>
    </w:div>
    <w:div w:id="851727118">
      <w:bodyDiv w:val="1"/>
      <w:marLeft w:val="0"/>
      <w:marRight w:val="0"/>
      <w:marTop w:val="0"/>
      <w:marBottom w:val="0"/>
      <w:divBdr>
        <w:top w:val="none" w:sz="0" w:space="0" w:color="auto"/>
        <w:left w:val="none" w:sz="0" w:space="0" w:color="auto"/>
        <w:bottom w:val="none" w:sz="0" w:space="0" w:color="auto"/>
        <w:right w:val="none" w:sz="0" w:space="0" w:color="auto"/>
      </w:divBdr>
    </w:div>
    <w:div w:id="1202061350">
      <w:bodyDiv w:val="1"/>
      <w:marLeft w:val="0"/>
      <w:marRight w:val="0"/>
      <w:marTop w:val="0"/>
      <w:marBottom w:val="0"/>
      <w:divBdr>
        <w:top w:val="none" w:sz="0" w:space="0" w:color="auto"/>
        <w:left w:val="none" w:sz="0" w:space="0" w:color="auto"/>
        <w:bottom w:val="none" w:sz="0" w:space="0" w:color="auto"/>
        <w:right w:val="none" w:sz="0" w:space="0" w:color="auto"/>
      </w:divBdr>
    </w:div>
    <w:div w:id="1331254539">
      <w:bodyDiv w:val="1"/>
      <w:marLeft w:val="0"/>
      <w:marRight w:val="0"/>
      <w:marTop w:val="0"/>
      <w:marBottom w:val="0"/>
      <w:divBdr>
        <w:top w:val="none" w:sz="0" w:space="0" w:color="auto"/>
        <w:left w:val="none" w:sz="0" w:space="0" w:color="auto"/>
        <w:bottom w:val="none" w:sz="0" w:space="0" w:color="auto"/>
        <w:right w:val="none" w:sz="0" w:space="0" w:color="auto"/>
      </w:divBdr>
    </w:div>
    <w:div w:id="1463571673">
      <w:bodyDiv w:val="1"/>
      <w:marLeft w:val="0"/>
      <w:marRight w:val="0"/>
      <w:marTop w:val="0"/>
      <w:marBottom w:val="0"/>
      <w:divBdr>
        <w:top w:val="none" w:sz="0" w:space="0" w:color="auto"/>
        <w:left w:val="none" w:sz="0" w:space="0" w:color="auto"/>
        <w:bottom w:val="none" w:sz="0" w:space="0" w:color="auto"/>
        <w:right w:val="none" w:sz="0" w:space="0" w:color="auto"/>
      </w:divBdr>
    </w:div>
    <w:div w:id="1562524888">
      <w:bodyDiv w:val="1"/>
      <w:marLeft w:val="0"/>
      <w:marRight w:val="0"/>
      <w:marTop w:val="0"/>
      <w:marBottom w:val="0"/>
      <w:divBdr>
        <w:top w:val="none" w:sz="0" w:space="0" w:color="auto"/>
        <w:left w:val="none" w:sz="0" w:space="0" w:color="auto"/>
        <w:bottom w:val="none" w:sz="0" w:space="0" w:color="auto"/>
        <w:right w:val="none" w:sz="0" w:space="0" w:color="auto"/>
      </w:divBdr>
    </w:div>
    <w:div w:id="198812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EE9D503-1386-47AA-824D-3EAAEE241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7</Pages>
  <Words>1726</Words>
  <Characters>9844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Mshayel Ferdousi Tanzum</dc:creator>
  <cp:keywords/>
  <dc:description/>
  <cp:lastModifiedBy>Hasan Mahmud</cp:lastModifiedBy>
  <cp:revision>13</cp:revision>
  <dcterms:created xsi:type="dcterms:W3CDTF">2026-04-18T14:09:00Z</dcterms:created>
  <dcterms:modified xsi:type="dcterms:W3CDTF">2026-04-21T17:46:00Z</dcterms:modified>
</cp:coreProperties>
</file>