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widowControl w:val="0"/>
        <w:spacing w:after="320" w:lineRule="auto"/>
        <w:contextualSpacing w:val="0"/>
        <w:jc w:val="center"/>
        <w:rPr>
          <w:b w:val="1"/>
          <w:sz w:val="36"/>
          <w:szCs w:val="36"/>
          <w:highlight w:val="white"/>
          <w:u w:val="single"/>
        </w:rPr>
      </w:pPr>
      <w:r w:rsidDel="00000000" w:rsidR="00000000" w:rsidRPr="00000000">
        <w:rPr>
          <w:b w:val="1"/>
          <w:sz w:val="36"/>
          <w:szCs w:val="36"/>
          <w:highlight w:val="white"/>
          <w:u w:val="single"/>
          <w:rtl w:val="0"/>
        </w:rPr>
        <w:t xml:space="preserve">Handout</w:t>
      </w:r>
    </w:p>
    <w:p w:rsidR="00000000" w:rsidDel="00000000" w:rsidP="00000000" w:rsidRDefault="00000000" w:rsidRPr="00000000">
      <w:pPr>
        <w:widowControl w:val="0"/>
        <w:spacing w:after="320" w:lineRule="auto"/>
        <w:contextualSpacing w:val="0"/>
        <w:rPr>
          <w:sz w:val="24"/>
          <w:szCs w:val="24"/>
          <w:highlight w:val="white"/>
        </w:rPr>
      </w:pPr>
      <w:r w:rsidDel="00000000" w:rsidR="00000000" w:rsidRPr="00000000">
        <w:rPr>
          <w:b w:val="1"/>
          <w:sz w:val="24"/>
          <w:szCs w:val="24"/>
          <w:highlight w:val="white"/>
          <w:u w:val="single"/>
          <w:rtl w:val="0"/>
        </w:rPr>
        <w:t xml:space="preserve">Side 3 </w:t>
      </w:r>
      <w:r w:rsidDel="00000000" w:rsidR="00000000" w:rsidRPr="00000000">
        <w:rPr>
          <w:rtl w:val="0"/>
        </w:rPr>
      </w:r>
    </w:p>
    <w:p w:rsidR="00000000" w:rsidDel="00000000" w:rsidP="00000000" w:rsidRDefault="00000000" w:rsidRPr="00000000">
      <w:pPr>
        <w:widowControl w:val="0"/>
        <w:spacing w:after="320" w:lineRule="auto"/>
        <w:contextualSpacing w:val="0"/>
        <w:rPr>
          <w:sz w:val="24"/>
          <w:szCs w:val="24"/>
          <w:highlight w:val="white"/>
        </w:rPr>
      </w:pPr>
      <w:r w:rsidDel="00000000" w:rsidR="00000000" w:rsidRPr="00000000">
        <w:rPr>
          <w:sz w:val="24"/>
          <w:szCs w:val="24"/>
          <w:highlight w:val="white"/>
          <w:rtl w:val="0"/>
        </w:rPr>
        <w:t xml:space="preserve">The issue of rights for women first became prominent during the French and American revolutions in the late 18th century. In Britain it was not until the emergence of the suffragette movement in the late 19th century that there was significant political change. A ‘second wave’ of feminism arose in the 1960s, with an emphasis on unity and sisterhood; seminal figures included Betty Friedan and Germaine Greer. A ‘third wave’ was identified in the late 1980s and 1990s, as a reaction against the perceived lack of focus on class and race issues in earlier movements </w:t>
      </w:r>
      <w:r w:rsidDel="00000000" w:rsidR="00000000" w:rsidRPr="00000000">
        <w:rPr>
          <w:sz w:val="24"/>
          <w:szCs w:val="24"/>
          <w:highlight w:val="white"/>
          <w:vertAlign w:val="superscript"/>
        </w:rPr>
        <w:footnoteReference w:customMarkFollows="0" w:id="0"/>
      </w: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highlight w:val="white"/>
        </w:rPr>
      </w:pPr>
      <w:r w:rsidDel="00000000" w:rsidR="00000000" w:rsidRPr="00000000">
        <w:rPr>
          <w:b w:val="1"/>
          <w:sz w:val="24"/>
          <w:szCs w:val="24"/>
          <w:u w:val="single"/>
          <w:rtl w:val="0"/>
        </w:rPr>
        <w:t xml:space="preserve">Slide 8</w:t>
      </w:r>
      <w:r w:rsidDel="00000000" w:rsidR="00000000" w:rsidRPr="00000000">
        <w:rPr>
          <w:rtl w:val="0"/>
        </w:rPr>
      </w:r>
    </w:p>
    <w:p w:rsidR="00000000" w:rsidDel="00000000" w:rsidP="00000000" w:rsidRDefault="00000000" w:rsidRPr="00000000">
      <w:pPr>
        <w:widowControl w:val="0"/>
        <w:numPr>
          <w:ilvl w:val="0"/>
          <w:numId w:val="1"/>
        </w:numPr>
        <w:spacing w:after="320" w:lineRule="auto"/>
        <w:ind w:left="720" w:hanging="360"/>
        <w:contextualSpacing w:val="1"/>
        <w:rPr>
          <w:sz w:val="24"/>
          <w:szCs w:val="24"/>
          <w:highlight w:val="white"/>
        </w:rPr>
      </w:pPr>
      <w:r w:rsidDel="00000000" w:rsidR="00000000" w:rsidRPr="00000000">
        <w:rPr>
          <w:sz w:val="24"/>
          <w:szCs w:val="24"/>
          <w:highlight w:val="white"/>
          <w:rtl w:val="0"/>
        </w:rPr>
        <w:t xml:space="preserve">KING : 'Tis sweet and commendable in your nature,  Hamlet, To give these mourning duties to your father. […] but to persever. In obstinate condolement is a course. Of impious stubbornness. 'Tis unmanly grief. It shows a will most incorrect to heaven, A heart unfortified, a mind impatient, An understanding simple and unschooled: (1.2.90-92; 96-101)</w:t>
      </w:r>
      <w:r w:rsidDel="00000000" w:rsidR="00000000" w:rsidRPr="00000000">
        <w:rPr>
          <w:sz w:val="24"/>
          <w:szCs w:val="24"/>
          <w:highlight w:val="white"/>
          <w:vertAlign w:val="superscript"/>
        </w:rPr>
        <w:footnoteReference w:customMarkFollows="0" w:id="1"/>
      </w:r>
      <w:r w:rsidDel="00000000" w:rsidR="00000000" w:rsidRPr="00000000">
        <w:rPr>
          <w:rtl w:val="0"/>
        </w:rPr>
      </w:r>
    </w:p>
    <w:p w:rsidR="00000000" w:rsidDel="00000000" w:rsidP="00000000" w:rsidRDefault="00000000" w:rsidRPr="00000000">
      <w:pPr>
        <w:widowControl w:val="0"/>
        <w:spacing w:after="320" w:lineRule="auto"/>
        <w:contextualSpacing w:val="0"/>
        <w:rPr>
          <w:sz w:val="24"/>
          <w:szCs w:val="24"/>
          <w:highlight w:val="white"/>
        </w:rPr>
      </w:pPr>
      <w:r w:rsidDel="00000000" w:rsidR="00000000" w:rsidRPr="00000000">
        <w:rPr>
          <w:rtl w:val="0"/>
        </w:rPr>
      </w:r>
    </w:p>
    <w:p w:rsidR="00000000" w:rsidDel="00000000" w:rsidP="00000000" w:rsidRDefault="00000000" w:rsidRPr="00000000">
      <w:pPr>
        <w:widowControl w:val="0"/>
        <w:numPr>
          <w:ilvl w:val="0"/>
          <w:numId w:val="1"/>
        </w:numPr>
        <w:spacing w:after="320" w:lineRule="auto"/>
        <w:ind w:left="720" w:hanging="360"/>
        <w:contextualSpacing w:val="1"/>
        <w:rPr>
          <w:sz w:val="24"/>
          <w:szCs w:val="24"/>
          <w:highlight w:val="white"/>
        </w:rPr>
      </w:pPr>
      <w:r w:rsidDel="00000000" w:rsidR="00000000" w:rsidRPr="00000000">
        <w:rPr>
          <w:sz w:val="24"/>
          <w:szCs w:val="24"/>
          <w:highlight w:val="white"/>
          <w:rtl w:val="0"/>
        </w:rPr>
        <w:t xml:space="preserve">HAMLET: Why, what an ass am I! This is most brave, That I, the son of a dear father murdered, Prompted to my revenge by heaven and hell, Must, like a whore, unpack my heart with words And fall a-cursing, like a very drab, A stallion!(2.2.611-616)</w:t>
      </w:r>
      <w:r w:rsidDel="00000000" w:rsidR="00000000" w:rsidRPr="00000000">
        <w:rPr>
          <w:sz w:val="24"/>
          <w:szCs w:val="24"/>
          <w:highlight w:val="white"/>
          <w:vertAlign w:val="superscript"/>
        </w:rPr>
        <w:footnoteReference w:customMarkFollows="0" w:id="2"/>
      </w:r>
      <w:r w:rsidDel="00000000" w:rsidR="00000000" w:rsidRPr="00000000">
        <w:rPr>
          <w:rtl w:val="0"/>
        </w:rPr>
      </w:r>
    </w:p>
    <w:p w:rsidR="00000000" w:rsidDel="00000000" w:rsidP="00000000" w:rsidRDefault="00000000" w:rsidRPr="00000000">
      <w:pPr>
        <w:widowControl w:val="0"/>
        <w:spacing w:after="320" w:lineRule="auto"/>
        <w:contextualSpacing w:val="0"/>
        <w:rPr>
          <w:sz w:val="24"/>
          <w:szCs w:val="24"/>
          <w:highlight w:val="white"/>
        </w:rPr>
      </w:pPr>
      <w:r w:rsidDel="00000000" w:rsidR="00000000" w:rsidRPr="00000000">
        <w:rPr>
          <w:rtl w:val="0"/>
        </w:rPr>
      </w:r>
    </w:p>
    <w:p w:rsidR="00000000" w:rsidDel="00000000" w:rsidP="00000000" w:rsidRDefault="00000000" w:rsidRPr="00000000">
      <w:pPr>
        <w:widowControl w:val="0"/>
        <w:numPr>
          <w:ilvl w:val="0"/>
          <w:numId w:val="1"/>
        </w:numPr>
        <w:spacing w:after="320" w:lineRule="auto"/>
        <w:ind w:left="720" w:hanging="360"/>
        <w:rPr>
          <w:sz w:val="24"/>
          <w:szCs w:val="24"/>
          <w:highlight w:val="white"/>
        </w:rPr>
      </w:pPr>
      <w:r w:rsidDel="00000000" w:rsidR="00000000" w:rsidRPr="00000000">
        <w:rPr>
          <w:sz w:val="24"/>
          <w:szCs w:val="24"/>
          <w:highlight w:val="white"/>
          <w:rtl w:val="0"/>
        </w:rPr>
        <w:t xml:space="preserve">OPHELIA: By Gis and by Saint Charity,  Alack and fie for shame, Young men will do 't, if they come to 't; By Cock, they are to blame. Quoth she, 'Before you tumbled me,  You promised me to wed.' So would I 'a done, by yonder sun, An thou hadst not come to my bed.  (4.5.63-71)</w:t>
      </w:r>
      <w:r w:rsidDel="00000000" w:rsidR="00000000" w:rsidRPr="00000000">
        <w:rPr>
          <w:sz w:val="24"/>
          <w:szCs w:val="24"/>
          <w:highlight w:val="white"/>
          <w:vertAlign w:val="superscript"/>
        </w:rPr>
        <w:footnoteReference w:customMarkFollows="0" w:id="3"/>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Oxford Living dictionary, </w:t>
      </w:r>
      <w:hyperlink r:id="rId1">
        <w:r w:rsidDel="00000000" w:rsidR="00000000" w:rsidRPr="00000000">
          <w:rPr>
            <w:color w:val="1155cc"/>
            <w:sz w:val="20"/>
            <w:szCs w:val="20"/>
            <w:u w:val="single"/>
            <w:rtl w:val="0"/>
          </w:rPr>
          <w:t xml:space="preserve">https://en.oxforddictionaries.com/definition/feminism</w:t>
        </w:r>
      </w:hyperlink>
      <w:r w:rsidDel="00000000" w:rsidR="00000000" w:rsidRPr="00000000">
        <w:rPr>
          <w:sz w:val="20"/>
          <w:szCs w:val="20"/>
          <w:rtl w:val="0"/>
        </w:rPr>
        <w:t xml:space="preserve"> , [Acsessed 18th January)</w:t>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Shakespeare Hamlet </w:t>
      </w:r>
      <w:r w:rsidDel="00000000" w:rsidR="00000000" w:rsidRPr="00000000">
        <w:rPr>
          <w:rFonts w:ascii="Roboto" w:cs="Roboto" w:eastAsia="Roboto" w:hAnsi="Roboto"/>
          <w:sz w:val="20"/>
          <w:szCs w:val="20"/>
          <w:highlight w:val="white"/>
          <w:rtl w:val="0"/>
        </w:rPr>
        <w:t xml:space="preserve">(1.2.90-92; 96-101)</w:t>
      </w:r>
      <w:r w:rsidDel="00000000" w:rsidR="00000000" w:rsidRPr="00000000">
        <w:rPr>
          <w:rtl w:val="0"/>
        </w:rPr>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Shakespeare Hamlet</w:t>
      </w:r>
      <w:r w:rsidDel="00000000" w:rsidR="00000000" w:rsidRPr="00000000">
        <w:rPr>
          <w:rFonts w:ascii="Roboto" w:cs="Roboto" w:eastAsia="Roboto" w:hAnsi="Roboto"/>
          <w:sz w:val="20"/>
          <w:szCs w:val="20"/>
          <w:highlight w:val="white"/>
          <w:rtl w:val="0"/>
        </w:rPr>
        <w:t xml:space="preserve">(2.2.611-616)</w:t>
      </w:r>
      <w:r w:rsidDel="00000000" w:rsidR="00000000" w:rsidRPr="00000000">
        <w:rPr>
          <w:rtl w:val="0"/>
        </w:rPr>
      </w:r>
    </w:p>
  </w:footnote>
  <w:footnote w:id="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Shakespeare Hamlet</w:t>
      </w:r>
      <w:r w:rsidDel="00000000" w:rsidR="00000000" w:rsidRPr="00000000">
        <w:rPr>
          <w:rFonts w:ascii="Roboto" w:cs="Roboto" w:eastAsia="Roboto" w:hAnsi="Roboto"/>
          <w:sz w:val="20"/>
          <w:szCs w:val="20"/>
          <w:highlight w:val="white"/>
          <w:rtl w:val="0"/>
        </w:rPr>
        <w:t xml:space="preserve">(4.5.63-71)</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en.oxforddictionaries.com/definition/femi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