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22AC" w:rsidRDefault="009222AC">
      <w:pPr>
        <w:pStyle w:val="Body"/>
        <w:rPr>
          <w:b/>
          <w:bCs/>
        </w:rPr>
      </w:pPr>
    </w:p>
    <w:p w:rsidR="009222AC" w:rsidRPr="00030177" w:rsidRDefault="009222AC" w:rsidP="00030177">
      <w:pPr>
        <w:spacing w:line="360" w:lineRule="auto"/>
        <w:rPr>
          <w:rFonts w:asciiTheme="majorHAnsi" w:hAnsiTheme="majorHAnsi"/>
          <w:b/>
          <w:bCs/>
        </w:rPr>
      </w:pPr>
      <w:r w:rsidRPr="00030177">
        <w:rPr>
          <w:rFonts w:asciiTheme="majorHAnsi" w:hAnsiTheme="majorHAnsi"/>
          <w:b/>
          <w:bCs/>
        </w:rPr>
        <w:t>Encyclopedia Assignment for Hayley Stevens</w:t>
      </w:r>
      <w:r w:rsidR="00030177" w:rsidRPr="00030177">
        <w:rPr>
          <w:rFonts w:asciiTheme="majorHAnsi" w:hAnsiTheme="majorHAnsi"/>
          <w:b/>
          <w:bCs/>
        </w:rPr>
        <w:t xml:space="preserve">              </w:t>
      </w:r>
      <w:r w:rsidRPr="00030177">
        <w:rPr>
          <w:rFonts w:asciiTheme="majorHAnsi" w:hAnsiTheme="majorHAnsi"/>
          <w:b/>
          <w:bCs/>
        </w:rPr>
        <w:t>Student number: 1802900</w:t>
      </w:r>
    </w:p>
    <w:p w:rsidR="009222AC" w:rsidRPr="00030177" w:rsidRDefault="009222AC" w:rsidP="00030177">
      <w:pPr>
        <w:spacing w:line="360" w:lineRule="auto"/>
        <w:rPr>
          <w:rFonts w:asciiTheme="majorHAnsi" w:hAnsiTheme="majorHAnsi"/>
          <w:b/>
          <w:bCs/>
        </w:rPr>
      </w:pPr>
    </w:p>
    <w:p w:rsidR="009222AC" w:rsidRPr="00030177" w:rsidRDefault="009222AC" w:rsidP="00030177">
      <w:pPr>
        <w:spacing w:line="360" w:lineRule="auto"/>
        <w:rPr>
          <w:rFonts w:asciiTheme="majorHAnsi" w:hAnsiTheme="majorHAnsi"/>
          <w:b/>
          <w:bCs/>
        </w:rPr>
      </w:pPr>
      <w:r w:rsidRPr="00030177">
        <w:rPr>
          <w:rFonts w:asciiTheme="majorHAnsi" w:hAnsiTheme="majorHAnsi"/>
          <w:b/>
          <w:bCs/>
        </w:rPr>
        <w:t>Date: Monday, 5 January 2018</w:t>
      </w:r>
    </w:p>
    <w:p w:rsidR="009222AC" w:rsidRPr="00030177" w:rsidRDefault="009222AC" w:rsidP="00030177">
      <w:pPr>
        <w:spacing w:line="360" w:lineRule="auto"/>
        <w:rPr>
          <w:rFonts w:asciiTheme="majorHAnsi" w:hAnsiTheme="majorHAnsi"/>
          <w:b/>
          <w:bCs/>
        </w:rPr>
      </w:pPr>
    </w:p>
    <w:p w:rsidR="009222AC" w:rsidRPr="00030177" w:rsidRDefault="009222AC" w:rsidP="00030177">
      <w:pPr>
        <w:spacing w:line="360" w:lineRule="auto"/>
        <w:rPr>
          <w:rFonts w:asciiTheme="majorHAnsi" w:hAnsiTheme="majorHAnsi"/>
          <w:b/>
          <w:bCs/>
        </w:rPr>
      </w:pPr>
      <w:r w:rsidRPr="00030177">
        <w:rPr>
          <w:rFonts w:asciiTheme="majorHAnsi" w:hAnsiTheme="majorHAnsi"/>
          <w:b/>
          <w:bCs/>
        </w:rPr>
        <w:t>Part 1 – Encyclopedia Review List</w:t>
      </w:r>
    </w:p>
    <w:p w:rsidR="009222AC" w:rsidRPr="00030177" w:rsidRDefault="009222AC" w:rsidP="00030177">
      <w:pPr>
        <w:spacing w:line="360" w:lineRule="auto"/>
        <w:rPr>
          <w:rFonts w:asciiTheme="majorHAnsi" w:hAnsiTheme="majorHAnsi"/>
          <w:b/>
          <w:bCs/>
        </w:rPr>
      </w:pPr>
    </w:p>
    <w:p w:rsidR="0041607E" w:rsidRDefault="0041607E" w:rsidP="00030177">
      <w:pPr>
        <w:spacing w:line="360" w:lineRule="auto"/>
        <w:rPr>
          <w:rFonts w:asciiTheme="majorHAnsi" w:hAnsiTheme="majorHAnsi"/>
          <w:bCs/>
        </w:rPr>
      </w:pPr>
      <w:r w:rsidRPr="00030177">
        <w:rPr>
          <w:rFonts w:asciiTheme="majorHAnsi" w:hAnsiTheme="majorHAnsi"/>
          <w:bCs/>
        </w:rPr>
        <w:t>For my encyclopaedia review I started with the resources recommended in the tutorial:</w:t>
      </w:r>
    </w:p>
    <w:p w:rsidR="00030177" w:rsidRPr="00030177" w:rsidRDefault="00030177" w:rsidP="00030177">
      <w:pPr>
        <w:spacing w:line="360" w:lineRule="auto"/>
        <w:rPr>
          <w:rFonts w:asciiTheme="majorHAnsi" w:hAnsiTheme="majorHAnsi"/>
          <w:bCs/>
        </w:rPr>
      </w:pPr>
    </w:p>
    <w:p w:rsidR="0041607E" w:rsidRPr="00030177" w:rsidRDefault="0041607E" w:rsidP="00030177">
      <w:pPr>
        <w:pStyle w:val="ListParagraph"/>
        <w:numPr>
          <w:ilvl w:val="0"/>
          <w:numId w:val="2"/>
        </w:numPr>
        <w:spacing w:line="360" w:lineRule="auto"/>
        <w:rPr>
          <w:rFonts w:asciiTheme="majorHAnsi" w:hAnsiTheme="majorHAnsi"/>
          <w:bCs/>
        </w:rPr>
      </w:pPr>
      <w:r w:rsidRPr="00030177">
        <w:rPr>
          <w:rFonts w:asciiTheme="majorHAnsi" w:hAnsiTheme="majorHAnsi"/>
          <w:bCs/>
        </w:rPr>
        <w:t>The Stanford Encyclopaedia of Philosophy</w:t>
      </w:r>
    </w:p>
    <w:p w:rsidR="0041607E" w:rsidRPr="00030177" w:rsidRDefault="0041607E" w:rsidP="00030177">
      <w:pPr>
        <w:spacing w:line="360" w:lineRule="auto"/>
        <w:rPr>
          <w:rFonts w:asciiTheme="majorHAnsi" w:hAnsiTheme="majorHAnsi"/>
          <w:bCs/>
        </w:rPr>
      </w:pPr>
    </w:p>
    <w:p w:rsidR="0041607E" w:rsidRPr="00030177" w:rsidRDefault="0041607E" w:rsidP="00030177">
      <w:pPr>
        <w:pStyle w:val="ListParagraph"/>
        <w:numPr>
          <w:ilvl w:val="0"/>
          <w:numId w:val="2"/>
        </w:numPr>
        <w:spacing w:line="360" w:lineRule="auto"/>
        <w:rPr>
          <w:rFonts w:asciiTheme="majorHAnsi" w:hAnsiTheme="majorHAnsi"/>
          <w:bCs/>
        </w:rPr>
      </w:pPr>
      <w:r w:rsidRPr="00030177">
        <w:rPr>
          <w:rFonts w:asciiTheme="majorHAnsi" w:hAnsiTheme="majorHAnsi"/>
          <w:bCs/>
        </w:rPr>
        <w:t>Encyclopedia of Religion, Ed. Lindsay Jones, Vol 3. 2</w:t>
      </w:r>
      <w:r w:rsidRPr="00030177">
        <w:rPr>
          <w:rFonts w:asciiTheme="majorHAnsi" w:hAnsiTheme="majorHAnsi"/>
          <w:bCs/>
          <w:vertAlign w:val="superscript"/>
        </w:rPr>
        <w:t>nd</w:t>
      </w:r>
      <w:r w:rsidRPr="00030177">
        <w:rPr>
          <w:rFonts w:asciiTheme="majorHAnsi" w:hAnsiTheme="majorHAnsi"/>
          <w:bCs/>
        </w:rPr>
        <w:t xml:space="preserve"> ed. Detroit: Macmillian Reference USA, 2005</w:t>
      </w:r>
    </w:p>
    <w:p w:rsidR="0041607E" w:rsidRPr="00030177" w:rsidRDefault="0041607E" w:rsidP="00030177">
      <w:pPr>
        <w:spacing w:line="360" w:lineRule="auto"/>
        <w:rPr>
          <w:rFonts w:asciiTheme="majorHAnsi" w:hAnsiTheme="majorHAnsi"/>
          <w:bCs/>
        </w:rPr>
      </w:pPr>
    </w:p>
    <w:p w:rsidR="0041607E" w:rsidRPr="00030177" w:rsidRDefault="0041607E" w:rsidP="00030177">
      <w:pPr>
        <w:pStyle w:val="ListParagraph"/>
        <w:numPr>
          <w:ilvl w:val="0"/>
          <w:numId w:val="2"/>
        </w:numPr>
        <w:spacing w:line="360" w:lineRule="auto"/>
        <w:rPr>
          <w:rFonts w:asciiTheme="majorHAnsi" w:hAnsiTheme="majorHAnsi"/>
          <w:bCs/>
        </w:rPr>
      </w:pPr>
      <w:r w:rsidRPr="00030177">
        <w:rPr>
          <w:rFonts w:asciiTheme="majorHAnsi" w:hAnsiTheme="majorHAnsi"/>
          <w:bCs/>
        </w:rPr>
        <w:t>Islamic Studies Encyclopaedia</w:t>
      </w:r>
    </w:p>
    <w:p w:rsidR="0041607E" w:rsidRPr="00030177" w:rsidRDefault="0041607E" w:rsidP="00030177">
      <w:pPr>
        <w:spacing w:line="360" w:lineRule="auto"/>
        <w:rPr>
          <w:rFonts w:asciiTheme="majorHAnsi" w:hAnsiTheme="majorHAnsi"/>
          <w:bCs/>
        </w:rPr>
      </w:pPr>
    </w:p>
    <w:p w:rsidR="009222AC" w:rsidRPr="00030177" w:rsidRDefault="0041607E" w:rsidP="00030177">
      <w:pPr>
        <w:spacing w:line="360" w:lineRule="auto"/>
        <w:jc w:val="both"/>
        <w:rPr>
          <w:rFonts w:asciiTheme="majorHAnsi" w:hAnsiTheme="majorHAnsi"/>
          <w:bCs/>
        </w:rPr>
      </w:pPr>
      <w:r w:rsidRPr="00030177">
        <w:rPr>
          <w:rFonts w:asciiTheme="majorHAnsi" w:hAnsiTheme="majorHAnsi"/>
          <w:bCs/>
        </w:rPr>
        <w:t xml:space="preserve">I </w:t>
      </w:r>
      <w:r w:rsidR="00030177">
        <w:rPr>
          <w:rFonts w:asciiTheme="majorHAnsi" w:hAnsiTheme="majorHAnsi"/>
          <w:bCs/>
        </w:rPr>
        <w:t>started by</w:t>
      </w:r>
      <w:r w:rsidRPr="00030177">
        <w:rPr>
          <w:rFonts w:asciiTheme="majorHAnsi" w:hAnsiTheme="majorHAnsi"/>
          <w:bCs/>
        </w:rPr>
        <w:t xml:space="preserve"> looking for</w:t>
      </w:r>
      <w:r w:rsidR="00030177">
        <w:rPr>
          <w:rFonts w:asciiTheme="majorHAnsi" w:hAnsiTheme="majorHAnsi"/>
          <w:bCs/>
        </w:rPr>
        <w:t xml:space="preserve"> entries under</w:t>
      </w:r>
      <w:r w:rsidRPr="00030177">
        <w:rPr>
          <w:rFonts w:asciiTheme="majorHAnsi" w:hAnsiTheme="majorHAnsi"/>
          <w:bCs/>
        </w:rPr>
        <w:t xml:space="preserve"> spiritual transformation</w:t>
      </w:r>
      <w:r w:rsidR="00030177">
        <w:rPr>
          <w:rFonts w:asciiTheme="majorHAnsi" w:hAnsiTheme="majorHAnsi"/>
          <w:bCs/>
        </w:rPr>
        <w:t xml:space="preserve"> which was</w:t>
      </w:r>
      <w:r w:rsidRPr="00030177">
        <w:rPr>
          <w:rFonts w:asciiTheme="majorHAnsi" w:hAnsiTheme="majorHAnsi"/>
          <w:bCs/>
        </w:rPr>
        <w:t xml:space="preserve"> the </w:t>
      </w:r>
      <w:r w:rsidR="00030177">
        <w:rPr>
          <w:rFonts w:asciiTheme="majorHAnsi" w:hAnsiTheme="majorHAnsi"/>
          <w:bCs/>
        </w:rPr>
        <w:t>subject</w:t>
      </w:r>
      <w:r w:rsidRPr="00030177">
        <w:rPr>
          <w:rFonts w:asciiTheme="majorHAnsi" w:hAnsiTheme="majorHAnsi"/>
          <w:bCs/>
        </w:rPr>
        <w:t xml:space="preserve"> of my encyclopedia piece.  Finding </w:t>
      </w:r>
      <w:r w:rsidR="00030177">
        <w:rPr>
          <w:rFonts w:asciiTheme="majorHAnsi" w:hAnsiTheme="majorHAnsi"/>
          <w:bCs/>
        </w:rPr>
        <w:t xml:space="preserve">entries for this term </w:t>
      </w:r>
      <w:r w:rsidRPr="00030177">
        <w:rPr>
          <w:rFonts w:asciiTheme="majorHAnsi" w:hAnsiTheme="majorHAnsi"/>
          <w:bCs/>
        </w:rPr>
        <w:t xml:space="preserve">I branched out to include conversion, religious conversion, and religious experience.  I also looked under spiritual, spirituality, </w:t>
      </w:r>
      <w:r w:rsidR="00030177">
        <w:rPr>
          <w:rFonts w:asciiTheme="majorHAnsi" w:hAnsiTheme="majorHAnsi"/>
          <w:bCs/>
        </w:rPr>
        <w:t xml:space="preserve">experience, </w:t>
      </w:r>
      <w:r w:rsidRPr="00030177">
        <w:rPr>
          <w:rFonts w:asciiTheme="majorHAnsi" w:hAnsiTheme="majorHAnsi"/>
          <w:bCs/>
        </w:rPr>
        <w:t>religion</w:t>
      </w:r>
      <w:r w:rsidR="00030177">
        <w:rPr>
          <w:rFonts w:asciiTheme="majorHAnsi" w:hAnsiTheme="majorHAnsi"/>
          <w:bCs/>
        </w:rPr>
        <w:t xml:space="preserve">, religious experience, spiritual experience, </w:t>
      </w:r>
      <w:r w:rsidRPr="00030177">
        <w:rPr>
          <w:rFonts w:asciiTheme="majorHAnsi" w:hAnsiTheme="majorHAnsi"/>
          <w:bCs/>
        </w:rPr>
        <w:t xml:space="preserve">epistemology, mysticism and revelation.  </w:t>
      </w:r>
    </w:p>
    <w:p w:rsidR="0041607E" w:rsidRPr="00030177" w:rsidRDefault="0041607E" w:rsidP="00030177">
      <w:pPr>
        <w:spacing w:line="360" w:lineRule="auto"/>
        <w:rPr>
          <w:rFonts w:asciiTheme="majorHAnsi" w:hAnsiTheme="majorHAnsi"/>
          <w:bCs/>
        </w:rPr>
      </w:pPr>
    </w:p>
    <w:p w:rsidR="00F4638E" w:rsidRPr="00030177" w:rsidRDefault="00F4638E" w:rsidP="00030177">
      <w:pPr>
        <w:spacing w:line="360" w:lineRule="auto"/>
        <w:jc w:val="both"/>
        <w:rPr>
          <w:rFonts w:asciiTheme="majorHAnsi" w:hAnsiTheme="majorHAnsi"/>
          <w:bCs/>
        </w:rPr>
      </w:pPr>
      <w:r w:rsidRPr="00030177">
        <w:rPr>
          <w:rFonts w:asciiTheme="majorHAnsi" w:hAnsiTheme="majorHAnsi"/>
          <w:bCs/>
        </w:rPr>
        <w:t xml:space="preserve">Once I </w:t>
      </w:r>
      <w:r w:rsidR="0041607E" w:rsidRPr="00030177">
        <w:rPr>
          <w:rFonts w:asciiTheme="majorHAnsi" w:hAnsiTheme="majorHAnsi"/>
          <w:bCs/>
        </w:rPr>
        <w:t>completed my review of the above</w:t>
      </w:r>
      <w:r w:rsidRPr="00030177">
        <w:rPr>
          <w:rFonts w:asciiTheme="majorHAnsi" w:hAnsiTheme="majorHAnsi"/>
          <w:bCs/>
        </w:rPr>
        <w:t xml:space="preserve"> resources I searched </w:t>
      </w:r>
      <w:r w:rsidR="002641EE" w:rsidRPr="00030177">
        <w:rPr>
          <w:rFonts w:asciiTheme="majorHAnsi" w:hAnsiTheme="majorHAnsi"/>
          <w:bCs/>
        </w:rPr>
        <w:t xml:space="preserve">for the same terms in </w:t>
      </w:r>
      <w:r w:rsidRPr="00030177">
        <w:rPr>
          <w:rFonts w:asciiTheme="majorHAnsi" w:hAnsiTheme="majorHAnsi"/>
          <w:bCs/>
        </w:rPr>
        <w:t xml:space="preserve">encyclopaedias </w:t>
      </w:r>
      <w:r w:rsidR="002641EE" w:rsidRPr="00030177">
        <w:rPr>
          <w:rFonts w:asciiTheme="majorHAnsi" w:hAnsiTheme="majorHAnsi"/>
          <w:bCs/>
        </w:rPr>
        <w:t xml:space="preserve">from different perspectives, ie, cultural anthropology, religion and ethics and also the same </w:t>
      </w:r>
      <w:r w:rsidRPr="00030177">
        <w:rPr>
          <w:rFonts w:asciiTheme="majorHAnsi" w:hAnsiTheme="majorHAnsi"/>
          <w:bCs/>
        </w:rPr>
        <w:t>enc</w:t>
      </w:r>
      <w:r w:rsidR="002641EE" w:rsidRPr="00030177">
        <w:rPr>
          <w:rFonts w:asciiTheme="majorHAnsi" w:hAnsiTheme="majorHAnsi"/>
          <w:bCs/>
        </w:rPr>
        <w:t>yclopaedias from different editions as follows:</w:t>
      </w:r>
    </w:p>
    <w:p w:rsidR="002641EE" w:rsidRPr="00030177" w:rsidRDefault="002641EE" w:rsidP="00030177">
      <w:pPr>
        <w:spacing w:line="360" w:lineRule="auto"/>
        <w:rPr>
          <w:rFonts w:asciiTheme="majorHAnsi" w:hAnsiTheme="majorHAnsi"/>
          <w:bCs/>
        </w:rPr>
      </w:pPr>
    </w:p>
    <w:p w:rsidR="009222AC" w:rsidRPr="00030177" w:rsidRDefault="009222AC" w:rsidP="00030177">
      <w:pPr>
        <w:pStyle w:val="Body"/>
        <w:numPr>
          <w:ilvl w:val="0"/>
          <w:numId w:val="3"/>
        </w:numPr>
        <w:spacing w:line="360" w:lineRule="auto"/>
        <w:jc w:val="both"/>
        <w:rPr>
          <w:rFonts w:asciiTheme="majorHAnsi" w:hAnsiTheme="majorHAnsi"/>
        </w:rPr>
      </w:pPr>
      <w:r w:rsidRPr="00030177">
        <w:rPr>
          <w:rFonts w:asciiTheme="majorHAnsi" w:hAnsiTheme="majorHAnsi"/>
        </w:rPr>
        <w:t xml:space="preserve">Routledge Encyclopedia of Philosophy. </w:t>
      </w:r>
      <w:r w:rsidR="004E1407" w:rsidRPr="00030177">
        <w:rPr>
          <w:rFonts w:asciiTheme="majorHAnsi" w:hAnsiTheme="majorHAnsi"/>
        </w:rPr>
        <w:t xml:space="preserve">Vol 8.  </w:t>
      </w:r>
      <w:r w:rsidRPr="00030177">
        <w:rPr>
          <w:rFonts w:asciiTheme="majorHAnsi" w:hAnsiTheme="majorHAnsi"/>
        </w:rPr>
        <w:t>E</w:t>
      </w:r>
      <w:r w:rsidR="00F4638E" w:rsidRPr="00030177">
        <w:rPr>
          <w:rFonts w:asciiTheme="majorHAnsi" w:hAnsiTheme="majorHAnsi"/>
        </w:rPr>
        <w:t>d.</w:t>
      </w:r>
      <w:r w:rsidR="004E1407" w:rsidRPr="00030177">
        <w:rPr>
          <w:rFonts w:asciiTheme="majorHAnsi" w:hAnsiTheme="majorHAnsi"/>
        </w:rPr>
        <w:t xml:space="preserve"> by</w:t>
      </w:r>
      <w:r w:rsidR="00F4638E" w:rsidRPr="00030177">
        <w:rPr>
          <w:rFonts w:asciiTheme="majorHAnsi" w:hAnsiTheme="majorHAnsi"/>
        </w:rPr>
        <w:t xml:space="preserve"> Edward Craig. </w:t>
      </w:r>
      <w:r w:rsidR="004E1407" w:rsidRPr="00030177">
        <w:rPr>
          <w:rFonts w:asciiTheme="majorHAnsi" w:hAnsiTheme="majorHAnsi"/>
        </w:rPr>
        <w:t>(</w:t>
      </w:r>
      <w:r w:rsidR="00F4638E" w:rsidRPr="00030177">
        <w:rPr>
          <w:rFonts w:asciiTheme="majorHAnsi" w:hAnsiTheme="majorHAnsi"/>
        </w:rPr>
        <w:t>London and New York</w:t>
      </w:r>
      <w:r w:rsidRPr="00030177">
        <w:rPr>
          <w:rFonts w:asciiTheme="majorHAnsi" w:hAnsiTheme="majorHAnsi"/>
        </w:rPr>
        <w:t>: Routledge, 1998</w:t>
      </w:r>
      <w:r w:rsidR="004E1407" w:rsidRPr="00030177">
        <w:rPr>
          <w:rFonts w:asciiTheme="majorHAnsi" w:hAnsiTheme="majorHAnsi"/>
        </w:rPr>
        <w:t>)</w:t>
      </w:r>
    </w:p>
    <w:p w:rsidR="009222AC" w:rsidRPr="00030177" w:rsidRDefault="009222AC" w:rsidP="00030177">
      <w:pPr>
        <w:spacing w:line="360" w:lineRule="auto"/>
        <w:rPr>
          <w:rFonts w:asciiTheme="majorHAnsi" w:hAnsiTheme="majorHAnsi"/>
          <w:bCs/>
        </w:rPr>
      </w:pPr>
    </w:p>
    <w:p w:rsidR="0041607E" w:rsidRPr="00030177" w:rsidRDefault="0041607E" w:rsidP="00030177">
      <w:pPr>
        <w:pStyle w:val="ListParagraph"/>
        <w:numPr>
          <w:ilvl w:val="0"/>
          <w:numId w:val="3"/>
        </w:numPr>
        <w:spacing w:line="360" w:lineRule="auto"/>
        <w:rPr>
          <w:rFonts w:asciiTheme="majorHAnsi" w:hAnsiTheme="majorHAnsi"/>
          <w:bCs/>
        </w:rPr>
      </w:pPr>
      <w:r w:rsidRPr="00030177">
        <w:rPr>
          <w:rFonts w:asciiTheme="majorHAnsi" w:hAnsiTheme="majorHAnsi"/>
          <w:bCs/>
        </w:rPr>
        <w:t>Encycl</w:t>
      </w:r>
      <w:r w:rsidR="00F4638E" w:rsidRPr="00030177">
        <w:rPr>
          <w:rFonts w:asciiTheme="majorHAnsi" w:hAnsiTheme="majorHAnsi"/>
          <w:bCs/>
        </w:rPr>
        <w:t xml:space="preserve">opaedia of Religion and Ethics. </w:t>
      </w:r>
      <w:r w:rsidR="009B5D39" w:rsidRPr="00030177">
        <w:rPr>
          <w:rFonts w:asciiTheme="majorHAnsi" w:hAnsiTheme="majorHAnsi"/>
          <w:bCs/>
        </w:rPr>
        <w:t xml:space="preserve">Vol </w:t>
      </w:r>
      <w:r w:rsidR="004E1407" w:rsidRPr="00030177">
        <w:rPr>
          <w:rFonts w:asciiTheme="majorHAnsi" w:hAnsiTheme="majorHAnsi"/>
          <w:bCs/>
        </w:rPr>
        <w:t xml:space="preserve">II. </w:t>
      </w:r>
      <w:r w:rsidR="00F4638E" w:rsidRPr="00030177">
        <w:rPr>
          <w:rFonts w:asciiTheme="majorHAnsi" w:hAnsiTheme="majorHAnsi"/>
          <w:bCs/>
        </w:rPr>
        <w:t xml:space="preserve">Ed. </w:t>
      </w:r>
      <w:r w:rsidR="004E1407" w:rsidRPr="00030177">
        <w:rPr>
          <w:rFonts w:asciiTheme="majorHAnsi" w:hAnsiTheme="majorHAnsi"/>
          <w:bCs/>
        </w:rPr>
        <w:t>b</w:t>
      </w:r>
      <w:r w:rsidR="009B5D39" w:rsidRPr="00030177">
        <w:rPr>
          <w:rFonts w:asciiTheme="majorHAnsi" w:hAnsiTheme="majorHAnsi"/>
          <w:bCs/>
        </w:rPr>
        <w:t xml:space="preserve">y </w:t>
      </w:r>
      <w:r w:rsidR="00F4638E" w:rsidRPr="00030177">
        <w:rPr>
          <w:rFonts w:asciiTheme="majorHAnsi" w:hAnsiTheme="majorHAnsi"/>
          <w:bCs/>
        </w:rPr>
        <w:t xml:space="preserve">James Hastings. </w:t>
      </w:r>
      <w:r w:rsidR="004E1407" w:rsidRPr="00030177">
        <w:rPr>
          <w:rFonts w:asciiTheme="majorHAnsi" w:hAnsiTheme="majorHAnsi"/>
          <w:bCs/>
        </w:rPr>
        <w:t xml:space="preserve">(Edinburgh: T &amp; T Clark, </w:t>
      </w:r>
      <w:r w:rsidR="002641EE" w:rsidRPr="00030177">
        <w:rPr>
          <w:rFonts w:asciiTheme="majorHAnsi" w:hAnsiTheme="majorHAnsi"/>
          <w:bCs/>
        </w:rPr>
        <w:t>1902</w:t>
      </w:r>
      <w:r w:rsidR="004E1407" w:rsidRPr="00030177">
        <w:rPr>
          <w:rFonts w:asciiTheme="majorHAnsi" w:hAnsiTheme="majorHAnsi"/>
          <w:bCs/>
        </w:rPr>
        <w:t>)</w:t>
      </w:r>
    </w:p>
    <w:p w:rsidR="0041607E" w:rsidRPr="00030177" w:rsidRDefault="0041607E" w:rsidP="00030177">
      <w:pPr>
        <w:spacing w:line="360" w:lineRule="auto"/>
        <w:rPr>
          <w:rFonts w:asciiTheme="majorHAnsi" w:hAnsiTheme="majorHAnsi"/>
          <w:bCs/>
        </w:rPr>
      </w:pPr>
    </w:p>
    <w:p w:rsidR="00F57448" w:rsidRPr="00030177" w:rsidRDefault="0041607E" w:rsidP="00030177">
      <w:pPr>
        <w:pStyle w:val="ListParagraph"/>
        <w:numPr>
          <w:ilvl w:val="0"/>
          <w:numId w:val="3"/>
        </w:numPr>
        <w:spacing w:line="360" w:lineRule="auto"/>
        <w:rPr>
          <w:rFonts w:asciiTheme="majorHAnsi" w:hAnsiTheme="majorHAnsi"/>
          <w:bCs/>
        </w:rPr>
      </w:pPr>
      <w:r w:rsidRPr="00030177">
        <w:rPr>
          <w:rFonts w:asciiTheme="majorHAnsi" w:hAnsiTheme="majorHAnsi"/>
          <w:bCs/>
        </w:rPr>
        <w:t>The Oxford Encycl</w:t>
      </w:r>
      <w:r w:rsidR="002641EE" w:rsidRPr="00030177">
        <w:rPr>
          <w:rFonts w:asciiTheme="majorHAnsi" w:hAnsiTheme="majorHAnsi"/>
          <w:bCs/>
        </w:rPr>
        <w:t>opad</w:t>
      </w:r>
      <w:r w:rsidR="004E1407" w:rsidRPr="00030177">
        <w:rPr>
          <w:rFonts w:asciiTheme="majorHAnsi" w:hAnsiTheme="majorHAnsi"/>
          <w:bCs/>
        </w:rPr>
        <w:t xml:space="preserve">ia of Modern Islamic World. Ed. by John L. </w:t>
      </w:r>
      <w:r w:rsidR="002641EE" w:rsidRPr="00030177">
        <w:rPr>
          <w:rFonts w:asciiTheme="majorHAnsi" w:hAnsiTheme="majorHAnsi"/>
          <w:bCs/>
        </w:rPr>
        <w:t>Esposito</w:t>
      </w:r>
      <w:r w:rsidR="004E1407" w:rsidRPr="00030177">
        <w:rPr>
          <w:rFonts w:asciiTheme="majorHAnsi" w:hAnsiTheme="majorHAnsi"/>
          <w:bCs/>
        </w:rPr>
        <w:t xml:space="preserve"> (Oxford: Oxford University Press, 1995)</w:t>
      </w:r>
    </w:p>
    <w:p w:rsidR="00F57448" w:rsidRPr="00030177" w:rsidRDefault="00F57448" w:rsidP="00030177">
      <w:pPr>
        <w:pStyle w:val="ListParagraph"/>
        <w:spacing w:line="360" w:lineRule="auto"/>
        <w:rPr>
          <w:rFonts w:asciiTheme="majorHAnsi" w:hAnsiTheme="majorHAnsi"/>
          <w:bCs/>
        </w:rPr>
      </w:pPr>
    </w:p>
    <w:p w:rsidR="0041607E" w:rsidRPr="00030177" w:rsidRDefault="0041607E" w:rsidP="00030177">
      <w:pPr>
        <w:pStyle w:val="ListParagraph"/>
        <w:numPr>
          <w:ilvl w:val="0"/>
          <w:numId w:val="3"/>
        </w:numPr>
        <w:spacing w:line="360" w:lineRule="auto"/>
        <w:rPr>
          <w:rFonts w:asciiTheme="majorHAnsi" w:hAnsiTheme="majorHAnsi"/>
          <w:bCs/>
        </w:rPr>
      </w:pPr>
      <w:r w:rsidRPr="00030177">
        <w:rPr>
          <w:rFonts w:asciiTheme="majorHAnsi" w:hAnsiTheme="majorHAnsi"/>
          <w:bCs/>
        </w:rPr>
        <w:t>Encyclo</w:t>
      </w:r>
      <w:r w:rsidR="00F57448" w:rsidRPr="00030177">
        <w:rPr>
          <w:rFonts w:asciiTheme="majorHAnsi" w:hAnsiTheme="majorHAnsi"/>
          <w:bCs/>
        </w:rPr>
        <w:t>paedia of Cultural Anthropology. Vol 3. Ed. by David Levinson and Melvin Ember (New York:</w:t>
      </w:r>
      <w:r w:rsidR="00030177" w:rsidRPr="00030177">
        <w:rPr>
          <w:rFonts w:asciiTheme="majorHAnsi" w:hAnsiTheme="majorHAnsi"/>
          <w:bCs/>
        </w:rPr>
        <w:t xml:space="preserve"> Henry Holt,</w:t>
      </w:r>
      <w:r w:rsidR="00F57448" w:rsidRPr="00030177">
        <w:rPr>
          <w:rFonts w:asciiTheme="majorHAnsi" w:hAnsiTheme="majorHAnsi"/>
          <w:bCs/>
        </w:rPr>
        <w:t xml:space="preserve"> 1996</w:t>
      </w:r>
      <w:r w:rsidR="00030177" w:rsidRPr="00030177">
        <w:rPr>
          <w:rFonts w:asciiTheme="majorHAnsi" w:hAnsiTheme="majorHAnsi"/>
          <w:bCs/>
        </w:rPr>
        <w:t>)</w:t>
      </w:r>
      <w:r w:rsidRPr="00030177">
        <w:rPr>
          <w:rFonts w:asciiTheme="majorHAnsi" w:hAnsiTheme="majorHAnsi"/>
          <w:bCs/>
        </w:rPr>
        <w:t xml:space="preserve"> </w:t>
      </w:r>
    </w:p>
    <w:p w:rsidR="0041607E" w:rsidRPr="00030177" w:rsidRDefault="0041607E" w:rsidP="00030177">
      <w:pPr>
        <w:spacing w:line="360" w:lineRule="auto"/>
        <w:rPr>
          <w:rFonts w:asciiTheme="majorHAnsi" w:hAnsiTheme="majorHAnsi"/>
          <w:bCs/>
        </w:rPr>
      </w:pPr>
    </w:p>
    <w:p w:rsidR="0041607E" w:rsidRPr="00030177" w:rsidRDefault="0041607E" w:rsidP="00030177">
      <w:pPr>
        <w:pStyle w:val="ListParagraph"/>
        <w:numPr>
          <w:ilvl w:val="0"/>
          <w:numId w:val="3"/>
        </w:numPr>
        <w:spacing w:line="360" w:lineRule="auto"/>
        <w:rPr>
          <w:rFonts w:asciiTheme="majorHAnsi" w:hAnsiTheme="majorHAnsi"/>
          <w:bCs/>
        </w:rPr>
      </w:pPr>
      <w:r w:rsidRPr="00030177">
        <w:rPr>
          <w:rFonts w:asciiTheme="majorHAnsi" w:hAnsiTheme="majorHAnsi"/>
          <w:bCs/>
        </w:rPr>
        <w:t>Encylopedia of Religion</w:t>
      </w:r>
      <w:r w:rsidR="00F4638E" w:rsidRPr="00030177">
        <w:rPr>
          <w:rFonts w:asciiTheme="majorHAnsi" w:hAnsiTheme="majorHAnsi"/>
          <w:bCs/>
        </w:rPr>
        <w:t xml:space="preserve">. </w:t>
      </w:r>
      <w:r w:rsidR="009B5D39" w:rsidRPr="00030177">
        <w:rPr>
          <w:rFonts w:asciiTheme="majorHAnsi" w:hAnsiTheme="majorHAnsi"/>
          <w:bCs/>
        </w:rPr>
        <w:t>Vol 14. Ed. by Mircea Eliade. (</w:t>
      </w:r>
      <w:r w:rsidR="00F4638E" w:rsidRPr="00030177">
        <w:rPr>
          <w:rFonts w:asciiTheme="majorHAnsi" w:hAnsiTheme="majorHAnsi"/>
          <w:bCs/>
        </w:rPr>
        <w:t>New York: Macmillan Publishing Company, 1987</w:t>
      </w:r>
      <w:r w:rsidR="009B5D39" w:rsidRPr="00030177">
        <w:rPr>
          <w:rFonts w:asciiTheme="majorHAnsi" w:hAnsiTheme="majorHAnsi"/>
          <w:bCs/>
        </w:rPr>
        <w:t>)</w:t>
      </w:r>
    </w:p>
    <w:p w:rsidR="002641EE" w:rsidRPr="00030177" w:rsidRDefault="002641EE" w:rsidP="00030177">
      <w:pPr>
        <w:pStyle w:val="ListParagraph"/>
        <w:spacing w:line="360" w:lineRule="auto"/>
        <w:rPr>
          <w:rFonts w:asciiTheme="majorHAnsi" w:hAnsiTheme="majorHAnsi"/>
          <w:bCs/>
        </w:rPr>
      </w:pPr>
    </w:p>
    <w:p w:rsidR="002641EE" w:rsidRPr="00030177" w:rsidRDefault="002641EE" w:rsidP="00030177">
      <w:pPr>
        <w:pStyle w:val="ListParagraph"/>
        <w:numPr>
          <w:ilvl w:val="0"/>
          <w:numId w:val="3"/>
        </w:numPr>
        <w:spacing w:line="360" w:lineRule="auto"/>
        <w:rPr>
          <w:rFonts w:asciiTheme="majorHAnsi" w:hAnsiTheme="majorHAnsi"/>
          <w:bCs/>
        </w:rPr>
      </w:pPr>
      <w:r w:rsidRPr="00030177">
        <w:rPr>
          <w:rFonts w:asciiTheme="majorHAnsi" w:hAnsiTheme="majorHAnsi"/>
          <w:bCs/>
        </w:rPr>
        <w:t>A Comp</w:t>
      </w:r>
      <w:r w:rsidR="004E1407" w:rsidRPr="00030177">
        <w:rPr>
          <w:rFonts w:asciiTheme="majorHAnsi" w:hAnsiTheme="majorHAnsi"/>
          <w:bCs/>
        </w:rPr>
        <w:t>anion to Philosophy of Religion.</w:t>
      </w:r>
      <w:r w:rsidRPr="00030177">
        <w:rPr>
          <w:rFonts w:asciiTheme="majorHAnsi" w:hAnsiTheme="majorHAnsi"/>
          <w:bCs/>
        </w:rPr>
        <w:t xml:space="preserve"> </w:t>
      </w:r>
      <w:r w:rsidR="004E1407" w:rsidRPr="00030177">
        <w:rPr>
          <w:rFonts w:asciiTheme="majorHAnsi" w:hAnsiTheme="majorHAnsi"/>
          <w:bCs/>
        </w:rPr>
        <w:t>Ed by Phillip L. Quinn. (</w:t>
      </w:r>
      <w:r w:rsidRPr="00030177">
        <w:rPr>
          <w:rFonts w:asciiTheme="majorHAnsi" w:hAnsiTheme="majorHAnsi"/>
          <w:bCs/>
        </w:rPr>
        <w:t>Oxford: Blackwell</w:t>
      </w:r>
      <w:r w:rsidR="009B5D39" w:rsidRPr="00030177">
        <w:rPr>
          <w:rFonts w:asciiTheme="majorHAnsi" w:hAnsiTheme="majorHAnsi"/>
          <w:bCs/>
        </w:rPr>
        <w:t xml:space="preserve">, </w:t>
      </w:r>
      <w:r w:rsidRPr="00030177">
        <w:rPr>
          <w:rFonts w:asciiTheme="majorHAnsi" w:hAnsiTheme="majorHAnsi"/>
          <w:bCs/>
        </w:rPr>
        <w:t>1994</w:t>
      </w:r>
      <w:r w:rsidR="004E1407" w:rsidRPr="00030177">
        <w:rPr>
          <w:rFonts w:asciiTheme="majorHAnsi" w:hAnsiTheme="majorHAnsi"/>
          <w:bCs/>
        </w:rPr>
        <w:t>)</w:t>
      </w:r>
    </w:p>
    <w:p w:rsidR="00F4638E" w:rsidRPr="00030177" w:rsidRDefault="00F4638E" w:rsidP="00030177">
      <w:pPr>
        <w:spacing w:line="360" w:lineRule="auto"/>
        <w:rPr>
          <w:rFonts w:asciiTheme="majorHAnsi" w:hAnsiTheme="majorHAnsi"/>
          <w:bCs/>
        </w:rPr>
      </w:pPr>
    </w:p>
    <w:p w:rsidR="00F4638E" w:rsidRPr="00030177" w:rsidRDefault="00F4638E" w:rsidP="00030177">
      <w:pPr>
        <w:spacing w:line="360" w:lineRule="auto"/>
        <w:jc w:val="both"/>
        <w:rPr>
          <w:rFonts w:asciiTheme="majorHAnsi" w:hAnsiTheme="majorHAnsi"/>
          <w:bCs/>
        </w:rPr>
      </w:pPr>
      <w:r w:rsidRPr="00030177">
        <w:rPr>
          <w:rFonts w:asciiTheme="majorHAnsi" w:hAnsiTheme="majorHAnsi"/>
          <w:bCs/>
        </w:rPr>
        <w:t xml:space="preserve">For my </w:t>
      </w:r>
      <w:r w:rsidR="00030177" w:rsidRPr="00030177">
        <w:rPr>
          <w:rFonts w:asciiTheme="majorHAnsi" w:hAnsiTheme="majorHAnsi"/>
          <w:bCs/>
        </w:rPr>
        <w:t>assignment I used</w:t>
      </w:r>
      <w:r w:rsidR="00030177">
        <w:rPr>
          <w:rFonts w:asciiTheme="majorHAnsi" w:hAnsiTheme="majorHAnsi"/>
          <w:bCs/>
        </w:rPr>
        <w:t xml:space="preserve"> the following entry as the example format to follow</w:t>
      </w:r>
      <w:r w:rsidR="00030177" w:rsidRPr="00030177">
        <w:rPr>
          <w:rFonts w:asciiTheme="majorHAnsi" w:hAnsiTheme="majorHAnsi"/>
          <w:bCs/>
        </w:rPr>
        <w:t>:</w:t>
      </w:r>
      <w:r w:rsidRPr="00030177">
        <w:rPr>
          <w:rFonts w:asciiTheme="majorHAnsi" w:hAnsiTheme="majorHAnsi"/>
          <w:bCs/>
        </w:rPr>
        <w:t xml:space="preserve"> </w:t>
      </w:r>
      <w:r w:rsidR="00030177" w:rsidRPr="00030177">
        <w:rPr>
          <w:rFonts w:asciiTheme="majorHAnsi" w:hAnsiTheme="majorHAnsi"/>
          <w:bCs/>
        </w:rPr>
        <w:t xml:space="preserve">Conversion, </w:t>
      </w:r>
      <w:r w:rsidR="00030177" w:rsidRPr="00030177">
        <w:rPr>
          <w:rFonts w:asciiTheme="majorHAnsi" w:hAnsiTheme="majorHAnsi"/>
          <w:bCs/>
        </w:rPr>
        <w:t xml:space="preserve">Lewis R Rambo and Charles E. Farhadian </w:t>
      </w:r>
      <w:r w:rsidRPr="00030177">
        <w:rPr>
          <w:rFonts w:asciiTheme="majorHAnsi" w:hAnsiTheme="majorHAnsi"/>
          <w:bCs/>
        </w:rPr>
        <w:t>Encyclopedia of Religion, Ed. Lindsay Jones, Vol 3. 2</w:t>
      </w:r>
      <w:r w:rsidRPr="00030177">
        <w:rPr>
          <w:rFonts w:asciiTheme="majorHAnsi" w:hAnsiTheme="majorHAnsi"/>
          <w:bCs/>
          <w:vertAlign w:val="superscript"/>
        </w:rPr>
        <w:t>nd</w:t>
      </w:r>
      <w:r w:rsidRPr="00030177">
        <w:rPr>
          <w:rFonts w:asciiTheme="majorHAnsi" w:hAnsiTheme="majorHAnsi"/>
          <w:bCs/>
        </w:rPr>
        <w:t xml:space="preserve"> ed. Detroit: Macmillian Reference USA, 2005</w:t>
      </w:r>
    </w:p>
    <w:p w:rsidR="009222AC" w:rsidRPr="00030177" w:rsidRDefault="009222AC" w:rsidP="0003017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320" w:lineRule="atLeast"/>
        <w:rPr>
          <w:rFonts w:ascii="Times" w:hAnsi="Times" w:cs="Times"/>
          <w:color w:val="000000"/>
          <w:lang w:val="en-GB" w:eastAsia="en-GB"/>
        </w:rPr>
      </w:pPr>
      <w:r w:rsidRPr="009222AC">
        <w:rPr>
          <w:b/>
          <w:bCs/>
        </w:rPr>
        <w:br w:type="page"/>
      </w:r>
    </w:p>
    <w:p w:rsidR="00360143" w:rsidRPr="00030177" w:rsidRDefault="007761B6" w:rsidP="00030177">
      <w:pPr>
        <w:pStyle w:val="Body"/>
        <w:spacing w:line="360" w:lineRule="auto"/>
        <w:rPr>
          <w:b/>
          <w:bCs/>
          <w:sz w:val="24"/>
          <w:szCs w:val="24"/>
        </w:rPr>
      </w:pPr>
      <w:r w:rsidRPr="00030177">
        <w:rPr>
          <w:b/>
          <w:bCs/>
          <w:sz w:val="24"/>
          <w:szCs w:val="24"/>
        </w:rPr>
        <w:lastRenderedPageBreak/>
        <w:t>Spiritual Transformation</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Spiritual transformation is a relatively new term having come into greater usage since the 1990’</w:t>
      </w:r>
      <w:r w:rsidRPr="00030177">
        <w:rPr>
          <w:sz w:val="24"/>
          <w:szCs w:val="24"/>
        </w:rPr>
        <w:t xml:space="preserve">s. Currently used interchangeably with the terms conversion experience, religious experience and more recently transformative experiences.  Historically, within Christian traditions, it was referred to as ‘born again’ and ‘regenerated man’.  </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As communiti</w:t>
      </w:r>
      <w:r w:rsidRPr="00030177">
        <w:rPr>
          <w:sz w:val="24"/>
          <w:szCs w:val="24"/>
        </w:rPr>
        <w:t xml:space="preserve">es have become increasingly secular and diverse researchers have sought new terminology.  Spiritual transformation is one attempt at drawing a boundary around what William James referred to as personal religion </w:t>
      </w:r>
      <w:r w:rsidRPr="00030177">
        <w:rPr>
          <w:sz w:val="24"/>
          <w:szCs w:val="24"/>
        </w:rPr>
        <w:t>‘</w:t>
      </w:r>
      <w:r w:rsidRPr="00030177">
        <w:rPr>
          <w:sz w:val="24"/>
          <w:szCs w:val="24"/>
        </w:rPr>
        <w:t>the feelings, acts and experiences of indivi</w:t>
      </w:r>
      <w:r w:rsidRPr="00030177">
        <w:rPr>
          <w:sz w:val="24"/>
          <w:szCs w:val="24"/>
        </w:rPr>
        <w:t>dual men in their solitude, so far as they apprehend themselves to stand in relation to whatever they may consider the divine’ and the transformative consequences of such experiences</w:t>
      </w:r>
      <w:r w:rsidRPr="00030177">
        <w:rPr>
          <w:sz w:val="24"/>
          <w:szCs w:val="24"/>
        </w:rPr>
        <w:t>.</w:t>
      </w:r>
    </w:p>
    <w:p w:rsidR="00360143" w:rsidRPr="00030177" w:rsidRDefault="00360143" w:rsidP="00030177">
      <w:pPr>
        <w:pStyle w:val="Body"/>
        <w:spacing w:line="360" w:lineRule="auto"/>
        <w:jc w:val="both"/>
        <w:rPr>
          <w:b/>
          <w:bCs/>
          <w:sz w:val="24"/>
          <w:szCs w:val="24"/>
        </w:rPr>
      </w:pPr>
    </w:p>
    <w:p w:rsidR="00360143" w:rsidRPr="00030177" w:rsidRDefault="007761B6" w:rsidP="00030177">
      <w:pPr>
        <w:pStyle w:val="Body"/>
        <w:spacing w:line="360" w:lineRule="auto"/>
        <w:jc w:val="both"/>
        <w:rPr>
          <w:sz w:val="24"/>
          <w:szCs w:val="24"/>
        </w:rPr>
      </w:pPr>
      <w:r w:rsidRPr="00030177">
        <w:rPr>
          <w:sz w:val="24"/>
          <w:szCs w:val="24"/>
        </w:rPr>
        <w:t xml:space="preserve">Contemporary definitions include Kenneth Pargament, emeritus professor </w:t>
      </w:r>
      <w:r w:rsidRPr="00030177">
        <w:rPr>
          <w:sz w:val="24"/>
          <w:szCs w:val="24"/>
        </w:rPr>
        <w:t>of psychology ’a fundamental change in the place of the sacred or the character of the sacred as an object of significance in the life of the individual, and secondarily to a fundamental change in the pathways the individual takes to the sacred’ and Kees W</w:t>
      </w:r>
      <w:r w:rsidRPr="00030177">
        <w:rPr>
          <w:sz w:val="24"/>
          <w:szCs w:val="24"/>
        </w:rPr>
        <w:t xml:space="preserve">aaijman, Nijmegen professor of spirituality ‘the material object of spirituality is the interaction between the self and power (source, agency) beyond the self’.  </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From an etymological perspective, spiritual transformation pertains to a metamorphosis of s</w:t>
      </w:r>
      <w:r w:rsidRPr="00030177">
        <w:rPr>
          <w:sz w:val="24"/>
          <w:szCs w:val="24"/>
        </w:rPr>
        <w:t xml:space="preserve">hape, form or figure inspired by the power or force that animates or vitalises man.  Derived from Old French spirituel, esperitual meaning </w:t>
      </w:r>
      <w:r w:rsidRPr="00030177">
        <w:rPr>
          <w:sz w:val="24"/>
          <w:szCs w:val="24"/>
        </w:rPr>
        <w:t>‘</w:t>
      </w:r>
      <w:r w:rsidRPr="00030177">
        <w:rPr>
          <w:sz w:val="24"/>
          <w:szCs w:val="24"/>
        </w:rPr>
        <w:t>concerning the spirit</w:t>
      </w:r>
      <w:r w:rsidRPr="00030177">
        <w:rPr>
          <w:sz w:val="24"/>
          <w:szCs w:val="24"/>
        </w:rPr>
        <w:t xml:space="preserve">’ </w:t>
      </w:r>
      <w:r w:rsidRPr="00030177">
        <w:rPr>
          <w:sz w:val="24"/>
          <w:szCs w:val="24"/>
        </w:rPr>
        <w:t>or from Medieval Latin ecclesiastical use of the Latin spiritualis “of or pertaining to breat</w:t>
      </w:r>
      <w:r w:rsidRPr="00030177">
        <w:rPr>
          <w:sz w:val="24"/>
          <w:szCs w:val="24"/>
        </w:rPr>
        <w:t>h, breathing, wind or air; or pertaining to spirit’ which by the mid-13 Century meant the ‘animating or vital principle in man and animals’.  Whilst transformation comes from either the Latin transformare meaning to “change in shape, metamorphose” or trans</w:t>
      </w:r>
      <w:r w:rsidRPr="00030177">
        <w:rPr>
          <w:sz w:val="24"/>
          <w:szCs w:val="24"/>
        </w:rPr>
        <w:t xml:space="preserve"> “across, beyond” and former “to form”. </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Some researchers believe it impossible to define spiritual transformation in a way that covers all religions, all cultures.  The concept of spirituality and what is transformative from a spiritual perspective is qu</w:t>
      </w:r>
      <w:r w:rsidRPr="00030177">
        <w:rPr>
          <w:sz w:val="24"/>
          <w:szCs w:val="24"/>
        </w:rPr>
        <w:t>estioned.  In general</w:t>
      </w:r>
      <w:r w:rsidR="00F4638E" w:rsidRPr="00030177">
        <w:rPr>
          <w:sz w:val="24"/>
          <w:szCs w:val="24"/>
        </w:rPr>
        <w:t>,</w:t>
      </w:r>
      <w:r w:rsidRPr="00030177">
        <w:rPr>
          <w:sz w:val="24"/>
          <w:szCs w:val="24"/>
        </w:rPr>
        <w:t xml:space="preserve"> we might find philosophers and theologians studying these experiences for evidence of God, whilst psychologists and </w:t>
      </w:r>
      <w:r w:rsidRPr="00030177">
        <w:rPr>
          <w:sz w:val="24"/>
          <w:szCs w:val="24"/>
        </w:rPr>
        <w:lastRenderedPageBreak/>
        <w:t>sociologists focus on the results (“the fruits”) of these experiences for individuals and communities.  These typicall</w:t>
      </w:r>
      <w:r w:rsidRPr="00030177">
        <w:rPr>
          <w:sz w:val="24"/>
          <w:szCs w:val="24"/>
        </w:rPr>
        <w:t>y include health, increased ability to handle the vicissitudes of life, release from addiction, improved personal relationships. The debate includes what qualifies as a spiritually transformative experience.  Are these experiences sudden or gradual, intent</w:t>
      </w:r>
      <w:r w:rsidRPr="00030177">
        <w:rPr>
          <w:sz w:val="24"/>
          <w:szCs w:val="24"/>
        </w:rPr>
        <w:t>ional or unintentional, universally positive or can they be negative, is the experiencer passive or active, in the context solitary or communal? The shift in emphasis from historic studies to more recent studies may be that all of these characteristics are</w:t>
      </w:r>
      <w:r w:rsidRPr="00030177">
        <w:rPr>
          <w:sz w:val="24"/>
          <w:szCs w:val="24"/>
        </w:rPr>
        <w:t xml:space="preserve"> now within the scope.   </w:t>
      </w:r>
    </w:p>
    <w:p w:rsidR="00360143" w:rsidRPr="00030177" w:rsidRDefault="00360143" w:rsidP="00030177">
      <w:pPr>
        <w:pStyle w:val="Body"/>
        <w:spacing w:line="360" w:lineRule="auto"/>
        <w:jc w:val="both"/>
        <w:rPr>
          <w:sz w:val="24"/>
          <w:szCs w:val="24"/>
        </w:rPr>
      </w:pP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An issue that concerns researchers from all backgrounds is the validity and reliability of experiences. Can an individual’s personal account or testimony be taken as valid or reliable?  Can a person be said to be having the expe</w:t>
      </w:r>
      <w:r w:rsidRPr="00030177">
        <w:rPr>
          <w:sz w:val="24"/>
          <w:szCs w:val="24"/>
        </w:rPr>
        <w:t>riences they say they are having?  To what extent are these spiritually transformative experiences similar to the transformative experiences that people encounter at critical points in their life such as having a child, losing a parent or leaving home.  Re</w:t>
      </w:r>
      <w:r w:rsidRPr="00030177">
        <w:rPr>
          <w:sz w:val="24"/>
          <w:szCs w:val="24"/>
        </w:rPr>
        <w:t>search has shown people involved in organised religion are more likely to have a spiritually transformative experience and that the experience is likely to conform with their religious beliefs, for example a Christian is more likely to have an experience i</w:t>
      </w:r>
      <w:r w:rsidRPr="00030177">
        <w:rPr>
          <w:sz w:val="24"/>
          <w:szCs w:val="24"/>
        </w:rPr>
        <w:t>nvolving Christ.  The same research identified fundamentalists and evangelicals, whose personal testimony of God’s transformative work in their life is a key part of their faith, as more likely to report these</w:t>
      </w:r>
      <w:r w:rsidR="00F4638E" w:rsidRPr="00030177">
        <w:rPr>
          <w:sz w:val="24"/>
          <w:szCs w:val="24"/>
        </w:rPr>
        <w:t xml:space="preserve"> types of experiences. Therefore</w:t>
      </w:r>
      <w:r w:rsidRPr="00030177">
        <w:rPr>
          <w:sz w:val="24"/>
          <w:szCs w:val="24"/>
        </w:rPr>
        <w:t xml:space="preserve"> a belief in Go</w:t>
      </w:r>
      <w:r w:rsidRPr="00030177">
        <w:rPr>
          <w:sz w:val="24"/>
          <w:szCs w:val="24"/>
        </w:rPr>
        <w:t>d may result in a transformative experience being accredited to spiritual phenomena rather than naturally occurring phenomena.</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The breadth of study into Spiritual Transformation is extensive and impossible to cover within the scope of this paper. The next</w:t>
      </w:r>
      <w:r w:rsidRPr="00030177">
        <w:rPr>
          <w:sz w:val="24"/>
          <w:szCs w:val="24"/>
        </w:rPr>
        <w:t xml:space="preserve"> section focuses on two contemporary studies which embrace the inclusive approach described above: The Spiritual Transformation Scientific Research Program and The Experience Project.</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b/>
          <w:bCs/>
          <w:sz w:val="24"/>
          <w:szCs w:val="24"/>
        </w:rPr>
      </w:pPr>
      <w:r w:rsidRPr="00030177">
        <w:rPr>
          <w:b/>
          <w:bCs/>
          <w:sz w:val="24"/>
          <w:szCs w:val="24"/>
        </w:rPr>
        <w:t>The Spiritual Transformation Scientific Research Program (STP) - 2002 t</w:t>
      </w:r>
      <w:r w:rsidRPr="00030177">
        <w:rPr>
          <w:b/>
          <w:bCs/>
          <w:sz w:val="24"/>
          <w:szCs w:val="24"/>
        </w:rPr>
        <w:t>o 2006</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 xml:space="preserve">This programme from The Metanexus Institute on Religion and Science based in Philadelphia was funded by The John Templeton Foundation.  The Principle Investigators were Solomon H Katz, President of the Metanexus Institute and Professor of Physical </w:t>
      </w:r>
      <w:r w:rsidRPr="00030177">
        <w:rPr>
          <w:sz w:val="24"/>
          <w:szCs w:val="24"/>
        </w:rPr>
        <w:lastRenderedPageBreak/>
        <w:t>Anthropology at the University of Philadelphia, David Hufford, Director of the Doctors Kienle Center for Humanistic Medicine and Byron Johnson, Director of the Center for Religious Inquiry Across the Disciplines (CRIAD) and Professor of Sociology at Baylor</w:t>
      </w:r>
      <w:r w:rsidRPr="00030177">
        <w:rPr>
          <w:sz w:val="24"/>
          <w:szCs w:val="24"/>
        </w:rPr>
        <w:t xml:space="preserve"> University.  The aim of the programme was to study diverse spiritual phenomenon with scientific rigour, freed from the prejudices of the past with a specific focus on the ‘fruits of the spirit’.  The STP was announced i</w:t>
      </w:r>
      <w:r w:rsidR="00F4638E" w:rsidRPr="00030177">
        <w:rPr>
          <w:sz w:val="24"/>
          <w:szCs w:val="24"/>
        </w:rPr>
        <w:t>n 2002 to coincide with the 100-</w:t>
      </w:r>
      <w:r w:rsidRPr="00030177">
        <w:rPr>
          <w:sz w:val="24"/>
          <w:szCs w:val="24"/>
        </w:rPr>
        <w:t>year</w:t>
      </w:r>
      <w:r w:rsidRPr="00030177">
        <w:rPr>
          <w:sz w:val="24"/>
          <w:szCs w:val="24"/>
        </w:rPr>
        <w:t xml:space="preserve"> anniversary of William James’, Varieties of Religious Experience, to reconsider the scientific study of religious experience and spiritual phenomena in the light of interdisciplinary advances in fields such as anthropology, psychology, neuroscience and re</w:t>
      </w:r>
      <w:r w:rsidRPr="00030177">
        <w:rPr>
          <w:sz w:val="24"/>
          <w:szCs w:val="24"/>
        </w:rPr>
        <w:t>ligious studies.  The study resulted in 45 peer reviewed papers, 5 books and 6 book chapters.</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Some key concerns for this study were how to best define spiritual transformation, establish reliable and valid research methodologies, identify and address ethi</w:t>
      </w:r>
      <w:r w:rsidRPr="00030177">
        <w:rPr>
          <w:sz w:val="24"/>
          <w:szCs w:val="24"/>
        </w:rPr>
        <w:t>cal issues and explore the significance of work already in the field of spirituality, health, religion and society.</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El</w:t>
      </w:r>
      <w:r w:rsidR="00F4638E" w:rsidRPr="00030177">
        <w:rPr>
          <w:sz w:val="24"/>
          <w:szCs w:val="24"/>
        </w:rPr>
        <w:t xml:space="preserve">even projects were fully funded </w:t>
      </w:r>
      <w:r w:rsidRPr="00030177">
        <w:rPr>
          <w:sz w:val="24"/>
          <w:szCs w:val="24"/>
        </w:rPr>
        <w:t xml:space="preserve">and twelve projects received matched funding.  With the exception of one, </w:t>
      </w:r>
      <w:r w:rsidRPr="00030177">
        <w:rPr>
          <w:sz w:val="24"/>
          <w:szCs w:val="24"/>
          <w:lang w:val="nl-NL"/>
        </w:rPr>
        <w:t>Universite de Montreal (Canada)</w:t>
      </w:r>
      <w:r w:rsidRPr="00030177">
        <w:rPr>
          <w:sz w:val="24"/>
          <w:szCs w:val="24"/>
        </w:rPr>
        <w:t xml:space="preserve"> all funding was allocated to universities within the United States.   A key feature of these studies was the use of advances in technology to research spiritual transformation. One fully funded project studied the neurobiology of mystical experience with </w:t>
      </w:r>
      <w:r w:rsidRPr="00030177">
        <w:rPr>
          <w:sz w:val="24"/>
          <w:szCs w:val="24"/>
        </w:rPr>
        <w:t xml:space="preserve">a community of Carmelite Nuns exploring their remembered experience of </w:t>
      </w:r>
      <w:r w:rsidRPr="00030177">
        <w:rPr>
          <w:i/>
          <w:iCs/>
          <w:sz w:val="24"/>
          <w:szCs w:val="24"/>
        </w:rPr>
        <w:t>unio mystica</w:t>
      </w:r>
      <w:r w:rsidRPr="00030177">
        <w:rPr>
          <w:sz w:val="24"/>
          <w:szCs w:val="24"/>
        </w:rPr>
        <w:t xml:space="preserve"> whilst connected to a multi-channel EEG, followed by magnetic resonance imaging and finally positron immersion tomography (PET scan).   Another study used a computer lingui</w:t>
      </w:r>
      <w:r w:rsidRPr="00030177">
        <w:rPr>
          <w:sz w:val="24"/>
          <w:szCs w:val="24"/>
        </w:rPr>
        <w:t>stic programme to measure the language of spiritually transformative experiences with the aim of finding a reliable linguistic measurement of spiritual experiences.   Another project focused on creating and testing a spiritual transformation experience sca</w:t>
      </w:r>
      <w:r w:rsidRPr="00030177">
        <w:rPr>
          <w:sz w:val="24"/>
          <w:szCs w:val="24"/>
        </w:rPr>
        <w:t>le to assess spiritual growth and decline following a diagnosis of cancer.  Many of the projects focused on spiritual transformation and outcomes for individual health or social health for example chronic illness (AIDs), recovery from cancer, desistance fr</w:t>
      </w:r>
      <w:r w:rsidRPr="00030177">
        <w:rPr>
          <w:sz w:val="24"/>
          <w:szCs w:val="24"/>
        </w:rPr>
        <w:t xml:space="preserve">om crime.  These studies appear to have focused entirely upon the USA population for their data.  </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b/>
          <w:bCs/>
          <w:sz w:val="24"/>
          <w:szCs w:val="24"/>
        </w:rPr>
      </w:pPr>
      <w:r w:rsidRPr="00030177">
        <w:rPr>
          <w:b/>
          <w:bCs/>
          <w:sz w:val="24"/>
          <w:szCs w:val="24"/>
        </w:rPr>
        <w:t>The Experience Project (2014 - 2017)</w:t>
      </w:r>
    </w:p>
    <w:p w:rsidR="00360143" w:rsidRPr="00030177" w:rsidRDefault="00360143" w:rsidP="00030177">
      <w:pPr>
        <w:pStyle w:val="Body"/>
        <w:spacing w:line="360" w:lineRule="auto"/>
        <w:jc w:val="both"/>
        <w:rPr>
          <w:sz w:val="24"/>
          <w:szCs w:val="24"/>
        </w:rPr>
      </w:pPr>
    </w:p>
    <w:p w:rsidR="00360143" w:rsidRPr="00030177" w:rsidRDefault="00F4638E" w:rsidP="00030177">
      <w:pPr>
        <w:pStyle w:val="Body"/>
        <w:spacing w:line="360" w:lineRule="auto"/>
        <w:jc w:val="both"/>
        <w:rPr>
          <w:sz w:val="24"/>
          <w:szCs w:val="24"/>
        </w:rPr>
      </w:pPr>
      <w:r w:rsidRPr="00030177">
        <w:rPr>
          <w:sz w:val="24"/>
          <w:szCs w:val="24"/>
        </w:rPr>
        <w:lastRenderedPageBreak/>
        <w:t>This Experience Project, le</w:t>
      </w:r>
      <w:r w:rsidR="007761B6" w:rsidRPr="00030177">
        <w:rPr>
          <w:sz w:val="24"/>
          <w:szCs w:val="24"/>
        </w:rPr>
        <w:t>d by Michael Rae and Laurie Paul, philosophy professors at the University of Notre Dame an</w:t>
      </w:r>
      <w:r w:rsidR="007761B6" w:rsidRPr="00030177">
        <w:rPr>
          <w:sz w:val="24"/>
          <w:szCs w:val="24"/>
        </w:rPr>
        <w:t>d the University of North Carolina at Chapel Hill, respectively.  The projects aim was to explore the nature and implications of transformative experiences and the character of religious and spiritual experiences with the aim of better understanding religi</w:t>
      </w:r>
      <w:r w:rsidR="007761B6" w:rsidRPr="00030177">
        <w:rPr>
          <w:sz w:val="24"/>
          <w:szCs w:val="24"/>
        </w:rPr>
        <w:t>ous and spiritual experiences.   Whilst the project was situated within a Catholic intellectual tradition the project directors viewed its research as having significance beyond Christianity to anyone with beliefs and interests in religious experience.</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The project brought together Rae and Paul’s individual research interests. Rae’s work on the philosophical problem of “Divine Hiddenness” which is the problem of why we do not see clear and compellin</w:t>
      </w:r>
      <w:r w:rsidR="004C5393">
        <w:rPr>
          <w:sz w:val="24"/>
          <w:szCs w:val="24"/>
        </w:rPr>
        <w:t xml:space="preserve">g evidence of God’s existence and </w:t>
      </w:r>
      <w:r w:rsidRPr="00030177">
        <w:rPr>
          <w:sz w:val="24"/>
          <w:szCs w:val="24"/>
        </w:rPr>
        <w:t xml:space="preserve">Paul’s investigation </w:t>
      </w:r>
      <w:r w:rsidRPr="00030177">
        <w:rPr>
          <w:sz w:val="24"/>
          <w:szCs w:val="24"/>
        </w:rPr>
        <w:t>into the nature and power of transformational expe</w:t>
      </w:r>
      <w:r w:rsidR="004C5393">
        <w:rPr>
          <w:sz w:val="24"/>
          <w:szCs w:val="24"/>
        </w:rPr>
        <w:t xml:space="preserve">riences. The hope being that the </w:t>
      </w:r>
      <w:r w:rsidRPr="00030177">
        <w:rPr>
          <w:sz w:val="24"/>
          <w:szCs w:val="24"/>
        </w:rPr>
        <w:t xml:space="preserve">investigation of transformative life experiences might shed new light upon the nature of religious and spiritual transformations (RSEs) and </w:t>
      </w:r>
      <w:r w:rsidRPr="00030177">
        <w:rPr>
          <w:sz w:val="24"/>
          <w:szCs w:val="24"/>
        </w:rPr>
        <w:t xml:space="preserve">add to the exploration </w:t>
      </w:r>
      <w:r w:rsidRPr="00030177">
        <w:rPr>
          <w:sz w:val="24"/>
          <w:szCs w:val="24"/>
        </w:rPr>
        <w:t>of the ‘hiddenness of God” and in some way might provide evidence of the existence of God.</w:t>
      </w:r>
    </w:p>
    <w:p w:rsidR="00360143" w:rsidRPr="00030177" w:rsidRDefault="00360143" w:rsidP="00030177">
      <w:pPr>
        <w:pStyle w:val="Body"/>
        <w:spacing w:line="360" w:lineRule="auto"/>
        <w:jc w:val="both"/>
        <w:rPr>
          <w:sz w:val="24"/>
          <w:szCs w:val="24"/>
        </w:rPr>
      </w:pPr>
    </w:p>
    <w:p w:rsidR="00360143" w:rsidRPr="00030177" w:rsidRDefault="007761B6" w:rsidP="00030177">
      <w:pPr>
        <w:pStyle w:val="Body"/>
        <w:spacing w:line="360" w:lineRule="auto"/>
        <w:jc w:val="both"/>
        <w:rPr>
          <w:sz w:val="24"/>
          <w:szCs w:val="24"/>
        </w:rPr>
      </w:pPr>
      <w:r w:rsidRPr="00030177">
        <w:rPr>
          <w:sz w:val="24"/>
          <w:szCs w:val="24"/>
        </w:rPr>
        <w:t xml:space="preserve">Rae draws on The Experience Project in his 2017 Gifford Lecture series </w:t>
      </w:r>
      <w:r w:rsidRPr="00030177">
        <w:rPr>
          <w:sz w:val="24"/>
          <w:szCs w:val="24"/>
        </w:rPr>
        <w:t>“</w:t>
      </w:r>
      <w:r w:rsidRPr="00030177">
        <w:rPr>
          <w:sz w:val="24"/>
          <w:szCs w:val="24"/>
        </w:rPr>
        <w:t>Though the Darkness Hide Thee: Seeking the Face of the Invisible God</w:t>
      </w:r>
      <w:r w:rsidRPr="00030177">
        <w:rPr>
          <w:sz w:val="24"/>
          <w:szCs w:val="24"/>
        </w:rPr>
        <w:t>”</w:t>
      </w:r>
      <w:r w:rsidRPr="00030177">
        <w:rPr>
          <w:sz w:val="24"/>
          <w:szCs w:val="24"/>
        </w:rPr>
        <w:t>.</w:t>
      </w:r>
    </w:p>
    <w:p w:rsidR="00360143" w:rsidRDefault="00360143">
      <w:pPr>
        <w:pStyle w:val="Body"/>
        <w:spacing w:line="360" w:lineRule="auto"/>
        <w:jc w:val="both"/>
      </w:pPr>
    </w:p>
    <w:p w:rsidR="00360143" w:rsidRDefault="004C5393">
      <w:pPr>
        <w:pStyle w:val="Body"/>
        <w:spacing w:line="360" w:lineRule="auto"/>
        <w:jc w:val="both"/>
        <w:rPr>
          <w:b/>
          <w:bCs/>
        </w:rPr>
      </w:pPr>
      <w:r>
        <w:rPr>
          <w:b/>
          <w:bCs/>
        </w:rPr>
        <w:t>Word count: 1,250</w:t>
      </w:r>
      <w:bookmarkStart w:id="0" w:name="_GoBack"/>
      <w:bookmarkEnd w:id="0"/>
    </w:p>
    <w:p w:rsidR="00360143" w:rsidRDefault="00360143">
      <w:pPr>
        <w:pStyle w:val="Body"/>
        <w:spacing w:line="360" w:lineRule="auto"/>
        <w:jc w:val="both"/>
        <w:rPr>
          <w:b/>
          <w:bCs/>
        </w:rPr>
      </w:pPr>
    </w:p>
    <w:p w:rsidR="00360143" w:rsidRDefault="007761B6">
      <w:pPr>
        <w:pStyle w:val="Body"/>
        <w:spacing w:line="360" w:lineRule="auto"/>
        <w:jc w:val="both"/>
        <w:rPr>
          <w:b/>
          <w:bCs/>
        </w:rPr>
      </w:pPr>
      <w:r>
        <w:rPr>
          <w:b/>
          <w:bCs/>
        </w:rPr>
        <w:t>Bibliography</w:t>
      </w:r>
    </w:p>
    <w:p w:rsidR="00360143" w:rsidRDefault="00360143">
      <w:pPr>
        <w:pStyle w:val="Body"/>
        <w:spacing w:line="360" w:lineRule="auto"/>
        <w:jc w:val="both"/>
      </w:pPr>
    </w:p>
    <w:p w:rsidR="00360143" w:rsidRDefault="007761B6">
      <w:pPr>
        <w:pStyle w:val="Body"/>
        <w:spacing w:line="360" w:lineRule="auto"/>
        <w:jc w:val="both"/>
      </w:pPr>
      <w:r>
        <w:t>Alston, William P., Religious Experience. Routledge Encyclopedia of Philosophy. E</w:t>
      </w:r>
      <w:r w:rsidR="00F4638E">
        <w:t>d. Edward Craig. Vol. 8. London</w:t>
      </w:r>
      <w:r>
        <w:t>: Routledge, 1998</w:t>
      </w:r>
      <w:r w:rsidR="00030177">
        <w:t xml:space="preserve">: </w:t>
      </w:r>
    </w:p>
    <w:p w:rsidR="00360143" w:rsidRDefault="00360143">
      <w:pPr>
        <w:pStyle w:val="Body"/>
        <w:spacing w:line="360" w:lineRule="auto"/>
        <w:jc w:val="both"/>
      </w:pPr>
    </w:p>
    <w:p w:rsidR="00360143" w:rsidRDefault="007761B6">
      <w:pPr>
        <w:pStyle w:val="Body"/>
        <w:spacing w:line="360" w:lineRule="auto"/>
        <w:jc w:val="both"/>
      </w:pPr>
      <w:r>
        <w:t>Hermans, Chris A.M., “Spiritual Transformation: Concept and Measurement.” Journal of Empirical Theology 26, (2</w:t>
      </w:r>
      <w:r>
        <w:t>003): 165 - 187</w:t>
      </w:r>
    </w:p>
    <w:p w:rsidR="00360143" w:rsidRDefault="00360143">
      <w:pPr>
        <w:pStyle w:val="Body"/>
        <w:spacing w:line="360" w:lineRule="auto"/>
        <w:jc w:val="both"/>
      </w:pPr>
    </w:p>
    <w:p w:rsidR="00360143" w:rsidRDefault="007761B6">
      <w:pPr>
        <w:pStyle w:val="Body"/>
        <w:spacing w:line="360" w:lineRule="auto"/>
        <w:jc w:val="both"/>
      </w:pPr>
      <w:r>
        <w:t>James, William. The Varieties of Religious Experience (1902). Cambridge, Mass., 1986</w:t>
      </w:r>
    </w:p>
    <w:p w:rsidR="00360143" w:rsidRDefault="00360143">
      <w:pPr>
        <w:pStyle w:val="Body"/>
        <w:spacing w:line="360" w:lineRule="auto"/>
        <w:jc w:val="both"/>
      </w:pPr>
    </w:p>
    <w:p w:rsidR="00360143" w:rsidRDefault="007761B6">
      <w:pPr>
        <w:pStyle w:val="Body"/>
        <w:spacing w:line="360" w:lineRule="auto"/>
        <w:jc w:val="both"/>
      </w:pPr>
      <w:r>
        <w:t>Koss-Chiono, Joan D., and Hefner, Philip, Spiri</w:t>
      </w:r>
      <w:r w:rsidR="00F4638E">
        <w:t>tual Transformation and Healing</w:t>
      </w:r>
      <w:r>
        <w:t>: Anthropological, Theological, Neuroscientific, and Clinical Perspectives</w:t>
      </w:r>
      <w:r>
        <w:t xml:space="preserve">. AltaMira Press., 2006 </w:t>
      </w:r>
    </w:p>
    <w:p w:rsidR="00360143" w:rsidRDefault="00360143">
      <w:pPr>
        <w:pStyle w:val="Body"/>
        <w:spacing w:line="360" w:lineRule="auto"/>
        <w:jc w:val="both"/>
      </w:pPr>
    </w:p>
    <w:p w:rsidR="00360143" w:rsidRDefault="007761B6">
      <w:pPr>
        <w:pStyle w:val="Body"/>
        <w:spacing w:line="360" w:lineRule="auto"/>
        <w:jc w:val="both"/>
      </w:pPr>
      <w:r>
        <w:lastRenderedPageBreak/>
        <w:t>Rambo, Lewis R., and Bauman, Steven C., Psychology of Conversion and Spiritual Transformation</w:t>
      </w:r>
      <w:r w:rsidR="00F4638E">
        <w:t>. Pastoral Psychology (2012) 61</w:t>
      </w:r>
      <w:r>
        <w:t>: 879 - 894</w:t>
      </w:r>
    </w:p>
    <w:p w:rsidR="00360143" w:rsidRDefault="00360143">
      <w:pPr>
        <w:pStyle w:val="Body"/>
        <w:spacing w:line="360" w:lineRule="auto"/>
        <w:jc w:val="both"/>
      </w:pPr>
    </w:p>
    <w:p w:rsidR="00360143" w:rsidRDefault="007761B6">
      <w:pPr>
        <w:pStyle w:val="Body"/>
        <w:spacing w:line="360" w:lineRule="auto"/>
        <w:jc w:val="both"/>
      </w:pPr>
      <w:r>
        <w:t>Rambo, Lewis R., and Farhadian, Charles E., Conversion. Encyclopedia of Religion. Ed. Lindsa</w:t>
      </w:r>
      <w:r>
        <w:t>y Jones. Vol. 3. 2nd ed. Detroit</w:t>
      </w:r>
      <w:r w:rsidR="00F4638E">
        <w:t>: Macmillan Reference USA, 2005</w:t>
      </w:r>
      <w:r>
        <w:t>: 1969 - 1974</w:t>
      </w:r>
    </w:p>
    <w:p w:rsidR="00360143" w:rsidRDefault="00360143">
      <w:pPr>
        <w:pStyle w:val="Body"/>
        <w:spacing w:line="360" w:lineRule="auto"/>
        <w:jc w:val="both"/>
      </w:pPr>
    </w:p>
    <w:p w:rsidR="00360143" w:rsidRDefault="007761B6">
      <w:pPr>
        <w:pStyle w:val="Body"/>
        <w:spacing w:line="360" w:lineRule="auto"/>
      </w:pPr>
      <w:r>
        <w:t>Schwartz, Arthur J. Ed.D., The Nature of Spiritual Transformation - A Review of Literature, Fall 2000; Metanexus Institute., URL = &lt;</w:t>
      </w:r>
      <w:hyperlink r:id="rId7" w:history="1">
        <w:r>
          <w:rPr>
            <w:rStyle w:val="Hyperlink0"/>
          </w:rPr>
          <w:t>http://www.metanexus.net/archive/spiritualtransformationresearch/research/literature_review.html</w:t>
        </w:r>
      </w:hyperlink>
      <w:r>
        <w:t>&gt;.</w:t>
      </w:r>
    </w:p>
    <w:p w:rsidR="00360143" w:rsidRDefault="00360143">
      <w:pPr>
        <w:pStyle w:val="Body"/>
        <w:spacing w:line="360" w:lineRule="auto"/>
        <w:jc w:val="both"/>
      </w:pPr>
    </w:p>
    <w:p w:rsidR="00360143" w:rsidRDefault="007761B6">
      <w:pPr>
        <w:pStyle w:val="Body"/>
        <w:spacing w:line="360" w:lineRule="auto"/>
        <w:jc w:val="both"/>
      </w:pPr>
      <w:r>
        <w:t>Smith, Tom W., The National Spiritual Transformation Study, Journal for the Scientific St</w:t>
      </w:r>
      <w:r>
        <w:t>udy of Religion, Jun 2006, Vol.45(2), pp.283-296</w:t>
      </w:r>
    </w:p>
    <w:p w:rsidR="00360143" w:rsidRDefault="00360143">
      <w:pPr>
        <w:pStyle w:val="Body"/>
        <w:spacing w:line="360" w:lineRule="auto"/>
        <w:jc w:val="both"/>
      </w:pPr>
    </w:p>
    <w:p w:rsidR="00360143" w:rsidRDefault="007761B6">
      <w:pPr>
        <w:pStyle w:val="Default"/>
        <w:spacing w:line="360" w:lineRule="auto"/>
        <w:jc w:val="both"/>
        <w:rPr>
          <w:color w:val="191919"/>
        </w:rPr>
      </w:pPr>
      <w:r>
        <w:rPr>
          <w:color w:val="191919"/>
        </w:rPr>
        <w:t>Webb, Mark,</w:t>
      </w:r>
      <w:r>
        <w:rPr>
          <w:color w:val="191919"/>
          <w:lang w:val="en-US"/>
        </w:rPr>
        <w:t xml:space="preserve"> Religious Experience, The Stanford Encyclopedia of Philosophy (Winter 2017 Edition), Edward N. Zalta</w:t>
      </w:r>
      <w:r>
        <w:rPr>
          <w:color w:val="191919"/>
        </w:rPr>
        <w:t> </w:t>
      </w:r>
      <w:r>
        <w:rPr>
          <w:color w:val="191919"/>
          <w:lang w:val="en-US"/>
        </w:rPr>
        <w:t>(ed.), URL = &lt;https://plato.stanford.edu/archives/win2017/entries/religious-experience/&gt;.</w:t>
      </w:r>
    </w:p>
    <w:p w:rsidR="00360143" w:rsidRDefault="00360143">
      <w:pPr>
        <w:pStyle w:val="Body"/>
        <w:spacing w:line="360" w:lineRule="auto"/>
        <w:jc w:val="both"/>
      </w:pPr>
    </w:p>
    <w:p w:rsidR="00360143" w:rsidRPr="00F4638E" w:rsidRDefault="007761B6">
      <w:pPr>
        <w:pStyle w:val="Body"/>
        <w:spacing w:line="360" w:lineRule="auto"/>
        <w:jc w:val="both"/>
        <w:rPr>
          <w:b/>
        </w:rPr>
      </w:pPr>
      <w:r w:rsidRPr="00F4638E">
        <w:rPr>
          <w:b/>
        </w:rPr>
        <w:t>Website links</w:t>
      </w:r>
    </w:p>
    <w:p w:rsidR="00360143" w:rsidRDefault="00360143">
      <w:pPr>
        <w:pStyle w:val="Body"/>
        <w:spacing w:line="360" w:lineRule="auto"/>
        <w:jc w:val="both"/>
      </w:pPr>
    </w:p>
    <w:p w:rsidR="00360143" w:rsidRDefault="007761B6">
      <w:pPr>
        <w:pStyle w:val="Body"/>
        <w:spacing w:line="360" w:lineRule="auto"/>
        <w:jc w:val="both"/>
      </w:pPr>
      <w:r>
        <w:t xml:space="preserve">The Spiritual Transformation Scientific Research Program of the Metanexus on Religion and Science : </w:t>
      </w:r>
      <w:hyperlink r:id="rId8" w:history="1">
        <w:r>
          <w:rPr>
            <w:rStyle w:val="Hyperlink0"/>
          </w:rPr>
          <w:t>http://www.metanexus.net/</w:t>
        </w:r>
        <w:r>
          <w:rPr>
            <w:rStyle w:val="Hyperlink0"/>
          </w:rPr>
          <w:t>archive/spiritualtransformationresearch/news/STRP%20Prospectus%202004_high.pdf</w:t>
        </w:r>
      </w:hyperlink>
    </w:p>
    <w:p w:rsidR="00360143" w:rsidRDefault="00360143">
      <w:pPr>
        <w:pStyle w:val="Body"/>
        <w:spacing w:line="360" w:lineRule="auto"/>
        <w:jc w:val="both"/>
      </w:pPr>
    </w:p>
    <w:p w:rsidR="00360143" w:rsidRDefault="00F4638E">
      <w:pPr>
        <w:pStyle w:val="Body"/>
        <w:spacing w:line="360" w:lineRule="auto"/>
        <w:jc w:val="both"/>
      </w:pPr>
      <w:r>
        <w:t>The Experience Project</w:t>
      </w:r>
      <w:r w:rsidR="007761B6">
        <w:t xml:space="preserve">: </w:t>
      </w:r>
      <w:hyperlink r:id="rId9" w:history="1">
        <w:r w:rsidR="007761B6">
          <w:rPr>
            <w:rStyle w:val="Hyperlink0"/>
          </w:rPr>
          <w:t>http://the-experience-project.org</w:t>
        </w:r>
      </w:hyperlink>
    </w:p>
    <w:p w:rsidR="00360143" w:rsidRDefault="00360143">
      <w:pPr>
        <w:pStyle w:val="Body"/>
        <w:spacing w:line="360" w:lineRule="auto"/>
        <w:jc w:val="both"/>
      </w:pPr>
    </w:p>
    <w:p w:rsidR="00360143" w:rsidRDefault="007761B6">
      <w:pPr>
        <w:pStyle w:val="Body"/>
        <w:spacing w:line="360" w:lineRule="auto"/>
        <w:jc w:val="both"/>
      </w:pPr>
      <w:r>
        <w:t>Rea, Michael, “Though the Darkness Hide Thee: Seeking the Face o</w:t>
      </w:r>
      <w:r>
        <w:t xml:space="preserve">f the Invisible God”, The Gifford Lectures :  </w:t>
      </w:r>
      <w:hyperlink r:id="rId10" w:history="1">
        <w:r>
          <w:rPr>
            <w:rStyle w:val="Hyperlink0"/>
          </w:rPr>
          <w:t>https://www.giffordlectures.org/lectures/though-darkness-hide-thee-seeking-face-invisible-god</w:t>
        </w:r>
      </w:hyperlink>
    </w:p>
    <w:sectPr w:rsidR="00360143">
      <w:headerReference w:type="default" r:id="rId11"/>
      <w:footerReference w:type="default" r:id="rId1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61B6" w:rsidRDefault="007761B6">
      <w:r>
        <w:separator/>
      </w:r>
    </w:p>
  </w:endnote>
  <w:endnote w:type="continuationSeparator" w:id="0">
    <w:p w:rsidR="007761B6" w:rsidRDefault="00776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143" w:rsidRDefault="003601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61B6" w:rsidRDefault="007761B6">
      <w:r>
        <w:separator/>
      </w:r>
    </w:p>
  </w:footnote>
  <w:footnote w:type="continuationSeparator" w:id="0">
    <w:p w:rsidR="007761B6" w:rsidRDefault="00776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143" w:rsidRDefault="003601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0D3F7F"/>
    <w:multiLevelType w:val="hybridMultilevel"/>
    <w:tmpl w:val="364E9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597609"/>
    <w:multiLevelType w:val="hybridMultilevel"/>
    <w:tmpl w:val="C3CAA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237623"/>
    <w:multiLevelType w:val="hybridMultilevel"/>
    <w:tmpl w:val="B8308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143"/>
    <w:rsid w:val="00030177"/>
    <w:rsid w:val="002641EE"/>
    <w:rsid w:val="00360143"/>
    <w:rsid w:val="0041607E"/>
    <w:rsid w:val="004C5393"/>
    <w:rsid w:val="004E1407"/>
    <w:rsid w:val="007761B6"/>
    <w:rsid w:val="009222AC"/>
    <w:rsid w:val="009B5D39"/>
    <w:rsid w:val="00F4638E"/>
    <w:rsid w:val="00F57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F0F2A"/>
  <w15:docId w15:val="{D11ECB7B-5095-F64F-920B-E9090D591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9B5D3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rPr>
  </w:style>
  <w:style w:type="character" w:customStyle="1" w:styleId="Hyperlink0">
    <w:name w:val="Hyperlink.0"/>
    <w:basedOn w:val="Hyperlink"/>
    <w:rPr>
      <w:u w:val="single"/>
    </w:rPr>
  </w:style>
  <w:style w:type="paragraph" w:customStyle="1" w:styleId="Default">
    <w:name w:val="Default"/>
    <w:rPr>
      <w:rFonts w:ascii="Helvetica Neue" w:hAnsi="Helvetica Neue" w:cs="Arial Unicode MS"/>
      <w:color w:val="000000"/>
      <w:sz w:val="22"/>
      <w:szCs w:val="22"/>
    </w:rPr>
  </w:style>
  <w:style w:type="paragraph" w:styleId="ListParagraph">
    <w:name w:val="List Paragraph"/>
    <w:basedOn w:val="Normal"/>
    <w:uiPriority w:val="34"/>
    <w:qFormat/>
    <w:rsid w:val="009222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8264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metanexus.net/archive/spiritualtransformationresearch/news/STRP%20Prospectus%202004_high.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tanexus.net/archive/spiritualtransformationresearch/research/literature_review.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iffordlectures.org/lectures/though-darkness-hide-thee-seeking-face-invisible-god" TargetMode="External"/><Relationship Id="rId4" Type="http://schemas.openxmlformats.org/officeDocument/2006/relationships/webSettings" Target="webSettings.xml"/><Relationship Id="rId9" Type="http://schemas.openxmlformats.org/officeDocument/2006/relationships/hyperlink" Target="http://the-experience-project.org" TargetMode="Externa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7</Pages>
  <Words>1902</Words>
  <Characters>10844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Hayley Stevens (1802900)</cp:lastModifiedBy>
  <cp:revision>2</cp:revision>
  <dcterms:created xsi:type="dcterms:W3CDTF">2018-03-05T16:59:00Z</dcterms:created>
  <dcterms:modified xsi:type="dcterms:W3CDTF">2018-03-05T18:30:00Z</dcterms:modified>
</cp:coreProperties>
</file>