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81CA82" w14:textId="60D5575A" w:rsidR="00771277" w:rsidRDefault="00771277" w:rsidP="00771277">
      <w:pPr>
        <w:spacing w:line="360" w:lineRule="auto"/>
        <w:rPr>
          <w:rFonts w:ascii="Arial" w:hAnsi="Arial" w:cs="Arial"/>
        </w:rPr>
      </w:pPr>
      <w:r>
        <w:rPr>
          <w:rFonts w:ascii="Arial" w:hAnsi="Arial" w:cs="Arial"/>
        </w:rPr>
        <w:t xml:space="preserve">Maisie Finnemore </w:t>
      </w:r>
    </w:p>
    <w:p w14:paraId="738513A0" w14:textId="41299F4E" w:rsidR="00771277" w:rsidRDefault="00771277" w:rsidP="00771277">
      <w:pPr>
        <w:spacing w:line="360" w:lineRule="auto"/>
        <w:rPr>
          <w:rFonts w:ascii="Arial" w:hAnsi="Arial" w:cs="Arial"/>
        </w:rPr>
      </w:pPr>
      <w:r>
        <w:rPr>
          <w:rFonts w:ascii="Arial" w:hAnsi="Arial" w:cs="Arial"/>
        </w:rPr>
        <w:t>2012131</w:t>
      </w:r>
    </w:p>
    <w:p w14:paraId="49E2A35C" w14:textId="156B4D51" w:rsidR="002D4A08" w:rsidRDefault="00F554DB" w:rsidP="00056A09">
      <w:pPr>
        <w:spacing w:line="360" w:lineRule="auto"/>
        <w:jc w:val="center"/>
        <w:rPr>
          <w:rFonts w:ascii="Arial" w:hAnsi="Arial" w:cs="Arial"/>
        </w:rPr>
      </w:pPr>
      <w:r>
        <w:rPr>
          <w:rFonts w:ascii="Arial" w:hAnsi="Arial" w:cs="Arial"/>
        </w:rPr>
        <w:t>Defence of insanity</w:t>
      </w:r>
    </w:p>
    <w:p w14:paraId="35DBE3F1" w14:textId="77777777" w:rsidR="00DC5718" w:rsidRDefault="00F554DB" w:rsidP="00056A09">
      <w:pPr>
        <w:spacing w:line="360" w:lineRule="auto"/>
        <w:rPr>
          <w:rFonts w:ascii="Arial" w:hAnsi="Arial" w:cs="Arial"/>
        </w:rPr>
      </w:pPr>
      <w:r>
        <w:rPr>
          <w:rFonts w:ascii="Arial" w:hAnsi="Arial" w:cs="Arial"/>
        </w:rPr>
        <w:t xml:space="preserve">Defence of insanity is an internal factor that can leads to a defect of reason, which means that the defendant does not know the circumstances of his act is wrong and does not know the extent of his act. </w:t>
      </w:r>
      <w:r w:rsidR="00056A09">
        <w:rPr>
          <w:rFonts w:ascii="Arial" w:hAnsi="Arial" w:cs="Arial"/>
        </w:rPr>
        <w:t xml:space="preserve">Some of the internal factors could be things such as mental disorders, diabetes, sleep walking or even change in physical state </w:t>
      </w:r>
      <w:r w:rsidR="00DC5718">
        <w:rPr>
          <w:rFonts w:ascii="Arial" w:hAnsi="Arial" w:cs="Arial"/>
        </w:rPr>
        <w:t xml:space="preserve">such as </w:t>
      </w:r>
      <w:r w:rsidR="00056A09">
        <w:rPr>
          <w:rFonts w:ascii="Arial" w:hAnsi="Arial" w:cs="Arial"/>
        </w:rPr>
        <w:t xml:space="preserve">epilepsy. </w:t>
      </w:r>
    </w:p>
    <w:p w14:paraId="0B8736D8" w14:textId="207DDDFB" w:rsidR="00F554DB" w:rsidRDefault="00F554DB" w:rsidP="00056A09">
      <w:pPr>
        <w:spacing w:line="360" w:lineRule="auto"/>
        <w:rPr>
          <w:rFonts w:ascii="Arial" w:hAnsi="Arial" w:cs="Arial"/>
        </w:rPr>
      </w:pPr>
      <w:r>
        <w:rPr>
          <w:rFonts w:ascii="Arial" w:hAnsi="Arial" w:cs="Arial"/>
        </w:rPr>
        <w:t xml:space="preserve">To have a successful plea of insanity the defendant must prove that at the time of the crime that was taken place the defendant must have been in a difficult state and having a disease of the mind </w:t>
      </w:r>
      <w:r w:rsidR="00962205">
        <w:rPr>
          <w:rFonts w:ascii="Arial" w:hAnsi="Arial" w:cs="Arial"/>
        </w:rPr>
        <w:t xml:space="preserve">which means a disease that affects proper functioning of the mind </w:t>
      </w:r>
      <w:r>
        <w:rPr>
          <w:rFonts w:ascii="Arial" w:hAnsi="Arial" w:cs="Arial"/>
        </w:rPr>
        <w:t xml:space="preserve">and prove that he/she did not understand the nature and quality of the act, this is proven with the </w:t>
      </w:r>
      <w:proofErr w:type="spellStart"/>
      <w:r>
        <w:rPr>
          <w:rFonts w:ascii="Arial" w:hAnsi="Arial" w:cs="Arial"/>
        </w:rPr>
        <w:t>M’Naghten</w:t>
      </w:r>
      <w:proofErr w:type="spellEnd"/>
      <w:r>
        <w:rPr>
          <w:rFonts w:ascii="Arial" w:hAnsi="Arial" w:cs="Arial"/>
        </w:rPr>
        <w:t xml:space="preserve"> Rules (</w:t>
      </w:r>
      <w:r w:rsidR="003B0A2F">
        <w:rPr>
          <w:rFonts w:ascii="Arial" w:hAnsi="Arial" w:cs="Arial"/>
        </w:rPr>
        <w:t>Law Commission, 2013).</w:t>
      </w:r>
      <w:r w:rsidR="00F565B5">
        <w:rPr>
          <w:rFonts w:ascii="Arial" w:hAnsi="Arial" w:cs="Arial"/>
        </w:rPr>
        <w:t xml:space="preserve"> If an individual has a mental illness or an internal factor that causes disruptions of the mind and how it functions properly, either written or oral evidence would have to be confirmed to prove the defendant has a mental disorder, evidence </w:t>
      </w:r>
      <w:r w:rsidR="00056A09">
        <w:rPr>
          <w:rFonts w:ascii="Arial" w:hAnsi="Arial" w:cs="Arial"/>
        </w:rPr>
        <w:t>will</w:t>
      </w:r>
      <w:r w:rsidR="00F565B5">
        <w:rPr>
          <w:rFonts w:ascii="Arial" w:hAnsi="Arial" w:cs="Arial"/>
        </w:rPr>
        <w:t xml:space="preserve"> need to come from at least two medical practitioners (CPS, 2019). </w:t>
      </w:r>
    </w:p>
    <w:p w14:paraId="054C4A5F" w14:textId="17B9BC5B" w:rsidR="00837F0F" w:rsidRDefault="00837F0F" w:rsidP="00056A09">
      <w:pPr>
        <w:spacing w:line="360" w:lineRule="auto"/>
        <w:rPr>
          <w:rFonts w:ascii="Arial" w:hAnsi="Arial" w:cs="Arial"/>
        </w:rPr>
      </w:pPr>
      <w:r>
        <w:rPr>
          <w:rFonts w:ascii="Arial" w:hAnsi="Arial" w:cs="Arial"/>
        </w:rPr>
        <w:t xml:space="preserve">When the individual is proven that the act was committed when the was insane and had no control over their actions, a special verdict will be put in place with evidence to show that the defendant is the accused is not guilty by reason of insanity, if the individual has evidence that proves they are not responsible for their actions due to insanity they shall not be charged (Trial of Lunatics Act 1883). </w:t>
      </w:r>
      <w:r w:rsidR="00BD0DB5">
        <w:rPr>
          <w:rFonts w:ascii="Arial" w:hAnsi="Arial" w:cs="Arial"/>
        </w:rPr>
        <w:t xml:space="preserve">The court will consider of what is put on trial for a hospital order, a supervision order or an order for his in absolute discharge (Criminal Procedure (Insanity) Act 1964). </w:t>
      </w:r>
    </w:p>
    <w:p w14:paraId="4B7B9E30" w14:textId="46408E69" w:rsidR="00C43A2B" w:rsidRDefault="00C43A2B" w:rsidP="00056A09">
      <w:pPr>
        <w:spacing w:line="360" w:lineRule="auto"/>
        <w:rPr>
          <w:rFonts w:ascii="Arial" w:hAnsi="Arial" w:cs="Arial"/>
        </w:rPr>
      </w:pPr>
      <w:r>
        <w:rPr>
          <w:rFonts w:ascii="Arial" w:hAnsi="Arial" w:cs="Arial"/>
        </w:rPr>
        <w:t xml:space="preserve">Insanity and automatism are different defences, insanity has internal factors and is affected by mental health illness and automatism is affected by external factors such as alcohol consumption, insulin injection or concussions but both defences need to be proven by the defendant lacking complete control of his actions which makes the defences similar in a slight way. Automatism defence is often used in driving cases, sleep walking cases and cases that are used for lack of insulin with diabetes, but is the individual </w:t>
      </w:r>
      <w:r w:rsidR="00A5185E">
        <w:rPr>
          <w:rFonts w:ascii="Arial" w:hAnsi="Arial" w:cs="Arial"/>
        </w:rPr>
        <w:t>is driving has is exhausted and causes an accident the defence would be invalid due to the individual being responsible for their condition. Defence of insanity is where the individual has no control over their condition due to their mental illness, but as for defence of automatism the individuals do have some control but is inflicted by other things and the defence must be proven that it was not involuntary (GOV.UK, 2011).</w:t>
      </w:r>
      <w:r w:rsidR="00393E88">
        <w:rPr>
          <w:rFonts w:ascii="Arial" w:hAnsi="Arial" w:cs="Arial"/>
        </w:rPr>
        <w:t xml:space="preserve"> If the defendant pleads </w:t>
      </w:r>
      <w:r w:rsidR="004E33ED">
        <w:rPr>
          <w:rFonts w:ascii="Arial" w:hAnsi="Arial" w:cs="Arial"/>
        </w:rPr>
        <w:t>insanity,</w:t>
      </w:r>
      <w:r w:rsidR="00393E88">
        <w:rPr>
          <w:rFonts w:ascii="Arial" w:hAnsi="Arial" w:cs="Arial"/>
        </w:rPr>
        <w:t xml:space="preserve"> then the burden of proof </w:t>
      </w:r>
      <w:r w:rsidR="004E33ED">
        <w:rPr>
          <w:rFonts w:ascii="Arial" w:hAnsi="Arial" w:cs="Arial"/>
        </w:rPr>
        <w:t xml:space="preserve">lies on the defence, the defendant must prove all the aspects of the defence on the balance </w:t>
      </w:r>
      <w:r w:rsidR="004E33ED">
        <w:rPr>
          <w:rFonts w:ascii="Arial" w:hAnsi="Arial" w:cs="Arial"/>
        </w:rPr>
        <w:lastRenderedPageBreak/>
        <w:t xml:space="preserve">of probabilities. </w:t>
      </w:r>
      <w:r w:rsidR="0012554F">
        <w:rPr>
          <w:rFonts w:ascii="Arial" w:hAnsi="Arial" w:cs="Arial"/>
        </w:rPr>
        <w:t>When the defendant is on the burden of proof and raises an issue, the burden of proof will become reversed in a normal situation and the prosecution needs to confirm the certainty with reasonable doubt, t</w:t>
      </w:r>
      <w:r w:rsidR="00C8282A">
        <w:rPr>
          <w:rFonts w:ascii="Arial" w:hAnsi="Arial" w:cs="Arial"/>
        </w:rPr>
        <w:t>he issue if the burden of proof was reversed for defence of insanity is that anyone could claim towards the defence without proving they have internal factors such as mental health, without proof it would be an issue</w:t>
      </w:r>
      <w:r w:rsidR="0012554F">
        <w:rPr>
          <w:rFonts w:ascii="Arial" w:hAnsi="Arial" w:cs="Arial"/>
        </w:rPr>
        <w:t xml:space="preserve">. </w:t>
      </w:r>
      <w:r w:rsidR="004E33ED">
        <w:rPr>
          <w:rFonts w:ascii="Arial" w:hAnsi="Arial" w:cs="Arial"/>
        </w:rPr>
        <w:t xml:space="preserve">Automatism and insanity can overlap with they are differences and can be complications between them both deciding on which defence is fitted for the defendant. </w:t>
      </w:r>
      <w:r w:rsidR="00F02A31">
        <w:rPr>
          <w:rFonts w:ascii="Arial" w:hAnsi="Arial" w:cs="Arial"/>
        </w:rPr>
        <w:t xml:space="preserve"> A case that involved an individual had no control over his actions due to having a hyperglycaemic episode from diabetes and the defendant was apprehended while driving a stolen car and collapsed at the police station showing signs of the episode because of his diabetes, the case was R v Hennessy. The defendant was trialled and was assessed that his defence was defence against insanity due to his underlying health condition (R v Hennessy 1989).</w:t>
      </w:r>
      <w:r w:rsidR="00427FBE">
        <w:rPr>
          <w:rFonts w:ascii="Arial" w:hAnsi="Arial" w:cs="Arial"/>
        </w:rPr>
        <w:t xml:space="preserve"> </w:t>
      </w:r>
    </w:p>
    <w:p w14:paraId="53348276" w14:textId="5769E470" w:rsidR="00C43A2B" w:rsidRDefault="004A3FC2" w:rsidP="00056A09">
      <w:pPr>
        <w:spacing w:line="360" w:lineRule="auto"/>
        <w:rPr>
          <w:rFonts w:ascii="Arial" w:hAnsi="Arial" w:cs="Arial"/>
        </w:rPr>
      </w:pPr>
      <w:r>
        <w:rPr>
          <w:rFonts w:ascii="Arial" w:hAnsi="Arial" w:cs="Arial"/>
        </w:rPr>
        <w:t xml:space="preserve">The defence of insanity </w:t>
      </w:r>
      <w:r w:rsidR="008B0FE0">
        <w:rPr>
          <w:rFonts w:ascii="Arial" w:hAnsi="Arial" w:cs="Arial"/>
        </w:rPr>
        <w:t>needs</w:t>
      </w:r>
      <w:r>
        <w:rPr>
          <w:rFonts w:ascii="Arial" w:hAnsi="Arial" w:cs="Arial"/>
        </w:rPr>
        <w:t xml:space="preserve"> a reform for different reasons, one of the reasons is that the word “insane” is outdated and to call an individual with a mental illness insane is wrong considering those mental illnesses are also under the section for disabilities, individuals with epilepsy and even individuals with learning difficulties. The word insane is offensive and disrespectful to those with disabilities and illnesses. Another reason is that the law now lacks psychiatric </w:t>
      </w:r>
      <w:r w:rsidR="008B0FE0">
        <w:rPr>
          <w:rFonts w:ascii="Arial" w:hAnsi="Arial" w:cs="Arial"/>
        </w:rPr>
        <w:t>understanding,</w:t>
      </w:r>
      <w:r>
        <w:rPr>
          <w:rFonts w:ascii="Arial" w:hAnsi="Arial" w:cs="Arial"/>
        </w:rPr>
        <w:t xml:space="preserve"> and the defence is </w:t>
      </w:r>
      <w:r w:rsidR="008B0FE0">
        <w:rPr>
          <w:rFonts w:ascii="Arial" w:hAnsi="Arial" w:cs="Arial"/>
        </w:rPr>
        <w:t>wasted,</w:t>
      </w:r>
      <w:r>
        <w:rPr>
          <w:rFonts w:ascii="Arial" w:hAnsi="Arial" w:cs="Arial"/>
        </w:rPr>
        <w:t xml:space="preserve"> and qualified medical practitioners do not complete the appropriate legal test. </w:t>
      </w:r>
      <w:r w:rsidR="008B0FE0">
        <w:rPr>
          <w:rFonts w:ascii="Arial" w:hAnsi="Arial" w:cs="Arial"/>
        </w:rPr>
        <w:t xml:space="preserve">The defence of insanity is unclear on whether some cases or available for the defence due to the defence being outmoded and antiquated (Law Commission 2013). </w:t>
      </w:r>
      <w:r w:rsidR="001335CC">
        <w:rPr>
          <w:rFonts w:ascii="Arial" w:hAnsi="Arial" w:cs="Arial"/>
        </w:rPr>
        <w:t xml:space="preserve">The </w:t>
      </w:r>
      <w:proofErr w:type="spellStart"/>
      <w:r w:rsidR="001335CC">
        <w:rPr>
          <w:rFonts w:ascii="Arial" w:hAnsi="Arial" w:cs="Arial"/>
        </w:rPr>
        <w:t>M’Naghten</w:t>
      </w:r>
      <w:proofErr w:type="spellEnd"/>
      <w:r w:rsidR="001335CC">
        <w:rPr>
          <w:rFonts w:ascii="Arial" w:hAnsi="Arial" w:cs="Arial"/>
        </w:rPr>
        <w:t xml:space="preserve"> Rule is the rule that is used for defence of insanity to prove that the individual suffers with a mental illness, one of the criticisms that has been stated is that the </w:t>
      </w:r>
      <w:proofErr w:type="spellStart"/>
      <w:r w:rsidR="001335CC">
        <w:rPr>
          <w:rFonts w:ascii="Arial" w:hAnsi="Arial" w:cs="Arial"/>
        </w:rPr>
        <w:t>M’Naghten</w:t>
      </w:r>
      <w:proofErr w:type="spellEnd"/>
      <w:r w:rsidR="001335CC">
        <w:rPr>
          <w:rFonts w:ascii="Arial" w:hAnsi="Arial" w:cs="Arial"/>
        </w:rPr>
        <w:t xml:space="preserve"> Rule is only focussed on cognition and not volition, the test limits on the expert giving his opinion indication (</w:t>
      </w:r>
      <w:r w:rsidR="004B0237">
        <w:rPr>
          <w:rFonts w:ascii="Arial" w:hAnsi="Arial" w:cs="Arial"/>
        </w:rPr>
        <w:t>Ward, 1962).</w:t>
      </w:r>
      <w:r w:rsidR="00DD4F80">
        <w:rPr>
          <w:rFonts w:ascii="Arial" w:hAnsi="Arial" w:cs="Arial"/>
        </w:rPr>
        <w:t xml:space="preserve"> The phrase ‘disease of the mind’ is offensive towards those with mental health illnesses, the phrase is not professional and sounds corrupt towards those who are mentally ill. </w:t>
      </w:r>
      <w:r w:rsidR="00C04DFC">
        <w:rPr>
          <w:rFonts w:ascii="Arial" w:hAnsi="Arial" w:cs="Arial"/>
        </w:rPr>
        <w:t xml:space="preserve">The phrases need a reform due to them being impolite and </w:t>
      </w:r>
      <w:r w:rsidR="00F02A31">
        <w:rPr>
          <w:rFonts w:ascii="Arial" w:hAnsi="Arial" w:cs="Arial"/>
        </w:rPr>
        <w:t>insulting.</w:t>
      </w:r>
    </w:p>
    <w:p w14:paraId="27132FB2" w14:textId="78386DF2" w:rsidR="00941132" w:rsidRDefault="00941132" w:rsidP="00056A09">
      <w:pPr>
        <w:spacing w:line="360" w:lineRule="auto"/>
        <w:rPr>
          <w:rFonts w:ascii="Arial" w:hAnsi="Arial" w:cs="Arial"/>
        </w:rPr>
      </w:pPr>
      <w:r>
        <w:rPr>
          <w:rFonts w:ascii="Arial" w:hAnsi="Arial" w:cs="Arial"/>
        </w:rPr>
        <w:t>The Homicide Act 1957 needs a reform as the Act has not be updated or changed since it was first issued in 1957, the Act states that if an individual suffers from a condition that affects their mind abnormally shall not be convicted of murder, during the charge of murder the defence needs to be proven so the individual is not convicted of murder (Homicide Act 1957).</w:t>
      </w:r>
      <w:r w:rsidR="00B332EB">
        <w:rPr>
          <w:rFonts w:ascii="Arial" w:hAnsi="Arial" w:cs="Arial"/>
        </w:rPr>
        <w:t xml:space="preserve"> In the Law Commission Draft Criminal </w:t>
      </w:r>
      <w:r w:rsidR="002D4A08">
        <w:rPr>
          <w:rFonts w:ascii="Arial" w:hAnsi="Arial" w:cs="Arial"/>
        </w:rPr>
        <w:t>Code,</w:t>
      </w:r>
      <w:r w:rsidR="00B332EB">
        <w:rPr>
          <w:rFonts w:ascii="Arial" w:hAnsi="Arial" w:cs="Arial"/>
        </w:rPr>
        <w:t xml:space="preserve"> they use the correct wording to define someone with a mental health illness such as mental disorder, severe mental illness and severe mental handicap, they also state that those terms are the more reasonable and up to date phrases for the </w:t>
      </w:r>
      <w:r w:rsidR="00C470E6">
        <w:rPr>
          <w:rFonts w:ascii="Arial" w:hAnsi="Arial" w:cs="Arial"/>
        </w:rPr>
        <w:t>term’s</w:t>
      </w:r>
      <w:r w:rsidR="00B332EB">
        <w:rPr>
          <w:rFonts w:ascii="Arial" w:hAnsi="Arial" w:cs="Arial"/>
        </w:rPr>
        <w:t xml:space="preserve"> insanity and disease of the mind, this shows that there is some form of a reform introduced within that area (Law Commiss</w:t>
      </w:r>
      <w:r w:rsidR="002E0E3B">
        <w:rPr>
          <w:rFonts w:ascii="Arial" w:hAnsi="Arial" w:cs="Arial"/>
        </w:rPr>
        <w:t>i</w:t>
      </w:r>
      <w:r w:rsidR="00B332EB">
        <w:rPr>
          <w:rFonts w:ascii="Arial" w:hAnsi="Arial" w:cs="Arial"/>
        </w:rPr>
        <w:t xml:space="preserve">on, </w:t>
      </w:r>
      <w:r w:rsidR="002E0E3B">
        <w:rPr>
          <w:rFonts w:ascii="Arial" w:hAnsi="Arial" w:cs="Arial"/>
        </w:rPr>
        <w:t>1989).</w:t>
      </w:r>
    </w:p>
    <w:p w14:paraId="29041A08" w14:textId="77777777" w:rsidR="00393E88" w:rsidRDefault="00393E88" w:rsidP="00393E88">
      <w:pPr>
        <w:spacing w:line="360" w:lineRule="auto"/>
        <w:rPr>
          <w:rFonts w:ascii="Arial" w:hAnsi="Arial" w:cs="Arial"/>
        </w:rPr>
      </w:pPr>
      <w:r>
        <w:rPr>
          <w:rFonts w:ascii="Arial" w:hAnsi="Arial" w:cs="Arial"/>
        </w:rPr>
        <w:lastRenderedPageBreak/>
        <w:t xml:space="preserve">Reference List: </w:t>
      </w:r>
    </w:p>
    <w:p w14:paraId="4536586A" w14:textId="77777777" w:rsidR="00393E88" w:rsidRDefault="00393E88" w:rsidP="00393E88">
      <w:pPr>
        <w:spacing w:line="360" w:lineRule="auto"/>
        <w:rPr>
          <w:rFonts w:ascii="Arial" w:hAnsi="Arial" w:cs="Arial"/>
        </w:rPr>
      </w:pPr>
      <w:r w:rsidRPr="004B0237">
        <w:rPr>
          <w:rFonts w:ascii="Arial" w:hAnsi="Arial" w:cs="Arial"/>
        </w:rPr>
        <w:t>Daniel Ward</w:t>
      </w:r>
      <w:r>
        <w:rPr>
          <w:rFonts w:ascii="Arial" w:hAnsi="Arial" w:cs="Arial"/>
        </w:rPr>
        <w:t>. (1962) ‘</w:t>
      </w:r>
      <w:r w:rsidRPr="004B0237">
        <w:rPr>
          <w:rFonts w:ascii="Arial" w:hAnsi="Arial" w:cs="Arial"/>
        </w:rPr>
        <w:t xml:space="preserve">The </w:t>
      </w:r>
      <w:proofErr w:type="spellStart"/>
      <w:r w:rsidRPr="004B0237">
        <w:rPr>
          <w:rFonts w:ascii="Arial" w:hAnsi="Arial" w:cs="Arial"/>
        </w:rPr>
        <w:t>M'Naghten</w:t>
      </w:r>
      <w:proofErr w:type="spellEnd"/>
      <w:r w:rsidRPr="004B0237">
        <w:rPr>
          <w:rFonts w:ascii="Arial" w:hAnsi="Arial" w:cs="Arial"/>
        </w:rPr>
        <w:t xml:space="preserve"> Rule: A Re-evaluation</w:t>
      </w:r>
      <w:r>
        <w:rPr>
          <w:rFonts w:ascii="Arial" w:hAnsi="Arial" w:cs="Arial"/>
        </w:rPr>
        <w:t>’</w:t>
      </w:r>
      <w:r w:rsidRPr="004B0237">
        <w:rPr>
          <w:rFonts w:ascii="Arial" w:hAnsi="Arial" w:cs="Arial"/>
        </w:rPr>
        <w:t xml:space="preserve">, </w:t>
      </w:r>
      <w:r>
        <w:rPr>
          <w:rFonts w:ascii="Arial" w:hAnsi="Arial" w:cs="Arial"/>
          <w:i/>
          <w:iCs/>
        </w:rPr>
        <w:t xml:space="preserve">Marquette Law Review, </w:t>
      </w:r>
      <w:r w:rsidRPr="004B0237">
        <w:rPr>
          <w:rFonts w:ascii="Arial" w:hAnsi="Arial" w:cs="Arial"/>
        </w:rPr>
        <w:t>45</w:t>
      </w:r>
      <w:r>
        <w:rPr>
          <w:rFonts w:ascii="Arial" w:hAnsi="Arial" w:cs="Arial"/>
        </w:rPr>
        <w:t xml:space="preserve"> (4). </w:t>
      </w:r>
    </w:p>
    <w:p w14:paraId="50EAB29F" w14:textId="77777777" w:rsidR="00393E88" w:rsidRDefault="00393E88" w:rsidP="00393E88">
      <w:pPr>
        <w:spacing w:line="360" w:lineRule="auto"/>
        <w:rPr>
          <w:rFonts w:ascii="Arial" w:hAnsi="Arial" w:cs="Arial"/>
        </w:rPr>
      </w:pPr>
      <w:r w:rsidRPr="00A5185E">
        <w:rPr>
          <w:rFonts w:ascii="Arial" w:hAnsi="Arial" w:cs="Arial"/>
        </w:rPr>
        <w:t xml:space="preserve">GOV.UK. Ministry of Defence (2011) </w:t>
      </w:r>
      <w:r w:rsidRPr="00A5185E">
        <w:rPr>
          <w:rFonts w:ascii="Arial" w:hAnsi="Arial" w:cs="Arial"/>
          <w:i/>
          <w:iCs/>
        </w:rPr>
        <w:t xml:space="preserve">Defences, mitigation, and criminal responsibility (manual of service law). </w:t>
      </w:r>
      <w:r w:rsidRPr="00A5185E">
        <w:rPr>
          <w:rFonts w:ascii="Arial" w:hAnsi="Arial" w:cs="Arial"/>
        </w:rPr>
        <w:t xml:space="preserve">Available at: </w:t>
      </w:r>
      <w:hyperlink r:id="rId4" w:history="1">
        <w:r w:rsidRPr="00A5185E">
          <w:rPr>
            <w:rStyle w:val="Hyperlink"/>
            <w:rFonts w:ascii="Arial" w:hAnsi="Arial" w:cs="Arial"/>
          </w:rPr>
          <w:t>Defences, mitigation and criminal responsibility (manual of service law) (publishing.service.gov.uk)</w:t>
        </w:r>
      </w:hyperlink>
      <w:r w:rsidRPr="00A5185E">
        <w:rPr>
          <w:rFonts w:ascii="Arial" w:hAnsi="Arial" w:cs="Arial"/>
        </w:rPr>
        <w:t xml:space="preserve"> (Accessed on 11 April</w:t>
      </w:r>
      <w:r>
        <w:rPr>
          <w:rFonts w:ascii="Arial" w:hAnsi="Arial" w:cs="Arial"/>
        </w:rPr>
        <w:t xml:space="preserve"> 2021</w:t>
      </w:r>
      <w:r w:rsidRPr="00A5185E">
        <w:rPr>
          <w:rFonts w:ascii="Arial" w:hAnsi="Arial" w:cs="Arial"/>
        </w:rPr>
        <w:t>)</w:t>
      </w:r>
      <w:r>
        <w:rPr>
          <w:rFonts w:ascii="Arial" w:hAnsi="Arial" w:cs="Arial"/>
        </w:rPr>
        <w:t>.</w:t>
      </w:r>
    </w:p>
    <w:p w14:paraId="56D36EFA" w14:textId="77777777" w:rsidR="00393E88" w:rsidRDefault="00393E88" w:rsidP="00393E88">
      <w:pPr>
        <w:spacing w:line="360" w:lineRule="auto"/>
        <w:rPr>
          <w:rFonts w:ascii="Arial" w:hAnsi="Arial" w:cs="Arial"/>
        </w:rPr>
      </w:pPr>
      <w:r w:rsidRPr="002E0E3B">
        <w:rPr>
          <w:rFonts w:ascii="Arial" w:hAnsi="Arial" w:cs="Arial"/>
        </w:rPr>
        <w:t xml:space="preserve">Law Commission (1989) </w:t>
      </w:r>
      <w:r w:rsidRPr="002E0E3B">
        <w:rPr>
          <w:rFonts w:ascii="Arial" w:hAnsi="Arial" w:cs="Arial"/>
          <w:i/>
          <w:iCs/>
        </w:rPr>
        <w:t xml:space="preserve">Criminal Law A criminal code for England and Wales. </w:t>
      </w:r>
      <w:r w:rsidRPr="002E0E3B">
        <w:rPr>
          <w:rFonts w:ascii="Arial" w:hAnsi="Arial" w:cs="Arial"/>
        </w:rPr>
        <w:t>(Law Com, No 177</w:t>
      </w:r>
      <w:proofErr w:type="gramStart"/>
      <w:r w:rsidRPr="002E0E3B">
        <w:rPr>
          <w:rFonts w:ascii="Arial" w:hAnsi="Arial" w:cs="Arial"/>
        </w:rPr>
        <w:t>) .</w:t>
      </w:r>
      <w:proofErr w:type="gramEnd"/>
      <w:r w:rsidRPr="002E0E3B">
        <w:rPr>
          <w:rFonts w:ascii="Arial" w:hAnsi="Arial" w:cs="Arial"/>
        </w:rPr>
        <w:t xml:space="preserve"> London: Statutory Office.</w:t>
      </w:r>
    </w:p>
    <w:p w14:paraId="08555845" w14:textId="77777777" w:rsidR="00393E88" w:rsidRPr="00BD0DB5" w:rsidRDefault="00393E88" w:rsidP="00393E88">
      <w:pPr>
        <w:spacing w:line="360" w:lineRule="auto"/>
        <w:rPr>
          <w:rFonts w:ascii="Arial" w:hAnsi="Arial" w:cs="Arial"/>
        </w:rPr>
      </w:pPr>
      <w:r w:rsidRPr="00BD0DB5">
        <w:rPr>
          <w:rFonts w:ascii="Arial" w:hAnsi="Arial" w:cs="Arial"/>
        </w:rPr>
        <w:t xml:space="preserve">Law Commission (2013) </w:t>
      </w:r>
      <w:r w:rsidRPr="00BD0DB5">
        <w:rPr>
          <w:rFonts w:ascii="Arial" w:hAnsi="Arial" w:cs="Arial"/>
          <w:i/>
          <w:iCs/>
        </w:rPr>
        <w:t>Criminal Liability: Insanity and Automatism</w:t>
      </w:r>
      <w:r>
        <w:rPr>
          <w:rFonts w:ascii="Arial" w:hAnsi="Arial" w:cs="Arial"/>
          <w:i/>
          <w:iCs/>
        </w:rPr>
        <w:t xml:space="preserve"> A Discussion paper- Summary for non-specialists</w:t>
      </w:r>
      <w:r w:rsidRPr="00BD0DB5">
        <w:rPr>
          <w:rFonts w:ascii="Arial" w:hAnsi="Arial" w:cs="Arial"/>
          <w:i/>
          <w:iCs/>
        </w:rPr>
        <w:t xml:space="preserve">. </w:t>
      </w:r>
      <w:r w:rsidRPr="00BD0DB5">
        <w:rPr>
          <w:rFonts w:ascii="Arial" w:hAnsi="Arial" w:cs="Arial"/>
        </w:rPr>
        <w:t>Available at</w:t>
      </w:r>
      <w:r w:rsidRPr="00BD0DB5">
        <w:rPr>
          <w:rFonts w:ascii="Arial" w:hAnsi="Arial" w:cs="Arial"/>
          <w:i/>
          <w:iCs/>
        </w:rPr>
        <w:t xml:space="preserve">: </w:t>
      </w:r>
      <w:hyperlink r:id="rId5" w:history="1">
        <w:r w:rsidRPr="00BD0DB5">
          <w:rPr>
            <w:rStyle w:val="Hyperlink"/>
            <w:rFonts w:ascii="Arial" w:hAnsi="Arial" w:cs="Arial"/>
          </w:rPr>
          <w:t xml:space="preserve">Microsoft Word - Insanity Discussion </w:t>
        </w:r>
        <w:proofErr w:type="spellStart"/>
        <w:r w:rsidRPr="00BD0DB5">
          <w:rPr>
            <w:rStyle w:val="Hyperlink"/>
            <w:rFonts w:ascii="Arial" w:hAnsi="Arial" w:cs="Arial"/>
          </w:rPr>
          <w:t>Paper_Summary</w:t>
        </w:r>
        <w:proofErr w:type="spellEnd"/>
        <w:r w:rsidRPr="00BD0DB5">
          <w:rPr>
            <w:rStyle w:val="Hyperlink"/>
            <w:rFonts w:ascii="Arial" w:hAnsi="Arial" w:cs="Arial"/>
          </w:rPr>
          <w:t xml:space="preserve"> for Non-Specialists.doc (lawcom.gov.uk)</w:t>
        </w:r>
      </w:hyperlink>
      <w:r w:rsidRPr="00BD0DB5">
        <w:rPr>
          <w:rFonts w:ascii="Arial" w:hAnsi="Arial" w:cs="Arial"/>
        </w:rPr>
        <w:t xml:space="preserve"> (Accessed on 10 April 2021). </w:t>
      </w:r>
    </w:p>
    <w:p w14:paraId="4D2814AD" w14:textId="77777777" w:rsidR="00393E88" w:rsidRDefault="00393E88" w:rsidP="00393E88">
      <w:pPr>
        <w:spacing w:line="360" w:lineRule="auto"/>
        <w:rPr>
          <w:rFonts w:ascii="Arial" w:hAnsi="Arial" w:cs="Arial"/>
        </w:rPr>
      </w:pPr>
      <w:r w:rsidRPr="008B0FE0">
        <w:rPr>
          <w:rFonts w:ascii="Arial" w:hAnsi="Arial" w:cs="Arial"/>
        </w:rPr>
        <w:t xml:space="preserve">Law Commission (2013) </w:t>
      </w:r>
      <w:r w:rsidRPr="008B0FE0">
        <w:rPr>
          <w:rFonts w:ascii="Arial" w:hAnsi="Arial" w:cs="Arial"/>
          <w:i/>
          <w:iCs/>
        </w:rPr>
        <w:t xml:space="preserve">Criminal Liability: Insanity and Automatism A Discussion Paper. </w:t>
      </w:r>
      <w:r w:rsidRPr="008B0FE0">
        <w:rPr>
          <w:rFonts w:ascii="Arial" w:hAnsi="Arial" w:cs="Arial"/>
        </w:rPr>
        <w:t xml:space="preserve">Available at: </w:t>
      </w:r>
      <w:hyperlink r:id="rId6" w:history="1">
        <w:r w:rsidRPr="008B0FE0">
          <w:rPr>
            <w:rStyle w:val="Hyperlink"/>
            <w:rFonts w:ascii="Arial" w:hAnsi="Arial" w:cs="Arial"/>
          </w:rPr>
          <w:t>Microsoft Word - Insanity Discussion Paper Cover.doc</w:t>
        </w:r>
      </w:hyperlink>
      <w:r w:rsidRPr="008B0FE0">
        <w:rPr>
          <w:rFonts w:ascii="Arial" w:hAnsi="Arial" w:cs="Arial"/>
        </w:rPr>
        <w:t xml:space="preserve"> (Accessed on 15 April 2021).</w:t>
      </w:r>
    </w:p>
    <w:p w14:paraId="15AE00E0" w14:textId="77777777" w:rsidR="00393E88" w:rsidRPr="00BD0DB5" w:rsidRDefault="00393E88" w:rsidP="00393E88">
      <w:pPr>
        <w:spacing w:line="360" w:lineRule="auto"/>
        <w:rPr>
          <w:rFonts w:ascii="Arial" w:hAnsi="Arial" w:cs="Arial"/>
        </w:rPr>
      </w:pPr>
      <w:r w:rsidRPr="00BD0DB5">
        <w:rPr>
          <w:rFonts w:ascii="Arial" w:hAnsi="Arial" w:cs="Arial"/>
        </w:rPr>
        <w:t xml:space="preserve">The Crown Prosecution Service (2019) </w:t>
      </w:r>
      <w:r w:rsidRPr="00BD0DB5">
        <w:rPr>
          <w:rFonts w:ascii="Arial" w:hAnsi="Arial" w:cs="Arial"/>
          <w:i/>
          <w:iCs/>
        </w:rPr>
        <w:t xml:space="preserve">Mental Health Conditions and Disorders: Draft Prosecution Guidance. </w:t>
      </w:r>
      <w:r w:rsidRPr="00BD0DB5">
        <w:rPr>
          <w:rFonts w:ascii="Arial" w:hAnsi="Arial" w:cs="Arial"/>
        </w:rPr>
        <w:t xml:space="preserve">Available at: </w:t>
      </w:r>
      <w:hyperlink r:id="rId7" w:history="1">
        <w:r w:rsidRPr="00BD0DB5">
          <w:rPr>
            <w:rStyle w:val="Hyperlink"/>
            <w:rFonts w:ascii="Arial" w:hAnsi="Arial" w:cs="Arial"/>
          </w:rPr>
          <w:t>Mental Health Conditions and Disorders: Draft Prosecution Guidance | The Crown Prosecution Service (cps.gov.uk)</w:t>
        </w:r>
      </w:hyperlink>
      <w:r w:rsidRPr="00BD0DB5">
        <w:rPr>
          <w:rFonts w:ascii="Arial" w:hAnsi="Arial" w:cs="Arial"/>
        </w:rPr>
        <w:t xml:space="preserve"> (Accessed on 10 April 2021).</w:t>
      </w:r>
    </w:p>
    <w:p w14:paraId="27DECA50" w14:textId="6AB18A4F" w:rsidR="00393E88" w:rsidRDefault="00393E88" w:rsidP="00056A09">
      <w:pPr>
        <w:spacing w:line="360" w:lineRule="auto"/>
        <w:rPr>
          <w:rFonts w:ascii="Arial" w:hAnsi="Arial" w:cs="Arial"/>
        </w:rPr>
      </w:pPr>
      <w:r>
        <w:rPr>
          <w:rFonts w:ascii="Arial" w:hAnsi="Arial" w:cs="Arial"/>
        </w:rPr>
        <w:t>Case Law/Legislation:</w:t>
      </w:r>
    </w:p>
    <w:p w14:paraId="571275F2" w14:textId="77777777" w:rsidR="00393E88" w:rsidRDefault="00393E88" w:rsidP="00393E88">
      <w:pPr>
        <w:spacing w:line="360" w:lineRule="auto"/>
        <w:rPr>
          <w:rFonts w:ascii="Arial" w:hAnsi="Arial" w:cs="Arial"/>
        </w:rPr>
      </w:pPr>
      <w:r w:rsidRPr="00BD0DB5">
        <w:rPr>
          <w:rFonts w:ascii="Arial" w:hAnsi="Arial" w:cs="Arial"/>
        </w:rPr>
        <w:t xml:space="preserve">Criminal Procedure (Insanity) Act 1964, c. 84. Available at: </w:t>
      </w:r>
      <w:hyperlink r:id="rId8" w:history="1">
        <w:r w:rsidRPr="00BD0DB5">
          <w:rPr>
            <w:rStyle w:val="Hyperlink"/>
            <w:rFonts w:ascii="Arial" w:hAnsi="Arial" w:cs="Arial"/>
          </w:rPr>
          <w:t>Criminal Procedure (Insanity) Act 1964 (legislation.gov.uk)</w:t>
        </w:r>
      </w:hyperlink>
      <w:r w:rsidRPr="00BD0DB5">
        <w:rPr>
          <w:rFonts w:ascii="Arial" w:hAnsi="Arial" w:cs="Arial"/>
        </w:rPr>
        <w:t xml:space="preserve"> (Accessed on 11 April</w:t>
      </w:r>
      <w:r>
        <w:rPr>
          <w:rFonts w:ascii="Arial" w:hAnsi="Arial" w:cs="Arial"/>
        </w:rPr>
        <w:t xml:space="preserve"> 2021</w:t>
      </w:r>
      <w:r w:rsidRPr="00BD0DB5">
        <w:rPr>
          <w:rFonts w:ascii="Arial" w:hAnsi="Arial" w:cs="Arial"/>
        </w:rPr>
        <w:t>).</w:t>
      </w:r>
    </w:p>
    <w:p w14:paraId="7A43B0A8" w14:textId="77777777" w:rsidR="00393E88" w:rsidRDefault="00393E88" w:rsidP="00393E88">
      <w:pPr>
        <w:spacing w:line="360" w:lineRule="auto"/>
        <w:rPr>
          <w:rFonts w:ascii="Arial" w:hAnsi="Arial" w:cs="Arial"/>
        </w:rPr>
      </w:pPr>
      <w:r w:rsidRPr="00941132">
        <w:rPr>
          <w:rFonts w:ascii="Arial" w:hAnsi="Arial" w:cs="Arial"/>
        </w:rPr>
        <w:t xml:space="preserve">Homicide Act 1957, c. 11. Available at: </w:t>
      </w:r>
      <w:hyperlink r:id="rId9" w:anchor=":~:text=2Persons%20suffering%20from%20diminished%20responsibility&amp;text=(2)On%20a%20charge%20of,to%20be%20convicted%20of%20murder." w:history="1">
        <w:r w:rsidRPr="00941132">
          <w:rPr>
            <w:rStyle w:val="Hyperlink"/>
            <w:rFonts w:ascii="Arial" w:hAnsi="Arial" w:cs="Arial"/>
          </w:rPr>
          <w:t>Homicide Act 1957 (legislation.gov.uk)</w:t>
        </w:r>
      </w:hyperlink>
      <w:r w:rsidRPr="00941132">
        <w:rPr>
          <w:rFonts w:ascii="Arial" w:hAnsi="Arial" w:cs="Arial"/>
        </w:rPr>
        <w:t xml:space="preserve"> (Accessed on 17 April</w:t>
      </w:r>
      <w:r>
        <w:rPr>
          <w:rFonts w:ascii="Arial" w:hAnsi="Arial" w:cs="Arial"/>
        </w:rPr>
        <w:t xml:space="preserve"> 2021</w:t>
      </w:r>
      <w:r w:rsidRPr="00941132">
        <w:rPr>
          <w:rFonts w:ascii="Arial" w:hAnsi="Arial" w:cs="Arial"/>
        </w:rPr>
        <w:t>)</w:t>
      </w:r>
      <w:r>
        <w:rPr>
          <w:rFonts w:ascii="Arial" w:hAnsi="Arial" w:cs="Arial"/>
        </w:rPr>
        <w:t>.</w:t>
      </w:r>
    </w:p>
    <w:p w14:paraId="11DD24E1" w14:textId="77777777" w:rsidR="00393E88" w:rsidRDefault="00393E88" w:rsidP="00393E88">
      <w:pPr>
        <w:spacing w:line="360" w:lineRule="auto"/>
        <w:rPr>
          <w:rFonts w:ascii="Arial" w:hAnsi="Arial" w:cs="Arial"/>
        </w:rPr>
      </w:pPr>
      <w:r>
        <w:rPr>
          <w:rFonts w:ascii="Arial" w:hAnsi="Arial" w:cs="Arial"/>
        </w:rPr>
        <w:t>R v Hennessy (1989)</w:t>
      </w:r>
    </w:p>
    <w:p w14:paraId="6BDC8B5A" w14:textId="77777777" w:rsidR="00393E88" w:rsidRDefault="00393E88" w:rsidP="00393E88">
      <w:pPr>
        <w:spacing w:line="360" w:lineRule="auto"/>
        <w:rPr>
          <w:rFonts w:ascii="Arial" w:hAnsi="Arial" w:cs="Arial"/>
        </w:rPr>
      </w:pPr>
      <w:r w:rsidRPr="00BD0DB5">
        <w:rPr>
          <w:rFonts w:ascii="Arial" w:hAnsi="Arial" w:cs="Arial"/>
        </w:rPr>
        <w:t xml:space="preserve">Trial of Lunatics Act 1883, c. 38. Available at: </w:t>
      </w:r>
      <w:hyperlink r:id="rId10" w:history="1">
        <w:r w:rsidRPr="00BD0DB5">
          <w:rPr>
            <w:rStyle w:val="Hyperlink"/>
            <w:rFonts w:ascii="Arial" w:hAnsi="Arial" w:cs="Arial"/>
          </w:rPr>
          <w:t xml:space="preserve">Trial </w:t>
        </w:r>
        <w:proofErr w:type="gramStart"/>
        <w:r w:rsidRPr="00BD0DB5">
          <w:rPr>
            <w:rStyle w:val="Hyperlink"/>
            <w:rFonts w:ascii="Arial" w:hAnsi="Arial" w:cs="Arial"/>
          </w:rPr>
          <w:t>Of</w:t>
        </w:r>
        <w:proofErr w:type="gramEnd"/>
        <w:r w:rsidRPr="00BD0DB5">
          <w:rPr>
            <w:rStyle w:val="Hyperlink"/>
            <w:rFonts w:ascii="Arial" w:hAnsi="Arial" w:cs="Arial"/>
          </w:rPr>
          <w:t xml:space="preserve"> Lunatics Act 1883 (legislation.gov.uk)</w:t>
        </w:r>
      </w:hyperlink>
      <w:r w:rsidRPr="00BD0DB5">
        <w:rPr>
          <w:rFonts w:ascii="Arial" w:hAnsi="Arial" w:cs="Arial"/>
        </w:rPr>
        <w:t xml:space="preserve"> (Accessed on 11 April</w:t>
      </w:r>
      <w:r>
        <w:rPr>
          <w:rFonts w:ascii="Arial" w:hAnsi="Arial" w:cs="Arial"/>
        </w:rPr>
        <w:t xml:space="preserve"> 2021</w:t>
      </w:r>
      <w:r w:rsidRPr="00BD0DB5">
        <w:rPr>
          <w:rFonts w:ascii="Arial" w:hAnsi="Arial" w:cs="Arial"/>
        </w:rPr>
        <w:t>).</w:t>
      </w:r>
    </w:p>
    <w:p w14:paraId="014181CB" w14:textId="77777777" w:rsidR="005772BF" w:rsidRDefault="005772BF" w:rsidP="00393E88">
      <w:pPr>
        <w:spacing w:line="360" w:lineRule="auto"/>
        <w:jc w:val="center"/>
        <w:rPr>
          <w:rFonts w:ascii="Arial" w:hAnsi="Arial" w:cs="Arial"/>
        </w:rPr>
      </w:pPr>
    </w:p>
    <w:p w14:paraId="5F0F9CBE" w14:textId="68E0559E" w:rsidR="00393E88" w:rsidRDefault="00393E88" w:rsidP="00393E88">
      <w:pPr>
        <w:spacing w:line="360" w:lineRule="auto"/>
        <w:jc w:val="center"/>
        <w:rPr>
          <w:rFonts w:ascii="Arial" w:hAnsi="Arial" w:cs="Arial"/>
        </w:rPr>
      </w:pPr>
      <w:r>
        <w:rPr>
          <w:rFonts w:ascii="Arial" w:hAnsi="Arial" w:cs="Arial"/>
        </w:rPr>
        <w:t>Criminal Liability</w:t>
      </w:r>
    </w:p>
    <w:p w14:paraId="7315995A" w14:textId="52A198A0" w:rsidR="00BD0DB5" w:rsidRDefault="00D12EC4" w:rsidP="00056A09">
      <w:pPr>
        <w:spacing w:line="360" w:lineRule="auto"/>
        <w:rPr>
          <w:rFonts w:ascii="Arial" w:hAnsi="Arial" w:cs="Arial"/>
        </w:rPr>
      </w:pPr>
      <w:r>
        <w:rPr>
          <w:rFonts w:ascii="Arial" w:hAnsi="Arial" w:cs="Arial"/>
        </w:rPr>
        <w:t xml:space="preserve">Ali assaulted Lee by punching him </w:t>
      </w:r>
      <w:r w:rsidR="00C037B1">
        <w:rPr>
          <w:rFonts w:ascii="Arial" w:hAnsi="Arial" w:cs="Arial"/>
        </w:rPr>
        <w:t>just after Lee told Ali to leave the bar due to fighting, when Ali punched</w:t>
      </w:r>
      <w:r>
        <w:rPr>
          <w:rFonts w:ascii="Arial" w:hAnsi="Arial" w:cs="Arial"/>
        </w:rPr>
        <w:t xml:space="preserve"> </w:t>
      </w:r>
      <w:r w:rsidR="003126AF">
        <w:rPr>
          <w:rFonts w:ascii="Arial" w:hAnsi="Arial" w:cs="Arial"/>
        </w:rPr>
        <w:t>Lee,</w:t>
      </w:r>
      <w:r>
        <w:rPr>
          <w:rFonts w:ascii="Arial" w:hAnsi="Arial" w:cs="Arial"/>
        </w:rPr>
        <w:t xml:space="preserve"> </w:t>
      </w:r>
      <w:r w:rsidR="00C037B1">
        <w:rPr>
          <w:rFonts w:ascii="Arial" w:hAnsi="Arial" w:cs="Arial"/>
        </w:rPr>
        <w:t xml:space="preserve">he </w:t>
      </w:r>
      <w:r>
        <w:rPr>
          <w:rFonts w:ascii="Arial" w:hAnsi="Arial" w:cs="Arial"/>
        </w:rPr>
        <w:t xml:space="preserve">fell to the floor with such a force which led </w:t>
      </w:r>
      <w:r w:rsidR="00C037B1">
        <w:rPr>
          <w:rFonts w:ascii="Arial" w:hAnsi="Arial" w:cs="Arial"/>
        </w:rPr>
        <w:t>Lee</w:t>
      </w:r>
      <w:r>
        <w:rPr>
          <w:rFonts w:ascii="Arial" w:hAnsi="Arial" w:cs="Arial"/>
        </w:rPr>
        <w:t xml:space="preserve"> to be knocked unconscious, Lee went to hospital and died later that night.</w:t>
      </w:r>
      <w:r w:rsidR="005772BF">
        <w:rPr>
          <w:rFonts w:ascii="Arial" w:hAnsi="Arial" w:cs="Arial"/>
        </w:rPr>
        <w:t xml:space="preserve"> One of Ali’s </w:t>
      </w:r>
      <w:r>
        <w:rPr>
          <w:rFonts w:ascii="Arial" w:hAnsi="Arial" w:cs="Arial"/>
        </w:rPr>
        <w:t>criminal offence</w:t>
      </w:r>
      <w:r w:rsidR="005772BF">
        <w:rPr>
          <w:rFonts w:ascii="Arial" w:hAnsi="Arial" w:cs="Arial"/>
        </w:rPr>
        <w:t>s</w:t>
      </w:r>
      <w:r>
        <w:rPr>
          <w:rFonts w:ascii="Arial" w:hAnsi="Arial" w:cs="Arial"/>
        </w:rPr>
        <w:t xml:space="preserve"> is battery, battery is aggression towards an individual and physically touching them. </w:t>
      </w:r>
      <w:r w:rsidR="004E33ED">
        <w:rPr>
          <w:rFonts w:ascii="Arial" w:hAnsi="Arial" w:cs="Arial"/>
        </w:rPr>
        <w:t xml:space="preserve">Actus </w:t>
      </w:r>
      <w:r w:rsidR="004E33ED">
        <w:rPr>
          <w:rFonts w:ascii="Arial" w:hAnsi="Arial" w:cs="Arial"/>
        </w:rPr>
        <w:lastRenderedPageBreak/>
        <w:t xml:space="preserve">Reus is the act that has been performed (guilty act) and the </w:t>
      </w:r>
      <w:proofErr w:type="spellStart"/>
      <w:r w:rsidR="004E33ED">
        <w:rPr>
          <w:rFonts w:ascii="Arial" w:hAnsi="Arial" w:cs="Arial"/>
        </w:rPr>
        <w:t>Mens</w:t>
      </w:r>
      <w:proofErr w:type="spellEnd"/>
      <w:r w:rsidR="004E33ED">
        <w:rPr>
          <w:rFonts w:ascii="Arial" w:hAnsi="Arial" w:cs="Arial"/>
        </w:rPr>
        <w:t xml:space="preserve"> Rea is if the mind made the act intentional (guilty min</w:t>
      </w:r>
      <w:r w:rsidR="00D43AA9">
        <w:rPr>
          <w:rFonts w:ascii="Arial" w:hAnsi="Arial" w:cs="Arial"/>
        </w:rPr>
        <w:t>d</w:t>
      </w:r>
      <w:r w:rsidR="004E33ED">
        <w:rPr>
          <w:rFonts w:ascii="Arial" w:hAnsi="Arial" w:cs="Arial"/>
        </w:rPr>
        <w:t xml:space="preserve">). </w:t>
      </w:r>
      <w:r w:rsidR="00D43AA9">
        <w:rPr>
          <w:rFonts w:ascii="Arial" w:hAnsi="Arial" w:cs="Arial"/>
        </w:rPr>
        <w:t>T</w:t>
      </w:r>
      <w:r>
        <w:rPr>
          <w:rFonts w:ascii="Arial" w:hAnsi="Arial" w:cs="Arial"/>
        </w:rPr>
        <w:t>he Actus Reus of battery is force, and Ali</w:t>
      </w:r>
      <w:r w:rsidR="004E33ED">
        <w:rPr>
          <w:rFonts w:ascii="Arial" w:hAnsi="Arial" w:cs="Arial"/>
        </w:rPr>
        <w:t xml:space="preserve"> met the Actus Re</w:t>
      </w:r>
      <w:r w:rsidR="00D43AA9">
        <w:rPr>
          <w:rFonts w:ascii="Arial" w:hAnsi="Arial" w:cs="Arial"/>
        </w:rPr>
        <w:t>u</w:t>
      </w:r>
      <w:r w:rsidR="004E33ED">
        <w:rPr>
          <w:rFonts w:ascii="Arial" w:hAnsi="Arial" w:cs="Arial"/>
        </w:rPr>
        <w:t>s requirements by</w:t>
      </w:r>
      <w:r>
        <w:rPr>
          <w:rFonts w:ascii="Arial" w:hAnsi="Arial" w:cs="Arial"/>
        </w:rPr>
        <w:t xml:space="preserve"> forcefully punch</w:t>
      </w:r>
      <w:r w:rsidR="00D43AA9">
        <w:rPr>
          <w:rFonts w:ascii="Arial" w:hAnsi="Arial" w:cs="Arial"/>
        </w:rPr>
        <w:t xml:space="preserve">ing </w:t>
      </w:r>
      <w:r>
        <w:rPr>
          <w:rFonts w:ascii="Arial" w:hAnsi="Arial" w:cs="Arial"/>
        </w:rPr>
        <w:t xml:space="preserve">Lee and the </w:t>
      </w:r>
      <w:proofErr w:type="spellStart"/>
      <w:r>
        <w:rPr>
          <w:rFonts w:ascii="Arial" w:hAnsi="Arial" w:cs="Arial"/>
        </w:rPr>
        <w:t>Mens</w:t>
      </w:r>
      <w:proofErr w:type="spellEnd"/>
      <w:r>
        <w:rPr>
          <w:rFonts w:ascii="Arial" w:hAnsi="Arial" w:cs="Arial"/>
        </w:rPr>
        <w:t xml:space="preserve"> Rea </w:t>
      </w:r>
      <w:r w:rsidR="00D43AA9">
        <w:rPr>
          <w:rFonts w:ascii="Arial" w:hAnsi="Arial" w:cs="Arial"/>
        </w:rPr>
        <w:t xml:space="preserve">requirements were met because </w:t>
      </w:r>
      <w:r>
        <w:rPr>
          <w:rFonts w:ascii="Arial" w:hAnsi="Arial" w:cs="Arial"/>
        </w:rPr>
        <w:t>the fact that Ali intentionally punched Lee to cause harm and was reckless.</w:t>
      </w:r>
      <w:r w:rsidR="00A40E08">
        <w:rPr>
          <w:rFonts w:ascii="Arial" w:hAnsi="Arial" w:cs="Arial"/>
        </w:rPr>
        <w:t xml:space="preserve"> </w:t>
      </w:r>
      <w:r w:rsidR="00D43AA9">
        <w:rPr>
          <w:rFonts w:ascii="Arial" w:hAnsi="Arial" w:cs="Arial"/>
        </w:rPr>
        <w:t>The Actus Reus of battery must show that the defendant committed battery and the battery must cause actual physical harm.</w:t>
      </w:r>
      <w:r w:rsidR="005772BF">
        <w:rPr>
          <w:rFonts w:ascii="Arial" w:hAnsi="Arial" w:cs="Arial"/>
        </w:rPr>
        <w:t xml:space="preserve"> The </w:t>
      </w:r>
      <w:proofErr w:type="spellStart"/>
      <w:r w:rsidR="005772BF">
        <w:rPr>
          <w:rFonts w:ascii="Arial" w:hAnsi="Arial" w:cs="Arial"/>
        </w:rPr>
        <w:t>Mens</w:t>
      </w:r>
      <w:proofErr w:type="spellEnd"/>
      <w:r w:rsidR="005772BF">
        <w:rPr>
          <w:rFonts w:ascii="Arial" w:hAnsi="Arial" w:cs="Arial"/>
        </w:rPr>
        <w:t xml:space="preserve"> Rea must prove that the act was intentional, and Ali did intentionally hurt Lee, and that is called direct intention.</w:t>
      </w:r>
      <w:r w:rsidR="00D43AA9">
        <w:rPr>
          <w:rFonts w:ascii="Arial" w:hAnsi="Arial" w:cs="Arial"/>
        </w:rPr>
        <w:t xml:space="preserve"> Ali is the causation for </w:t>
      </w:r>
      <w:r w:rsidR="005772BF">
        <w:rPr>
          <w:rFonts w:ascii="Arial" w:hAnsi="Arial" w:cs="Arial"/>
        </w:rPr>
        <w:t xml:space="preserve">harming Lee because Ali intentionally punched him to cause harm. </w:t>
      </w:r>
      <w:r w:rsidR="003126AF">
        <w:rPr>
          <w:rFonts w:ascii="Arial" w:hAnsi="Arial" w:cs="Arial"/>
        </w:rPr>
        <w:t>The Criminal Justice Act 1988 section 39 stated common assault or battery will lead to imprisonment (Criminal Justice Act 1988).</w:t>
      </w:r>
      <w:r>
        <w:rPr>
          <w:rFonts w:ascii="Arial" w:hAnsi="Arial" w:cs="Arial"/>
        </w:rPr>
        <w:t xml:space="preserve"> </w:t>
      </w:r>
      <w:r w:rsidR="00EA35AC">
        <w:rPr>
          <w:rFonts w:ascii="Arial" w:hAnsi="Arial" w:cs="Arial"/>
        </w:rPr>
        <w:t xml:space="preserve">After Lee went to the hospital, he died that night, Ali </w:t>
      </w:r>
      <w:r w:rsidR="003126AF">
        <w:rPr>
          <w:rFonts w:ascii="Arial" w:hAnsi="Arial" w:cs="Arial"/>
        </w:rPr>
        <w:t xml:space="preserve">intentionally did an unlawful and dangerous act which led to death, this means Ali committed an offence called unlawful act </w:t>
      </w:r>
      <w:r w:rsidR="00EA35AC">
        <w:rPr>
          <w:rFonts w:ascii="Arial" w:hAnsi="Arial" w:cs="Arial"/>
        </w:rPr>
        <w:t>manslaughter due to Lee becoming deceased after Ali physically approach Lee</w:t>
      </w:r>
      <w:r w:rsidR="00D43AA9">
        <w:rPr>
          <w:rFonts w:ascii="Arial" w:hAnsi="Arial" w:cs="Arial"/>
        </w:rPr>
        <w:t xml:space="preserve">. Ali is the causation for the death of Lee due to Ali forcefully punching Lee and him being knocked unconscious to the ground that caused Lee physical harm. </w:t>
      </w:r>
      <w:r w:rsidR="00EA35AC">
        <w:rPr>
          <w:rFonts w:ascii="Arial" w:hAnsi="Arial" w:cs="Arial"/>
        </w:rPr>
        <w:t xml:space="preserve">Manslaughter is death that results by no intention, Ali did not directly intend to kill Lee, but the results of his </w:t>
      </w:r>
      <w:r w:rsidR="003126AF">
        <w:rPr>
          <w:rFonts w:ascii="Arial" w:hAnsi="Arial" w:cs="Arial"/>
        </w:rPr>
        <w:t xml:space="preserve">dangerous </w:t>
      </w:r>
      <w:r w:rsidR="00EA35AC">
        <w:rPr>
          <w:rFonts w:ascii="Arial" w:hAnsi="Arial" w:cs="Arial"/>
        </w:rPr>
        <w:t xml:space="preserve">actions caused death. The Actus Reus for </w:t>
      </w:r>
      <w:r w:rsidR="00965CBB">
        <w:rPr>
          <w:rFonts w:ascii="Arial" w:hAnsi="Arial" w:cs="Arial"/>
        </w:rPr>
        <w:t xml:space="preserve">unlawful act </w:t>
      </w:r>
      <w:r w:rsidR="00EA35AC">
        <w:rPr>
          <w:rFonts w:ascii="Arial" w:hAnsi="Arial" w:cs="Arial"/>
        </w:rPr>
        <w:t>manslaughter is involving the danger of harm to an individual</w:t>
      </w:r>
      <w:r w:rsidR="00AB3693">
        <w:rPr>
          <w:rFonts w:ascii="Arial" w:hAnsi="Arial" w:cs="Arial"/>
        </w:rPr>
        <w:t xml:space="preserve"> which was the punch </w:t>
      </w:r>
      <w:r w:rsidR="00EA35AC">
        <w:rPr>
          <w:rFonts w:ascii="Arial" w:hAnsi="Arial" w:cs="Arial"/>
        </w:rPr>
        <w:t xml:space="preserve">and the Mens rea is </w:t>
      </w:r>
      <w:r w:rsidR="00AB3693">
        <w:rPr>
          <w:rFonts w:ascii="Arial" w:hAnsi="Arial" w:cs="Arial"/>
        </w:rPr>
        <w:t>that Lee died but it was not intentional from Ali</w:t>
      </w:r>
      <w:r w:rsidR="00A40E08">
        <w:rPr>
          <w:rFonts w:ascii="Arial" w:hAnsi="Arial" w:cs="Arial"/>
        </w:rPr>
        <w:t xml:space="preserve"> but still led to death. In the case named R v Church a man was convicted for manslaughter in 1965 for assaulting a female </w:t>
      </w:r>
      <w:r w:rsidR="001221EE">
        <w:rPr>
          <w:rFonts w:ascii="Arial" w:hAnsi="Arial" w:cs="Arial"/>
        </w:rPr>
        <w:t>and causing serious injuries to her, the defendant knocked the female unconscious and panicked then threw her into the river (R v Church 1965).</w:t>
      </w:r>
      <w:r w:rsidR="000434B8">
        <w:rPr>
          <w:rFonts w:ascii="Arial" w:hAnsi="Arial" w:cs="Arial"/>
        </w:rPr>
        <w:t xml:space="preserve"> </w:t>
      </w:r>
      <w:r w:rsidR="005B2FE0">
        <w:rPr>
          <w:rFonts w:ascii="Arial" w:hAnsi="Arial" w:cs="Arial"/>
        </w:rPr>
        <w:t>The R v Church case is similar due to both assaulting an individual and both led to death without direct intention</w:t>
      </w:r>
      <w:r w:rsidR="00965CBB">
        <w:rPr>
          <w:rFonts w:ascii="Arial" w:hAnsi="Arial" w:cs="Arial"/>
        </w:rPr>
        <w:t xml:space="preserve">, they both intended to physically harm the individuals but they both did not directly intent to kill them. Another case that relates to Ali’s situation is R v </w:t>
      </w:r>
      <w:proofErr w:type="spellStart"/>
      <w:r w:rsidR="00965CBB">
        <w:rPr>
          <w:rFonts w:ascii="Arial" w:hAnsi="Arial" w:cs="Arial"/>
        </w:rPr>
        <w:t>Woollin</w:t>
      </w:r>
      <w:proofErr w:type="spellEnd"/>
      <w:r w:rsidR="00965CBB">
        <w:rPr>
          <w:rFonts w:ascii="Arial" w:hAnsi="Arial" w:cs="Arial"/>
        </w:rPr>
        <w:t xml:space="preserve">, a man retaliated just like Ali did and physically caused harm to his son and the injuries </w:t>
      </w:r>
      <w:r w:rsidR="009577DA">
        <w:rPr>
          <w:rFonts w:ascii="Arial" w:hAnsi="Arial" w:cs="Arial"/>
        </w:rPr>
        <w:t xml:space="preserve">were serious enough to </w:t>
      </w:r>
      <w:r w:rsidR="00965CBB">
        <w:rPr>
          <w:rFonts w:ascii="Arial" w:hAnsi="Arial" w:cs="Arial"/>
        </w:rPr>
        <w:t>cau</w:t>
      </w:r>
      <w:r w:rsidR="009577DA">
        <w:rPr>
          <w:rFonts w:ascii="Arial" w:hAnsi="Arial" w:cs="Arial"/>
        </w:rPr>
        <w:t>se death</w:t>
      </w:r>
      <w:r w:rsidR="00965CBB">
        <w:rPr>
          <w:rFonts w:ascii="Arial" w:hAnsi="Arial" w:cs="Arial"/>
        </w:rPr>
        <w:t>, Ali’s situation is similar due to causing physical harm to Lee that led to death.</w:t>
      </w:r>
    </w:p>
    <w:p w14:paraId="16F534D0" w14:textId="2000D6EF" w:rsidR="0061114C" w:rsidRDefault="0061114C" w:rsidP="00056A09">
      <w:pPr>
        <w:spacing w:line="360" w:lineRule="auto"/>
        <w:rPr>
          <w:rFonts w:ascii="Arial" w:hAnsi="Arial" w:cs="Arial"/>
        </w:rPr>
      </w:pPr>
      <w:r>
        <w:rPr>
          <w:rFonts w:ascii="Arial" w:hAnsi="Arial" w:cs="Arial"/>
        </w:rPr>
        <w:t xml:space="preserve">The next day Ali approached Colin and asked him questions about what Colin may have said to the police about the incident with Lee, as Colin went to walk away Ali grabbed Colin by the arm and Colin suddenly felt an awful pain in his stomach, Ali had stabbed Colin and Colin died within minutes. The criminal offence Ali committed is murder, murder is an intent to kill or cause grievous bodily harm, the Actus Reus to murder is </w:t>
      </w:r>
      <w:r w:rsidR="008B5C5C">
        <w:rPr>
          <w:rFonts w:ascii="Arial" w:hAnsi="Arial" w:cs="Arial"/>
        </w:rPr>
        <w:t xml:space="preserve">unlawful killing of a human being and the Actus Reus for Ali is that he stabbed Colin causing him to die and that is unlawful killing of a human being. The </w:t>
      </w:r>
      <w:proofErr w:type="spellStart"/>
      <w:r w:rsidR="008B5C5C">
        <w:rPr>
          <w:rFonts w:ascii="Arial" w:hAnsi="Arial" w:cs="Arial"/>
        </w:rPr>
        <w:t>Mens</w:t>
      </w:r>
      <w:proofErr w:type="spellEnd"/>
      <w:r w:rsidR="008B5C5C">
        <w:rPr>
          <w:rFonts w:ascii="Arial" w:hAnsi="Arial" w:cs="Arial"/>
        </w:rPr>
        <w:t xml:space="preserve"> Rea to murder is the intention to kill an individual and Ali intended to stab Colin to cause him to die, Ali directly intended to murder Colin as soon as he approached him.</w:t>
      </w:r>
      <w:r w:rsidR="005772BF">
        <w:rPr>
          <w:rFonts w:ascii="Arial" w:hAnsi="Arial" w:cs="Arial"/>
        </w:rPr>
        <w:t xml:space="preserve"> Killing means causing death and in this </w:t>
      </w:r>
      <w:proofErr w:type="gramStart"/>
      <w:r w:rsidR="005772BF">
        <w:rPr>
          <w:rFonts w:ascii="Arial" w:hAnsi="Arial" w:cs="Arial"/>
        </w:rPr>
        <w:t>case</w:t>
      </w:r>
      <w:proofErr w:type="gramEnd"/>
      <w:r w:rsidR="005772BF">
        <w:rPr>
          <w:rFonts w:ascii="Arial" w:hAnsi="Arial" w:cs="Arial"/>
        </w:rPr>
        <w:t xml:space="preserve"> Ali is the causation for Colins death because he directly intended to kill, Ali’s purpose was to kill Colin </w:t>
      </w:r>
      <w:r w:rsidR="005772BF">
        <w:rPr>
          <w:rFonts w:ascii="Arial" w:hAnsi="Arial" w:cs="Arial"/>
        </w:rPr>
        <w:lastRenderedPageBreak/>
        <w:t>and he got the result he wanted.</w:t>
      </w:r>
      <w:r w:rsidR="008B5C5C">
        <w:rPr>
          <w:rFonts w:ascii="Arial" w:hAnsi="Arial" w:cs="Arial"/>
        </w:rPr>
        <w:t xml:space="preserve"> </w:t>
      </w:r>
      <w:r w:rsidR="00C04DFC">
        <w:rPr>
          <w:rFonts w:ascii="Arial" w:hAnsi="Arial" w:cs="Arial"/>
        </w:rPr>
        <w:t>A case that involves intention to murder is the R v White case, the defendant added poison to his mother’s drink and died later that night in her sleep, but the victim died of a heart attack which led to the defendant to have a sentence of attempt of murder because there were no signs of death from the poison even though the defendant intended to kill the victim (R v White 1910).</w:t>
      </w:r>
    </w:p>
    <w:p w14:paraId="7D11E44C" w14:textId="5185F0C9" w:rsidR="003126AF" w:rsidRDefault="00C04DFC" w:rsidP="00056A09">
      <w:pPr>
        <w:spacing w:line="360" w:lineRule="auto"/>
        <w:rPr>
          <w:rFonts w:ascii="Arial" w:hAnsi="Arial" w:cs="Arial"/>
        </w:rPr>
      </w:pPr>
      <w:r>
        <w:rPr>
          <w:rFonts w:ascii="Arial" w:hAnsi="Arial" w:cs="Arial"/>
        </w:rPr>
        <w:t>In total Ali committed three offences, battery, unlawful act manslaughter and murder</w:t>
      </w:r>
      <w:r w:rsidR="00A16836">
        <w:rPr>
          <w:rFonts w:ascii="Arial" w:hAnsi="Arial" w:cs="Arial"/>
        </w:rPr>
        <w:t>, all three offences are very serious and will all cause Ali to be sentence to imprisonment.</w:t>
      </w:r>
    </w:p>
    <w:p w14:paraId="172DEBE6" w14:textId="17D29ECB" w:rsidR="003126AF" w:rsidRDefault="003126AF" w:rsidP="003126AF">
      <w:pPr>
        <w:spacing w:line="360" w:lineRule="auto"/>
        <w:jc w:val="both"/>
        <w:rPr>
          <w:rFonts w:ascii="Arial" w:hAnsi="Arial" w:cs="Arial"/>
        </w:rPr>
      </w:pPr>
      <w:r>
        <w:rPr>
          <w:rFonts w:ascii="Arial" w:hAnsi="Arial" w:cs="Arial"/>
        </w:rPr>
        <w:t>Case Law/Legislation:</w:t>
      </w:r>
    </w:p>
    <w:p w14:paraId="7D3E1F89" w14:textId="77777777" w:rsidR="00427FBE" w:rsidRDefault="00427FBE" w:rsidP="00056A09">
      <w:pPr>
        <w:spacing w:line="360" w:lineRule="auto"/>
      </w:pPr>
      <w:r>
        <w:rPr>
          <w:rFonts w:ascii="Arial" w:hAnsi="Arial" w:cs="Arial"/>
        </w:rPr>
        <w:t xml:space="preserve">Criminal Justice Act 1988, c. 33. Available at: </w:t>
      </w:r>
      <w:hyperlink r:id="rId11" w:history="1">
        <w:r>
          <w:rPr>
            <w:rStyle w:val="Hyperlink"/>
          </w:rPr>
          <w:t>Criminal Justice Act 1988 (legislation.gov.uk)</w:t>
        </w:r>
      </w:hyperlink>
      <w:r>
        <w:t xml:space="preserve"> (Accessed on 21 April 2021)</w:t>
      </w:r>
    </w:p>
    <w:p w14:paraId="534CB624" w14:textId="77777777" w:rsidR="00427FBE" w:rsidRDefault="00427FBE" w:rsidP="00056A09">
      <w:pPr>
        <w:spacing w:line="360" w:lineRule="auto"/>
        <w:rPr>
          <w:rFonts w:ascii="Arial" w:hAnsi="Arial" w:cs="Arial"/>
        </w:rPr>
      </w:pPr>
      <w:r>
        <w:rPr>
          <w:rFonts w:ascii="Arial" w:hAnsi="Arial" w:cs="Arial"/>
        </w:rPr>
        <w:t>R v Church (1965)</w:t>
      </w:r>
    </w:p>
    <w:p w14:paraId="40F46828" w14:textId="77777777" w:rsidR="00427FBE" w:rsidRDefault="00427FBE" w:rsidP="00056A09">
      <w:pPr>
        <w:spacing w:line="360" w:lineRule="auto"/>
        <w:rPr>
          <w:rFonts w:ascii="Arial" w:hAnsi="Arial" w:cs="Arial"/>
        </w:rPr>
      </w:pPr>
      <w:r>
        <w:rPr>
          <w:rFonts w:ascii="Arial" w:hAnsi="Arial" w:cs="Arial"/>
        </w:rPr>
        <w:t>R v Hennessy (1989)</w:t>
      </w:r>
    </w:p>
    <w:p w14:paraId="7B4CA1A4" w14:textId="77777777" w:rsidR="00427FBE" w:rsidRDefault="00427FBE" w:rsidP="00056A09">
      <w:pPr>
        <w:spacing w:line="360" w:lineRule="auto"/>
        <w:rPr>
          <w:rFonts w:ascii="Arial" w:hAnsi="Arial" w:cs="Arial"/>
        </w:rPr>
      </w:pPr>
      <w:r>
        <w:rPr>
          <w:rFonts w:ascii="Arial" w:hAnsi="Arial" w:cs="Arial"/>
        </w:rPr>
        <w:t>R v White (1910)</w:t>
      </w:r>
    </w:p>
    <w:p w14:paraId="45E20BFC" w14:textId="77777777" w:rsidR="00427FBE" w:rsidRDefault="00427FBE" w:rsidP="00056A09">
      <w:pPr>
        <w:spacing w:line="360" w:lineRule="auto"/>
        <w:rPr>
          <w:rFonts w:ascii="Arial" w:hAnsi="Arial" w:cs="Arial"/>
        </w:rPr>
      </w:pPr>
      <w:r>
        <w:rPr>
          <w:rFonts w:ascii="Arial" w:hAnsi="Arial" w:cs="Arial"/>
        </w:rPr>
        <w:t xml:space="preserve">R v </w:t>
      </w:r>
      <w:proofErr w:type="spellStart"/>
      <w:r>
        <w:rPr>
          <w:rFonts w:ascii="Arial" w:hAnsi="Arial" w:cs="Arial"/>
        </w:rPr>
        <w:t>Woollin</w:t>
      </w:r>
      <w:proofErr w:type="spellEnd"/>
      <w:r>
        <w:rPr>
          <w:rFonts w:ascii="Arial" w:hAnsi="Arial" w:cs="Arial"/>
        </w:rPr>
        <w:t xml:space="preserve"> (1999)</w:t>
      </w:r>
    </w:p>
    <w:p w14:paraId="3FA4AE60" w14:textId="212EA6DC" w:rsidR="003126AF" w:rsidRDefault="003126AF" w:rsidP="003126AF">
      <w:pPr>
        <w:spacing w:line="360" w:lineRule="auto"/>
        <w:rPr>
          <w:rFonts w:ascii="Arial" w:hAnsi="Arial" w:cs="Arial"/>
        </w:rPr>
      </w:pPr>
    </w:p>
    <w:p w14:paraId="15C40DB5" w14:textId="77777777" w:rsidR="00393E88" w:rsidRDefault="00393E88" w:rsidP="003126AF">
      <w:pPr>
        <w:spacing w:line="360" w:lineRule="auto"/>
        <w:rPr>
          <w:rFonts w:ascii="Arial" w:hAnsi="Arial" w:cs="Arial"/>
        </w:rPr>
      </w:pPr>
    </w:p>
    <w:p w14:paraId="7666217A" w14:textId="77777777" w:rsidR="003126AF" w:rsidRPr="002E0E3B" w:rsidRDefault="003126AF" w:rsidP="00056A09">
      <w:pPr>
        <w:spacing w:line="360" w:lineRule="auto"/>
        <w:rPr>
          <w:rFonts w:ascii="Arial" w:hAnsi="Arial" w:cs="Arial"/>
        </w:rPr>
      </w:pPr>
    </w:p>
    <w:p w14:paraId="4C3DC642" w14:textId="77777777" w:rsidR="002E0E3B" w:rsidRPr="00941132" w:rsidRDefault="002E0E3B" w:rsidP="00056A09">
      <w:pPr>
        <w:spacing w:line="360" w:lineRule="auto"/>
        <w:rPr>
          <w:rFonts w:ascii="Arial" w:hAnsi="Arial" w:cs="Arial"/>
        </w:rPr>
      </w:pPr>
    </w:p>
    <w:sectPr w:rsidR="002E0E3B" w:rsidRPr="009411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4DB"/>
    <w:rsid w:val="000434B8"/>
    <w:rsid w:val="00056A09"/>
    <w:rsid w:val="001221EE"/>
    <w:rsid w:val="0012554F"/>
    <w:rsid w:val="00133147"/>
    <w:rsid w:val="001335CC"/>
    <w:rsid w:val="002D4A08"/>
    <w:rsid w:val="002E0E3B"/>
    <w:rsid w:val="003126AF"/>
    <w:rsid w:val="00393E88"/>
    <w:rsid w:val="003B0A2F"/>
    <w:rsid w:val="00427FBE"/>
    <w:rsid w:val="004A3FC2"/>
    <w:rsid w:val="004B0237"/>
    <w:rsid w:val="004E33ED"/>
    <w:rsid w:val="005772BF"/>
    <w:rsid w:val="005B2FE0"/>
    <w:rsid w:val="0061114C"/>
    <w:rsid w:val="00771277"/>
    <w:rsid w:val="007728A5"/>
    <w:rsid w:val="00837F0F"/>
    <w:rsid w:val="008B0FE0"/>
    <w:rsid w:val="008B5C5C"/>
    <w:rsid w:val="009145CD"/>
    <w:rsid w:val="00941132"/>
    <w:rsid w:val="009577DA"/>
    <w:rsid w:val="00962205"/>
    <w:rsid w:val="00965CBB"/>
    <w:rsid w:val="00A16836"/>
    <w:rsid w:val="00A40E08"/>
    <w:rsid w:val="00A5185E"/>
    <w:rsid w:val="00A5326D"/>
    <w:rsid w:val="00AB3693"/>
    <w:rsid w:val="00B332EB"/>
    <w:rsid w:val="00BD0DB5"/>
    <w:rsid w:val="00C037B1"/>
    <w:rsid w:val="00C04DFC"/>
    <w:rsid w:val="00C43A2B"/>
    <w:rsid w:val="00C470E6"/>
    <w:rsid w:val="00C8282A"/>
    <w:rsid w:val="00D12EC4"/>
    <w:rsid w:val="00D43AA9"/>
    <w:rsid w:val="00DC5718"/>
    <w:rsid w:val="00DD4F80"/>
    <w:rsid w:val="00EA35AC"/>
    <w:rsid w:val="00F02A31"/>
    <w:rsid w:val="00F554DB"/>
    <w:rsid w:val="00F565B5"/>
    <w:rsid w:val="00FB29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4FCAB4"/>
  <w15:chartTrackingRefBased/>
  <w15:docId w15:val="{EBDA4D8D-B634-4191-BD43-F04B3116FE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3B0A2F"/>
    <w:rPr>
      <w:color w:val="0000FF"/>
      <w:u w:val="single"/>
    </w:rPr>
  </w:style>
  <w:style w:type="character" w:styleId="FollowedHyperlink">
    <w:name w:val="FollowedHyperlink"/>
    <w:basedOn w:val="DefaultParagraphFont"/>
    <w:uiPriority w:val="99"/>
    <w:semiHidden/>
    <w:unhideWhenUsed/>
    <w:rsid w:val="008B0FE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1964/84/section/5"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cps.gov.uk/publication/mental-health-conditions-and-disorders-draft-prosecution-guidance"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3-eu-west-2.amazonaws.com/lawcom-prod-storage-11jsxou24uy7q/uploads/2015/06/insanity_discussion.pdf" TargetMode="External"/><Relationship Id="rId11" Type="http://schemas.openxmlformats.org/officeDocument/2006/relationships/hyperlink" Target="https://www.legislation.gov.uk/ukpga/1988/33/section/39" TargetMode="External"/><Relationship Id="rId5" Type="http://schemas.openxmlformats.org/officeDocument/2006/relationships/hyperlink" Target="http://www.lawcom.gov.uk/app/uploads/2015/06/insanity_discussion_summary.pdf" TargetMode="External"/><Relationship Id="rId10" Type="http://schemas.openxmlformats.org/officeDocument/2006/relationships/hyperlink" Target="https://www.legislation.gov.uk/ukpga/Vict/46-47/38/section/2" TargetMode="External"/><Relationship Id="rId4" Type="http://schemas.openxmlformats.org/officeDocument/2006/relationships/hyperlink" Target="https://assets.publishing.service.gov.uk/government/uploads/system/uploads/attachment_data/file/617132/20170523-Chapter_12-Defences_Mitigation_Criminal_responsibility-AL42-v1.pdf" TargetMode="External"/><Relationship Id="rId9" Type="http://schemas.openxmlformats.org/officeDocument/2006/relationships/hyperlink" Target="https://www.legislation.gov.uk/ukpga/Eliz2/5-6/11/section/2/enact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1964</TotalTime>
  <Pages>5</Pages>
  <Words>1935</Words>
  <Characters>11031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Maisie</dc:creator>
  <cp:keywords/>
  <dc:description/>
  <cp:lastModifiedBy>Maisie Finnemore</cp:lastModifiedBy>
  <cp:revision>12</cp:revision>
  <dcterms:created xsi:type="dcterms:W3CDTF">2021-04-20T13:32:00Z</dcterms:created>
  <dcterms:modified xsi:type="dcterms:W3CDTF">2021-04-29T15:46:00Z</dcterms:modified>
</cp:coreProperties>
</file>