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4448" w:rsidRPr="00584448" w:rsidRDefault="00CE7801" w:rsidP="00584448">
      <w:pPr>
        <w:pStyle w:val="NoSpacing"/>
        <w:jc w:val="both"/>
        <w:rPr>
          <w:b/>
        </w:rPr>
      </w:pPr>
      <w:r>
        <w:rPr>
          <w:b/>
        </w:rPr>
        <w:t>Q</w:t>
      </w:r>
      <w:r w:rsidR="001F5901">
        <w:rPr>
          <w:b/>
        </w:rPr>
        <w:t xml:space="preserve">1. </w:t>
      </w:r>
      <w:r w:rsidR="00584448" w:rsidRPr="00584448">
        <w:rPr>
          <w:b/>
        </w:rPr>
        <w:t>Evaluate the concept of evidence-based practice (EBP) and provide two examples of where Technivara could use it to ensure sound decision-making in people practice. (AC 1.1)</w:t>
      </w:r>
    </w:p>
    <w:p w:rsidR="00584448" w:rsidRDefault="00584448" w:rsidP="00584448">
      <w:pPr>
        <w:pStyle w:val="NoSpacing"/>
        <w:jc w:val="both"/>
      </w:pPr>
    </w:p>
    <w:p w:rsidR="00D33C50" w:rsidRDefault="005644DC" w:rsidP="00584448">
      <w:pPr>
        <w:pStyle w:val="NoSpacing"/>
        <w:jc w:val="both"/>
      </w:pPr>
      <w:r>
        <w:t>Evidence</w:t>
      </w:r>
      <w:r w:rsidR="00221406">
        <w:t xml:space="preserve"> based practice (EB</w:t>
      </w:r>
      <w:r>
        <w:t xml:space="preserve">P) </w:t>
      </w:r>
      <w:r w:rsidR="006F18DC">
        <w:t>ensures</w:t>
      </w:r>
      <w:r w:rsidR="00C71432">
        <w:t xml:space="preserve"> quality decision-making i</w:t>
      </w:r>
      <w:r w:rsidR="005808AB">
        <w:t>s guided</w:t>
      </w:r>
      <w:r w:rsidR="00C71432">
        <w:t xml:space="preserve"> by reliable evidence and critical thinking (</w:t>
      </w:r>
      <w:proofErr w:type="spellStart"/>
      <w:r w:rsidR="00C71432">
        <w:t>Barends</w:t>
      </w:r>
      <w:proofErr w:type="spellEnd"/>
      <w:r w:rsidR="00C71432">
        <w:t xml:space="preserve">, Rousseau and Briner, 2014). </w:t>
      </w:r>
      <w:r w:rsidR="00146B97">
        <w:t xml:space="preserve">People professionals should </w:t>
      </w:r>
      <w:r w:rsidR="006F18DC">
        <w:t>consider</w:t>
      </w:r>
      <w:r w:rsidR="00146B97">
        <w:t xml:space="preserve"> multiple </w:t>
      </w:r>
      <w:r w:rsidR="006F18DC">
        <w:t xml:space="preserve">evidence </w:t>
      </w:r>
      <w:r w:rsidR="00146B97">
        <w:t>sources including professional expertise</w:t>
      </w:r>
      <w:r w:rsidR="00B81EC6">
        <w:t xml:space="preserve"> and judgement</w:t>
      </w:r>
      <w:r w:rsidR="00146B97">
        <w:t>, stakeholder and employee views, scientific research and organisational data (CIPD, 2025</w:t>
      </w:r>
      <w:r w:rsidR="00714464">
        <w:t>a</w:t>
      </w:r>
      <w:r w:rsidR="00146B97">
        <w:t xml:space="preserve">). </w:t>
      </w:r>
      <w:r w:rsidR="006F18DC">
        <w:t>Evidence</w:t>
      </w:r>
      <w:r w:rsidR="00146B97">
        <w:t xml:space="preserve"> should be carefully</w:t>
      </w:r>
      <w:r w:rsidR="000659C1">
        <w:t xml:space="preserve"> examined</w:t>
      </w:r>
      <w:r w:rsidR="00146B97">
        <w:t xml:space="preserve"> for validity, reliability, rele</w:t>
      </w:r>
      <w:r w:rsidR="00B81EC6">
        <w:t>vance, bias and limitations</w:t>
      </w:r>
      <w:r w:rsidR="00D33C50">
        <w:t xml:space="preserve"> before informing decisions </w:t>
      </w:r>
      <w:r w:rsidR="00506AF9">
        <w:t>(</w:t>
      </w:r>
      <w:proofErr w:type="spellStart"/>
      <w:r w:rsidR="00506AF9">
        <w:t>Barends</w:t>
      </w:r>
      <w:proofErr w:type="spellEnd"/>
      <w:r w:rsidR="00506AF9">
        <w:t>, Rousseau and Briner, 2014).</w:t>
      </w:r>
      <w:r w:rsidR="00D33C50">
        <w:t xml:space="preserve"> </w:t>
      </w:r>
      <w:r w:rsidR="005808AB">
        <w:t xml:space="preserve">This can be realised through a </w:t>
      </w:r>
      <w:r w:rsidR="008B678D">
        <w:t>six-step evaluation process: ask questions, acquire, appraise, aggregate, apply and assess outcom</w:t>
      </w:r>
      <w:r w:rsidR="00C14E4C">
        <w:t>es</w:t>
      </w:r>
      <w:r w:rsidR="00E45813">
        <w:t xml:space="preserve"> </w:t>
      </w:r>
      <w:r w:rsidR="008B678D">
        <w:t xml:space="preserve">(Elder and </w:t>
      </w:r>
      <w:proofErr w:type="spellStart"/>
      <w:r w:rsidR="008B678D">
        <w:t>Nikodem</w:t>
      </w:r>
      <w:proofErr w:type="spellEnd"/>
      <w:r w:rsidR="008B678D">
        <w:t xml:space="preserve">, 2023; CIPD, 2025). </w:t>
      </w:r>
    </w:p>
    <w:p w:rsidR="00E45813" w:rsidRDefault="00E45813" w:rsidP="00584448">
      <w:pPr>
        <w:pStyle w:val="NoSpacing"/>
        <w:jc w:val="both"/>
      </w:pPr>
    </w:p>
    <w:p w:rsidR="00EE3725" w:rsidRDefault="000659C1" w:rsidP="00584448">
      <w:pPr>
        <w:pStyle w:val="NoSpacing"/>
        <w:jc w:val="both"/>
      </w:pPr>
      <w:r w:rsidRPr="000659C1">
        <w:t>Technivara currently operates traditionally with limited data metrics, meaning decisions may rely on personal</w:t>
      </w:r>
      <w:r w:rsidR="00861623">
        <w:t xml:space="preserve"> opinions, subjective judgement</w:t>
      </w:r>
      <w:r w:rsidRPr="000659C1">
        <w:t xml:space="preserve"> and tre</w:t>
      </w:r>
      <w:r>
        <w:t>nds rather than robust evidence</w:t>
      </w:r>
      <w:r w:rsidR="00B37067">
        <w:t xml:space="preserve">. </w:t>
      </w:r>
      <w:r w:rsidR="00C14E4C">
        <w:t>Introducing a rational framework to gather, critically appraise and apply evidence will allow Technivara to reduce</w:t>
      </w:r>
      <w:r w:rsidR="00A47AD1">
        <w:t xml:space="preserve"> bias and reliance on intuition </w:t>
      </w:r>
      <w:r w:rsidR="00EE3725">
        <w:t xml:space="preserve">(Briner, </w:t>
      </w:r>
      <w:proofErr w:type="spellStart"/>
      <w:r w:rsidR="00EE3725">
        <w:t>Denyer</w:t>
      </w:r>
      <w:proofErr w:type="spellEnd"/>
      <w:r w:rsidR="00EE3725">
        <w:t xml:space="preserve"> and Rousseau, 2009</w:t>
      </w:r>
      <w:r w:rsidR="002B0714">
        <w:t>; Frie</w:t>
      </w:r>
      <w:r w:rsidR="008A375D">
        <w:t>dman, 2023</w:t>
      </w:r>
      <w:r w:rsidR="00EE3725">
        <w:t xml:space="preserve">). This </w:t>
      </w:r>
      <w:r w:rsidR="00A47AD1">
        <w:t xml:space="preserve">improves decision quality whilst </w:t>
      </w:r>
      <w:r w:rsidR="00EE3725">
        <w:t>reducing legal and ethical risk by enabling fairness and consist</w:t>
      </w:r>
      <w:r w:rsidR="00A47AD1">
        <w:t xml:space="preserve">ency </w:t>
      </w:r>
      <w:r w:rsidR="00EE3725">
        <w:t xml:space="preserve">(CIPD, 2025). EBP also </w:t>
      </w:r>
      <w:r w:rsidR="003325A5">
        <w:t xml:space="preserve">encourages </w:t>
      </w:r>
      <w:r w:rsidR="00EE3725">
        <w:t>alignment between strategic people decisions and business objectives which c</w:t>
      </w:r>
      <w:r w:rsidR="00861623">
        <w:t xml:space="preserve">ould help Technivara meet </w:t>
      </w:r>
      <w:r w:rsidR="00EE3725">
        <w:t>expansion</w:t>
      </w:r>
      <w:r w:rsidR="00861623">
        <w:t xml:space="preserve"> and modernisation</w:t>
      </w:r>
      <w:r w:rsidR="00EE3725">
        <w:t xml:space="preserve"> goals (Armstrong and Taylor, 2014). </w:t>
      </w:r>
    </w:p>
    <w:p w:rsidR="003B1105" w:rsidRDefault="003B1105" w:rsidP="00584448">
      <w:pPr>
        <w:pStyle w:val="NoSpacing"/>
        <w:jc w:val="both"/>
      </w:pPr>
    </w:p>
    <w:p w:rsidR="003325A5" w:rsidRDefault="00A47AD1" w:rsidP="00584448">
      <w:pPr>
        <w:pStyle w:val="NoSpacing"/>
        <w:jc w:val="both"/>
      </w:pPr>
      <w:r>
        <w:t>D</w:t>
      </w:r>
      <w:r w:rsidR="006F18DC">
        <w:t xml:space="preserve">ata </w:t>
      </w:r>
      <w:r w:rsidR="003B1105">
        <w:t>quality and ac</w:t>
      </w:r>
      <w:r w:rsidR="006F18DC">
        <w:t>cessibility</w:t>
      </w:r>
      <w:r w:rsidR="003B1105">
        <w:t xml:space="preserve"> may be restricted by </w:t>
      </w:r>
      <w:proofErr w:type="spellStart"/>
      <w:r w:rsidR="003B1105">
        <w:t>Technivara’</w:t>
      </w:r>
      <w:r w:rsidR="007B0A6D">
        <w:t>s</w:t>
      </w:r>
      <w:proofErr w:type="spellEnd"/>
      <w:r w:rsidR="007B0A6D">
        <w:t xml:space="preserve"> paper-based systems</w:t>
      </w:r>
      <w:r>
        <w:t xml:space="preserve"> reflecting</w:t>
      </w:r>
      <w:r w:rsidR="007B0A6D">
        <w:t xml:space="preserve"> bounded rationality </w:t>
      </w:r>
      <w:r>
        <w:t xml:space="preserve">where </w:t>
      </w:r>
      <w:r w:rsidR="007B0A6D">
        <w:t xml:space="preserve">decision-makers </w:t>
      </w:r>
      <w:r>
        <w:t>cannot consider</w:t>
      </w:r>
      <w:r w:rsidR="007B0A6D">
        <w:t xml:space="preserve"> </w:t>
      </w:r>
      <w:r>
        <w:t>all relevant information</w:t>
      </w:r>
      <w:r w:rsidR="007B0A6D">
        <w:t xml:space="preserve"> (Simon, 1990). </w:t>
      </w:r>
      <w:r w:rsidR="003F0BEB">
        <w:t xml:space="preserve">It may be time and resource intensive to implement a </w:t>
      </w:r>
      <w:r w:rsidR="007E2196">
        <w:t xml:space="preserve">new system and analytics to overcome </w:t>
      </w:r>
      <w:r>
        <w:t xml:space="preserve">this. Additionally, </w:t>
      </w:r>
      <w:r w:rsidR="003F0BEB">
        <w:t>qualita</w:t>
      </w:r>
      <w:r>
        <w:t>tive and quantitative data must</w:t>
      </w:r>
      <w:r w:rsidR="003F0BEB">
        <w:t xml:space="preserve"> considered for EBP to be effective. </w:t>
      </w:r>
      <w:r w:rsidR="00CC54D2">
        <w:t xml:space="preserve">This could come from primary or secondary sources. </w:t>
      </w:r>
      <w:r w:rsidR="009D0FAB">
        <w:t>Cultural resistance is another barri</w:t>
      </w:r>
      <w:r w:rsidR="006F18DC">
        <w:t xml:space="preserve">er as employees </w:t>
      </w:r>
      <w:r w:rsidR="009D0FAB">
        <w:t xml:space="preserve">may resist change </w:t>
      </w:r>
      <w:r w:rsidR="006F18DC">
        <w:t>under</w:t>
      </w:r>
      <w:r w:rsidR="009D0FAB">
        <w:t xml:space="preserve"> tra</w:t>
      </w:r>
      <w:r w:rsidR="006F18DC">
        <w:t xml:space="preserve">ditional leadership </w:t>
      </w:r>
      <w:r>
        <w:t xml:space="preserve">(Armstrong and Taylor 2014). </w:t>
      </w:r>
      <w:r w:rsidR="009D0FAB">
        <w:t xml:space="preserve">People practitioners </w:t>
      </w:r>
      <w:r w:rsidR="003325A5">
        <w:t>are</w:t>
      </w:r>
      <w:r w:rsidR="009D0FAB">
        <w:t xml:space="preserve"> paramount to ensuring effect</w:t>
      </w:r>
      <w:r>
        <w:t xml:space="preserve">ive change management and risk mitigation. </w:t>
      </w:r>
      <w:r w:rsidR="009D0FAB">
        <w:t xml:space="preserve">  </w:t>
      </w:r>
    </w:p>
    <w:p w:rsidR="001F4EEE" w:rsidRDefault="001F4EEE" w:rsidP="00584448">
      <w:pPr>
        <w:pStyle w:val="NoSpacing"/>
        <w:jc w:val="both"/>
      </w:pPr>
    </w:p>
    <w:p w:rsidR="003325A5" w:rsidRDefault="001F4EEE" w:rsidP="00584448">
      <w:pPr>
        <w:pStyle w:val="NoSpacing"/>
        <w:jc w:val="both"/>
      </w:pPr>
      <w:r>
        <w:t>New roles will likely be required as Technivara expand</w:t>
      </w:r>
      <w:r w:rsidR="00A47AD1">
        <w:t>s</w:t>
      </w:r>
      <w:r>
        <w:t xml:space="preserve"> therefore EBP will </w:t>
      </w:r>
      <w:r w:rsidR="00607C24">
        <w:t xml:space="preserve">aid recruitment and </w:t>
      </w:r>
      <w:r w:rsidR="00A47AD1">
        <w:t>reduce</w:t>
      </w:r>
      <w:r>
        <w:t xml:space="preserve"> reliance on subjective methods. For example, decision-making accuracy would </w:t>
      </w:r>
      <w:r w:rsidR="00A47AD1">
        <w:t>improve by</w:t>
      </w:r>
      <w:r>
        <w:t xml:space="preserve"> analysing internal turnover and skills gap data, external benchmarking, introducing validated selection methods and structured interviews (</w:t>
      </w:r>
      <w:proofErr w:type="spellStart"/>
      <w:r>
        <w:t>Linos</w:t>
      </w:r>
      <w:proofErr w:type="spellEnd"/>
      <w:r>
        <w:t xml:space="preserve"> and </w:t>
      </w:r>
      <w:proofErr w:type="spellStart"/>
      <w:r>
        <w:t>Reinhard</w:t>
      </w:r>
      <w:proofErr w:type="spellEnd"/>
      <w:r>
        <w:t xml:space="preserve">, 2015). Schmidt and Hunter (1998), illustrate that </w:t>
      </w:r>
      <w:r w:rsidR="00017B63">
        <w:t xml:space="preserve">structured recruitment and selection methods </w:t>
      </w:r>
      <w:r w:rsidR="007E2196">
        <w:t>show higher validity in predicting performance</w:t>
      </w:r>
      <w:r w:rsidR="00017B63">
        <w:t xml:space="preserve"> than unplanned methods. </w:t>
      </w:r>
      <w:r w:rsidR="00CC54D2">
        <w:t>Applied effectively, t</w:t>
      </w:r>
      <w:r w:rsidR="00017B63">
        <w:t xml:space="preserve">his will help reduce bias, enable strategic alignment of people and goals whilst improving hiring quality. </w:t>
      </w:r>
    </w:p>
    <w:p w:rsidR="00B37067" w:rsidRDefault="00B37067" w:rsidP="00584448">
      <w:pPr>
        <w:pStyle w:val="NoSpacing"/>
        <w:jc w:val="both"/>
      </w:pPr>
    </w:p>
    <w:p w:rsidR="00504396" w:rsidRDefault="00E706F0" w:rsidP="00584448">
      <w:pPr>
        <w:pStyle w:val="NoSpacing"/>
        <w:jc w:val="both"/>
      </w:pPr>
      <w:r>
        <w:t xml:space="preserve">Technivara could also use </w:t>
      </w:r>
      <w:r w:rsidR="007138D7">
        <w:t>EBP</w:t>
      </w:r>
      <w:r>
        <w:t xml:space="preserve"> to inform reward and pay decisions</w:t>
      </w:r>
      <w:r w:rsidR="00504396">
        <w:t xml:space="preserve"> (CIPD, 2025b)</w:t>
      </w:r>
      <w:r w:rsidR="003B4784">
        <w:t xml:space="preserve">. </w:t>
      </w:r>
      <w:r w:rsidR="00504396">
        <w:t>EBP would enable pay, promotions and bonuses to be issued based on appraised evidence support</w:t>
      </w:r>
      <w:r w:rsidR="00A47AD1">
        <w:t>ing</w:t>
      </w:r>
      <w:r w:rsidR="00504396">
        <w:t xml:space="preserve"> retention, morale and trust. Stakeholders would also </w:t>
      </w:r>
      <w:r w:rsidR="00A47AD1">
        <w:t>receive</w:t>
      </w:r>
      <w:r w:rsidR="00504396">
        <w:t xml:space="preserve"> valuable fi</w:t>
      </w:r>
      <w:r w:rsidR="00A47AD1">
        <w:t>nancial insight and performance</w:t>
      </w:r>
      <w:r w:rsidR="00504396">
        <w:t xml:space="preserve"> metrics to inform decisions. An EBP approach could include </w:t>
      </w:r>
      <w:r w:rsidR="008C2317">
        <w:t>reviewing</w:t>
      </w:r>
      <w:r w:rsidR="00504396">
        <w:t xml:space="preserve"> internal pay data, ide</w:t>
      </w:r>
      <w:r w:rsidR="00A47AD1">
        <w:t>ntifying gaps, comparing</w:t>
      </w:r>
      <w:r w:rsidR="00504396">
        <w:t xml:space="preserve"> external </w:t>
      </w:r>
      <w:r w:rsidR="00A47AD1">
        <w:t>benchmarks</w:t>
      </w:r>
      <w:r w:rsidR="00504396">
        <w:t xml:space="preserve"> and salary guides</w:t>
      </w:r>
      <w:r w:rsidR="00C1781A">
        <w:t xml:space="preserve"> (Rose, 2014)</w:t>
      </w:r>
      <w:r w:rsidR="00504396">
        <w:t>. This quantitative data could be combined with qualitative information gathered through employee feedback survey</w:t>
      </w:r>
      <w:r w:rsidR="00C1781A">
        <w:t>s and 121s</w:t>
      </w:r>
      <w:r w:rsidR="00504396">
        <w:t xml:space="preserve">. Ultimately, </w:t>
      </w:r>
      <w:r w:rsidR="00607C24">
        <w:t>EB</w:t>
      </w:r>
      <w:r w:rsidR="00A47AD1">
        <w:t xml:space="preserve">P would </w:t>
      </w:r>
      <w:r w:rsidR="00504396">
        <w:t xml:space="preserve">enable structured, objective criteria to be set for reward, pay, promotions and bonuses. </w:t>
      </w:r>
    </w:p>
    <w:p w:rsidR="00584448" w:rsidRDefault="00584448" w:rsidP="00584448">
      <w:pPr>
        <w:pStyle w:val="NoSpacing"/>
        <w:jc w:val="both"/>
      </w:pPr>
    </w:p>
    <w:p w:rsidR="00584448" w:rsidRDefault="00CE7801" w:rsidP="00584448">
      <w:pPr>
        <w:pStyle w:val="NoSpacing"/>
        <w:jc w:val="both"/>
        <w:rPr>
          <w:b/>
        </w:rPr>
      </w:pPr>
      <w:r>
        <w:rPr>
          <w:b/>
        </w:rPr>
        <w:t>Q</w:t>
      </w:r>
      <w:r w:rsidR="00584448" w:rsidRPr="00584448">
        <w:rPr>
          <w:b/>
        </w:rPr>
        <w:t>2.  Evaluate one appropriate analysis tool and one appropriate analysis method that Technivara might apply to recognise and diagnose issues, challen</w:t>
      </w:r>
      <w:r w:rsidR="004B6DC9">
        <w:rPr>
          <w:b/>
        </w:rPr>
        <w:t>ges</w:t>
      </w:r>
      <w:r w:rsidR="00584448" w:rsidRPr="00584448">
        <w:rPr>
          <w:b/>
        </w:rPr>
        <w:t xml:space="preserve"> and opportunities. (AC 1.2)</w:t>
      </w:r>
    </w:p>
    <w:p w:rsidR="0071765C" w:rsidRDefault="00F72210" w:rsidP="00F72210">
      <w:pPr>
        <w:pStyle w:val="NoSpacing"/>
        <w:tabs>
          <w:tab w:val="left" w:pos="1845"/>
        </w:tabs>
        <w:jc w:val="both"/>
        <w:rPr>
          <w:b/>
        </w:rPr>
      </w:pPr>
      <w:r>
        <w:rPr>
          <w:b/>
        </w:rPr>
        <w:tab/>
      </w:r>
    </w:p>
    <w:p w:rsidR="00945210" w:rsidRDefault="00913FA1" w:rsidP="00584448">
      <w:pPr>
        <w:pStyle w:val="NoSpacing"/>
        <w:jc w:val="both"/>
      </w:pPr>
      <w:r>
        <w:t>SWOT provides an</w:t>
      </w:r>
      <w:r w:rsidR="00E37A15">
        <w:t xml:space="preserve"> analysis too</w:t>
      </w:r>
      <w:r>
        <w:t xml:space="preserve">l for Technivara to explore </w:t>
      </w:r>
      <w:r w:rsidR="00E37A15">
        <w:t>internal strengths and weaknesses along with external opportunities and threats</w:t>
      </w:r>
      <w:r w:rsidR="00CC54D2">
        <w:t xml:space="preserve"> </w:t>
      </w:r>
      <w:r w:rsidR="0043143D">
        <w:t xml:space="preserve">(Waite </w:t>
      </w:r>
      <w:r w:rsidR="0043143D">
        <w:rPr>
          <w:i/>
        </w:rPr>
        <w:t xml:space="preserve">et al, </w:t>
      </w:r>
      <w:r w:rsidR="0043143D">
        <w:t>2021)</w:t>
      </w:r>
      <w:r w:rsidR="00612464">
        <w:t xml:space="preserve">. </w:t>
      </w:r>
      <w:r w:rsidR="00A72466">
        <w:t>It</w:t>
      </w:r>
      <w:r w:rsidR="00EB39B1">
        <w:t xml:space="preserve"> enables </w:t>
      </w:r>
      <w:r w:rsidR="00BE4510">
        <w:t>managers and people professionals to</w:t>
      </w:r>
      <w:r w:rsidR="00911ACD">
        <w:t xml:space="preserve"> understand organisational position,</w:t>
      </w:r>
      <w:r w:rsidR="00BE4510">
        <w:t xml:space="preserve"> </w:t>
      </w:r>
      <w:r w:rsidR="00EB39B1">
        <w:t xml:space="preserve">underlying issues, challenges and strategic opportunities, for example, during </w:t>
      </w:r>
      <w:r w:rsidR="00BE4510">
        <w:t>expansion and modernisation</w:t>
      </w:r>
      <w:r w:rsidR="00911ACD">
        <w:t xml:space="preserve"> (CIPD, 2025c)</w:t>
      </w:r>
      <w:r w:rsidR="00BE4510">
        <w:t xml:space="preserve">. </w:t>
      </w:r>
    </w:p>
    <w:p w:rsidR="00A72466" w:rsidRDefault="00A72466" w:rsidP="00584448">
      <w:pPr>
        <w:pStyle w:val="NoSpacing"/>
        <w:jc w:val="both"/>
      </w:pPr>
    </w:p>
    <w:p w:rsidR="00A72466" w:rsidRDefault="00A72466" w:rsidP="00584448">
      <w:pPr>
        <w:pStyle w:val="NoSpacing"/>
        <w:jc w:val="both"/>
      </w:pPr>
      <w:r>
        <w:rPr>
          <w:noProof/>
          <w:lang w:eastAsia="en-GB"/>
        </w:rPr>
        <w:drawing>
          <wp:inline distT="0" distB="0" distL="0" distR="0" wp14:anchorId="70011C30" wp14:editId="1C1BEDF2">
            <wp:extent cx="5731510" cy="234823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2348230"/>
                    </a:xfrm>
                    <a:prstGeom prst="rect">
                      <a:avLst/>
                    </a:prstGeom>
                  </pic:spPr>
                </pic:pic>
              </a:graphicData>
            </a:graphic>
          </wp:inline>
        </w:drawing>
      </w:r>
    </w:p>
    <w:p w:rsidR="00A72466" w:rsidRDefault="00A72466" w:rsidP="00584448">
      <w:pPr>
        <w:pStyle w:val="NoSpacing"/>
        <w:jc w:val="both"/>
      </w:pPr>
    </w:p>
    <w:p w:rsidR="00A72466" w:rsidRPr="00390444" w:rsidRDefault="00A72466" w:rsidP="00A72466">
      <w:pPr>
        <w:pStyle w:val="NoSpacing"/>
        <w:jc w:val="center"/>
        <w:rPr>
          <w:i/>
        </w:rPr>
      </w:pPr>
      <w:r w:rsidRPr="00390444">
        <w:rPr>
          <w:i/>
        </w:rPr>
        <w:t>Figure 1 – SWOT process (</w:t>
      </w:r>
      <w:proofErr w:type="spellStart"/>
      <w:r w:rsidRPr="00390444">
        <w:rPr>
          <w:i/>
        </w:rPr>
        <w:t>Chermack</w:t>
      </w:r>
      <w:proofErr w:type="spellEnd"/>
      <w:r w:rsidRPr="00390444">
        <w:rPr>
          <w:i/>
        </w:rPr>
        <w:t xml:space="preserve"> and </w:t>
      </w:r>
      <w:proofErr w:type="spellStart"/>
      <w:r w:rsidRPr="00390444">
        <w:rPr>
          <w:i/>
        </w:rPr>
        <w:t>Kasshanna</w:t>
      </w:r>
      <w:proofErr w:type="spellEnd"/>
      <w:r w:rsidRPr="00390444">
        <w:rPr>
          <w:i/>
        </w:rPr>
        <w:t>, 2007)</w:t>
      </w:r>
    </w:p>
    <w:p w:rsidR="00945210" w:rsidRDefault="00945210" w:rsidP="00584448">
      <w:pPr>
        <w:pStyle w:val="NoSpacing"/>
        <w:jc w:val="both"/>
      </w:pPr>
    </w:p>
    <w:p w:rsidR="00590BA7" w:rsidRDefault="00EB39B1" w:rsidP="00584448">
      <w:pPr>
        <w:pStyle w:val="NoSpacing"/>
        <w:jc w:val="both"/>
      </w:pPr>
      <w:r>
        <w:t xml:space="preserve">Recognising strengths </w:t>
      </w:r>
      <w:r w:rsidR="004F4126">
        <w:t>including</w:t>
      </w:r>
      <w:r w:rsidR="00BE4510">
        <w:t xml:space="preserve"> </w:t>
      </w:r>
      <w:r w:rsidR="00913FA1">
        <w:t>sustained growth</w:t>
      </w:r>
      <w:r>
        <w:t xml:space="preserve"> and high employee and client retention enables Technivara to </w:t>
      </w:r>
      <w:r w:rsidR="00913FA1">
        <w:t xml:space="preserve">assess </w:t>
      </w:r>
      <w:r>
        <w:t>organisational st</w:t>
      </w:r>
      <w:r w:rsidR="00913FA1">
        <w:t>ability, workforce capability and readiness for expansion.</w:t>
      </w:r>
      <w:r w:rsidR="0054057D">
        <w:t xml:space="preserve"> </w:t>
      </w:r>
      <w:r>
        <w:t>Analysing weaknesses, including outdated paper-based systems, traditional</w:t>
      </w:r>
      <w:r w:rsidR="00913FA1">
        <w:t xml:space="preserve"> practices and limited</w:t>
      </w:r>
      <w:r w:rsidR="00911ACD">
        <w:t xml:space="preserve"> </w:t>
      </w:r>
      <w:r w:rsidR="004F4126">
        <w:t>EBP</w:t>
      </w:r>
      <w:r w:rsidR="0054057D">
        <w:t xml:space="preserve"> help managers </w:t>
      </w:r>
      <w:r w:rsidR="00911ACD">
        <w:t>identify</w:t>
      </w:r>
      <w:r w:rsidR="00F56203">
        <w:t xml:space="preserve"> challenges such as</w:t>
      </w:r>
      <w:r w:rsidR="00911ACD">
        <w:t xml:space="preserve"> operational inefficiencies </w:t>
      </w:r>
      <w:r w:rsidR="00AB5AC9">
        <w:t>and cultural barriers that could</w:t>
      </w:r>
      <w:r w:rsidR="00911ACD">
        <w:t xml:space="preserve"> hinder expansion or modernisation (</w:t>
      </w:r>
      <w:r w:rsidR="00945210">
        <w:t xml:space="preserve">CIPD, 2025c). </w:t>
      </w:r>
      <w:r w:rsidR="00911ACD">
        <w:t>O</w:t>
      </w:r>
      <w:r w:rsidR="0054057D">
        <w:t xml:space="preserve">pportunities like </w:t>
      </w:r>
      <w:r w:rsidR="00945210">
        <w:t>market expansion, technological integ</w:t>
      </w:r>
      <w:r w:rsidR="00911ACD">
        <w:t>ration, new talent</w:t>
      </w:r>
      <w:r w:rsidR="0054057D">
        <w:t xml:space="preserve"> onboarding</w:t>
      </w:r>
      <w:r w:rsidR="00911ACD">
        <w:t xml:space="preserve"> and introducing EBP </w:t>
      </w:r>
      <w:r w:rsidR="00AB5AC9">
        <w:t xml:space="preserve">could </w:t>
      </w:r>
      <w:r w:rsidR="00911ACD">
        <w:t xml:space="preserve">allow Technivara to identify areas for </w:t>
      </w:r>
      <w:r w:rsidR="00945210">
        <w:t>workforce devel</w:t>
      </w:r>
      <w:r w:rsidR="00911ACD">
        <w:t>opmen</w:t>
      </w:r>
      <w:r w:rsidR="0054057D">
        <w:t xml:space="preserve">t and </w:t>
      </w:r>
      <w:r w:rsidR="00911ACD">
        <w:t xml:space="preserve">investment. </w:t>
      </w:r>
      <w:r w:rsidR="0054057D">
        <w:t>I</w:t>
      </w:r>
      <w:r w:rsidR="00945210">
        <w:t xml:space="preserve">dentifying threats </w:t>
      </w:r>
      <w:r w:rsidR="0054057D">
        <w:t xml:space="preserve">such as skills shortages, change resistance, </w:t>
      </w:r>
      <w:r w:rsidR="00911ACD">
        <w:t xml:space="preserve">competition and legal or ethical risks allows Technivara to diagnose vulnerabilities and plan mitigating strategies </w:t>
      </w:r>
      <w:r w:rsidR="00590BA7">
        <w:t>(</w:t>
      </w:r>
      <w:proofErr w:type="spellStart"/>
      <w:r w:rsidR="00590BA7">
        <w:t>Tinsager</w:t>
      </w:r>
      <w:proofErr w:type="spellEnd"/>
      <w:r w:rsidR="00590BA7">
        <w:t xml:space="preserve"> and Smith, 2022). </w:t>
      </w:r>
    </w:p>
    <w:p w:rsidR="00590BA7" w:rsidRDefault="00590BA7" w:rsidP="00584448">
      <w:pPr>
        <w:pStyle w:val="NoSpacing"/>
        <w:jc w:val="both"/>
      </w:pPr>
    </w:p>
    <w:p w:rsidR="00F56203" w:rsidRDefault="00911ACD" w:rsidP="00584448">
      <w:pPr>
        <w:pStyle w:val="NoSpacing"/>
        <w:jc w:val="both"/>
      </w:pPr>
      <w:r>
        <w:t xml:space="preserve">SWOT is a rational, simplistic tool that will provide structured insight </w:t>
      </w:r>
      <w:r w:rsidR="0054057D">
        <w:t xml:space="preserve">into </w:t>
      </w:r>
      <w:r>
        <w:t>readiness fo</w:t>
      </w:r>
      <w:r w:rsidR="0054057D">
        <w:t>r expansion, opportunities and</w:t>
      </w:r>
      <w:r w:rsidR="00AB5AC9">
        <w:t xml:space="preserve"> risks whilst supporting decision-making</w:t>
      </w:r>
      <w:r w:rsidR="0054057D">
        <w:t xml:space="preserve"> at Technivara</w:t>
      </w:r>
      <w:r w:rsidR="00AB5AC9">
        <w:t xml:space="preserve">. </w:t>
      </w:r>
      <w:r w:rsidR="0054057D">
        <w:t>Its</w:t>
      </w:r>
      <w:r>
        <w:t xml:space="preserve"> effec</w:t>
      </w:r>
      <w:r w:rsidR="0054057D">
        <w:t xml:space="preserve">tiveness </w:t>
      </w:r>
      <w:r>
        <w:t xml:space="preserve">is hindered by reliance on opinion, limited input and traditional approaches </w:t>
      </w:r>
      <w:r w:rsidR="0054057D">
        <w:t xml:space="preserve">rather than EBP </w:t>
      </w:r>
      <w:r w:rsidR="00AB5AC9">
        <w:t xml:space="preserve">and data-driven </w:t>
      </w:r>
      <w:r w:rsidR="0054057D">
        <w:t>approaches</w:t>
      </w:r>
      <w:r w:rsidR="00AB5AC9">
        <w:t xml:space="preserve">. </w:t>
      </w:r>
      <w:r>
        <w:t>SWOT should integrate qualitative and quantitative evidence, reflecting the four types of data required for effective EBP (CIPD, 2025</w:t>
      </w:r>
      <w:r w:rsidR="00AB5AC9">
        <w:t>d</w:t>
      </w:r>
      <w:r>
        <w:t>).</w:t>
      </w:r>
      <w:r w:rsidR="00A72466">
        <w:t xml:space="preserve"> </w:t>
      </w:r>
      <w:r w:rsidR="00560AE6">
        <w:t>However, SWOT is static and can oversimplify cultural and behavioural challenges, so Technivara should use additional tools for comprehensive diagnosis.</w:t>
      </w:r>
    </w:p>
    <w:p w:rsidR="00F56203" w:rsidRDefault="00F56203" w:rsidP="00584448">
      <w:pPr>
        <w:pStyle w:val="NoSpacing"/>
        <w:jc w:val="both"/>
      </w:pPr>
    </w:p>
    <w:p w:rsidR="001C4317" w:rsidRDefault="004B6DC9" w:rsidP="00584448">
      <w:pPr>
        <w:pStyle w:val="NoSpacing"/>
        <w:jc w:val="both"/>
      </w:pPr>
      <w:r>
        <w:t xml:space="preserve">Structured interviews is one analysis method that Technivara could use to </w:t>
      </w:r>
      <w:r w:rsidR="0054057D">
        <w:t>identify</w:t>
      </w:r>
      <w:r w:rsidRPr="004B6DC9">
        <w:t xml:space="preserve"> issues, challen</w:t>
      </w:r>
      <w:r>
        <w:t>ges</w:t>
      </w:r>
      <w:r w:rsidRPr="004B6DC9">
        <w:t xml:space="preserve"> and opportunities</w:t>
      </w:r>
      <w:r>
        <w:t xml:space="preserve">. </w:t>
      </w:r>
      <w:r w:rsidR="0093106C">
        <w:t>Typically, the same questions would be asked in a set order to collect information on experiences, behaviours, perceptions and skills</w:t>
      </w:r>
      <w:r w:rsidR="0054057D">
        <w:t xml:space="preserve"> providing qualitative data</w:t>
      </w:r>
      <w:r w:rsidR="0093106C">
        <w:t xml:space="preserve"> (Armstrong and Taylor, 2014). Exit interviews with leavers</w:t>
      </w:r>
      <w:r w:rsidR="0054057D">
        <w:t xml:space="preserve"> could</w:t>
      </w:r>
      <w:r w:rsidR="0093106C">
        <w:t xml:space="preserve"> help Technivara understand </w:t>
      </w:r>
      <w:r w:rsidR="004F4126">
        <w:t>turnover reasons</w:t>
      </w:r>
      <w:r w:rsidR="0054057D">
        <w:t xml:space="preserve"> including views on </w:t>
      </w:r>
      <w:r w:rsidR="00DA0EDF">
        <w:t>systems, pay, culture, leadership,</w:t>
      </w:r>
      <w:r w:rsidR="001C4317">
        <w:t xml:space="preserve"> growth plans,</w:t>
      </w:r>
      <w:r w:rsidR="00DA0EDF">
        <w:t xml:space="preserve"> skills and training. Exit interviews </w:t>
      </w:r>
      <w:r w:rsidR="0054057D">
        <w:t>offer a</w:t>
      </w:r>
      <w:r w:rsidR="00DA0EDF">
        <w:t xml:space="preserve"> final opportunity to </w:t>
      </w:r>
      <w:r w:rsidR="0054057D">
        <w:t xml:space="preserve">retain staff </w:t>
      </w:r>
      <w:r w:rsidR="00DA0EDF">
        <w:t>but this is often too late to make a difference (HR</w:t>
      </w:r>
      <w:r w:rsidR="00DA0EDF">
        <w:noBreakHyphen/>
        <w:t xml:space="preserve">Inform, 2021). </w:t>
      </w:r>
      <w:proofErr w:type="spellStart"/>
      <w:r w:rsidR="00DA0EDF">
        <w:t>Marchington</w:t>
      </w:r>
      <w:proofErr w:type="spellEnd"/>
      <w:r w:rsidR="00DA0EDF">
        <w:t xml:space="preserve"> </w:t>
      </w:r>
      <w:r w:rsidR="00DA0EDF">
        <w:rPr>
          <w:i/>
        </w:rPr>
        <w:t>et al</w:t>
      </w:r>
      <w:r w:rsidR="00DA0EDF">
        <w:t xml:space="preserve"> (2025) highlight two limitations of exit interviews. Firstly, leavers </w:t>
      </w:r>
      <w:r w:rsidR="0054057D">
        <w:t>may withhold</w:t>
      </w:r>
      <w:r w:rsidR="00DA0EDF">
        <w:t xml:space="preserve"> honest feedback</w:t>
      </w:r>
      <w:r w:rsidR="0054057D">
        <w:t xml:space="preserve"> </w:t>
      </w:r>
      <w:r w:rsidR="004F4126">
        <w:t>thereby restricting</w:t>
      </w:r>
      <w:r w:rsidR="0054057D">
        <w:t xml:space="preserve"> data quality</w:t>
      </w:r>
      <w:r w:rsidR="00DA0EDF">
        <w:t xml:space="preserve">. Secondly, leavers are </w:t>
      </w:r>
      <w:r w:rsidR="001C4317">
        <w:t xml:space="preserve">often </w:t>
      </w:r>
      <w:r w:rsidR="00DA0EDF">
        <w:t xml:space="preserve">viewed uniformly </w:t>
      </w:r>
      <w:r w:rsidR="0054057D">
        <w:t>rather than considering differences in</w:t>
      </w:r>
      <w:r w:rsidR="00DA0EDF">
        <w:t xml:space="preserve"> demographic characteristics, service length etc. </w:t>
      </w:r>
      <w:r w:rsidR="006F18DC">
        <w:t>However</w:t>
      </w:r>
      <w:r w:rsidR="00DA0EDF">
        <w:t xml:space="preserve">, </w:t>
      </w:r>
      <w:r w:rsidR="006F18DC">
        <w:t xml:space="preserve">this data could </w:t>
      </w:r>
      <w:r w:rsidR="004F4126">
        <w:t xml:space="preserve">be captured, segmented and analysed to provider deeper insight. </w:t>
      </w:r>
    </w:p>
    <w:p w:rsidR="001C4317" w:rsidRDefault="001C4317" w:rsidP="00584448">
      <w:pPr>
        <w:pStyle w:val="NoSpacing"/>
        <w:jc w:val="both"/>
      </w:pPr>
    </w:p>
    <w:p w:rsidR="001F5901" w:rsidRDefault="008C2317" w:rsidP="00584448">
      <w:pPr>
        <w:pStyle w:val="NoSpacing"/>
        <w:jc w:val="both"/>
      </w:pPr>
      <w:r>
        <w:t xml:space="preserve">Technivara could </w:t>
      </w:r>
      <w:r w:rsidR="001C4317">
        <w:t xml:space="preserve">introduce stay interviews to understand </w:t>
      </w:r>
      <w:r w:rsidR="006F18DC">
        <w:t xml:space="preserve">current employee </w:t>
      </w:r>
      <w:r w:rsidR="001C4317">
        <w:t>feed</w:t>
      </w:r>
      <w:r w:rsidR="006F18DC">
        <w:t>back</w:t>
      </w:r>
      <w:r>
        <w:t xml:space="preserve"> </w:t>
      </w:r>
      <w:r w:rsidR="001C4317">
        <w:t>(</w:t>
      </w:r>
      <w:r w:rsidR="0093106C">
        <w:t>Finnegan, 2018</w:t>
      </w:r>
      <w:r w:rsidR="001C4317">
        <w:t xml:space="preserve">). </w:t>
      </w:r>
      <w:r w:rsidR="006F18DC">
        <w:t>Although</w:t>
      </w:r>
      <w:r w:rsidR="001C4317">
        <w:t xml:space="preserve"> time-consuming to plan, </w:t>
      </w:r>
      <w:r>
        <w:t>conduct</w:t>
      </w:r>
      <w:r w:rsidR="005808AB">
        <w:t xml:space="preserve"> and analyse these</w:t>
      </w:r>
      <w:r w:rsidR="001C4317">
        <w:t xml:space="preserve"> would provide insight into causation </w:t>
      </w:r>
      <w:r w:rsidR="004F4126">
        <w:t>c</w:t>
      </w:r>
      <w:r w:rsidR="004F4126" w:rsidRPr="004F4126">
        <w:t>ombining qualitative and quantitative data to enhance</w:t>
      </w:r>
      <w:r w:rsidR="004F4126">
        <w:t xml:space="preserve"> overall validity </w:t>
      </w:r>
      <w:r w:rsidR="00F72210">
        <w:t xml:space="preserve">(CIPD, 2025e). </w:t>
      </w:r>
      <w:r w:rsidR="001C4317">
        <w:t xml:space="preserve">Both exit and stay interviews would enable Technivara to identify issues, challenges and opportunities which in turn would support strategic decision making e.g. modernisation, risk mitigation and workforce planning to support growth. </w:t>
      </w:r>
    </w:p>
    <w:p w:rsidR="001F5901" w:rsidRDefault="00CE7801" w:rsidP="001F5901">
      <w:pPr>
        <w:pStyle w:val="NoSpacing"/>
        <w:rPr>
          <w:b/>
        </w:rPr>
      </w:pPr>
      <w:r>
        <w:rPr>
          <w:b/>
        </w:rPr>
        <w:lastRenderedPageBreak/>
        <w:t>Q</w:t>
      </w:r>
      <w:r w:rsidR="001F5901">
        <w:rPr>
          <w:b/>
        </w:rPr>
        <w:t xml:space="preserve">3. </w:t>
      </w:r>
      <w:r w:rsidR="001F5901" w:rsidRPr="001F5901">
        <w:rPr>
          <w:b/>
        </w:rPr>
        <w:t>Explain the main principles of critical thinking including how these might apply to your own and others’ ideas</w:t>
      </w:r>
      <w:r w:rsidR="001F5901" w:rsidRPr="001F5901" w:rsidDel="00D23744">
        <w:rPr>
          <w:b/>
        </w:rPr>
        <w:t xml:space="preserve"> </w:t>
      </w:r>
      <w:r w:rsidR="001F5901" w:rsidRPr="001F5901">
        <w:rPr>
          <w:b/>
        </w:rPr>
        <w:t>to assist objective and rational debate at Technivara (AC 1.3)</w:t>
      </w:r>
    </w:p>
    <w:p w:rsidR="00794B34" w:rsidRDefault="00794B34" w:rsidP="00F812E6">
      <w:pPr>
        <w:pStyle w:val="NoSpacing"/>
        <w:jc w:val="both"/>
      </w:pPr>
    </w:p>
    <w:p w:rsidR="00CA0060" w:rsidRDefault="00933DD8" w:rsidP="00933DD8">
      <w:pPr>
        <w:pStyle w:val="NoSpacing"/>
        <w:jc w:val="both"/>
      </w:pPr>
      <w:r>
        <w:t xml:space="preserve">Critical thinking involves logical, objective and evidence-informed reasoning to evaluate ideas and information (CIPD, 2019). </w:t>
      </w:r>
      <w:r w:rsidR="00CA0060">
        <w:t>Within Technivara, strategic decisions are influenced by intuition and per</w:t>
      </w:r>
      <w:r w:rsidR="00913FA1">
        <w:t>sonal judgement resulting from traditional leadership</w:t>
      </w:r>
      <w:r w:rsidR="00CA0060">
        <w:t xml:space="preserve"> and outdated paper-based systems. </w:t>
      </w:r>
      <w:r w:rsidR="007138D7" w:rsidRPr="007138D7">
        <w:t>This increases the ri</w:t>
      </w:r>
      <w:r w:rsidR="007138D7">
        <w:t>sk of bias, bounded rationality</w:t>
      </w:r>
      <w:r w:rsidR="007138D7" w:rsidRPr="007138D7">
        <w:t xml:space="preserve"> and inconsistent outcomes </w:t>
      </w:r>
      <w:r w:rsidR="00BC7707">
        <w:t xml:space="preserve">(Simon, 1990; </w:t>
      </w:r>
      <w:proofErr w:type="spellStart"/>
      <w:r w:rsidR="00BC7707">
        <w:t>Barends</w:t>
      </w:r>
      <w:proofErr w:type="spellEnd"/>
      <w:r w:rsidR="00BC7707">
        <w:t xml:space="preserve">, Rousseau and Briner, 2014). </w:t>
      </w:r>
      <w:r w:rsidR="007138D7">
        <w:t>C</w:t>
      </w:r>
      <w:r w:rsidR="00CA0060">
        <w:t xml:space="preserve">ritical thinking would allow me, as People </w:t>
      </w:r>
      <w:r w:rsidR="004A76EC">
        <w:t xml:space="preserve">Practice </w:t>
      </w:r>
      <w:r w:rsidR="00CA0060">
        <w:t>Advisor, and others to evaluate ideas objectively whilst assisting</w:t>
      </w:r>
      <w:r w:rsidR="00CC54D2">
        <w:t xml:space="preserve"> rational debate at Technivara.</w:t>
      </w:r>
    </w:p>
    <w:p w:rsidR="00CA0060" w:rsidRDefault="00CA0060" w:rsidP="00933DD8">
      <w:pPr>
        <w:pStyle w:val="NoSpacing"/>
        <w:jc w:val="both"/>
      </w:pPr>
    </w:p>
    <w:p w:rsidR="00636C04" w:rsidRDefault="007138D7" w:rsidP="00933DD8">
      <w:pPr>
        <w:pStyle w:val="NoSpacing"/>
        <w:jc w:val="both"/>
      </w:pPr>
      <w:r>
        <w:t xml:space="preserve">Objective reasoning, a </w:t>
      </w:r>
      <w:r w:rsidR="00351A8E">
        <w:t xml:space="preserve">key principle of </w:t>
      </w:r>
      <w:r w:rsidR="003A792A">
        <w:t>critical thinking</w:t>
      </w:r>
      <w:r>
        <w:t xml:space="preserve">, </w:t>
      </w:r>
      <w:r w:rsidR="003A792A">
        <w:t>involves separating emotion and persona</w:t>
      </w:r>
      <w:r w:rsidR="00AD24A2">
        <w:t xml:space="preserve">l belief from factual evidence. </w:t>
      </w:r>
      <w:r w:rsidR="00D77591">
        <w:t xml:space="preserve">Ruggiero (2012) notes that people often feel as opposed to think which can hinder rational debate. Feelings are subjective and rise unconsciously whereas thinking is a conscious </w:t>
      </w:r>
      <w:r>
        <w:t xml:space="preserve">process </w:t>
      </w:r>
      <w:r w:rsidR="00D77591">
        <w:t xml:space="preserve">to understand information, find solutions and overcome problems. I would critically assess my own thoughts and ideas </w:t>
      </w:r>
      <w:r>
        <w:t xml:space="preserve">before presenting them and </w:t>
      </w:r>
      <w:r w:rsidR="005808AB">
        <w:t>ensure</w:t>
      </w:r>
      <w:r w:rsidR="00D77591">
        <w:t xml:space="preserve"> others ideas are evaluated against data </w:t>
      </w:r>
      <w:r>
        <w:t>rather than</w:t>
      </w:r>
      <w:r w:rsidR="00D77591">
        <w:t xml:space="preserve"> taken at face value. </w:t>
      </w:r>
      <w:r w:rsidR="00CC54D2">
        <w:t xml:space="preserve">I could also ask clarifying questions and encourage them to reflect on their own assumptions. </w:t>
      </w:r>
      <w:r w:rsidR="00D77591">
        <w:t>This will help ensure fai</w:t>
      </w:r>
      <w:r w:rsidR="00636C04">
        <w:t>rness and consistency</w:t>
      </w:r>
      <w:r w:rsidR="00CC54D2">
        <w:t xml:space="preserve"> whilst encouraging structured debate.</w:t>
      </w:r>
    </w:p>
    <w:p w:rsidR="00636C04" w:rsidRDefault="00636C04" w:rsidP="00933DD8">
      <w:pPr>
        <w:pStyle w:val="NoSpacing"/>
        <w:jc w:val="both"/>
      </w:pPr>
    </w:p>
    <w:p w:rsidR="001E769C" w:rsidRDefault="007138D7" w:rsidP="00933DD8">
      <w:pPr>
        <w:pStyle w:val="NoSpacing"/>
        <w:jc w:val="both"/>
      </w:pPr>
      <w:r>
        <w:t>Critical</w:t>
      </w:r>
      <w:r w:rsidR="00636C04">
        <w:t xml:space="preserve"> thinking also requires questioning evidence and sources to confirm validity, reliability and relevance (</w:t>
      </w:r>
      <w:proofErr w:type="spellStart"/>
      <w:r w:rsidR="00351A8E">
        <w:t>Barends</w:t>
      </w:r>
      <w:proofErr w:type="spellEnd"/>
      <w:r w:rsidR="00351A8E">
        <w:t xml:space="preserve">, Rousseau and Briner, 2014). </w:t>
      </w:r>
      <w:r w:rsidR="001F0FF9">
        <w:t>I would use triangulation to support this by gathering and comparing data from multiple sources. For example, I could look at available internal metrics, gather employee feedback and carry out external benchmarking. This would allow correlation and v</w:t>
      </w:r>
      <w:r>
        <w:t xml:space="preserve">alidity to be assessed before </w:t>
      </w:r>
      <w:r w:rsidR="001F0FF9">
        <w:t>present</w:t>
      </w:r>
      <w:r>
        <w:t>ing</w:t>
      </w:r>
      <w:r w:rsidR="001F0FF9">
        <w:t xml:space="preserve"> my ideas and findings (CIPD, 2025e). </w:t>
      </w:r>
    </w:p>
    <w:p w:rsidR="006A3D01" w:rsidRDefault="006A3D01" w:rsidP="00933DD8">
      <w:pPr>
        <w:pStyle w:val="NoSpacing"/>
        <w:jc w:val="both"/>
      </w:pPr>
    </w:p>
    <w:p w:rsidR="00930D24" w:rsidRDefault="006A3D01" w:rsidP="00933DD8">
      <w:pPr>
        <w:pStyle w:val="NoSpacing"/>
        <w:jc w:val="both"/>
      </w:pPr>
      <w:r>
        <w:t xml:space="preserve">Another principle of critical thinking is bias awareness, which is crucial when evaluating evidence, my own ideas and opinion and those of others. </w:t>
      </w:r>
      <w:r w:rsidR="00FE73F2">
        <w:t>At Technivara, traditional leadership and reliance on personal judg</w:t>
      </w:r>
      <w:r w:rsidR="005808AB">
        <w:t>ement increases the risk of</w:t>
      </w:r>
      <w:r w:rsidR="00FE73F2">
        <w:t xml:space="preserve"> conscious and unconscious bias reflecting deliberate preferences and ingrained assumptions (</w:t>
      </w:r>
      <w:proofErr w:type="spellStart"/>
      <w:r w:rsidR="00223433">
        <w:t>Barends</w:t>
      </w:r>
      <w:proofErr w:type="spellEnd"/>
      <w:r w:rsidR="00223433">
        <w:t xml:space="preserve">, Rousseau and Briner, 2014). As People Practice Advisor, I would actively question my own assumptions and opinions through self-reflection and check against reliable evidence sources to ensure validity and reasoned judgement. </w:t>
      </w:r>
      <w:proofErr w:type="spellStart"/>
      <w:r w:rsidR="00223433">
        <w:t>W</w:t>
      </w:r>
      <w:r w:rsidR="004A76EC">
        <w:t>oodhams</w:t>
      </w:r>
      <w:proofErr w:type="spellEnd"/>
      <w:r w:rsidR="004A76EC">
        <w:t xml:space="preserve"> and Perkins (2022) </w:t>
      </w:r>
      <w:r w:rsidR="00223433">
        <w:t xml:space="preserve">highlight the importance of applying critical thinking </w:t>
      </w:r>
      <w:r w:rsidR="004A76EC">
        <w:t>to online</w:t>
      </w:r>
      <w:r w:rsidR="00223433">
        <w:t xml:space="preserve"> sources</w:t>
      </w:r>
      <w:r w:rsidR="004A76EC">
        <w:t xml:space="preserve"> by examining bias as underlying or hidden personal or political interests may introduce bias or compromise validity. </w:t>
      </w:r>
      <w:r w:rsidR="00223433">
        <w:t>I would make informed decisions</w:t>
      </w:r>
      <w:r w:rsidR="004A76EC">
        <w:t>, ask questions and use tri</w:t>
      </w:r>
      <w:r w:rsidR="005808AB">
        <w:t xml:space="preserve">angulation to enhance validity. </w:t>
      </w:r>
      <w:r w:rsidR="00741AE7">
        <w:t>Applying these principles will promote</w:t>
      </w:r>
      <w:r w:rsidR="00930D24">
        <w:t xml:space="preserve"> objective,</w:t>
      </w:r>
      <w:r w:rsidR="00741AE7">
        <w:t xml:space="preserve"> rational debate at Technivara</w:t>
      </w:r>
      <w:r w:rsidR="00930D24">
        <w:t xml:space="preserve"> whilst improving people decisions</w:t>
      </w:r>
      <w:r w:rsidR="005808AB">
        <w:t xml:space="preserve"> quality</w:t>
      </w:r>
      <w:r w:rsidR="00930D24">
        <w:t>, supporting E</w:t>
      </w:r>
      <w:r w:rsidR="005808AB">
        <w:t>B</w:t>
      </w:r>
      <w:r w:rsidR="00930D24">
        <w:t>P and providing organisational insight (CIPD, 2025).</w:t>
      </w:r>
    </w:p>
    <w:p w:rsidR="00741AE7" w:rsidRPr="001F5901" w:rsidRDefault="00741AE7" w:rsidP="001F5901">
      <w:pPr>
        <w:pStyle w:val="NoSpacing"/>
      </w:pPr>
    </w:p>
    <w:p w:rsidR="001F5901" w:rsidRDefault="00CE7801" w:rsidP="00205B48">
      <w:pPr>
        <w:pStyle w:val="NoSpacing"/>
        <w:jc w:val="both"/>
        <w:rPr>
          <w:b/>
        </w:rPr>
      </w:pPr>
      <w:r>
        <w:rPr>
          <w:b/>
          <w:bCs/>
        </w:rPr>
        <w:t>Q</w:t>
      </w:r>
      <w:r w:rsidR="001F5901">
        <w:rPr>
          <w:b/>
          <w:bCs/>
        </w:rPr>
        <w:t xml:space="preserve">4. </w:t>
      </w:r>
      <w:r w:rsidR="001F5901" w:rsidRPr="001F5901">
        <w:rPr>
          <w:b/>
        </w:rPr>
        <w:t xml:space="preserve"> Explain </w:t>
      </w:r>
      <w:r w:rsidR="001F5901" w:rsidRPr="001F5901">
        <w:rPr>
          <w:b/>
          <w:bCs/>
        </w:rPr>
        <w:t>two</w:t>
      </w:r>
      <w:r w:rsidR="001F5901" w:rsidRPr="001F5901">
        <w:rPr>
          <w:b/>
        </w:rPr>
        <w:t xml:space="preserve"> decision-making processes that Technivara could apply to ensure that effective outcomes are achieved. (AC 1.4) </w:t>
      </w:r>
    </w:p>
    <w:p w:rsidR="00B93D97" w:rsidRDefault="00B93D97" w:rsidP="00F415B5">
      <w:pPr>
        <w:pStyle w:val="NoSpacing"/>
        <w:ind w:firstLine="720"/>
        <w:jc w:val="both"/>
        <w:rPr>
          <w:b/>
        </w:rPr>
      </w:pPr>
    </w:p>
    <w:p w:rsidR="0043786B" w:rsidRDefault="00B93D97" w:rsidP="00205B48">
      <w:pPr>
        <w:pStyle w:val="NoSpacing"/>
        <w:jc w:val="both"/>
      </w:pPr>
      <w:r>
        <w:t>Structured dec</w:t>
      </w:r>
      <w:r w:rsidR="0006316B">
        <w:t>ision-making is</w:t>
      </w:r>
      <w:r w:rsidR="00E13F89">
        <w:t xml:space="preserve"> essential as </w:t>
      </w:r>
      <w:r w:rsidR="00763DB8">
        <w:t>Technivara</w:t>
      </w:r>
      <w:r>
        <w:t xml:space="preserve"> expands and modernises, moving away from traditional approaches and paper-based systems. De Bono (1999, cited in </w:t>
      </w:r>
      <w:proofErr w:type="spellStart"/>
      <w:r>
        <w:t>Serrat</w:t>
      </w:r>
      <w:proofErr w:type="spellEnd"/>
      <w:r>
        <w:t xml:space="preserve">, 2017) outlines a Six Thinking Hats model </w:t>
      </w:r>
      <w:r w:rsidR="00F415B5">
        <w:t xml:space="preserve">which Technivara could apply to strengthen decision-making and </w:t>
      </w:r>
      <w:r w:rsidR="0006316B">
        <w:t>people</w:t>
      </w:r>
      <w:r w:rsidR="00A47AD1">
        <w:t xml:space="preserve"> </w:t>
      </w:r>
      <w:r w:rsidR="0006316B">
        <w:t>outcomes</w:t>
      </w:r>
      <w:r w:rsidR="00995A7F">
        <w:t>.</w:t>
      </w:r>
      <w:r w:rsidR="00F415B5">
        <w:t xml:space="preserve"> The model promotes parallel </w:t>
      </w:r>
      <w:r w:rsidR="00995A7F">
        <w:t xml:space="preserve">thinking, allowing HR </w:t>
      </w:r>
      <w:r w:rsidR="00C30ECC">
        <w:t xml:space="preserve">problems to be </w:t>
      </w:r>
      <w:r w:rsidR="00763DB8">
        <w:t>examined</w:t>
      </w:r>
      <w:r w:rsidR="00C30ECC">
        <w:t xml:space="preserve"> </w:t>
      </w:r>
      <w:r w:rsidR="00763DB8">
        <w:t>through multiple perspectives</w:t>
      </w:r>
      <w:r w:rsidR="00C30ECC">
        <w:t xml:space="preserve"> (</w:t>
      </w:r>
      <w:proofErr w:type="spellStart"/>
      <w:r w:rsidR="00C30ECC">
        <w:t>Woodhams</w:t>
      </w:r>
      <w:proofErr w:type="spellEnd"/>
      <w:r w:rsidR="00C30ECC">
        <w:t xml:space="preserve"> and Perkins, 2022)</w:t>
      </w:r>
      <w:r w:rsidR="005F26E9">
        <w:t xml:space="preserve">. </w:t>
      </w:r>
      <w:r w:rsidR="00763DB8">
        <w:t>Team</w:t>
      </w:r>
      <w:r w:rsidR="00F415B5">
        <w:t xml:space="preserve"> member</w:t>
      </w:r>
      <w:r w:rsidR="00763DB8">
        <w:t>s</w:t>
      </w:r>
      <w:r w:rsidR="00F415B5">
        <w:t xml:space="preserve"> </w:t>
      </w:r>
      <w:r w:rsidR="005F26E9">
        <w:t xml:space="preserve">metaphorically wear the same hat </w:t>
      </w:r>
      <w:r w:rsidR="00F415B5">
        <w:t>at the same time</w:t>
      </w:r>
      <w:r w:rsidR="005F26E9">
        <w:t xml:space="preserve">, </w:t>
      </w:r>
      <w:r w:rsidR="00F415B5">
        <w:t xml:space="preserve">focusing on one shared </w:t>
      </w:r>
      <w:r w:rsidR="00763DB8">
        <w:t>viewpoint,</w:t>
      </w:r>
      <w:r w:rsidR="00F415B5">
        <w:t xml:space="preserve"> before collectively cycling through </w:t>
      </w:r>
      <w:r w:rsidR="00763DB8">
        <w:t>all six.</w:t>
      </w:r>
      <w:r w:rsidR="0006316B">
        <w:t xml:space="preserve"> This could help inform </w:t>
      </w:r>
      <w:r w:rsidR="0049130B">
        <w:t xml:space="preserve">decisions in areas </w:t>
      </w:r>
      <w:r w:rsidR="0006316B">
        <w:t xml:space="preserve">including </w:t>
      </w:r>
      <w:r w:rsidR="0049130B">
        <w:t xml:space="preserve">recruitment, engagement, workforce planning or </w:t>
      </w:r>
      <w:r w:rsidR="0006316B">
        <w:t>new system implementation</w:t>
      </w:r>
      <w:r w:rsidR="0049130B">
        <w:t xml:space="preserve">. For this example, workforce planning will be explored. </w:t>
      </w:r>
    </w:p>
    <w:p w:rsidR="00B93D97" w:rsidRDefault="00390444" w:rsidP="00390444">
      <w:pPr>
        <w:pStyle w:val="NoSpacing"/>
        <w:jc w:val="center"/>
      </w:pPr>
      <w:r>
        <w:rPr>
          <w:noProof/>
          <w:lang w:eastAsia="en-GB"/>
        </w:rPr>
        <w:lastRenderedPageBreak/>
        <w:drawing>
          <wp:inline distT="0" distB="0" distL="0" distR="0">
            <wp:extent cx="2914207" cy="2036569"/>
            <wp:effectExtent l="0" t="0" r="635" b="1905"/>
            <wp:docPr id="4" name="Picture 4" descr="Six Thinking Hats Technique: Solve Workplace Problems Eff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ix Thinking Hats Technique: Solve Workplace Problems Effectivel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38068" cy="2053244"/>
                    </a:xfrm>
                    <a:prstGeom prst="rect">
                      <a:avLst/>
                    </a:prstGeom>
                    <a:noFill/>
                    <a:ln>
                      <a:noFill/>
                    </a:ln>
                  </pic:spPr>
                </pic:pic>
              </a:graphicData>
            </a:graphic>
          </wp:inline>
        </w:drawing>
      </w:r>
    </w:p>
    <w:p w:rsidR="00390444" w:rsidRDefault="00E717B2" w:rsidP="00390444">
      <w:pPr>
        <w:pStyle w:val="NoSpacing"/>
        <w:jc w:val="center"/>
        <w:rPr>
          <w:i/>
        </w:rPr>
      </w:pPr>
      <w:r>
        <w:rPr>
          <w:i/>
        </w:rPr>
        <w:t>Figure 2 (</w:t>
      </w:r>
      <w:r w:rsidR="00390444">
        <w:rPr>
          <w:i/>
        </w:rPr>
        <w:t>Singapore Institute of Management, 2025</w:t>
      </w:r>
      <w:r>
        <w:rPr>
          <w:i/>
        </w:rPr>
        <w:t>).</w:t>
      </w:r>
    </w:p>
    <w:p w:rsidR="005F26E9" w:rsidRPr="005F26E9" w:rsidRDefault="005F26E9" w:rsidP="005F26E9">
      <w:pPr>
        <w:pStyle w:val="NoSpacing"/>
      </w:pPr>
    </w:p>
    <w:p w:rsidR="00763DB8" w:rsidRDefault="00C30ECC" w:rsidP="00C30ECC">
      <w:pPr>
        <w:pStyle w:val="NoSpacing"/>
        <w:jc w:val="both"/>
      </w:pPr>
      <w:r>
        <w:t>The whit</w:t>
      </w:r>
      <w:r w:rsidR="00763DB8">
        <w:t>e hat signifies facts and data, and would</w:t>
      </w:r>
      <w:r>
        <w:t xml:space="preserve"> </w:t>
      </w:r>
      <w:r w:rsidR="00995A7F">
        <w:t>en</w:t>
      </w:r>
      <w:r w:rsidR="0006316B">
        <w:t xml:space="preserve">courage evidence-based decisions </w:t>
      </w:r>
      <w:r w:rsidR="00BB52D8">
        <w:t xml:space="preserve">using internal </w:t>
      </w:r>
      <w:r w:rsidR="00995A7F">
        <w:t>metrics</w:t>
      </w:r>
      <w:r w:rsidR="0049130B">
        <w:t xml:space="preserve"> such as retention and turnover rates, skills gaps, headcount and projected resource requirements. The red hat allows intuition, emotion and gut feelings to be expressed openly which is important because decisions are not purely data based. For example, by enabling thought sharing on morale, </w:t>
      </w:r>
      <w:r w:rsidR="0006316B">
        <w:t>role changes</w:t>
      </w:r>
      <w:r w:rsidR="0049130B">
        <w:t xml:space="preserve"> etc</w:t>
      </w:r>
      <w:r w:rsidR="0006316B">
        <w:t xml:space="preserve">. The green hat would promote </w:t>
      </w:r>
      <w:r w:rsidR="0049130B">
        <w:t>creative response</w:t>
      </w:r>
      <w:r w:rsidR="0006316B">
        <w:t>s</w:t>
      </w:r>
      <w:r w:rsidR="0049130B">
        <w:t xml:space="preserve"> to problems and decisions, for example, the people team could brainstorm ideas for </w:t>
      </w:r>
      <w:r w:rsidR="00917CF9">
        <w:t xml:space="preserve">recruitment, training and upskilling or internal redeployment. </w:t>
      </w:r>
      <w:r w:rsidR="00B2613F">
        <w:t xml:space="preserve">The black hat </w:t>
      </w:r>
      <w:r w:rsidR="00917CF9">
        <w:t xml:space="preserve">would enable </w:t>
      </w:r>
      <w:r w:rsidR="0006316B">
        <w:t>risk identification including</w:t>
      </w:r>
      <w:r w:rsidR="00917CF9">
        <w:t xml:space="preserve"> skills gaps, budget restraints or morale impacts</w:t>
      </w:r>
      <w:r w:rsidR="0006316B">
        <w:t xml:space="preserve"> whilst encouraging evaluation and critical thinking to overcome these </w:t>
      </w:r>
      <w:r w:rsidR="00B2613F">
        <w:t>(</w:t>
      </w:r>
      <w:proofErr w:type="spellStart"/>
      <w:r w:rsidR="00B2613F">
        <w:t>Woodhams</w:t>
      </w:r>
      <w:proofErr w:type="spellEnd"/>
      <w:r w:rsidR="00B2613F">
        <w:t xml:space="preserve"> and Perkins, 2022). </w:t>
      </w:r>
      <w:r w:rsidR="00917CF9">
        <w:t xml:space="preserve">The yellow hat would elicit positive thinking, encouraging teams to identify benefits of proposed changes </w:t>
      </w:r>
      <w:r w:rsidR="00BB52D8">
        <w:t>like</w:t>
      </w:r>
      <w:r w:rsidR="00917CF9">
        <w:t xml:space="preserve"> improved </w:t>
      </w:r>
      <w:r w:rsidR="00913FA1">
        <w:t>engagement,</w:t>
      </w:r>
      <w:r w:rsidR="00917CF9">
        <w:t xml:space="preserve"> training and productivity</w:t>
      </w:r>
      <w:r w:rsidR="00B2613F">
        <w:t xml:space="preserve"> (</w:t>
      </w:r>
      <w:proofErr w:type="spellStart"/>
      <w:r w:rsidR="00B2613F">
        <w:t>Serrat</w:t>
      </w:r>
      <w:proofErr w:type="spellEnd"/>
      <w:r w:rsidR="00B2613F">
        <w:t>, 2017). Finally, the blue hat represents contro</w:t>
      </w:r>
      <w:r w:rsidR="001179CE">
        <w:t xml:space="preserve">l, allowing the </w:t>
      </w:r>
      <w:r w:rsidR="00B2613F">
        <w:t xml:space="preserve">group to decide which hat </w:t>
      </w:r>
      <w:r w:rsidR="00763DB8">
        <w:t>to use at each stage thereby maintaining structural alignment.</w:t>
      </w:r>
      <w:r w:rsidR="00BB52D8">
        <w:t xml:space="preserve"> </w:t>
      </w:r>
      <w:r w:rsidR="00F76F42">
        <w:t xml:space="preserve">The success of this </w:t>
      </w:r>
      <w:r w:rsidR="00763DB8">
        <w:t xml:space="preserve">approach </w:t>
      </w:r>
      <w:r w:rsidR="00F76F42">
        <w:t xml:space="preserve">may be limited by </w:t>
      </w:r>
      <w:proofErr w:type="spellStart"/>
      <w:r w:rsidR="00F76F42">
        <w:t>Technivara’s</w:t>
      </w:r>
      <w:proofErr w:type="spellEnd"/>
      <w:r w:rsidR="00F76F42">
        <w:t xml:space="preserve"> traditional culture and</w:t>
      </w:r>
      <w:r w:rsidR="001179CE">
        <w:t xml:space="preserve"> </w:t>
      </w:r>
      <w:r w:rsidR="00917CF9">
        <w:t xml:space="preserve">potential resistance to change and it requires strong facilitation, aided by the people team. </w:t>
      </w:r>
      <w:r w:rsidR="00763DB8">
        <w:t xml:space="preserve">However, by balancing evidence, emotion, risk and creativity </w:t>
      </w:r>
      <w:r w:rsidR="00917CF9">
        <w:t xml:space="preserve">it enables informed people decisions and effective outcomes. </w:t>
      </w:r>
    </w:p>
    <w:p w:rsidR="002E1B08" w:rsidRDefault="002E1B08" w:rsidP="00C30ECC">
      <w:pPr>
        <w:pStyle w:val="NoSpacing"/>
        <w:jc w:val="both"/>
      </w:pPr>
    </w:p>
    <w:p w:rsidR="00AF4526" w:rsidRDefault="00AF4526" w:rsidP="00C30ECC">
      <w:pPr>
        <w:pStyle w:val="NoSpacing"/>
        <w:jc w:val="both"/>
      </w:pPr>
      <w:r>
        <w:t xml:space="preserve">Technivara could also use the </w:t>
      </w:r>
      <w:proofErr w:type="spellStart"/>
      <w:r w:rsidR="00E110A3">
        <w:t>Kepner-T</w:t>
      </w:r>
      <w:r>
        <w:t>regoe</w:t>
      </w:r>
      <w:proofErr w:type="spellEnd"/>
      <w:r>
        <w:t xml:space="preserve"> (KT) model which offers a rational, systematic approach to problem solving and complex decisions (</w:t>
      </w:r>
      <w:r w:rsidRPr="00AF4526">
        <w:t xml:space="preserve">Parra </w:t>
      </w:r>
      <w:r w:rsidRPr="00AF4526">
        <w:rPr>
          <w:i/>
        </w:rPr>
        <w:t>et al.</w:t>
      </w:r>
      <w:r w:rsidRPr="00AF4526">
        <w:t>, 2023</w:t>
      </w:r>
      <w:r>
        <w:t>). The model is gro</w:t>
      </w:r>
      <w:r w:rsidR="00913FA1">
        <w:t xml:space="preserve">unded in critical thinking and has four steps, </w:t>
      </w:r>
      <w:r>
        <w:t xml:space="preserve">outlined in Figure 3. </w:t>
      </w:r>
    </w:p>
    <w:p w:rsidR="00917CF9" w:rsidRDefault="00917CF9" w:rsidP="00C30ECC">
      <w:pPr>
        <w:pStyle w:val="NoSpacing"/>
        <w:jc w:val="both"/>
      </w:pPr>
    </w:p>
    <w:p w:rsidR="00AF4526" w:rsidRDefault="00AF4526" w:rsidP="00AF4526">
      <w:pPr>
        <w:pStyle w:val="NoSpacing"/>
        <w:jc w:val="center"/>
      </w:pPr>
      <w:r>
        <w:rPr>
          <w:noProof/>
          <w:lang w:eastAsia="en-GB"/>
        </w:rPr>
        <w:drawing>
          <wp:inline distT="0" distB="0" distL="0" distR="0" wp14:anchorId="38BCC5F6" wp14:editId="7F746AA4">
            <wp:extent cx="4101644" cy="20444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14964" cy="2051099"/>
                    </a:xfrm>
                    <a:prstGeom prst="rect">
                      <a:avLst/>
                    </a:prstGeom>
                  </pic:spPr>
                </pic:pic>
              </a:graphicData>
            </a:graphic>
          </wp:inline>
        </w:drawing>
      </w:r>
    </w:p>
    <w:p w:rsidR="00AF4526" w:rsidRPr="00AF4526" w:rsidRDefault="00E717B2" w:rsidP="00AF4526">
      <w:pPr>
        <w:pStyle w:val="NoSpacing"/>
        <w:jc w:val="center"/>
        <w:rPr>
          <w:i/>
        </w:rPr>
      </w:pPr>
      <w:r>
        <w:rPr>
          <w:i/>
        </w:rPr>
        <w:t>Figure 3</w:t>
      </w:r>
      <w:r w:rsidR="00AF4526">
        <w:rPr>
          <w:i/>
        </w:rPr>
        <w:t xml:space="preserve"> </w:t>
      </w:r>
      <w:r>
        <w:rPr>
          <w:i/>
        </w:rPr>
        <w:t>(</w:t>
      </w:r>
      <w:r w:rsidR="00AF4526">
        <w:t>Markopoulos et al., 2022</w:t>
      </w:r>
      <w:r>
        <w:t>).</w:t>
      </w:r>
    </w:p>
    <w:p w:rsidR="0049466D" w:rsidRDefault="0049466D" w:rsidP="00106155">
      <w:pPr>
        <w:pStyle w:val="NoSpacing"/>
        <w:tabs>
          <w:tab w:val="left" w:pos="3349"/>
        </w:tabs>
      </w:pPr>
    </w:p>
    <w:p w:rsidR="001F5901" w:rsidRDefault="00E717B2" w:rsidP="00C56CDE">
      <w:pPr>
        <w:pStyle w:val="NoSpacing"/>
        <w:tabs>
          <w:tab w:val="left" w:pos="3349"/>
        </w:tabs>
        <w:jc w:val="both"/>
      </w:pPr>
      <w:r>
        <w:t xml:space="preserve">For illustrative purposes, these steps could be applied to </w:t>
      </w:r>
      <w:proofErr w:type="spellStart"/>
      <w:r>
        <w:t>Technivara’s</w:t>
      </w:r>
      <w:proofErr w:type="spellEnd"/>
      <w:r>
        <w:t xml:space="preserve"> challenge of having paper-based HR processes. </w:t>
      </w:r>
      <w:r w:rsidR="006B0B07">
        <w:t>Situation appraisal would enable Technivara to identify an</w:t>
      </w:r>
      <w:r w:rsidR="00913FA1">
        <w:t xml:space="preserve">d prioritise the problem which </w:t>
      </w:r>
      <w:r w:rsidR="006B0B07">
        <w:t>is the need for system modernisat</w:t>
      </w:r>
      <w:r w:rsidR="00913FA1">
        <w:t>ion. Problem analysis would</w:t>
      </w:r>
      <w:r w:rsidR="006B0B07">
        <w:t xml:space="preserve"> identify the root cause such as limited data, poor record-keeping, outdated processes and inefficient manual processes </w:t>
      </w:r>
      <w:r w:rsidR="00FF1EBD">
        <w:t>(</w:t>
      </w:r>
      <w:r w:rsidR="00FF1EBD" w:rsidRPr="00AF4526">
        <w:t xml:space="preserve">Parra </w:t>
      </w:r>
      <w:r w:rsidR="00FF1EBD" w:rsidRPr="00AF4526">
        <w:rPr>
          <w:i/>
        </w:rPr>
        <w:t>et al.</w:t>
      </w:r>
      <w:r w:rsidR="00FF1EBD" w:rsidRPr="00AF4526">
        <w:t xml:space="preserve">, </w:t>
      </w:r>
      <w:r w:rsidR="00FF1EBD" w:rsidRPr="00AF4526">
        <w:lastRenderedPageBreak/>
        <w:t>2023</w:t>
      </w:r>
      <w:r w:rsidR="00FF1EBD">
        <w:t xml:space="preserve">). </w:t>
      </w:r>
      <w:r w:rsidR="006B0B07">
        <w:t>Decision analysis would evaluate HR system options factoring in criteria such as cost, usability</w:t>
      </w:r>
      <w:r w:rsidR="00E13F89">
        <w:t>, reporting tools</w:t>
      </w:r>
      <w:r w:rsidR="006B0B07">
        <w:t>, compliance</w:t>
      </w:r>
      <w:r w:rsidR="00E13F89">
        <w:t xml:space="preserve"> and scalability. </w:t>
      </w:r>
      <w:r w:rsidR="006B0B07">
        <w:t>Potential problem analysis would anticipate risks such as resistance to change and training gaps whilst allowing mitigation strategies to be developed e.g. training and phased rollout (</w:t>
      </w:r>
      <w:r w:rsidR="006B0B07" w:rsidRPr="006B0B07">
        <w:t>Markopoulos et al., 2022).</w:t>
      </w:r>
      <w:r w:rsidR="006B0B07">
        <w:t xml:space="preserve"> Finally, opportunity analysis allows for positive outcomes to be identified, for example, </w:t>
      </w:r>
      <w:r w:rsidR="00C56CDE">
        <w:t>improved accuracy, data-driven insights, cost-saving and improved efficiencies. The KT model would ensure systematic exploration of issues, solutions, risks, mitigation strategies and opportunities which would encourage evidence-based, informed decisions within Technivara.</w:t>
      </w:r>
    </w:p>
    <w:p w:rsidR="00D82E11" w:rsidRDefault="00D82E11" w:rsidP="00C56CDE">
      <w:pPr>
        <w:pStyle w:val="NoSpacing"/>
        <w:tabs>
          <w:tab w:val="left" w:pos="3349"/>
        </w:tabs>
        <w:jc w:val="both"/>
      </w:pPr>
    </w:p>
    <w:p w:rsidR="00D82E11" w:rsidRPr="00D82E11" w:rsidRDefault="00CE7801" w:rsidP="00D82E11">
      <w:pPr>
        <w:pStyle w:val="NoSpacing"/>
        <w:tabs>
          <w:tab w:val="left" w:pos="3349"/>
        </w:tabs>
        <w:jc w:val="both"/>
        <w:rPr>
          <w:b/>
        </w:rPr>
      </w:pPr>
      <w:r>
        <w:rPr>
          <w:b/>
          <w:bCs/>
        </w:rPr>
        <w:t>Q</w:t>
      </w:r>
      <w:r w:rsidR="00D82E11" w:rsidRPr="00D82E11">
        <w:rPr>
          <w:b/>
          <w:bCs/>
        </w:rPr>
        <w:t xml:space="preserve">5. </w:t>
      </w:r>
      <w:r w:rsidR="00D82E11" w:rsidRPr="00D82E11">
        <w:rPr>
          <w:b/>
        </w:rPr>
        <w:t xml:space="preserve">Assess </w:t>
      </w:r>
      <w:r w:rsidR="00D82E11" w:rsidRPr="00D82E11">
        <w:rPr>
          <w:b/>
          <w:bCs/>
        </w:rPr>
        <w:t>two</w:t>
      </w:r>
      <w:r w:rsidR="00D82E11" w:rsidRPr="00D82E11">
        <w:rPr>
          <w:b/>
        </w:rPr>
        <w:t xml:space="preserve"> different ethical perspectives including how these could be used at Technivara to inform and influence decision-making. (AC 1.5)</w:t>
      </w:r>
    </w:p>
    <w:p w:rsidR="00333538" w:rsidRDefault="00333538" w:rsidP="00D82E11">
      <w:pPr>
        <w:pStyle w:val="NoSpacing"/>
        <w:tabs>
          <w:tab w:val="left" w:pos="3349"/>
        </w:tabs>
        <w:jc w:val="both"/>
      </w:pPr>
    </w:p>
    <w:p w:rsidR="00007ED3" w:rsidRDefault="00251334" w:rsidP="00D82E11">
      <w:pPr>
        <w:pStyle w:val="NoSpacing"/>
        <w:tabs>
          <w:tab w:val="left" w:pos="3349"/>
        </w:tabs>
        <w:jc w:val="both"/>
      </w:pPr>
      <w:r>
        <w:t xml:space="preserve">Deontology, often referred to as Kantian or rights-based ethics, is one ethical perspective that could be applied to </w:t>
      </w:r>
      <w:r w:rsidR="00F70A04">
        <w:t xml:space="preserve">decision-making at Technivara. This perspective centres on the idea that we have a moral duty to help </w:t>
      </w:r>
      <w:r w:rsidR="00844F24">
        <w:t>those in need thereby emphasising</w:t>
      </w:r>
      <w:r w:rsidR="00333538">
        <w:t xml:space="preserve"> equality, </w:t>
      </w:r>
      <w:r w:rsidR="00D46F74">
        <w:t>respect</w:t>
      </w:r>
      <w:r w:rsidR="00333538">
        <w:t xml:space="preserve"> and honesty </w:t>
      </w:r>
      <w:r w:rsidR="00F70A04">
        <w:t xml:space="preserve">(Clark, 2015). </w:t>
      </w:r>
      <w:r w:rsidR="00333538">
        <w:t xml:space="preserve">This closely aligns </w:t>
      </w:r>
      <w:r w:rsidR="00007ED3">
        <w:t>with</w:t>
      </w:r>
      <w:r w:rsidR="00333538">
        <w:t xml:space="preserve"> the CIPD code of conduct and can be adopted by the people team and senior leaders to ensure ethical practice when making decisions and determining actions (CIPD, 2023). Deontological approaches </w:t>
      </w:r>
      <w:r w:rsidR="00D46F74">
        <w:t xml:space="preserve">help safeguard employee needs and interests whilst promoting fairness and consistency. </w:t>
      </w:r>
    </w:p>
    <w:p w:rsidR="00007ED3" w:rsidRDefault="00007ED3" w:rsidP="00D82E11">
      <w:pPr>
        <w:pStyle w:val="NoSpacing"/>
        <w:tabs>
          <w:tab w:val="left" w:pos="3349"/>
        </w:tabs>
        <w:jc w:val="both"/>
      </w:pPr>
    </w:p>
    <w:p w:rsidR="00844F24" w:rsidRDefault="00D46F74" w:rsidP="00D82E11">
      <w:pPr>
        <w:pStyle w:val="NoSpacing"/>
        <w:tabs>
          <w:tab w:val="left" w:pos="3349"/>
        </w:tabs>
        <w:jc w:val="both"/>
      </w:pPr>
      <w:r>
        <w:t>Technivara could apply this lens to ensure equal treatment across recruitment, pay, reward and performance decisions</w:t>
      </w:r>
      <w:r w:rsidR="00007ED3">
        <w:t xml:space="preserve"> during the proposed expansion</w:t>
      </w:r>
      <w:r>
        <w:t xml:space="preserve">. </w:t>
      </w:r>
      <w:r w:rsidR="00007ED3">
        <w:t xml:space="preserve">This would encourage a shift from traditional, informal decision-making to a more structured, fair process. A deontological approach would enable the people team </w:t>
      </w:r>
      <w:r w:rsidR="00C73032">
        <w:t xml:space="preserve">and leaders </w:t>
      </w:r>
      <w:r w:rsidR="00007ED3">
        <w:t>to consider moral duties in every decision</w:t>
      </w:r>
      <w:r w:rsidR="00C73032">
        <w:t xml:space="preserve">, shaping </w:t>
      </w:r>
      <w:r w:rsidR="00996C28">
        <w:t>judgements</w:t>
      </w:r>
      <w:r w:rsidR="00C73032">
        <w:t xml:space="preserve"> </w:t>
      </w:r>
      <w:r w:rsidR="00996C28">
        <w:t>and decisions across day-to-day actions</w:t>
      </w:r>
      <w:r w:rsidR="00C73032">
        <w:t xml:space="preserve"> and strategic outcomes</w:t>
      </w:r>
      <w:r w:rsidR="00BE44AA">
        <w:t xml:space="preserve"> (Clark, 2015)</w:t>
      </w:r>
      <w:r w:rsidR="00C73032">
        <w:t xml:space="preserve">. </w:t>
      </w:r>
      <w:r>
        <w:t xml:space="preserve">Decisions underpinned by fairness and </w:t>
      </w:r>
      <w:r w:rsidR="00007ED3">
        <w:t>consistency</w:t>
      </w:r>
      <w:r>
        <w:t xml:space="preserve"> will also </w:t>
      </w:r>
      <w:r w:rsidR="00996C28">
        <w:t xml:space="preserve">enhance legal and ethical compliance. </w:t>
      </w:r>
      <w:r w:rsidR="00007ED3">
        <w:t xml:space="preserve">When modernising HR systems, this approach would ensure that employee </w:t>
      </w:r>
      <w:r w:rsidR="00996C28">
        <w:t>data is handled lawfully and</w:t>
      </w:r>
      <w:r w:rsidR="007B52F4">
        <w:t xml:space="preserve"> confidentially</w:t>
      </w:r>
      <w:r w:rsidR="00B87B6A">
        <w:t xml:space="preserve"> whilst encouraging morale attentiveness (</w:t>
      </w:r>
      <w:proofErr w:type="spellStart"/>
      <w:r w:rsidR="00B87B6A">
        <w:t>Shahzad</w:t>
      </w:r>
      <w:proofErr w:type="spellEnd"/>
      <w:r w:rsidR="00B87B6A">
        <w:t xml:space="preserve"> </w:t>
      </w:r>
      <w:r w:rsidR="00B87B6A">
        <w:rPr>
          <w:i/>
        </w:rPr>
        <w:t>et al.</w:t>
      </w:r>
      <w:r w:rsidR="00B87B6A">
        <w:t>, 2024</w:t>
      </w:r>
      <w:r w:rsidR="0006316B">
        <w:t>)</w:t>
      </w:r>
      <w:r w:rsidR="00007ED3">
        <w:t xml:space="preserve">. Furthermore, it would encourage transparent and fair decisions regarding recruitment and workforce planning during the expansion. </w:t>
      </w:r>
    </w:p>
    <w:p w:rsidR="00844F24" w:rsidRDefault="00844F24" w:rsidP="00D82E11">
      <w:pPr>
        <w:pStyle w:val="NoSpacing"/>
        <w:tabs>
          <w:tab w:val="left" w:pos="3349"/>
        </w:tabs>
        <w:jc w:val="both"/>
      </w:pPr>
    </w:p>
    <w:p w:rsidR="00844F24" w:rsidRDefault="00844F24" w:rsidP="00D82E11">
      <w:pPr>
        <w:pStyle w:val="NoSpacing"/>
        <w:tabs>
          <w:tab w:val="left" w:pos="3349"/>
        </w:tabs>
        <w:jc w:val="both"/>
      </w:pPr>
      <w:r>
        <w:t>However</w:t>
      </w:r>
      <w:r w:rsidR="00D46F74">
        <w:t xml:space="preserve">, </w:t>
      </w:r>
      <w:r w:rsidR="0006316B">
        <w:t xml:space="preserve">deontology is </w:t>
      </w:r>
      <w:r>
        <w:t xml:space="preserve">criticised for its rigidity as strict </w:t>
      </w:r>
      <w:r w:rsidR="00D46F74">
        <w:t xml:space="preserve">adherence </w:t>
      </w:r>
      <w:r w:rsidR="0006316B">
        <w:t>to</w:t>
      </w:r>
      <w:r>
        <w:t xml:space="preserve"> rules can produce morally questionable outcomes in complex scenarios</w:t>
      </w:r>
      <w:r w:rsidR="00B87B6A">
        <w:t xml:space="preserve"> (Holt, 2020)</w:t>
      </w:r>
      <w:r>
        <w:t xml:space="preserve">. Applying the same procedure to every </w:t>
      </w:r>
      <w:r w:rsidR="007B52F4">
        <w:t xml:space="preserve">scenario </w:t>
      </w:r>
      <w:r>
        <w:t>without considering individual or situational context can slow decision-making and organisational changes. For example, thoroughly checking all pay or promotion changes for fairness and equality before implementation may reduce business efficiency and hinder morale.</w:t>
      </w:r>
      <w:r w:rsidR="00007ED3">
        <w:t xml:space="preserve"> </w:t>
      </w:r>
    </w:p>
    <w:p w:rsidR="00844F24" w:rsidRDefault="00844F24" w:rsidP="00D82E11">
      <w:pPr>
        <w:pStyle w:val="NoSpacing"/>
        <w:tabs>
          <w:tab w:val="left" w:pos="3349"/>
        </w:tabs>
        <w:jc w:val="both"/>
      </w:pPr>
    </w:p>
    <w:p w:rsidR="00401399" w:rsidRDefault="007B52F4" w:rsidP="007B52F4">
      <w:pPr>
        <w:pStyle w:val="NoSpacing"/>
        <w:tabs>
          <w:tab w:val="left" w:pos="3349"/>
        </w:tabs>
        <w:jc w:val="both"/>
      </w:pPr>
      <w:r>
        <w:t xml:space="preserve">Another ethical perspective, utilitarianism, could inform and influence </w:t>
      </w:r>
      <w:proofErr w:type="spellStart"/>
      <w:r>
        <w:t>Technivara’s</w:t>
      </w:r>
      <w:proofErr w:type="spellEnd"/>
      <w:r>
        <w:t xml:space="preserve"> decision-making by prioritising actions that </w:t>
      </w:r>
      <w:r w:rsidR="00BB3BEB">
        <w:t>achieve the greatest benefit</w:t>
      </w:r>
      <w:r>
        <w:t xml:space="preserve"> for the </w:t>
      </w:r>
      <w:r w:rsidR="00BB3BEB">
        <w:t>larges</w:t>
      </w:r>
      <w:r>
        <w:t>t number of people</w:t>
      </w:r>
      <w:r w:rsidR="004A1DE2">
        <w:t xml:space="preserve"> (Schumann, 2001)</w:t>
      </w:r>
      <w:r>
        <w:t xml:space="preserve">. </w:t>
      </w:r>
      <w:r w:rsidR="00BB3BEB">
        <w:t xml:space="preserve">This approach bases morality on the consequences of decisions rather than an adherence to moral duties as </w:t>
      </w:r>
      <w:r w:rsidR="001B6626">
        <w:t>seen</w:t>
      </w:r>
      <w:r w:rsidR="00BB3BEB">
        <w:t xml:space="preserve"> in deontological approaches. </w:t>
      </w:r>
      <w:r w:rsidR="0006316B">
        <w:t>U</w:t>
      </w:r>
      <w:r w:rsidR="0006316B" w:rsidRPr="0006316B">
        <w:t>tilitarianism</w:t>
      </w:r>
      <w:r w:rsidR="0006316B">
        <w:t xml:space="preserve"> </w:t>
      </w:r>
      <w:r w:rsidR="00401399">
        <w:t>would be particularly useful for Technivara in shaping strategic decisions for growth whilst aligning with performance goals and supporting f</w:t>
      </w:r>
      <w:r w:rsidR="001B6626">
        <w:t>air HR practices</w:t>
      </w:r>
      <w:r w:rsidR="00FA14C8">
        <w:t xml:space="preserve"> (Smith and Mitchell, 2022</w:t>
      </w:r>
      <w:r w:rsidR="008503D7">
        <w:t>a</w:t>
      </w:r>
      <w:r w:rsidR="00FA14C8">
        <w:t>)</w:t>
      </w:r>
      <w:r w:rsidR="001B6626">
        <w:t>. For example, workforce planning decisions could prioritise the development and deployment of skills needed to support growth even if this requi</w:t>
      </w:r>
      <w:r w:rsidR="00F03416">
        <w:t>res restructuring certain roles or brings uncertainty.</w:t>
      </w:r>
      <w:r w:rsidR="001B6626">
        <w:t xml:space="preserve"> Utilitarianism focuses on cost benefit analysis and closely aligns to evidence-based practice as decisions are informed by data, metrics and measurable outcomes</w:t>
      </w:r>
      <w:r w:rsidR="00FA14C8">
        <w:t xml:space="preserve"> (Smith and Mitchell, 2022</w:t>
      </w:r>
      <w:r w:rsidR="008503D7">
        <w:t>a</w:t>
      </w:r>
      <w:r w:rsidR="00FA14C8">
        <w:t>)</w:t>
      </w:r>
      <w:r w:rsidR="001B6626">
        <w:t xml:space="preserve">. This means that decisions are </w:t>
      </w:r>
      <w:r w:rsidR="00F03416">
        <w:t>justified by ethical reasoning whilst</w:t>
      </w:r>
      <w:r w:rsidR="001B6626">
        <w:t xml:space="preserve"> ensuring they bring the greatest benefit to the most people. This could be applied to modernisation as introducing a HR system will have a majority benefit through increasing efficiency, compliance and data quality. </w:t>
      </w:r>
    </w:p>
    <w:p w:rsidR="00251334" w:rsidRPr="00FA14C8" w:rsidRDefault="00251B21" w:rsidP="00D82E11">
      <w:pPr>
        <w:pStyle w:val="NoSpacing"/>
        <w:tabs>
          <w:tab w:val="left" w:pos="3349"/>
        </w:tabs>
        <w:jc w:val="both"/>
      </w:pPr>
      <w:r>
        <w:br/>
        <w:t xml:space="preserve">That said, it is important for people teams and leaders to ensure that the marginal voices and employee well-being are considered in decision-making. This helps mitigate the limitations of </w:t>
      </w:r>
      <w:r>
        <w:lastRenderedPageBreak/>
        <w:t>utilitarianism, which can reduce fairness, individual rights and morality. Technivara should apply ethical perspectives in a way that supports growth and modernisation whilst maintaining trust, wellbeing and professional integrity (CIPD, 2025f).</w:t>
      </w:r>
    </w:p>
    <w:p w:rsidR="00D82E11" w:rsidRPr="00D82E11" w:rsidRDefault="00D82E11" w:rsidP="00D82E11">
      <w:pPr>
        <w:pStyle w:val="NoSpacing"/>
        <w:tabs>
          <w:tab w:val="left" w:pos="3349"/>
        </w:tabs>
        <w:jc w:val="both"/>
        <w:rPr>
          <w:b/>
        </w:rPr>
      </w:pPr>
    </w:p>
    <w:p w:rsidR="00D82E11" w:rsidRDefault="00CE7801" w:rsidP="00D82E11">
      <w:pPr>
        <w:pStyle w:val="NoSpacing"/>
        <w:tabs>
          <w:tab w:val="left" w:pos="3349"/>
        </w:tabs>
        <w:jc w:val="both"/>
        <w:rPr>
          <w:b/>
        </w:rPr>
      </w:pPr>
      <w:r>
        <w:rPr>
          <w:b/>
          <w:bCs/>
        </w:rPr>
        <w:t>Q</w:t>
      </w:r>
      <w:r w:rsidR="00D82E11" w:rsidRPr="00D82E11">
        <w:rPr>
          <w:b/>
          <w:bCs/>
        </w:rPr>
        <w:t xml:space="preserve">6. </w:t>
      </w:r>
      <w:r w:rsidR="00D82E11" w:rsidRPr="00D82E11">
        <w:rPr>
          <w:b/>
        </w:rPr>
        <w:t xml:space="preserve">Appraise </w:t>
      </w:r>
      <w:r w:rsidR="00D82E11" w:rsidRPr="00D82E11">
        <w:rPr>
          <w:b/>
          <w:bCs/>
        </w:rPr>
        <w:t>two</w:t>
      </w:r>
      <w:r w:rsidR="00D82E11" w:rsidRPr="00D82E11">
        <w:rPr>
          <w:b/>
        </w:rPr>
        <w:t xml:space="preserve"> different ways that Technivara could measure financial and non-financial</w:t>
      </w:r>
      <w:r w:rsidR="00D82E11">
        <w:rPr>
          <w:b/>
        </w:rPr>
        <w:t xml:space="preserve"> </w:t>
      </w:r>
      <w:r w:rsidR="00D82E11" w:rsidRPr="00D82E11">
        <w:rPr>
          <w:b/>
        </w:rPr>
        <w:t xml:space="preserve">performance, providing </w:t>
      </w:r>
      <w:r w:rsidR="00D82E11" w:rsidRPr="00D82E11">
        <w:rPr>
          <w:b/>
          <w:bCs/>
        </w:rPr>
        <w:t>one</w:t>
      </w:r>
      <w:r w:rsidR="00D82E11" w:rsidRPr="00D82E11">
        <w:rPr>
          <w:b/>
        </w:rPr>
        <w:t xml:space="preserve"> example of each. (AC 3.1)</w:t>
      </w:r>
    </w:p>
    <w:p w:rsidR="00F03416" w:rsidRDefault="00F03416" w:rsidP="00D82E11">
      <w:pPr>
        <w:pStyle w:val="NoSpacing"/>
        <w:tabs>
          <w:tab w:val="left" w:pos="3349"/>
        </w:tabs>
        <w:jc w:val="both"/>
        <w:rPr>
          <w:b/>
        </w:rPr>
      </w:pPr>
    </w:p>
    <w:p w:rsidR="004B369F" w:rsidRDefault="00F03416" w:rsidP="00D82E11">
      <w:pPr>
        <w:pStyle w:val="NoSpacing"/>
        <w:tabs>
          <w:tab w:val="left" w:pos="3349"/>
        </w:tabs>
        <w:jc w:val="both"/>
      </w:pPr>
      <w:r>
        <w:t>One financial performance measure Technivara</w:t>
      </w:r>
      <w:r w:rsidR="00C273A5">
        <w:t xml:space="preserve"> could apply</w:t>
      </w:r>
      <w:r>
        <w:t xml:space="preserve"> is the profit and loss (P&amp;L) statement. </w:t>
      </w:r>
      <w:r w:rsidR="004E780C">
        <w:t xml:space="preserve">As a private-sector organisation, this is a relevant tool for </w:t>
      </w:r>
      <w:r w:rsidR="00C273A5">
        <w:t>assessing</w:t>
      </w:r>
      <w:r w:rsidR="004E780C">
        <w:t xml:space="preserve"> financial health as it summarises rev</w:t>
      </w:r>
      <w:r w:rsidR="006812FB">
        <w:t xml:space="preserve">enue, production costs, operating expenses </w:t>
      </w:r>
      <w:r w:rsidR="00F76D76">
        <w:t>and overall profit or</w:t>
      </w:r>
      <w:r w:rsidR="004E780C">
        <w:t xml:space="preserve"> loss over a given </w:t>
      </w:r>
      <w:r w:rsidR="00F76D76">
        <w:t xml:space="preserve">time </w:t>
      </w:r>
      <w:r w:rsidR="004E780C">
        <w:t>period</w:t>
      </w:r>
      <w:r w:rsidR="00F25640">
        <w:t xml:space="preserve"> (</w:t>
      </w:r>
      <w:proofErr w:type="spellStart"/>
      <w:r w:rsidR="00F25640">
        <w:t>Stobierski</w:t>
      </w:r>
      <w:proofErr w:type="spellEnd"/>
      <w:r w:rsidR="00F25640">
        <w:t>, 2020)</w:t>
      </w:r>
      <w:r w:rsidR="004E780C">
        <w:t xml:space="preserve">. </w:t>
      </w:r>
      <w:r w:rsidR="00C273A5">
        <w:t>Additionally, net profit margin w</w:t>
      </w:r>
      <w:r w:rsidR="00F76D76">
        <w:t xml:space="preserve">ould provide a clearer picture of </w:t>
      </w:r>
      <w:r w:rsidR="00C273A5">
        <w:t xml:space="preserve">performance by showing the proportion of revenue remaining after all costs and deductions. </w:t>
      </w:r>
      <w:r w:rsidR="00F70F46">
        <w:t xml:space="preserve">This </w:t>
      </w:r>
      <w:r w:rsidR="00F76D76">
        <w:t>strengthen</w:t>
      </w:r>
      <w:r w:rsidR="00F70F46">
        <w:t>s</w:t>
      </w:r>
      <w:r w:rsidR="00F76D76">
        <w:t xml:space="preserve"> P&amp;L analysis </w:t>
      </w:r>
      <w:r w:rsidR="00C273A5">
        <w:t xml:space="preserve">by highlighting </w:t>
      </w:r>
      <w:proofErr w:type="spellStart"/>
      <w:r w:rsidR="00C273A5">
        <w:t>Technivara’</w:t>
      </w:r>
      <w:r w:rsidR="00F76D76">
        <w:t>s</w:t>
      </w:r>
      <w:proofErr w:type="spellEnd"/>
      <w:r w:rsidR="00F76D76">
        <w:t xml:space="preserve"> actual profitability and how effectively the organisation manages costs relative to revenue</w:t>
      </w:r>
      <w:r w:rsidR="00BE0556">
        <w:t xml:space="preserve"> (Marr, 2012)</w:t>
      </w:r>
      <w:r w:rsidR="00F76D76">
        <w:t xml:space="preserve">. </w:t>
      </w:r>
      <w:r w:rsidR="007234A9">
        <w:t xml:space="preserve">This would be particularly important for Technivara as they enter a period of growth and modernisation. </w:t>
      </w:r>
      <w:r w:rsidR="00F76D76">
        <w:t xml:space="preserve">Net profit </w:t>
      </w:r>
      <w:r w:rsidR="007234A9">
        <w:t xml:space="preserve">margin </w:t>
      </w:r>
      <w:r w:rsidR="00F76D76">
        <w:t>would</w:t>
      </w:r>
      <w:r w:rsidR="007234A9">
        <w:t xml:space="preserve"> be</w:t>
      </w:r>
      <w:r w:rsidR="00F76D76">
        <w:t xml:space="preserve"> more informative than </w:t>
      </w:r>
      <w:r w:rsidR="007234A9">
        <w:t xml:space="preserve">gross profit alone and would </w:t>
      </w:r>
      <w:r w:rsidR="005E262A">
        <w:t>enable Technivara to assess</w:t>
      </w:r>
      <w:r w:rsidR="007234A9">
        <w:t xml:space="preserve"> whether turnover growth is g</w:t>
      </w:r>
      <w:r w:rsidR="005E262A">
        <w:t xml:space="preserve">enerating sufficient return </w:t>
      </w:r>
      <w:r w:rsidR="00821FF9">
        <w:t>(</w:t>
      </w:r>
      <w:proofErr w:type="spellStart"/>
      <w:r w:rsidR="00F25640">
        <w:t>Stobierski</w:t>
      </w:r>
      <w:proofErr w:type="spellEnd"/>
      <w:r w:rsidR="00F25640">
        <w:t>, 2020)</w:t>
      </w:r>
      <w:r w:rsidR="007234A9">
        <w:t xml:space="preserve">. </w:t>
      </w:r>
    </w:p>
    <w:p w:rsidR="004B369F" w:rsidRDefault="004B369F" w:rsidP="00D82E11">
      <w:pPr>
        <w:pStyle w:val="NoSpacing"/>
        <w:tabs>
          <w:tab w:val="left" w:pos="3349"/>
        </w:tabs>
        <w:jc w:val="both"/>
      </w:pPr>
    </w:p>
    <w:p w:rsidR="001E16CE" w:rsidRDefault="00563E7B" w:rsidP="00D82E11">
      <w:pPr>
        <w:pStyle w:val="NoSpacing"/>
        <w:tabs>
          <w:tab w:val="left" w:pos="3349"/>
        </w:tabs>
        <w:jc w:val="both"/>
      </w:pPr>
      <w:r>
        <w:t>For example, implementing a new HR system will in</w:t>
      </w:r>
      <w:r w:rsidR="004B369F">
        <w:t>cur</w:t>
      </w:r>
      <w:r>
        <w:t xml:space="preserve"> costs such as software, </w:t>
      </w:r>
      <w:r w:rsidR="00821FF9">
        <w:t>impleme</w:t>
      </w:r>
      <w:r>
        <w:t xml:space="preserve">ntation and training costs </w:t>
      </w:r>
      <w:r w:rsidR="004B369F">
        <w:t xml:space="preserve">and may temporality hinder productivity. Monitoring net profitability would help Technivara to evaluate whether these initial investments have brought long-term financial benefits such as improved efficiency, reduced overtime and more informed workforce planning decisions. Sustained net profitability would </w:t>
      </w:r>
      <w:r w:rsidR="001E16CE">
        <w:t>indicate that investments are financially beneficial thereby reinforcing evidence based HR decisions e.g. within recruitment, training and retention.</w:t>
      </w:r>
    </w:p>
    <w:p w:rsidR="00BE0556" w:rsidRDefault="00BE0556" w:rsidP="00D82E11">
      <w:pPr>
        <w:pStyle w:val="NoSpacing"/>
        <w:tabs>
          <w:tab w:val="left" w:pos="3349"/>
        </w:tabs>
        <w:jc w:val="both"/>
      </w:pPr>
    </w:p>
    <w:p w:rsidR="001E16CE" w:rsidRDefault="00BE0556" w:rsidP="00D82E11">
      <w:pPr>
        <w:pStyle w:val="NoSpacing"/>
        <w:tabs>
          <w:tab w:val="left" w:pos="3349"/>
        </w:tabs>
        <w:jc w:val="both"/>
      </w:pPr>
      <w:r>
        <w:t xml:space="preserve">One benefit of net profit analysis is that it allows financial performance to be compared over time. However, </w:t>
      </w:r>
      <w:r w:rsidR="001157D0">
        <w:t>as it is typically reviewed monthly,</w:t>
      </w:r>
      <w:r>
        <w:t xml:space="preserve"> </w:t>
      </w:r>
      <w:r w:rsidR="001E16CE">
        <w:t>this retrospective view</w:t>
      </w:r>
      <w:r w:rsidR="00F70F46">
        <w:t xml:space="preserve"> may restrict prompt decision </w:t>
      </w:r>
      <w:r>
        <w:t xml:space="preserve">making (Marr, 2012). </w:t>
      </w:r>
      <w:r w:rsidR="00E91E15">
        <w:t xml:space="preserve">Technivara </w:t>
      </w:r>
      <w:r w:rsidR="005C7E7B">
        <w:t>should also use non-financial measures</w:t>
      </w:r>
      <w:r w:rsidR="001157D0">
        <w:t>,</w:t>
      </w:r>
      <w:r w:rsidR="005C7E7B">
        <w:t xml:space="preserve"> such as </w:t>
      </w:r>
      <w:r w:rsidR="00043DAA">
        <w:t>employee</w:t>
      </w:r>
      <w:r w:rsidR="00330A0A">
        <w:t xml:space="preserve"> turnover rate</w:t>
      </w:r>
      <w:r w:rsidR="001157D0">
        <w:t>,</w:t>
      </w:r>
      <w:r w:rsidR="00F70F46">
        <w:t xml:space="preserve"> to provide a</w:t>
      </w:r>
      <w:r w:rsidR="001157D0">
        <w:t xml:space="preserve"> </w:t>
      </w:r>
      <w:r w:rsidR="005C7E7B">
        <w:t xml:space="preserve">balanced understanding of performance. </w:t>
      </w:r>
      <w:r w:rsidR="00F70F46">
        <w:t xml:space="preserve">This </w:t>
      </w:r>
      <w:r w:rsidR="00343682">
        <w:t>involve</w:t>
      </w:r>
      <w:r w:rsidR="00F70F46">
        <w:t>s</w:t>
      </w:r>
      <w:r w:rsidR="00343682">
        <w:t xml:space="preserve"> </w:t>
      </w:r>
      <w:r w:rsidR="001157D0">
        <w:t>calculating</w:t>
      </w:r>
      <w:r w:rsidR="00343682">
        <w:t xml:space="preserve"> the percentage of employees who exit </w:t>
      </w:r>
      <w:r w:rsidR="001157D0">
        <w:t xml:space="preserve">Technivara within a defined time period, </w:t>
      </w:r>
      <w:r w:rsidR="00343682">
        <w:t>agains</w:t>
      </w:r>
      <w:r w:rsidR="00043DAA">
        <w:t xml:space="preserve">t the </w:t>
      </w:r>
      <w:r w:rsidR="001157D0">
        <w:t>total workforce</w:t>
      </w:r>
      <w:r w:rsidR="00043DAA">
        <w:t xml:space="preserve"> (Taylor and </w:t>
      </w:r>
      <w:proofErr w:type="spellStart"/>
      <w:r w:rsidR="00043DAA">
        <w:t>Woodhams</w:t>
      </w:r>
      <w:proofErr w:type="spellEnd"/>
      <w:r w:rsidR="00043DAA">
        <w:t xml:space="preserve">, 2022). </w:t>
      </w:r>
    </w:p>
    <w:p w:rsidR="001E16CE" w:rsidRDefault="001E16CE" w:rsidP="00D82E11">
      <w:pPr>
        <w:pStyle w:val="NoSpacing"/>
        <w:tabs>
          <w:tab w:val="left" w:pos="3349"/>
        </w:tabs>
        <w:jc w:val="both"/>
      </w:pPr>
    </w:p>
    <w:p w:rsidR="001157D0" w:rsidRDefault="00043DAA" w:rsidP="00D82E11">
      <w:pPr>
        <w:pStyle w:val="NoSpacing"/>
        <w:tabs>
          <w:tab w:val="left" w:pos="3349"/>
        </w:tabs>
        <w:jc w:val="both"/>
      </w:pPr>
      <w:r>
        <w:t>As Technivara expand</w:t>
      </w:r>
      <w:r w:rsidR="001157D0">
        <w:t>s</w:t>
      </w:r>
      <w:r>
        <w:t xml:space="preserve">, monitoring employee turnover rate is essential </w:t>
      </w:r>
      <w:r w:rsidR="001157D0">
        <w:t>because</w:t>
      </w:r>
      <w:r>
        <w:t xml:space="preserve"> high turnover</w:t>
      </w:r>
      <w:r w:rsidR="001157D0">
        <w:t xml:space="preserve"> levels</w:t>
      </w:r>
      <w:r>
        <w:t xml:space="preserve"> can disrupt growth plans, </w:t>
      </w:r>
      <w:r w:rsidR="001157D0">
        <w:t>hinder productivity, weaken culture and morale and create skills gaps</w:t>
      </w:r>
      <w:r w:rsidR="00BD2410">
        <w:t xml:space="preserve"> </w:t>
      </w:r>
      <w:r w:rsidR="00BD2410" w:rsidRPr="00BD2410">
        <w:rPr>
          <w:rStyle w:val="Emphasis"/>
          <w:i w:val="0"/>
        </w:rPr>
        <w:t>(Al</w:t>
      </w:r>
      <w:r w:rsidR="00BD2410" w:rsidRPr="00BD2410">
        <w:rPr>
          <w:rStyle w:val="Emphasis"/>
          <w:i w:val="0"/>
        </w:rPr>
        <w:noBreakHyphen/>
      </w:r>
      <w:proofErr w:type="spellStart"/>
      <w:r w:rsidR="00BD2410" w:rsidRPr="00BD2410">
        <w:rPr>
          <w:rStyle w:val="Emphasis"/>
          <w:i w:val="0"/>
        </w:rPr>
        <w:t>Suraihi</w:t>
      </w:r>
      <w:proofErr w:type="spellEnd"/>
      <w:r w:rsidR="00BD2410" w:rsidRPr="00BD2410">
        <w:rPr>
          <w:rStyle w:val="Emphasis"/>
          <w:i w:val="0"/>
        </w:rPr>
        <w:t xml:space="preserve"> </w:t>
      </w:r>
      <w:r w:rsidR="00BD2410" w:rsidRPr="00BD2410">
        <w:rPr>
          <w:rStyle w:val="Emphasis"/>
        </w:rPr>
        <w:t>et al.,</w:t>
      </w:r>
      <w:r w:rsidR="00BD2410" w:rsidRPr="00BD2410">
        <w:rPr>
          <w:rStyle w:val="Emphasis"/>
          <w:i w:val="0"/>
        </w:rPr>
        <w:t xml:space="preserve"> 2021)</w:t>
      </w:r>
      <w:r w:rsidR="001157D0" w:rsidRPr="00BD2410">
        <w:rPr>
          <w:i/>
        </w:rPr>
        <w:t>.</w:t>
      </w:r>
      <w:r w:rsidR="001157D0">
        <w:t xml:space="preserve"> While some turnover can be beneficial, such as removing underperforming team members and allowing for fresh perspectives via new starters, excessive turnover can create instability. </w:t>
      </w:r>
      <w:r>
        <w:t xml:space="preserve">Although this metric </w:t>
      </w:r>
      <w:r w:rsidR="00F70F46">
        <w:t>provides early warning</w:t>
      </w:r>
      <w:r>
        <w:t xml:space="preserve">, </w:t>
      </w:r>
      <w:r w:rsidR="001157D0">
        <w:t>it is simplistic in nature and does not provide detailed insight into why employees leave. Therefore, Technivara should use qualitative methods such as exit interviews for a more complete insight and to undertake informed mitigating actions</w:t>
      </w:r>
      <w:r w:rsidR="005E262A">
        <w:t xml:space="preserve"> (Fukui </w:t>
      </w:r>
      <w:r w:rsidR="005E262A" w:rsidRPr="005E262A">
        <w:rPr>
          <w:i/>
        </w:rPr>
        <w:t>et al.,</w:t>
      </w:r>
      <w:r w:rsidR="005E262A">
        <w:t xml:space="preserve"> 2025)</w:t>
      </w:r>
      <w:r w:rsidR="001157D0">
        <w:t>.</w:t>
      </w:r>
    </w:p>
    <w:p w:rsidR="00D82E11" w:rsidRPr="00D82E11" w:rsidRDefault="00D82E11" w:rsidP="00D82E11">
      <w:pPr>
        <w:pStyle w:val="NoSpacing"/>
        <w:tabs>
          <w:tab w:val="left" w:pos="3349"/>
        </w:tabs>
        <w:jc w:val="both"/>
        <w:rPr>
          <w:b/>
        </w:rPr>
      </w:pPr>
    </w:p>
    <w:p w:rsidR="00D82E11" w:rsidRPr="00D82E11" w:rsidRDefault="00CE7801" w:rsidP="00D82E11">
      <w:pPr>
        <w:pStyle w:val="NoSpacing"/>
        <w:tabs>
          <w:tab w:val="left" w:pos="3349"/>
        </w:tabs>
        <w:jc w:val="both"/>
        <w:rPr>
          <w:b/>
        </w:rPr>
      </w:pPr>
      <w:r>
        <w:rPr>
          <w:b/>
          <w:bCs/>
        </w:rPr>
        <w:t>Q</w:t>
      </w:r>
      <w:r w:rsidR="00D82E11" w:rsidRPr="00D82E11">
        <w:rPr>
          <w:b/>
          <w:bCs/>
        </w:rPr>
        <w:t xml:space="preserve">7. </w:t>
      </w:r>
      <w:r w:rsidR="00D82E11" w:rsidRPr="00D82E11">
        <w:rPr>
          <w:b/>
        </w:rPr>
        <w:t xml:space="preserve">Explain how people practices could add value at Technivara and identify </w:t>
      </w:r>
      <w:r w:rsidR="00D82E11" w:rsidRPr="00D82E11">
        <w:rPr>
          <w:b/>
          <w:bCs/>
        </w:rPr>
        <w:t>two</w:t>
      </w:r>
      <w:r w:rsidR="00D82E11" w:rsidRPr="00D82E11">
        <w:rPr>
          <w:b/>
        </w:rPr>
        <w:t xml:space="preserve"> methods that might be used to measure the impact of these people practices. (AC 3.2)</w:t>
      </w:r>
    </w:p>
    <w:p w:rsidR="00D82E11" w:rsidRDefault="00D82E11" w:rsidP="00C56CDE">
      <w:pPr>
        <w:pStyle w:val="NoSpacing"/>
        <w:tabs>
          <w:tab w:val="left" w:pos="3349"/>
        </w:tabs>
        <w:jc w:val="both"/>
      </w:pPr>
    </w:p>
    <w:p w:rsidR="009678CE" w:rsidRDefault="00D53AE5" w:rsidP="00584448">
      <w:pPr>
        <w:pStyle w:val="NoSpacing"/>
        <w:jc w:val="both"/>
      </w:pPr>
      <w:r>
        <w:t xml:space="preserve">Burke (2023) highlights that organisations should recognise the value of people practices in developing human capital, enhancing decision-making and supporting strategic goals. </w:t>
      </w:r>
      <w:r w:rsidR="00F42F95">
        <w:t>At Techniva</w:t>
      </w:r>
      <w:r w:rsidR="005A327A">
        <w:t xml:space="preserve">ra, </w:t>
      </w:r>
      <w:r w:rsidR="00F42F95">
        <w:t xml:space="preserve">people practices </w:t>
      </w:r>
      <w:r w:rsidR="007138D7">
        <w:t>could add</w:t>
      </w:r>
      <w:r w:rsidR="005A327A">
        <w:t xml:space="preserve"> value by matching workforce skills with strategic goals whilst driving productivity and culture. Robust hiring methods that assess skill and cultural alignment will </w:t>
      </w:r>
      <w:r w:rsidR="00D23B30">
        <w:t>enhance fit, reduce hiring time and supp</w:t>
      </w:r>
      <w:r w:rsidR="007138D7">
        <w:t>ort growth plans. P</w:t>
      </w:r>
      <w:r w:rsidR="00D23B30">
        <w:t xml:space="preserve">roviding realistic job previews and </w:t>
      </w:r>
      <w:r w:rsidR="007138D7">
        <w:t xml:space="preserve">transparent </w:t>
      </w:r>
      <w:r w:rsidR="00D23B30">
        <w:t>recruitment process</w:t>
      </w:r>
      <w:r w:rsidR="00E91E15">
        <w:t>es</w:t>
      </w:r>
      <w:r w:rsidR="00D23B30">
        <w:t xml:space="preserve"> will increase </w:t>
      </w:r>
      <w:r w:rsidR="00E91E15">
        <w:t xml:space="preserve">trust and </w:t>
      </w:r>
      <w:r w:rsidR="007138D7">
        <w:t xml:space="preserve">the likelihood of </w:t>
      </w:r>
      <w:r w:rsidR="00D23B30">
        <w:t>employee</w:t>
      </w:r>
      <w:r w:rsidR="007138D7">
        <w:t>s</w:t>
      </w:r>
      <w:r w:rsidR="00D23B30">
        <w:t xml:space="preserve"> staying long-term (Smith and Mitchell, 2022b). This will be further strengthened by effective induction and onboarding processes. </w:t>
      </w:r>
    </w:p>
    <w:p w:rsidR="009678CE" w:rsidRDefault="009678CE" w:rsidP="00584448">
      <w:pPr>
        <w:pStyle w:val="NoSpacing"/>
        <w:jc w:val="both"/>
      </w:pPr>
    </w:p>
    <w:p w:rsidR="009678CE" w:rsidRDefault="007138D7" w:rsidP="00584448">
      <w:pPr>
        <w:pStyle w:val="NoSpacing"/>
        <w:jc w:val="both"/>
      </w:pPr>
      <w:r>
        <w:t xml:space="preserve">People practice encompasses </w:t>
      </w:r>
      <w:r w:rsidR="009678CE">
        <w:t>retention strategies that could add value at Technivara by retaining talent and skills within the business and mitigatin</w:t>
      </w:r>
      <w:r w:rsidR="00E91E15">
        <w:t>g turnover costs. T</w:t>
      </w:r>
      <w:r w:rsidR="009678CE">
        <w:t xml:space="preserve">he people team could identify and support the delivery of training and development opportunities, ensure transparency in pay and promotion and provide clearly defined career pathways. These initiatives will </w:t>
      </w:r>
      <w:r>
        <w:t>equip employees with</w:t>
      </w:r>
      <w:r w:rsidR="009678CE">
        <w:t xml:space="preserve"> skills and capabilities needed to support growth and modernisation</w:t>
      </w:r>
      <w:r>
        <w:t>. P</w:t>
      </w:r>
      <w:r w:rsidR="009678CE">
        <w:t xml:space="preserve">eople practices that drive engagement, such as consulting and involving employees in changes, can </w:t>
      </w:r>
      <w:r w:rsidR="00247FC2">
        <w:t xml:space="preserve">boost morale and buy-in. </w:t>
      </w:r>
      <w:r>
        <w:t>Coupled</w:t>
      </w:r>
      <w:r w:rsidR="00247FC2">
        <w:t xml:space="preserve"> with clear reward and career development structures, people practices could add value at Technivara </w:t>
      </w:r>
      <w:r w:rsidR="005808AB">
        <w:t xml:space="preserve">by improving retention, performance and </w:t>
      </w:r>
      <w:r w:rsidR="00247FC2">
        <w:t xml:space="preserve">alignment with strategic goals. </w:t>
      </w:r>
    </w:p>
    <w:p w:rsidR="009678CE" w:rsidRDefault="009678CE" w:rsidP="00584448">
      <w:pPr>
        <w:pStyle w:val="NoSpacing"/>
        <w:jc w:val="both"/>
      </w:pPr>
    </w:p>
    <w:p w:rsidR="00716C77" w:rsidRDefault="00F73708" w:rsidP="00E70E47">
      <w:pPr>
        <w:pStyle w:val="NoSpacing"/>
        <w:jc w:val="both"/>
      </w:pPr>
      <w:r>
        <w:t>To measure the impact of people practices, Technivara could use return on investment (ROI) analysis</w:t>
      </w:r>
      <w:r w:rsidR="00716C77">
        <w:t xml:space="preserve"> </w:t>
      </w:r>
      <w:r w:rsidR="000727B1">
        <w:t>which</w:t>
      </w:r>
      <w:r w:rsidR="00716C77">
        <w:t xml:space="preserve"> is commonly used in private-sector organisations</w:t>
      </w:r>
      <w:r>
        <w:t xml:space="preserve">. ROI is expressed as a percentage and would measure how much value initiatives including recruitment, training, engagement and reward generate compared with their costs </w:t>
      </w:r>
      <w:r w:rsidR="00B63D7E">
        <w:t>(</w:t>
      </w:r>
      <w:r w:rsidR="00836CA8">
        <w:t>Findlay et al., 2018).</w:t>
      </w:r>
      <w:r w:rsidR="00E70E47">
        <w:t xml:space="preserve"> </w:t>
      </w:r>
      <w:r w:rsidR="00716C77">
        <w:t xml:space="preserve">For example, when delivering a new training programme </w:t>
      </w:r>
      <w:r w:rsidR="000727B1">
        <w:t>Technivara</w:t>
      </w:r>
      <w:r w:rsidR="00716C77">
        <w:t xml:space="preserve"> could use ROI to assess whether the benefits of the programme outweigh the costs of planning, delivering and supporting the programme. Tangible benefits such as cost savings, increased efficiency and revenue may be easier to quantify than intangible benefits such as</w:t>
      </w:r>
      <w:r w:rsidR="000727B1">
        <w:t xml:space="preserve"> reduced errors, </w:t>
      </w:r>
      <w:r w:rsidR="00716C77">
        <w:t>improved retention and engagement.</w:t>
      </w:r>
      <w:r w:rsidR="000727B1">
        <w:t xml:space="preserve"> </w:t>
      </w:r>
      <w:r w:rsidR="005808AB">
        <w:t>ROI is criticised because</w:t>
      </w:r>
      <w:r w:rsidR="000727B1">
        <w:t xml:space="preserve"> intangible benefits a</w:t>
      </w:r>
      <w:r w:rsidR="00E91E15">
        <w:t>re difficult to quantify</w:t>
      </w:r>
      <w:r w:rsidR="005808AB">
        <w:t>,</w:t>
      </w:r>
      <w:r w:rsidR="000727B1">
        <w:t xml:space="preserve"> impacting accuracy and relying on assumption. It is also calculated after the event, offering a retrospective view as opposed to cost-benefit analysis which aims to predict future results. That said, ROI would allow the people teams to demonstrate the value of HR practices in supporting strategic plans, performance and decisions. </w:t>
      </w:r>
    </w:p>
    <w:p w:rsidR="000727B1" w:rsidRDefault="000727B1" w:rsidP="00E70E47">
      <w:pPr>
        <w:pStyle w:val="NoSpacing"/>
        <w:jc w:val="both"/>
      </w:pPr>
    </w:p>
    <w:p w:rsidR="00E43844" w:rsidRDefault="00D80FD0" w:rsidP="00584448">
      <w:pPr>
        <w:pStyle w:val="NoSpacing"/>
        <w:jc w:val="both"/>
      </w:pPr>
      <w:r>
        <w:t xml:space="preserve">Technivara could also implement key performance indicators (KPIs) to measure the value </w:t>
      </w:r>
      <w:r w:rsidR="005808AB">
        <w:t>of</w:t>
      </w:r>
      <w:r>
        <w:t xml:space="preserve"> people practices</w:t>
      </w:r>
      <w:r w:rsidR="0059182F">
        <w:t xml:space="preserve"> and to ensure alignment with organisational goals (</w:t>
      </w:r>
      <w:r w:rsidR="00A348E7">
        <w:t>CIPD, 2026)</w:t>
      </w:r>
      <w:r>
        <w:t xml:space="preserve">. KPIs </w:t>
      </w:r>
      <w:r w:rsidR="0059182F">
        <w:t>c</w:t>
      </w:r>
      <w:r>
        <w:t xml:space="preserve">ould provide metrics across multiple areas including recruitment </w:t>
      </w:r>
      <w:r w:rsidR="00763F74">
        <w:t>(t</w:t>
      </w:r>
      <w:r>
        <w:t>ime to hire, co</w:t>
      </w:r>
      <w:r w:rsidR="00763F74">
        <w:t>s</w:t>
      </w:r>
      <w:r w:rsidR="0059182F">
        <w:t xml:space="preserve">t per hire, </w:t>
      </w:r>
      <w:r w:rsidR="00763F74">
        <w:t>quality of hire), retention (turnover and retention rates), training and development (completion rates, ROI) and engagement (absenteeism rates, employee engagement scores)</w:t>
      </w:r>
      <w:r w:rsidR="00810782">
        <w:t xml:space="preserve"> (</w:t>
      </w:r>
      <w:proofErr w:type="spellStart"/>
      <w:r w:rsidR="00810782">
        <w:t>Parmenter</w:t>
      </w:r>
      <w:proofErr w:type="spellEnd"/>
      <w:r w:rsidR="00810782">
        <w:t>, 2014)</w:t>
      </w:r>
      <w:r w:rsidR="00763F74">
        <w:t xml:space="preserve">. </w:t>
      </w:r>
      <w:r w:rsidR="0059182F">
        <w:t>KPIs could enable the people team to identify issues early and implement mitigate strategies to reduce potential negative impacts</w:t>
      </w:r>
      <w:r w:rsidR="00810782">
        <w:t xml:space="preserve"> (Agile HR Analytics, 2026)</w:t>
      </w:r>
      <w:r w:rsidR="0059182F">
        <w:t xml:space="preserve">. One limitation is that effective KPI reporting requires robust technology and reporting tools. The could be addressed by implementing the digital HR system which would facilitate data-driven decisions, improve accessibility to insights, enable benchmarking (internal and external) and strengthen the evidence of the value people practices deliver. </w:t>
      </w:r>
    </w:p>
    <w:p w:rsidR="00E43844" w:rsidRDefault="00E43844" w:rsidP="00584448">
      <w:pPr>
        <w:pStyle w:val="NoSpacing"/>
        <w:jc w:val="both"/>
      </w:pPr>
    </w:p>
    <w:p w:rsidR="00BB52D8" w:rsidRDefault="00BB52D8" w:rsidP="00584448">
      <w:pPr>
        <w:pStyle w:val="NoSpacing"/>
        <w:jc w:val="both"/>
      </w:pPr>
    </w:p>
    <w:p w:rsidR="00BB52D8" w:rsidRDefault="00BB52D8" w:rsidP="00584448">
      <w:pPr>
        <w:pStyle w:val="NoSpacing"/>
        <w:jc w:val="both"/>
      </w:pPr>
    </w:p>
    <w:p w:rsidR="00BB52D8" w:rsidRDefault="00BB52D8" w:rsidP="00584448">
      <w:pPr>
        <w:pStyle w:val="NoSpacing"/>
        <w:jc w:val="both"/>
      </w:pPr>
    </w:p>
    <w:p w:rsidR="00BB52D8" w:rsidRDefault="00BB52D8" w:rsidP="00584448">
      <w:pPr>
        <w:pStyle w:val="NoSpacing"/>
        <w:jc w:val="both"/>
      </w:pPr>
    </w:p>
    <w:p w:rsidR="00BB52D8" w:rsidRDefault="00BB52D8" w:rsidP="00584448">
      <w:pPr>
        <w:pStyle w:val="NoSpacing"/>
        <w:jc w:val="both"/>
      </w:pPr>
    </w:p>
    <w:p w:rsidR="00BB52D8" w:rsidRDefault="00BB52D8" w:rsidP="00584448">
      <w:pPr>
        <w:pStyle w:val="NoSpacing"/>
        <w:jc w:val="both"/>
      </w:pPr>
    </w:p>
    <w:p w:rsidR="00BB52D8" w:rsidRDefault="00BB52D8" w:rsidP="00584448">
      <w:pPr>
        <w:pStyle w:val="NoSpacing"/>
        <w:jc w:val="both"/>
      </w:pPr>
    </w:p>
    <w:p w:rsidR="00BB52D8" w:rsidRDefault="00BB52D8" w:rsidP="00584448">
      <w:pPr>
        <w:pStyle w:val="NoSpacing"/>
        <w:jc w:val="both"/>
      </w:pPr>
    </w:p>
    <w:p w:rsidR="00BB52D8" w:rsidRDefault="00BB52D8" w:rsidP="00584448">
      <w:pPr>
        <w:pStyle w:val="NoSpacing"/>
        <w:jc w:val="both"/>
      </w:pPr>
    </w:p>
    <w:p w:rsidR="00BB52D8" w:rsidRDefault="00BB52D8" w:rsidP="00584448">
      <w:pPr>
        <w:pStyle w:val="NoSpacing"/>
        <w:jc w:val="both"/>
      </w:pPr>
    </w:p>
    <w:p w:rsidR="00BB52D8" w:rsidRDefault="00BB52D8" w:rsidP="00584448">
      <w:pPr>
        <w:pStyle w:val="NoSpacing"/>
        <w:jc w:val="both"/>
      </w:pPr>
    </w:p>
    <w:p w:rsidR="00BB52D8" w:rsidRDefault="00BB52D8" w:rsidP="00584448">
      <w:pPr>
        <w:pStyle w:val="NoSpacing"/>
        <w:jc w:val="both"/>
      </w:pPr>
    </w:p>
    <w:p w:rsidR="00BB52D8" w:rsidRDefault="00BB52D8" w:rsidP="00584448">
      <w:pPr>
        <w:pStyle w:val="NoSpacing"/>
        <w:jc w:val="both"/>
      </w:pPr>
    </w:p>
    <w:p w:rsidR="00BB52D8" w:rsidRDefault="00BB52D8" w:rsidP="00584448">
      <w:pPr>
        <w:pStyle w:val="NoSpacing"/>
        <w:jc w:val="both"/>
      </w:pPr>
    </w:p>
    <w:p w:rsidR="00BB52D8" w:rsidRDefault="00BB52D8" w:rsidP="00584448">
      <w:pPr>
        <w:pStyle w:val="NoSpacing"/>
        <w:jc w:val="both"/>
      </w:pPr>
    </w:p>
    <w:p w:rsidR="00BB52D8" w:rsidRDefault="00BB52D8" w:rsidP="00584448">
      <w:pPr>
        <w:pStyle w:val="NoSpacing"/>
        <w:jc w:val="both"/>
      </w:pPr>
    </w:p>
    <w:p w:rsidR="00EB59BF" w:rsidRDefault="00CE7801" w:rsidP="0059182F">
      <w:pPr>
        <w:pStyle w:val="NoSpacing"/>
        <w:jc w:val="both"/>
        <w:rPr>
          <w:b/>
        </w:rPr>
      </w:pPr>
      <w:r>
        <w:rPr>
          <w:b/>
        </w:rPr>
        <w:lastRenderedPageBreak/>
        <w:t>Q</w:t>
      </w:r>
      <w:r w:rsidRPr="00CE7801">
        <w:rPr>
          <w:b/>
        </w:rPr>
        <w:t xml:space="preserve">8. </w:t>
      </w:r>
      <w:r w:rsidRPr="00CE7801">
        <w:rPr>
          <w:b/>
          <w:bCs/>
        </w:rPr>
        <w:t>Table 1</w:t>
      </w:r>
      <w:r w:rsidRPr="00CE7801">
        <w:rPr>
          <w:b/>
        </w:rPr>
        <w:t xml:space="preserve"> shows </w:t>
      </w:r>
      <w:proofErr w:type="spellStart"/>
      <w:r w:rsidRPr="00CE7801">
        <w:rPr>
          <w:b/>
        </w:rPr>
        <w:t>Technivara's</w:t>
      </w:r>
      <w:proofErr w:type="spellEnd"/>
      <w:r w:rsidRPr="00CE7801">
        <w:rPr>
          <w:b/>
        </w:rPr>
        <w:t xml:space="preserve"> turnover and recruitment data for 2024. Sue has asked you to convert the data into percentage form, for each of the departments, to show:</w:t>
      </w:r>
      <w:r w:rsidR="0059182F">
        <w:rPr>
          <w:b/>
        </w:rPr>
        <w:t xml:space="preserve"> </w:t>
      </w:r>
      <w:r w:rsidRPr="00CE7801">
        <w:rPr>
          <w:b/>
        </w:rPr>
        <w:t>leavers as a % o</w:t>
      </w:r>
      <w:r w:rsidR="0059182F">
        <w:rPr>
          <w:b/>
        </w:rPr>
        <w:t xml:space="preserve">f the total number of employees, </w:t>
      </w:r>
      <w:r w:rsidRPr="00CE7801">
        <w:rPr>
          <w:b/>
        </w:rPr>
        <w:t>vacancies as % of the total number of employees</w:t>
      </w:r>
      <w:r w:rsidR="0059182F">
        <w:rPr>
          <w:b/>
        </w:rPr>
        <w:t xml:space="preserve">, </w:t>
      </w:r>
      <w:r w:rsidRPr="00CE7801">
        <w:rPr>
          <w:b/>
        </w:rPr>
        <w:t>positions filled as a % of the total number of employees (AC 2.1)</w:t>
      </w:r>
    </w:p>
    <w:p w:rsidR="00E82BF9" w:rsidRDefault="00E82BF9" w:rsidP="00E82BF9">
      <w:pPr>
        <w:pStyle w:val="NoSpacing"/>
        <w:jc w:val="both"/>
        <w:rPr>
          <w:b/>
        </w:rPr>
      </w:pPr>
      <w:r>
        <w:rPr>
          <w:noProof/>
          <w:lang w:eastAsia="en-GB"/>
        </w:rPr>
        <w:drawing>
          <wp:anchor distT="0" distB="0" distL="114300" distR="114300" simplePos="0" relativeHeight="251661312" behindDoc="0" locked="0" layoutInCell="1" allowOverlap="1">
            <wp:simplePos x="0" y="0"/>
            <wp:positionH relativeFrom="margin">
              <wp:align>center</wp:align>
            </wp:positionH>
            <wp:positionV relativeFrom="paragraph">
              <wp:posOffset>173355</wp:posOffset>
            </wp:positionV>
            <wp:extent cx="6957695" cy="2352675"/>
            <wp:effectExtent l="0" t="0" r="0"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957695" cy="2352675"/>
                    </a:xfrm>
                    <a:prstGeom prst="rect">
                      <a:avLst/>
                    </a:prstGeom>
                  </pic:spPr>
                </pic:pic>
              </a:graphicData>
            </a:graphic>
            <wp14:sizeRelH relativeFrom="page">
              <wp14:pctWidth>0</wp14:pctWidth>
            </wp14:sizeRelH>
            <wp14:sizeRelV relativeFrom="page">
              <wp14:pctHeight>0</wp14:pctHeight>
            </wp14:sizeRelV>
          </wp:anchor>
        </w:drawing>
      </w:r>
    </w:p>
    <w:p w:rsidR="00E82BF9" w:rsidRPr="00EB59BF" w:rsidRDefault="00E82BF9" w:rsidP="00E82BF9">
      <w:pPr>
        <w:pStyle w:val="NoSpacing"/>
        <w:jc w:val="both"/>
        <w:rPr>
          <w:b/>
        </w:rPr>
      </w:pPr>
    </w:p>
    <w:p w:rsidR="00EB59BF" w:rsidRDefault="00EB59BF" w:rsidP="00584448">
      <w:pPr>
        <w:pStyle w:val="NoSpacing"/>
        <w:jc w:val="both"/>
      </w:pPr>
    </w:p>
    <w:p w:rsidR="00CE7801" w:rsidRDefault="00EB59BF" w:rsidP="00E82BF9">
      <w:pPr>
        <w:pStyle w:val="NoSpacing"/>
        <w:jc w:val="both"/>
        <w:rPr>
          <w:b/>
        </w:rPr>
      </w:pPr>
      <w:r w:rsidRPr="00EB59BF">
        <w:rPr>
          <w:b/>
          <w:bCs/>
        </w:rPr>
        <w:t>Q9.</w:t>
      </w:r>
      <w:r w:rsidRPr="00EB59BF">
        <w:rPr>
          <w:b/>
        </w:rPr>
        <w:t xml:space="preserve"> When you have completed </w:t>
      </w:r>
      <w:r w:rsidRPr="00EB59BF">
        <w:rPr>
          <w:b/>
          <w:bCs/>
        </w:rPr>
        <w:t>Table 1</w:t>
      </w:r>
      <w:r w:rsidRPr="00EB59BF">
        <w:rPr>
          <w:b/>
        </w:rPr>
        <w:t>, present your findings using a minimum of </w:t>
      </w:r>
      <w:r w:rsidRPr="00EB59BF">
        <w:rPr>
          <w:b/>
          <w:bCs/>
        </w:rPr>
        <w:t>three</w:t>
      </w:r>
      <w:r w:rsidRPr="00EB59BF">
        <w:rPr>
          <w:b/>
        </w:rPr>
        <w:t> different types of diagrammatical forms. (AC 2.2)</w:t>
      </w:r>
    </w:p>
    <w:p w:rsidR="00BB52D8" w:rsidRPr="007A7D72" w:rsidRDefault="00BB52D8" w:rsidP="00E82BF9">
      <w:pPr>
        <w:pStyle w:val="NoSpacing"/>
        <w:jc w:val="both"/>
        <w:rPr>
          <w:b/>
        </w:rPr>
      </w:pPr>
      <w:r>
        <w:rPr>
          <w:noProof/>
          <w:lang w:eastAsia="en-GB"/>
        </w:rPr>
        <w:drawing>
          <wp:anchor distT="0" distB="0" distL="114300" distR="114300" simplePos="0" relativeHeight="251659264" behindDoc="0" locked="0" layoutInCell="1" allowOverlap="1">
            <wp:simplePos x="0" y="0"/>
            <wp:positionH relativeFrom="margin">
              <wp:posOffset>-369880</wp:posOffset>
            </wp:positionH>
            <wp:positionV relativeFrom="paragraph">
              <wp:posOffset>295689</wp:posOffset>
            </wp:positionV>
            <wp:extent cx="6523990" cy="337883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523990" cy="3378835"/>
                    </a:xfrm>
                    <a:prstGeom prst="rect">
                      <a:avLst/>
                    </a:prstGeom>
                  </pic:spPr>
                </pic:pic>
              </a:graphicData>
            </a:graphic>
            <wp14:sizeRelH relativeFrom="page">
              <wp14:pctWidth>0</wp14:pctWidth>
            </wp14:sizeRelH>
            <wp14:sizeRelV relativeFrom="page">
              <wp14:pctHeight>0</wp14:pctHeight>
            </wp14:sizeRelV>
          </wp:anchor>
        </w:drawing>
      </w:r>
    </w:p>
    <w:p w:rsidR="00CE7801" w:rsidRDefault="0059182F" w:rsidP="00584448">
      <w:pPr>
        <w:pStyle w:val="NoSpacing"/>
        <w:jc w:val="both"/>
      </w:pPr>
      <w:r>
        <w:rPr>
          <w:noProof/>
          <w:lang w:eastAsia="en-GB"/>
        </w:rPr>
        <w:lastRenderedPageBreak/>
        <w:drawing>
          <wp:anchor distT="0" distB="0" distL="114300" distR="114300" simplePos="0" relativeHeight="251662336" behindDoc="0" locked="0" layoutInCell="1" allowOverlap="1">
            <wp:simplePos x="0" y="0"/>
            <wp:positionH relativeFrom="margin">
              <wp:align>center</wp:align>
            </wp:positionH>
            <wp:positionV relativeFrom="paragraph">
              <wp:posOffset>3752734</wp:posOffset>
            </wp:positionV>
            <wp:extent cx="6567170" cy="3441700"/>
            <wp:effectExtent l="0" t="0" r="5080" b="635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567170" cy="34417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532880" cy="3514090"/>
            <wp:effectExtent l="0" t="0" r="127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532880" cy="3514090"/>
                    </a:xfrm>
                    <a:prstGeom prst="rect">
                      <a:avLst/>
                    </a:prstGeom>
                  </pic:spPr>
                </pic:pic>
              </a:graphicData>
            </a:graphic>
            <wp14:sizeRelH relativeFrom="page">
              <wp14:pctWidth>0</wp14:pctWidth>
            </wp14:sizeRelH>
            <wp14:sizeRelV relativeFrom="page">
              <wp14:pctHeight>0</wp14:pctHeight>
            </wp14:sizeRelV>
          </wp:anchor>
        </w:drawing>
      </w:r>
    </w:p>
    <w:p w:rsidR="00CE7801" w:rsidRDefault="00CE7801" w:rsidP="00584448">
      <w:pPr>
        <w:pStyle w:val="NoSpacing"/>
        <w:jc w:val="both"/>
      </w:pPr>
    </w:p>
    <w:p w:rsidR="00CE7801" w:rsidRDefault="00CE7801" w:rsidP="00584448">
      <w:pPr>
        <w:pStyle w:val="NoSpacing"/>
        <w:jc w:val="both"/>
      </w:pPr>
    </w:p>
    <w:p w:rsidR="00A3415C" w:rsidRDefault="00A3415C" w:rsidP="00A3415C">
      <w:pPr>
        <w:pStyle w:val="NoSpacing"/>
        <w:jc w:val="both"/>
      </w:pPr>
    </w:p>
    <w:p w:rsidR="00A3415C" w:rsidRDefault="00A3415C" w:rsidP="00A3415C">
      <w:pPr>
        <w:pStyle w:val="NoSpacing"/>
        <w:jc w:val="both"/>
      </w:pPr>
    </w:p>
    <w:p w:rsidR="00A3415C" w:rsidRDefault="00A3415C" w:rsidP="00A3415C">
      <w:pPr>
        <w:pStyle w:val="NoSpacing"/>
        <w:jc w:val="both"/>
      </w:pPr>
    </w:p>
    <w:p w:rsidR="00A3415C" w:rsidRDefault="00A3415C" w:rsidP="00A3415C">
      <w:pPr>
        <w:pStyle w:val="NoSpacing"/>
        <w:jc w:val="both"/>
      </w:pPr>
    </w:p>
    <w:p w:rsidR="00A3415C" w:rsidRDefault="00A3415C" w:rsidP="00A3415C">
      <w:pPr>
        <w:pStyle w:val="NoSpacing"/>
        <w:jc w:val="both"/>
      </w:pPr>
    </w:p>
    <w:p w:rsidR="00A3415C" w:rsidRDefault="00A3415C" w:rsidP="00A3415C">
      <w:pPr>
        <w:pStyle w:val="NoSpacing"/>
        <w:jc w:val="both"/>
        <w:rPr>
          <w:b/>
        </w:rPr>
      </w:pPr>
      <w:r w:rsidRPr="00005A62">
        <w:rPr>
          <w:b/>
          <w:bCs/>
        </w:rPr>
        <w:lastRenderedPageBreak/>
        <w:t>Q10. Table 2</w:t>
      </w:r>
      <w:r w:rsidRPr="00005A62">
        <w:rPr>
          <w:b/>
        </w:rPr>
        <w:t xml:space="preserve"> contains evaluation feedback from 42 employees who attended a recent learning and development activity. Sue would like you to review the feedback and identify patterns, themes or trends that might be occurring and make recommendations based on your findings. (AC 2.3)</w:t>
      </w:r>
    </w:p>
    <w:p w:rsidR="00363F71" w:rsidRDefault="00363F71" w:rsidP="00A3415C">
      <w:pPr>
        <w:pStyle w:val="NoSpacing"/>
        <w:jc w:val="both"/>
        <w:rPr>
          <w:b/>
        </w:rPr>
      </w:pPr>
    </w:p>
    <w:p w:rsidR="007A0EEA" w:rsidRDefault="007A0EEA" w:rsidP="00A3415C">
      <w:pPr>
        <w:pStyle w:val="NoSpacing"/>
        <w:jc w:val="both"/>
      </w:pPr>
      <w:r>
        <w:t>The evaluation feedback in Table 2 highlights a number of recurring patterns</w:t>
      </w:r>
      <w:r w:rsidR="00E50696">
        <w:t xml:space="preserve"> and themes</w:t>
      </w:r>
      <w:r>
        <w:t xml:space="preserve"> relating to the quality of delivery, effectiveness of learning design, engagement levels and practical application of learning </w:t>
      </w:r>
      <w:r w:rsidR="00630AA0">
        <w:t>at Technivara</w:t>
      </w:r>
      <w:r>
        <w:t xml:space="preserve">. </w:t>
      </w:r>
    </w:p>
    <w:p w:rsidR="00855E69" w:rsidRDefault="00855E69" w:rsidP="00A3415C">
      <w:pPr>
        <w:pStyle w:val="NoSpacing"/>
        <w:jc w:val="both"/>
      </w:pPr>
    </w:p>
    <w:p w:rsidR="00E50696" w:rsidRDefault="00855E69" w:rsidP="00D778DC">
      <w:pPr>
        <w:pStyle w:val="NoSpacing"/>
        <w:jc w:val="both"/>
      </w:pPr>
      <w:r>
        <w:t xml:space="preserve">The data </w:t>
      </w:r>
      <w:r w:rsidR="00087FF7">
        <w:t>shows</w:t>
      </w:r>
      <w:r>
        <w:t xml:space="preserve"> that the facilitator demonstrated strong subject expertise and </w:t>
      </w:r>
      <w:r w:rsidR="00F65EFE">
        <w:t xml:space="preserve">was </w:t>
      </w:r>
      <w:r w:rsidR="00087FF7">
        <w:t>prepared</w:t>
      </w:r>
      <w:r>
        <w:t xml:space="preserve"> for </w:t>
      </w:r>
      <w:r w:rsidR="00E50696">
        <w:t xml:space="preserve">the session as reflected in </w:t>
      </w:r>
      <w:r>
        <w:t xml:space="preserve">consistently high </w:t>
      </w:r>
      <w:r w:rsidR="00E50696">
        <w:t>employee ratings</w:t>
      </w:r>
      <w:r>
        <w:t xml:space="preserve"> for their knowledge and the</w:t>
      </w:r>
      <w:r w:rsidR="00E50696">
        <w:t xml:space="preserve"> quality of training materials. This aligns with research showing that skilled facilitators and thoughtfully prepared materials enhance perceived training quality and learner engagement (</w:t>
      </w:r>
      <w:r w:rsidR="00E50696">
        <w:t>Salas</w:t>
      </w:r>
      <w:r w:rsidR="00CE5847">
        <w:t xml:space="preserve"> </w:t>
      </w:r>
      <w:r w:rsidR="00CE5847">
        <w:rPr>
          <w:i/>
        </w:rPr>
        <w:t>et al</w:t>
      </w:r>
      <w:r w:rsidR="00E50696">
        <w:t>, 2012; CIPD, 202</w:t>
      </w:r>
      <w:r w:rsidR="00CE5847">
        <w:t>4</w:t>
      </w:r>
      <w:r w:rsidR="00E50696">
        <w:t>).</w:t>
      </w:r>
      <w:r w:rsidR="00E50696">
        <w:t xml:space="preserve"> </w:t>
      </w:r>
      <w:r>
        <w:t>However, the high</w:t>
      </w:r>
      <w:r w:rsidR="00087FF7">
        <w:t xml:space="preserve"> level of</w:t>
      </w:r>
      <w:r>
        <w:t xml:space="preserve"> disagreemen</w:t>
      </w:r>
      <w:r w:rsidR="00087FF7">
        <w:t xml:space="preserve">t regarding opportunities for meaningful questioning suggests </w:t>
      </w:r>
      <w:r w:rsidR="00E50696">
        <w:t>the session was largely one-way with lim</w:t>
      </w:r>
      <w:r w:rsidR="00DF353E">
        <w:t>ited scope for employee input or</w:t>
      </w:r>
      <w:r w:rsidR="00E50696">
        <w:t xml:space="preserve"> collaborative discussion. </w:t>
      </w:r>
    </w:p>
    <w:p w:rsidR="00E50696" w:rsidRDefault="00E50696" w:rsidP="00D778DC">
      <w:pPr>
        <w:pStyle w:val="NoSpacing"/>
        <w:jc w:val="both"/>
      </w:pPr>
    </w:p>
    <w:p w:rsidR="00C33CA0" w:rsidRDefault="00C33CA0" w:rsidP="00D778DC">
      <w:pPr>
        <w:pStyle w:val="NoSpacing"/>
        <w:jc w:val="both"/>
      </w:pPr>
      <w:r w:rsidRPr="005E73A1">
        <w:t>Bandura</w:t>
      </w:r>
      <w:r w:rsidR="00E50696">
        <w:t>’s (1977) s</w:t>
      </w:r>
      <w:r>
        <w:t xml:space="preserve">ocial learning theory </w:t>
      </w:r>
      <w:r>
        <w:t>proposes</w:t>
      </w:r>
      <w:r>
        <w:t xml:space="preserve"> that learning occurs cognitively within a social </w:t>
      </w:r>
      <w:r>
        <w:t xml:space="preserve">context through observation, modelling and active interaction. </w:t>
      </w:r>
      <w:r w:rsidR="00E50696">
        <w:t>Effective learning relies</w:t>
      </w:r>
      <w:r>
        <w:t xml:space="preserve"> on four </w:t>
      </w:r>
      <w:r w:rsidR="00E50696">
        <w:t xml:space="preserve">key </w:t>
      </w:r>
      <w:r>
        <w:t>process</w:t>
      </w:r>
      <w:r w:rsidR="0029382F">
        <w:t>es</w:t>
      </w:r>
      <w:r>
        <w:t xml:space="preserve"> including attention, retention, reproduction and motivation with learners more likely to adopt behaviours and beliefs </w:t>
      </w:r>
      <w:r w:rsidR="00E50696">
        <w:t>demonstrated</w:t>
      </w:r>
      <w:r>
        <w:t xml:space="preserve"> by people they identify with or respect</w:t>
      </w:r>
      <w:r w:rsidR="00C307C5">
        <w:t xml:space="preserve"> (Bandura, 1977)</w:t>
      </w:r>
      <w:r>
        <w:t xml:space="preserve">. </w:t>
      </w:r>
      <w:r w:rsidR="00CE5847">
        <w:t>Although employees viewed the</w:t>
      </w:r>
      <w:r>
        <w:t xml:space="preserve"> </w:t>
      </w:r>
      <w:r w:rsidR="00AB72E9">
        <w:t>facilitato</w:t>
      </w:r>
      <w:r w:rsidR="00CE5847">
        <w:t xml:space="preserve">r </w:t>
      </w:r>
      <w:r w:rsidR="00C307C5">
        <w:t>positively</w:t>
      </w:r>
      <w:r w:rsidR="00AB72E9">
        <w:t xml:space="preserve">, the limited </w:t>
      </w:r>
      <w:r w:rsidR="00CE5847">
        <w:t xml:space="preserve">interaction </w:t>
      </w:r>
      <w:r w:rsidR="00110F0F">
        <w:t>may have reduced</w:t>
      </w:r>
      <w:r w:rsidR="00F83AEC">
        <w:t xml:space="preserve"> engagement. This could weaken</w:t>
      </w:r>
      <w:r w:rsidR="00110F0F">
        <w:t xml:space="preserve"> attention, retention and ultimately </w:t>
      </w:r>
      <w:proofErr w:type="gramStart"/>
      <w:r w:rsidR="00110F0F">
        <w:t>learning</w:t>
      </w:r>
      <w:proofErr w:type="gramEnd"/>
      <w:r w:rsidR="00110F0F">
        <w:t xml:space="preserve"> transfer which is a key factor of effective training</w:t>
      </w:r>
      <w:r w:rsidR="00CE5847">
        <w:t xml:space="preserve"> </w:t>
      </w:r>
      <w:r w:rsidR="00F65EFE">
        <w:t>(</w:t>
      </w:r>
      <w:proofErr w:type="spellStart"/>
      <w:r w:rsidR="00F65EFE">
        <w:t>Wisshak</w:t>
      </w:r>
      <w:proofErr w:type="spellEnd"/>
      <w:r w:rsidR="00F65EFE">
        <w:t xml:space="preserve">, </w:t>
      </w:r>
      <w:proofErr w:type="spellStart"/>
      <w:r w:rsidR="00F65EFE">
        <w:t>Naumann</w:t>
      </w:r>
      <w:proofErr w:type="spellEnd"/>
      <w:r w:rsidR="00F65EFE">
        <w:t xml:space="preserve"> and Koch, 2025</w:t>
      </w:r>
      <w:r w:rsidR="00F65EFE">
        <w:t>).</w:t>
      </w:r>
    </w:p>
    <w:p w:rsidR="00C33CA0" w:rsidRDefault="00C33CA0" w:rsidP="00D778DC">
      <w:pPr>
        <w:pStyle w:val="NoSpacing"/>
        <w:jc w:val="both"/>
      </w:pPr>
    </w:p>
    <w:p w:rsidR="0029382F" w:rsidRDefault="00F65EFE" w:rsidP="00A3415C">
      <w:pPr>
        <w:pStyle w:val="NoSpacing"/>
        <w:jc w:val="both"/>
      </w:pPr>
      <w:r>
        <w:t>This</w:t>
      </w:r>
      <w:r w:rsidR="00AB72E9">
        <w:t xml:space="preserve"> concern is </w:t>
      </w:r>
      <w:r w:rsidR="00CE5847">
        <w:t xml:space="preserve">reinforced </w:t>
      </w:r>
      <w:r w:rsidR="00AB72E9">
        <w:t xml:space="preserve">by the finding that whilst almost all employees agreed clear objectives were set at the start of the session the majority did not feel all learning outcomes were achieved. </w:t>
      </w:r>
      <w:r w:rsidR="007E4BFE">
        <w:t>This demonstrates the gap betw</w:t>
      </w:r>
      <w:r w:rsidR="0029382F">
        <w:t>een perceived satisfaction</w:t>
      </w:r>
      <w:r w:rsidR="007E4BFE">
        <w:t xml:space="preserve"> and actual learnin</w:t>
      </w:r>
      <w:r w:rsidR="0029382F">
        <w:t>g,</w:t>
      </w:r>
      <w:r w:rsidR="007E4BFE">
        <w:t xml:space="preserve"> aligning with Kirkpatrick’s (1976, cited in Bates, 20</w:t>
      </w:r>
      <w:r w:rsidR="0029382F">
        <w:t>0</w:t>
      </w:r>
      <w:r w:rsidR="007E4BFE">
        <w:t xml:space="preserve">4) four level training evaluation model. </w:t>
      </w:r>
      <w:r w:rsidR="0029382F">
        <w:t>This model shows that level 1 reaction scores such as learner enjoyment do not necessarily result in level 2 learning. Applied to the data</w:t>
      </w:r>
      <w:r w:rsidR="0029382F">
        <w:t xml:space="preserve">, this suggests that training resources may have been </w:t>
      </w:r>
      <w:r w:rsidR="00E120BF">
        <w:t>focused on</w:t>
      </w:r>
      <w:r w:rsidR="0029382F">
        <w:t xml:space="preserve"> creating a positive experience rather than facilitati</w:t>
      </w:r>
      <w:r w:rsidR="0029382F">
        <w:t>ng meaningful skill development (Bates, 2004).</w:t>
      </w:r>
      <w:r w:rsidR="00105AC6">
        <w:t xml:space="preserve"> </w:t>
      </w:r>
    </w:p>
    <w:p w:rsidR="00105AC6" w:rsidRDefault="00105AC6" w:rsidP="00A3415C">
      <w:pPr>
        <w:pStyle w:val="NoSpacing"/>
        <w:jc w:val="both"/>
      </w:pPr>
    </w:p>
    <w:p w:rsidR="00803C8C" w:rsidRDefault="00110F0F" w:rsidP="00803C8C">
      <w:pPr>
        <w:pStyle w:val="NoSpacing"/>
        <w:jc w:val="both"/>
      </w:pPr>
      <w:r>
        <w:t>The data further indicates a learning transfer gap as the majority of employees were neutral or negative about</w:t>
      </w:r>
      <w:r w:rsidR="00105AC6">
        <w:t xml:space="preserve"> their</w:t>
      </w:r>
      <w:r>
        <w:t xml:space="preserve"> ability to apply the knowledge and behaviours </w:t>
      </w:r>
      <w:r w:rsidR="00105AC6">
        <w:t>gained from the training to their roles. There was also high neutrality around how the training linked to their performance targets and low agreement that the session supported</w:t>
      </w:r>
      <w:r w:rsidR="00803C8C">
        <w:t xml:space="preserve"> individual</w:t>
      </w:r>
      <w:r w:rsidR="00105AC6">
        <w:t xml:space="preserve"> learning needs. </w:t>
      </w:r>
      <w:r w:rsidR="00803C8C">
        <w:t xml:space="preserve">One criticism of </w:t>
      </w:r>
      <w:r w:rsidR="00105AC6">
        <w:t xml:space="preserve">Kirkpatrick’s model </w:t>
      </w:r>
      <w:r w:rsidR="00803C8C">
        <w:t xml:space="preserve">is that it </w:t>
      </w:r>
      <w:r w:rsidR="00105AC6">
        <w:t xml:space="preserve">assumes that if learning </w:t>
      </w:r>
      <w:r w:rsidR="00803C8C">
        <w:t>occurs</w:t>
      </w:r>
      <w:r w:rsidR="00105AC6">
        <w:t xml:space="preserve"> through training </w:t>
      </w:r>
      <w:r w:rsidR="00803C8C">
        <w:t>it will lead to improved performance</w:t>
      </w:r>
      <w:r w:rsidR="00105AC6">
        <w:t xml:space="preserve"> (CIPD, 2025g). </w:t>
      </w:r>
      <w:r w:rsidR="00803C8C">
        <w:t xml:space="preserve">The Brinkerhoff Success Case Method (SCM) </w:t>
      </w:r>
      <w:r w:rsidR="00136668">
        <w:t>provides broader insight</w:t>
      </w:r>
      <w:r w:rsidR="00803C8C" w:rsidRPr="00803C8C">
        <w:t xml:space="preserve"> by</w:t>
      </w:r>
      <w:r w:rsidR="00803C8C">
        <w:t xml:space="preserve"> focusing on wo</w:t>
      </w:r>
      <w:r w:rsidR="00E120BF">
        <w:t>rkplace application,</w:t>
      </w:r>
      <w:r w:rsidR="00803C8C">
        <w:t xml:space="preserve"> </w:t>
      </w:r>
      <w:r w:rsidR="00AE0936">
        <w:t>success</w:t>
      </w:r>
      <w:r w:rsidR="00803C8C">
        <w:t xml:space="preserve"> and non-success cases and exploring wider factors that hinder performance improvement</w:t>
      </w:r>
      <w:r w:rsidR="00803C8C">
        <w:t xml:space="preserve"> (Brinkerhoff, 2005</w:t>
      </w:r>
      <w:r w:rsidR="00AE0936">
        <w:t>; CIPD 2025g</w:t>
      </w:r>
      <w:r w:rsidR="00803C8C">
        <w:t xml:space="preserve">). </w:t>
      </w:r>
      <w:r w:rsidR="00AE0936">
        <w:t>Ultimately, post-training support and reinforcement may be required to ensure effective application</w:t>
      </w:r>
      <w:r w:rsidR="00930FB3">
        <w:t>,</w:t>
      </w:r>
      <w:r w:rsidR="00AE0936">
        <w:t xml:space="preserve"> retention</w:t>
      </w:r>
      <w:r w:rsidR="00930FB3">
        <w:t xml:space="preserve"> and to combat the ‘forgetting curve’ (</w:t>
      </w:r>
      <w:proofErr w:type="spellStart"/>
      <w:r w:rsidR="00930FB3">
        <w:t>Murre</w:t>
      </w:r>
      <w:proofErr w:type="spellEnd"/>
      <w:r w:rsidR="00930FB3">
        <w:t xml:space="preserve"> and </w:t>
      </w:r>
      <w:proofErr w:type="spellStart"/>
      <w:r w:rsidR="00930FB3">
        <w:t>Dros</w:t>
      </w:r>
      <w:proofErr w:type="spellEnd"/>
      <w:r w:rsidR="00930FB3">
        <w:t>, 2015)</w:t>
      </w:r>
      <w:r w:rsidR="00930FB3">
        <w:t>.</w:t>
      </w:r>
    </w:p>
    <w:p w:rsidR="00803C8C" w:rsidRDefault="00803C8C" w:rsidP="00803C8C">
      <w:pPr>
        <w:pStyle w:val="NoSpacing"/>
        <w:jc w:val="both"/>
      </w:pPr>
    </w:p>
    <w:p w:rsidR="005A650C" w:rsidRDefault="007D6994" w:rsidP="005A650C">
      <w:pPr>
        <w:pStyle w:val="NoSpacing"/>
        <w:jc w:val="both"/>
      </w:pPr>
      <w:r>
        <w:t>The initial</w:t>
      </w:r>
      <w:r w:rsidR="00630AA0">
        <w:t xml:space="preserve"> recommendation </w:t>
      </w:r>
      <w:r w:rsidR="00AD642D">
        <w:t>is</w:t>
      </w:r>
      <w:r w:rsidR="00630AA0">
        <w:t xml:space="preserve"> </w:t>
      </w:r>
      <w:r>
        <w:t xml:space="preserve">to conduct a structured learning needs analysis </w:t>
      </w:r>
      <w:r w:rsidR="00F250F6">
        <w:t xml:space="preserve">(LNA) </w:t>
      </w:r>
      <w:r>
        <w:t>to ensure that future training directly address</w:t>
      </w:r>
      <w:r w:rsidR="00AD642D">
        <w:t>es</w:t>
      </w:r>
      <w:r>
        <w:t xml:space="preserve"> identified skills gaps and align</w:t>
      </w:r>
      <w:r w:rsidR="00AD642D">
        <w:t>s</w:t>
      </w:r>
      <w:r>
        <w:t xml:space="preserve"> with </w:t>
      </w:r>
      <w:proofErr w:type="spellStart"/>
      <w:r>
        <w:t>Technivara</w:t>
      </w:r>
      <w:r w:rsidR="00AD642D">
        <w:t>’s</w:t>
      </w:r>
      <w:proofErr w:type="spellEnd"/>
      <w:r w:rsidR="00AD642D">
        <w:t xml:space="preserve"> performance objectives</w:t>
      </w:r>
      <w:r>
        <w:t xml:space="preserve"> (CIPD, 2024b). This </w:t>
      </w:r>
      <w:r w:rsidR="00AD642D">
        <w:t>would address</w:t>
      </w:r>
      <w:r>
        <w:t xml:space="preserve"> the high neutrality around learning needs alignment </w:t>
      </w:r>
      <w:r w:rsidR="00AD642D">
        <w:t>and encourage links between training and organisational performance. A mixed-method approach could be adopted to gather quantitative and qualitative data through an electronically distributed employee survey, four facilitated focus groups and one hour interview with five managers or stakeholders (</w:t>
      </w:r>
      <w:r w:rsidR="00AD642D">
        <w:t>Armstrong and Taylor, 2014; Smith and Mitchell, 2022b).</w:t>
      </w:r>
      <w:r w:rsidR="005A650C">
        <w:t xml:space="preserve"> Existing performance data, KPIs and competency frameworks should be reviewed to support evidence-based decision making although this may be </w:t>
      </w:r>
      <w:r w:rsidR="00F250F6">
        <w:t>constrained</w:t>
      </w:r>
      <w:r w:rsidR="005A650C">
        <w:t xml:space="preserve"> by </w:t>
      </w:r>
      <w:proofErr w:type="spellStart"/>
      <w:r w:rsidR="005A650C">
        <w:t>Technivara’</w:t>
      </w:r>
      <w:r w:rsidR="000A2DD6">
        <w:t>s</w:t>
      </w:r>
      <w:proofErr w:type="spellEnd"/>
      <w:r w:rsidR="000A2DD6">
        <w:t xml:space="preserve"> paper-based systems.</w:t>
      </w:r>
    </w:p>
    <w:p w:rsidR="00F250F6" w:rsidRDefault="005A650C" w:rsidP="005A650C">
      <w:pPr>
        <w:pStyle w:val="NoSpacing"/>
        <w:jc w:val="both"/>
      </w:pPr>
      <w:r>
        <w:lastRenderedPageBreak/>
        <w:t xml:space="preserve">The </w:t>
      </w:r>
      <w:r w:rsidR="00F250F6">
        <w:t>LNA</w:t>
      </w:r>
      <w:r>
        <w:t xml:space="preserve"> </w:t>
      </w:r>
      <w:r>
        <w:t xml:space="preserve">could reasonably be completed within two to four weeks, allowing time </w:t>
      </w:r>
      <w:r>
        <w:t xml:space="preserve">for design, consultation and analysis (National Training, 2022). </w:t>
      </w:r>
      <w:r>
        <w:t>The total People Practice Advisor time required would equate to approximately thirty-seven hours, allowing six hours for survey design, testing and distribution, ten hours for focus group preparation and delivery, five hours for manager interviews and a sixteen hours for analysis and reporting (</w:t>
      </w:r>
      <w:r>
        <w:t xml:space="preserve">Blue Goose, 2025; </w:t>
      </w:r>
      <w:proofErr w:type="spellStart"/>
      <w:r>
        <w:t>FeedLearning</w:t>
      </w:r>
      <w:proofErr w:type="spellEnd"/>
      <w:r>
        <w:t>, 2025</w:t>
      </w:r>
      <w:r>
        <w:t xml:space="preserve">). </w:t>
      </w:r>
      <w:r>
        <w:t xml:space="preserve">Based on an estimated </w:t>
      </w:r>
      <w:r>
        <w:t xml:space="preserve">hourly rate of </w:t>
      </w:r>
      <w:r>
        <w:t>£18.62</w:t>
      </w:r>
      <w:r>
        <w:t xml:space="preserve"> for the People Practice Advisor</w:t>
      </w:r>
      <w:r w:rsidR="00E120BF">
        <w:t>,</w:t>
      </w:r>
      <w:r>
        <w:t xml:space="preserve"> the direct total cost for HR support would be £689 (Reed, 2026). </w:t>
      </w:r>
    </w:p>
    <w:p w:rsidR="00F250F6" w:rsidRDefault="00F250F6" w:rsidP="005A650C">
      <w:pPr>
        <w:pStyle w:val="NoSpacing"/>
        <w:jc w:val="both"/>
      </w:pPr>
    </w:p>
    <w:p w:rsidR="005A650C" w:rsidRDefault="005A650C" w:rsidP="005A650C">
      <w:pPr>
        <w:pStyle w:val="NoSpacing"/>
        <w:jc w:val="both"/>
      </w:pPr>
      <w:r>
        <w:t>Indirect costs would include twenty-one hours of employee survey completion time</w:t>
      </w:r>
      <w:r w:rsidR="00136668">
        <w:t xml:space="preserve"> (estimated thirty minutes per survey)</w:t>
      </w:r>
      <w:r>
        <w:t xml:space="preserve"> along with forty-two hours </w:t>
      </w:r>
      <w:r w:rsidR="00F250F6">
        <w:t>of employee time for participation in four one-hour focus groups with all empl</w:t>
      </w:r>
      <w:r w:rsidR="00E120BF">
        <w:t>oyees split across the sessions</w:t>
      </w:r>
      <w:r w:rsidR="00F250F6">
        <w:t xml:space="preserve"> in addition to five hours of manager interview time. These costs could be calculated with available salary information. </w:t>
      </w:r>
      <w:r>
        <w:t xml:space="preserve">Although this creates a short-term productivity impact, </w:t>
      </w:r>
      <w:r w:rsidR="00F250F6">
        <w:t xml:space="preserve">the cost is modest in relation to the anticipated benefits such as </w:t>
      </w:r>
      <w:r>
        <w:t xml:space="preserve">increased employee voice, more effective training spend, stronger return on investment and </w:t>
      </w:r>
      <w:r w:rsidR="00F250F6">
        <w:t xml:space="preserve">improved </w:t>
      </w:r>
      <w:r>
        <w:t xml:space="preserve">alignment with </w:t>
      </w:r>
      <w:proofErr w:type="spellStart"/>
      <w:r>
        <w:t>Technivara’s</w:t>
      </w:r>
      <w:proofErr w:type="spellEnd"/>
      <w:r>
        <w:t xml:space="preserve"> strategy. </w:t>
      </w:r>
    </w:p>
    <w:p w:rsidR="005A650C" w:rsidRDefault="005A650C" w:rsidP="005A650C">
      <w:pPr>
        <w:pStyle w:val="NoSpacing"/>
        <w:jc w:val="both"/>
      </w:pPr>
    </w:p>
    <w:p w:rsidR="005D3ABB" w:rsidRDefault="00F250F6" w:rsidP="00584448">
      <w:pPr>
        <w:pStyle w:val="NoSpacing"/>
        <w:jc w:val="both"/>
      </w:pPr>
      <w:r>
        <w:t xml:space="preserve">The second recommendation is </w:t>
      </w:r>
      <w:r w:rsidR="002D6A8B">
        <w:t xml:space="preserve">to redesign the delivery approach to increase interaction and improve the </w:t>
      </w:r>
      <w:r w:rsidR="004706A2">
        <w:t>learning transfer</w:t>
      </w:r>
      <w:r w:rsidR="00362624">
        <w:t xml:space="preserve"> within Technivara. Whilst</w:t>
      </w:r>
      <w:r w:rsidR="002D6A8B">
        <w:t xml:space="preserve"> a structured LNA </w:t>
      </w:r>
      <w:r w:rsidR="00362624">
        <w:t xml:space="preserve">will ensure that content is aligned to identified skills gaps, </w:t>
      </w:r>
      <w:r w:rsidR="002D6A8B">
        <w:t>t</w:t>
      </w:r>
      <w:r w:rsidR="00362624">
        <w:t>he feedback data shows</w:t>
      </w:r>
      <w:r w:rsidR="002D6A8B">
        <w:t xml:space="preserve"> </w:t>
      </w:r>
      <w:r w:rsidR="004706A2">
        <w:t>that</w:t>
      </w:r>
      <w:r w:rsidR="002D6A8B">
        <w:t xml:space="preserve"> facilitation style </w:t>
      </w:r>
      <w:r w:rsidR="004706A2">
        <w:t>must be adapted</w:t>
      </w:r>
      <w:r w:rsidR="002D6A8B">
        <w:t xml:space="preserve"> to </w:t>
      </w:r>
      <w:r w:rsidR="00362624">
        <w:t>enhance engagement, application and return of investment (</w:t>
      </w:r>
      <w:r w:rsidR="002D6A8B">
        <w:t>CIPD, 2024</w:t>
      </w:r>
      <w:r w:rsidR="002D6A8B">
        <w:t xml:space="preserve">). </w:t>
      </w:r>
      <w:r w:rsidR="00362624">
        <w:t xml:space="preserve">The delivery model should incorporate active learning techniques </w:t>
      </w:r>
      <w:r w:rsidR="004706A2">
        <w:t>such as</w:t>
      </w:r>
      <w:r w:rsidR="00362624">
        <w:t xml:space="preserve"> structured Q&amp;A intervals</w:t>
      </w:r>
      <w:r w:rsidR="004706A2">
        <w:t xml:space="preserve"> during the session</w:t>
      </w:r>
      <w:r w:rsidR="00362624">
        <w:t>, reflective activities to consolidate learning and group discussions to encourage collaboration and knowledge sharing (Bandura, 1977;</w:t>
      </w:r>
      <w:r w:rsidR="00DC6C94">
        <w:t xml:space="preserve"> </w:t>
      </w:r>
      <w:proofErr w:type="spellStart"/>
      <w:r w:rsidR="00DC6C94">
        <w:t>Tafvelin</w:t>
      </w:r>
      <w:proofErr w:type="spellEnd"/>
      <w:r w:rsidR="00DC6C94">
        <w:t xml:space="preserve"> et al., 2021</w:t>
      </w:r>
      <w:r w:rsidR="004706A2">
        <w:t>).</w:t>
      </w:r>
      <w:r w:rsidR="00362624">
        <w:t xml:space="preserve"> </w:t>
      </w:r>
      <w:r w:rsidR="004706A2">
        <w:t>Activity</w:t>
      </w:r>
      <w:r w:rsidR="00362624">
        <w:t xml:space="preserve"> booklets could</w:t>
      </w:r>
      <w:r w:rsidR="004706A2">
        <w:t xml:space="preserve"> also</w:t>
      </w:r>
      <w:r w:rsidR="00362624">
        <w:t xml:space="preserve"> be developed to support the sessions </w:t>
      </w:r>
      <w:r w:rsidR="004706A2">
        <w:t xml:space="preserve">and </w:t>
      </w:r>
      <w:r w:rsidR="00DC6C94">
        <w:t>provide a</w:t>
      </w:r>
      <w:r w:rsidR="00362624">
        <w:t xml:space="preserve"> post-training reference tool</w:t>
      </w:r>
      <w:r w:rsidR="00DC6C94">
        <w:t xml:space="preserve"> (</w:t>
      </w:r>
      <w:r w:rsidR="00DC6C94">
        <w:t xml:space="preserve">Salas </w:t>
      </w:r>
      <w:r w:rsidR="00DC6C94">
        <w:rPr>
          <w:i/>
        </w:rPr>
        <w:t xml:space="preserve">et al. </w:t>
      </w:r>
      <w:r w:rsidR="00DC6C94">
        <w:t>2012</w:t>
      </w:r>
      <w:r w:rsidR="00DC6C94">
        <w:t>)</w:t>
      </w:r>
      <w:r w:rsidR="00362624">
        <w:t xml:space="preserve">. </w:t>
      </w:r>
    </w:p>
    <w:p w:rsidR="00DC6C94" w:rsidRDefault="00DC6C94" w:rsidP="00584448">
      <w:pPr>
        <w:pStyle w:val="NoSpacing"/>
        <w:jc w:val="both"/>
      </w:pPr>
    </w:p>
    <w:p w:rsidR="00DC6C94" w:rsidRDefault="00DC6C94" w:rsidP="00584448">
      <w:pPr>
        <w:pStyle w:val="NoSpacing"/>
        <w:jc w:val="both"/>
      </w:pPr>
      <w:r>
        <w:t xml:space="preserve">From a costings perspective, </w:t>
      </w:r>
      <w:r w:rsidR="004706A2">
        <w:t xml:space="preserve">redesign and delivery testing could require eight to twelve hours of time from the People Practice Advisor, equating to a maximum cost of £298. </w:t>
      </w:r>
      <w:r>
        <w:t xml:space="preserve">Furthermore, if the training is </w:t>
      </w:r>
      <w:r w:rsidR="004706A2">
        <w:t>delivered internally by a Technivara employee it may be beneficial to provide access to an accredited train-the-trainer course to upskill the facilitator, typically costing £300-£800 (</w:t>
      </w:r>
      <w:r w:rsidR="004706A2">
        <w:t>The CPD Certification Service, 2024</w:t>
      </w:r>
      <w:r w:rsidR="004706A2">
        <w:t xml:space="preserve">; </w:t>
      </w:r>
      <w:r w:rsidR="004706A2">
        <w:t>The Mandatory Training Group, 2026</w:t>
      </w:r>
      <w:r w:rsidR="003D67AA">
        <w:t>).</w:t>
      </w:r>
      <w:r w:rsidR="004706A2">
        <w:t xml:space="preserve"> Indirect costs could result from longer session durations and additional employee engagement time but these are outweighed by the anticipated benefits such as improved learning transfer, engagement and training effectiveness.</w:t>
      </w:r>
    </w:p>
    <w:p w:rsidR="005D3ABB" w:rsidRDefault="005D3ABB" w:rsidP="00584448">
      <w:pPr>
        <w:pStyle w:val="NoSpacing"/>
        <w:jc w:val="both"/>
      </w:pPr>
    </w:p>
    <w:p w:rsidR="00584448" w:rsidRDefault="00987063" w:rsidP="00224E11">
      <w:pPr>
        <w:pStyle w:val="NoSpacing"/>
        <w:jc w:val="both"/>
        <w:rPr>
          <w:b/>
        </w:rPr>
      </w:pPr>
      <w:r>
        <w:rPr>
          <w:b/>
        </w:rPr>
        <w:t>Bibliography:</w:t>
      </w:r>
    </w:p>
    <w:p w:rsidR="00B81EC6" w:rsidRDefault="00B81EC6" w:rsidP="00224E11">
      <w:pPr>
        <w:pStyle w:val="NoSpacing"/>
        <w:jc w:val="both"/>
        <w:rPr>
          <w:b/>
        </w:rPr>
      </w:pPr>
    </w:p>
    <w:p w:rsidR="00810782" w:rsidRDefault="00810782" w:rsidP="00224E11">
      <w:pPr>
        <w:pStyle w:val="NoSpacing"/>
      </w:pPr>
      <w:r>
        <w:t xml:space="preserve">Agile HR Analytics (2026) </w:t>
      </w:r>
      <w:r w:rsidR="00224E11">
        <w:rPr>
          <w:rStyle w:val="Emphasis"/>
        </w:rPr>
        <w:t>HR performance KPIs: k</w:t>
      </w:r>
      <w:r>
        <w:rPr>
          <w:rStyle w:val="Emphasis"/>
        </w:rPr>
        <w:t>ey metrics to drive organisational impact</w:t>
      </w:r>
      <w:r>
        <w:t>. Available at:</w:t>
      </w:r>
      <w:r w:rsidRPr="00810782">
        <w:t xml:space="preserve"> </w:t>
      </w:r>
      <w:hyperlink r:id="rId12" w:history="1">
        <w:r w:rsidRPr="00E342C0">
          <w:rPr>
            <w:rStyle w:val="Hyperlink"/>
          </w:rPr>
          <w:t>https://www.agile-hr-analytics.com/hr-performance-kpis-guide/</w:t>
        </w:r>
      </w:hyperlink>
      <w:r>
        <w:t xml:space="preserve"> (Accessed: 31</w:t>
      </w:r>
      <w:r w:rsidRPr="00B81EC6">
        <w:t xml:space="preserve"> January 2026).</w:t>
      </w:r>
    </w:p>
    <w:p w:rsidR="00810782" w:rsidRDefault="00810782" w:rsidP="00224E11">
      <w:pPr>
        <w:pStyle w:val="NoSpacing"/>
        <w:rPr>
          <w:b/>
        </w:rPr>
      </w:pPr>
    </w:p>
    <w:p w:rsidR="00714464" w:rsidRDefault="00BD2410" w:rsidP="00224E11">
      <w:pPr>
        <w:pStyle w:val="NoSpacing"/>
      </w:pPr>
      <w:r>
        <w:t>Al</w:t>
      </w:r>
      <w:r>
        <w:noBreakHyphen/>
      </w:r>
      <w:proofErr w:type="spellStart"/>
      <w:r>
        <w:t>Suraihi</w:t>
      </w:r>
      <w:proofErr w:type="spellEnd"/>
      <w:r>
        <w:t xml:space="preserve">, W.A., </w:t>
      </w:r>
      <w:proofErr w:type="spellStart"/>
      <w:r>
        <w:t>Samikon</w:t>
      </w:r>
      <w:proofErr w:type="spellEnd"/>
      <w:r>
        <w:t>, S.A., Al</w:t>
      </w:r>
      <w:r>
        <w:noBreakHyphen/>
      </w:r>
      <w:proofErr w:type="spellStart"/>
      <w:r>
        <w:t>Suraihi</w:t>
      </w:r>
      <w:proofErr w:type="spellEnd"/>
      <w:r>
        <w:t>, A.A. and Ibrahim, I. (20</w:t>
      </w:r>
      <w:r w:rsidR="00237336">
        <w:t xml:space="preserve">21) ‘Employee turnover: causes, </w:t>
      </w:r>
      <w:r>
        <w:t xml:space="preserve">importance and retention strategies’, </w:t>
      </w:r>
      <w:r>
        <w:rPr>
          <w:rStyle w:val="Emphasis"/>
        </w:rPr>
        <w:t>European Journal of Business and Management Research</w:t>
      </w:r>
      <w:r>
        <w:t xml:space="preserve">, 6(3), pp. 1–10. </w:t>
      </w:r>
      <w:r w:rsidR="004540C0">
        <w:t>Available at:</w:t>
      </w:r>
      <w:r w:rsidR="00E342C0">
        <w:t xml:space="preserve"> </w:t>
      </w:r>
      <w:hyperlink r:id="rId13" w:history="1">
        <w:r w:rsidR="00714464" w:rsidRPr="00F03159">
          <w:rPr>
            <w:rStyle w:val="Hyperlink"/>
          </w:rPr>
          <w:t>https://doi.org/10.24018/ejbmr.2021.6.3.893</w:t>
        </w:r>
      </w:hyperlink>
    </w:p>
    <w:p w:rsidR="00BD2410" w:rsidRDefault="00BD2410" w:rsidP="00224E11">
      <w:pPr>
        <w:pStyle w:val="NoSpacing"/>
      </w:pPr>
    </w:p>
    <w:p w:rsidR="00D33C50" w:rsidRDefault="00D33C50" w:rsidP="00224E11">
      <w:pPr>
        <w:pStyle w:val="NoSpacing"/>
      </w:pPr>
      <w:r w:rsidRPr="00D33C50">
        <w:t xml:space="preserve">Armstrong, M. and Taylor, S. (2014) </w:t>
      </w:r>
      <w:r w:rsidR="004E191E">
        <w:rPr>
          <w:i/>
          <w:iCs/>
        </w:rPr>
        <w:t>Armstrong’s handbook of human resource m</w:t>
      </w:r>
      <w:r w:rsidR="00714464">
        <w:rPr>
          <w:i/>
          <w:iCs/>
        </w:rPr>
        <w:t>anagement p</w:t>
      </w:r>
      <w:r w:rsidRPr="00D33C50">
        <w:rPr>
          <w:i/>
          <w:iCs/>
        </w:rPr>
        <w:t>ractice</w:t>
      </w:r>
      <w:r w:rsidRPr="00D33C50">
        <w:t xml:space="preserve">. 13th </w:t>
      </w:r>
      <w:proofErr w:type="spellStart"/>
      <w:r w:rsidRPr="00D33C50">
        <w:t>edn</w:t>
      </w:r>
      <w:proofErr w:type="spellEnd"/>
      <w:r w:rsidRPr="00D33C50">
        <w:t xml:space="preserve">. London: </w:t>
      </w:r>
      <w:proofErr w:type="spellStart"/>
      <w:r w:rsidRPr="00D33C50">
        <w:t>Kogan</w:t>
      </w:r>
      <w:proofErr w:type="spellEnd"/>
      <w:r w:rsidRPr="00D33C50">
        <w:t xml:space="preserve"> Page. </w:t>
      </w:r>
    </w:p>
    <w:p w:rsidR="00F65EFE" w:rsidRDefault="00F65EFE" w:rsidP="00224E11">
      <w:pPr>
        <w:pStyle w:val="NoSpacing"/>
      </w:pPr>
    </w:p>
    <w:p w:rsidR="00F65EFE" w:rsidRPr="00D33C50" w:rsidRDefault="00F65EFE" w:rsidP="00224E11">
      <w:pPr>
        <w:pStyle w:val="NoSpacing"/>
      </w:pPr>
      <w:r w:rsidRPr="00F65EFE">
        <w:t xml:space="preserve">Bandura, A. (1971) </w:t>
      </w:r>
      <w:r w:rsidRPr="00F65EFE">
        <w:rPr>
          <w:i/>
          <w:iCs/>
        </w:rPr>
        <w:t>Social learning theory</w:t>
      </w:r>
      <w:r w:rsidRPr="00F65EFE">
        <w:t xml:space="preserve">. New York: General Learning Press. Available at: </w:t>
      </w:r>
      <w:hyperlink r:id="rId14" w:tgtFrame="_blank" w:history="1">
        <w:r w:rsidRPr="00F65EFE">
          <w:rPr>
            <w:rStyle w:val="Hyperlink"/>
          </w:rPr>
          <w:t>https://www.asecib.ase.ro/mps/Bandura_SocialLearningTheory.pdf</w:t>
        </w:r>
      </w:hyperlink>
      <w:r w:rsidRPr="00F65EFE">
        <w:t xml:space="preserve"> (Accessed: 1 February 2026).</w:t>
      </w:r>
    </w:p>
    <w:p w:rsidR="00D33C50" w:rsidRDefault="00D33C50" w:rsidP="00224E11">
      <w:pPr>
        <w:pStyle w:val="NoSpacing"/>
        <w:rPr>
          <w:b/>
        </w:rPr>
      </w:pPr>
    </w:p>
    <w:p w:rsidR="00B81EC6" w:rsidRDefault="00B81EC6" w:rsidP="00224E11">
      <w:pPr>
        <w:pStyle w:val="NoSpacing"/>
      </w:pPr>
      <w:proofErr w:type="spellStart"/>
      <w:r w:rsidRPr="00B81EC6">
        <w:t>Barends</w:t>
      </w:r>
      <w:proofErr w:type="spellEnd"/>
      <w:r w:rsidRPr="00B81EC6">
        <w:t xml:space="preserve">, E., Rousseau, D.M. and Briner, R.B. (2014) </w:t>
      </w:r>
      <w:r w:rsidR="004E191E">
        <w:rPr>
          <w:i/>
          <w:iCs/>
        </w:rPr>
        <w:t>Evidence-based practice: the basic p</w:t>
      </w:r>
      <w:r w:rsidRPr="00B81EC6">
        <w:rPr>
          <w:i/>
          <w:iCs/>
        </w:rPr>
        <w:t>rinciples</w:t>
      </w:r>
      <w:r w:rsidRPr="00B81EC6">
        <w:t>. Centre for Evidence-Based Management (</w:t>
      </w:r>
      <w:proofErr w:type="spellStart"/>
      <w:r w:rsidRPr="00B81EC6">
        <w:t>CEBMa</w:t>
      </w:r>
      <w:proofErr w:type="spellEnd"/>
      <w:r w:rsidRPr="00B81EC6">
        <w:t xml:space="preserve">). Available at: </w:t>
      </w:r>
      <w:hyperlink r:id="rId15" w:tgtFrame="_new" w:history="1">
        <w:r w:rsidRPr="00B81EC6">
          <w:rPr>
            <w:rStyle w:val="Hyperlink"/>
          </w:rPr>
          <w:t>https://cebma.org/assets/Uploads/Evidence-Based-Practice-The-Basic-Principles.pdf</w:t>
        </w:r>
      </w:hyperlink>
      <w:r w:rsidRPr="00B81EC6">
        <w:t xml:space="preserve"> (Accessed: 24 January 2026).</w:t>
      </w:r>
    </w:p>
    <w:p w:rsidR="00EB6CD6" w:rsidRDefault="00EB6CD6" w:rsidP="00224E11">
      <w:pPr>
        <w:pStyle w:val="NoSpacing"/>
      </w:pPr>
    </w:p>
    <w:p w:rsidR="00EB6CD6" w:rsidRDefault="00EB6CD6" w:rsidP="00224E11">
      <w:pPr>
        <w:pStyle w:val="NoSpacing"/>
      </w:pPr>
      <w:r w:rsidRPr="00EB6CD6">
        <w:t xml:space="preserve">Bates, R. (2004) ‘A critical analysis of evaluation practice: the Kirkpatrick model and the principle of beneficence’, </w:t>
      </w:r>
      <w:r w:rsidRPr="00EB6CD6">
        <w:rPr>
          <w:i/>
          <w:iCs/>
        </w:rPr>
        <w:t>Evaluation and Program Planning</w:t>
      </w:r>
      <w:r>
        <w:t>, 27(3), pp. 341-</w:t>
      </w:r>
      <w:r w:rsidRPr="00EB6CD6">
        <w:t xml:space="preserve">347. Available at: </w:t>
      </w:r>
      <w:hyperlink r:id="rId16" w:history="1">
        <w:r w:rsidRPr="00EB6CD6">
          <w:rPr>
            <w:rStyle w:val="Hyperlink"/>
          </w:rPr>
          <w:t>https://doi.org/10.1016/j.evalprogplan.2004.04.011</w:t>
        </w:r>
      </w:hyperlink>
      <w:r w:rsidR="00297435">
        <w:t xml:space="preserve"> </w:t>
      </w:r>
    </w:p>
    <w:p w:rsidR="00CC7084" w:rsidRDefault="00CC7084" w:rsidP="00224E11">
      <w:pPr>
        <w:pStyle w:val="NoSpacing"/>
      </w:pPr>
    </w:p>
    <w:p w:rsidR="00CC7084" w:rsidRDefault="00CC7084" w:rsidP="00224E11">
      <w:pPr>
        <w:pStyle w:val="NoSpacing"/>
      </w:pPr>
      <w:r w:rsidRPr="00076D4F">
        <w:t xml:space="preserve">Blue Goose (2025) </w:t>
      </w:r>
      <w:r w:rsidRPr="00076D4F">
        <w:rPr>
          <w:i/>
          <w:iCs/>
        </w:rPr>
        <w:t>How to write and analyse an employee engagement survey</w:t>
      </w:r>
      <w:r w:rsidRPr="00076D4F">
        <w:t xml:space="preserve">. Available at: </w:t>
      </w:r>
      <w:hyperlink r:id="rId17" w:tgtFrame="_blank" w:history="1">
        <w:r w:rsidRPr="00076D4F">
          <w:rPr>
            <w:rStyle w:val="Hyperlink"/>
          </w:rPr>
          <w:t>https://bluegoose.co.uk/how-to-write-and-analyse-an-employee-engagement-survey/</w:t>
        </w:r>
      </w:hyperlink>
      <w:r w:rsidRPr="00076D4F">
        <w:t xml:space="preserve"> (Accessed: 1 February 2026).</w:t>
      </w:r>
    </w:p>
    <w:p w:rsidR="003B1105" w:rsidRDefault="003B1105" w:rsidP="00224E11">
      <w:pPr>
        <w:pStyle w:val="NoSpacing"/>
      </w:pPr>
    </w:p>
    <w:p w:rsidR="003B1105" w:rsidRDefault="003B1105" w:rsidP="00224E11">
      <w:pPr>
        <w:pStyle w:val="NoSpacing"/>
      </w:pPr>
      <w:r w:rsidRPr="003B1105">
        <w:t xml:space="preserve">Briner, R.B., </w:t>
      </w:r>
      <w:proofErr w:type="spellStart"/>
      <w:r w:rsidRPr="003B1105">
        <w:t>Denyer</w:t>
      </w:r>
      <w:proofErr w:type="spellEnd"/>
      <w:r w:rsidRPr="003B1105">
        <w:t xml:space="preserve">, D. and Rousseau, D.M. (2009) </w:t>
      </w:r>
      <w:r w:rsidR="004E191E" w:rsidRPr="00714464">
        <w:rPr>
          <w:iCs/>
        </w:rPr>
        <w:t>Evidence</w:t>
      </w:r>
      <w:r w:rsidR="004E191E" w:rsidRPr="00714464">
        <w:rPr>
          <w:iCs/>
        </w:rPr>
        <w:noBreakHyphen/>
        <w:t xml:space="preserve">based management: concept </w:t>
      </w:r>
      <w:proofErr w:type="spellStart"/>
      <w:r w:rsidR="004E191E" w:rsidRPr="00714464">
        <w:rPr>
          <w:iCs/>
        </w:rPr>
        <w:t>c</w:t>
      </w:r>
      <w:r w:rsidRPr="00714464">
        <w:rPr>
          <w:iCs/>
        </w:rPr>
        <w:t>leanup</w:t>
      </w:r>
      <w:proofErr w:type="spellEnd"/>
      <w:r w:rsidRPr="00714464">
        <w:rPr>
          <w:iCs/>
        </w:rPr>
        <w:t xml:space="preserve"> </w:t>
      </w:r>
      <w:r w:rsidR="004E191E" w:rsidRPr="00714464">
        <w:rPr>
          <w:iCs/>
        </w:rPr>
        <w:t>t</w:t>
      </w:r>
      <w:r w:rsidRPr="00714464">
        <w:rPr>
          <w:iCs/>
        </w:rPr>
        <w:t>ime?</w:t>
      </w:r>
      <w:r w:rsidRPr="00714464">
        <w:t xml:space="preserve"> </w:t>
      </w:r>
      <w:r w:rsidRPr="00714464">
        <w:rPr>
          <w:i/>
        </w:rPr>
        <w:t>Academy of Management Perspectives</w:t>
      </w:r>
      <w:r w:rsidR="00714464">
        <w:t>, 23(4), pp. 19-</w:t>
      </w:r>
      <w:r w:rsidRPr="003B1105">
        <w:t xml:space="preserve">32. Available at: </w:t>
      </w:r>
      <w:hyperlink r:id="rId18" w:tgtFrame="_new" w:history="1">
        <w:r w:rsidRPr="003B1105">
          <w:rPr>
            <w:rStyle w:val="Hyperlink"/>
          </w:rPr>
          <w:t>https://cebma.org/assets/Uploads/Briner-Denyer-Rousseau-Evidence-based-management-Concept-cleanup-time.pdf</w:t>
        </w:r>
      </w:hyperlink>
      <w:r w:rsidRPr="003B1105">
        <w:t xml:space="preserve"> (Accessed: 24 January 2026).</w:t>
      </w:r>
    </w:p>
    <w:p w:rsidR="00AE0936" w:rsidRDefault="00AE0936" w:rsidP="00224E11">
      <w:pPr>
        <w:pStyle w:val="NoSpacing"/>
      </w:pPr>
    </w:p>
    <w:p w:rsidR="00AE0936" w:rsidRDefault="00AE0936" w:rsidP="00224E11">
      <w:pPr>
        <w:pStyle w:val="NoSpacing"/>
      </w:pPr>
      <w:r w:rsidRPr="00AE0936">
        <w:t>Brinkerhoff, R.O. (2005) ‘</w:t>
      </w:r>
      <w:proofErr w:type="gramStart"/>
      <w:r w:rsidRPr="00AE0936">
        <w:t>The</w:t>
      </w:r>
      <w:proofErr w:type="gramEnd"/>
      <w:r w:rsidRPr="00AE0936">
        <w:t xml:space="preserve"> success case method: a strategic evaluation approach to increasing the value and effect of training’, </w:t>
      </w:r>
      <w:r w:rsidRPr="00AE0936">
        <w:rPr>
          <w:i/>
          <w:iCs/>
        </w:rPr>
        <w:t>Advances in Developing Human Resources</w:t>
      </w:r>
      <w:r w:rsidRPr="00AE0936">
        <w:t xml:space="preserve">, 7(1), pp. 86–101. Available at: </w:t>
      </w:r>
      <w:hyperlink r:id="rId19" w:tgtFrame="_blank" w:history="1">
        <w:r w:rsidRPr="00AE0936">
          <w:rPr>
            <w:rStyle w:val="Hyperlink"/>
          </w:rPr>
          <w:t>https://blogs.ubc.ca/evaluation/files/2009/02/success20case20method.pdf</w:t>
        </w:r>
      </w:hyperlink>
      <w:r w:rsidRPr="00AE0936">
        <w:t xml:space="preserve"> (Accessed: 1 February 2026).</w:t>
      </w:r>
    </w:p>
    <w:p w:rsidR="00A72466" w:rsidRDefault="00A72466" w:rsidP="00224E11">
      <w:pPr>
        <w:pStyle w:val="NoSpacing"/>
      </w:pPr>
    </w:p>
    <w:p w:rsidR="00DD3D7C" w:rsidRDefault="00DD3D7C" w:rsidP="00224E11">
      <w:pPr>
        <w:pStyle w:val="NoSpacing"/>
      </w:pPr>
      <w:r>
        <w:t xml:space="preserve">Burke, E. (2023) </w:t>
      </w:r>
      <w:r>
        <w:rPr>
          <w:rStyle w:val="Emphasis"/>
        </w:rPr>
        <w:t>Peo</w:t>
      </w:r>
      <w:r w:rsidR="00862545">
        <w:rPr>
          <w:rStyle w:val="Emphasis"/>
        </w:rPr>
        <w:t>ple and the creation of value: w</w:t>
      </w:r>
      <w:r>
        <w:rPr>
          <w:rStyle w:val="Emphasis"/>
        </w:rPr>
        <w:t>hy organisations need to up their game on understanding, measuring and leveraging human capital</w:t>
      </w:r>
      <w:r>
        <w:t xml:space="preserve">. Available at: </w:t>
      </w:r>
      <w:hyperlink r:id="rId20" w:tgtFrame="_new" w:history="1">
        <w:r>
          <w:rPr>
            <w:rStyle w:val="Hyperlink"/>
          </w:rPr>
          <w:t>https://www.cipd.org/globalassets/media/knowledge/knowledge-hub/reports/people-and-the-creation-of-value_tcm18-19955.pdf</w:t>
        </w:r>
      </w:hyperlink>
      <w:r>
        <w:t xml:space="preserve"> (Accessed: 31 January 2026).</w:t>
      </w:r>
    </w:p>
    <w:p w:rsidR="00DD3D7C" w:rsidRDefault="00DD3D7C" w:rsidP="00224E11">
      <w:pPr>
        <w:pStyle w:val="NoSpacing"/>
      </w:pPr>
    </w:p>
    <w:p w:rsidR="00A72466" w:rsidRDefault="00A72466" w:rsidP="00224E11">
      <w:pPr>
        <w:pStyle w:val="NoSpacing"/>
      </w:pPr>
      <w:proofErr w:type="spellStart"/>
      <w:r>
        <w:t>Chermack</w:t>
      </w:r>
      <w:proofErr w:type="spellEnd"/>
      <w:r>
        <w:t xml:space="preserve">, T.J. and </w:t>
      </w:r>
      <w:proofErr w:type="spellStart"/>
      <w:r>
        <w:t>Kasshanna</w:t>
      </w:r>
      <w:proofErr w:type="spellEnd"/>
      <w:r>
        <w:t xml:space="preserve">, B.K. (2007) ‘The use and misuse of SWOT analysis and implications for HRD professionals’, </w:t>
      </w:r>
      <w:r>
        <w:rPr>
          <w:rStyle w:val="Emphasis"/>
        </w:rPr>
        <w:t>Human Resource Development International</w:t>
      </w:r>
      <w:r>
        <w:t xml:space="preserve">, 10(4), pp. 383–399. Available at: </w:t>
      </w:r>
      <w:hyperlink r:id="rId21" w:tgtFrame="_new" w:history="1">
        <w:r>
          <w:rPr>
            <w:rStyle w:val="Hyperlink"/>
          </w:rPr>
          <w:t>https://chermackscenarios.com/wp-content/uploads/2020/10/The-Use-and-Misuse-of-SWOT-Analysis-and-Implications-for-HRD-Professionals.pdf</w:t>
        </w:r>
      </w:hyperlink>
      <w:r>
        <w:t xml:space="preserve"> (Accessed: 24 January 2026).</w:t>
      </w:r>
    </w:p>
    <w:p w:rsidR="00F812E6" w:rsidRDefault="00F812E6" w:rsidP="00224E11">
      <w:pPr>
        <w:pStyle w:val="NoSpacing"/>
      </w:pPr>
    </w:p>
    <w:p w:rsidR="00F812E6" w:rsidRDefault="00F812E6" w:rsidP="00224E11">
      <w:pPr>
        <w:pStyle w:val="NoSpacing"/>
      </w:pPr>
      <w:r w:rsidRPr="00F812E6">
        <w:t xml:space="preserve">CIPD (2019) ‘Critical thinking’. </w:t>
      </w:r>
      <w:r w:rsidRPr="00F812E6">
        <w:rPr>
          <w:i/>
          <w:iCs/>
        </w:rPr>
        <w:t>CIPD podcast</w:t>
      </w:r>
      <w:r w:rsidRPr="00F812E6">
        <w:t xml:space="preserve"> [Podcast]. Available at: </w:t>
      </w:r>
      <w:hyperlink r:id="rId22" w:tgtFrame="_new" w:history="1">
        <w:r w:rsidRPr="00F812E6">
          <w:rPr>
            <w:rStyle w:val="Hyperlink"/>
          </w:rPr>
          <w:t>https://www.cipd.org/uk/knowledge/podcasts/critical-thinking/</w:t>
        </w:r>
      </w:hyperlink>
      <w:r w:rsidRPr="00F812E6">
        <w:t xml:space="preserve"> (Accessed: 26 January 2026).</w:t>
      </w:r>
    </w:p>
    <w:p w:rsidR="00333538" w:rsidRDefault="00333538" w:rsidP="00224E11">
      <w:pPr>
        <w:pStyle w:val="NoSpacing"/>
      </w:pPr>
    </w:p>
    <w:p w:rsidR="00333538" w:rsidRDefault="00333538" w:rsidP="00224E11">
      <w:pPr>
        <w:pStyle w:val="NoSpacing"/>
      </w:pPr>
      <w:r>
        <w:t xml:space="preserve">CIPD (2023) </w:t>
      </w:r>
      <w:r w:rsidR="004E191E">
        <w:rPr>
          <w:rStyle w:val="Emphasis"/>
        </w:rPr>
        <w:t>CIPD code of conduct and e</w:t>
      </w:r>
      <w:r>
        <w:rPr>
          <w:rStyle w:val="Emphasis"/>
        </w:rPr>
        <w:t>thics</w:t>
      </w:r>
      <w:r>
        <w:t xml:space="preserve">. London: Chartered Institute of Personnel and Development. Available at: </w:t>
      </w:r>
      <w:hyperlink r:id="rId23" w:tgtFrame="_new" w:history="1">
        <w:r>
          <w:rPr>
            <w:rStyle w:val="Hyperlink"/>
          </w:rPr>
          <w:t>https://www.cipd.org/globalassets/media/comms/code-of-conduct/2023-cipd-code-of-conduct-and-ethics.pdf</w:t>
        </w:r>
      </w:hyperlink>
      <w:r>
        <w:t xml:space="preserve"> (Accessed: </w:t>
      </w:r>
      <w:r>
        <w:rPr>
          <w:rStyle w:val="Strong"/>
          <w:b w:val="0"/>
        </w:rPr>
        <w:t>28 January 2026</w:t>
      </w:r>
      <w:r>
        <w:t>).</w:t>
      </w:r>
    </w:p>
    <w:p w:rsidR="00CE5847" w:rsidRDefault="00CE5847" w:rsidP="00224E11">
      <w:pPr>
        <w:pStyle w:val="NoSpacing"/>
      </w:pPr>
    </w:p>
    <w:p w:rsidR="00CE5847" w:rsidRDefault="00CE5847" w:rsidP="00224E11">
      <w:pPr>
        <w:pStyle w:val="NoSpacing"/>
      </w:pPr>
      <w:r w:rsidRPr="00CE5847">
        <w:t xml:space="preserve">CIPD (2024) </w:t>
      </w:r>
      <w:r w:rsidRPr="00CE5847">
        <w:rPr>
          <w:i/>
          <w:iCs/>
        </w:rPr>
        <w:t>Learning methods</w:t>
      </w:r>
      <w:r w:rsidRPr="00CE5847">
        <w:t xml:space="preserve">. Factsheet. Available at: </w:t>
      </w:r>
      <w:hyperlink r:id="rId24" w:tgtFrame="_blank" w:history="1">
        <w:r w:rsidRPr="00CE5847">
          <w:rPr>
            <w:rStyle w:val="Hyperlink"/>
          </w:rPr>
          <w:t>https://www.cipd.org/uk/knowledge/factsheets/learning-methods-factsheet/</w:t>
        </w:r>
      </w:hyperlink>
      <w:r w:rsidRPr="00CE5847">
        <w:t xml:space="preserve"> (Accessed: 1 February 2026).</w:t>
      </w:r>
    </w:p>
    <w:p w:rsidR="007D6994" w:rsidRDefault="007D6994" w:rsidP="00224E11">
      <w:pPr>
        <w:pStyle w:val="NoSpacing"/>
      </w:pPr>
    </w:p>
    <w:p w:rsidR="007D6994" w:rsidRDefault="007D6994" w:rsidP="00224E11">
      <w:pPr>
        <w:pStyle w:val="NoSpacing"/>
      </w:pPr>
      <w:r w:rsidRPr="007D6994">
        <w:t>CIPD (2024</w:t>
      </w:r>
      <w:r>
        <w:t>b</w:t>
      </w:r>
      <w:r w:rsidRPr="007D6994">
        <w:t xml:space="preserve">) </w:t>
      </w:r>
      <w:r w:rsidRPr="007D6994">
        <w:rPr>
          <w:i/>
          <w:iCs/>
        </w:rPr>
        <w:t>Identifying learning and development needs</w:t>
      </w:r>
      <w:r w:rsidRPr="007D6994">
        <w:t xml:space="preserve">. Factsheet. Available at: </w:t>
      </w:r>
      <w:hyperlink r:id="rId25" w:tgtFrame="_blank" w:history="1">
        <w:r w:rsidRPr="007D6994">
          <w:rPr>
            <w:rStyle w:val="Hyperlink"/>
          </w:rPr>
          <w:t>https://www.cipd.org/uk/knowledge/factsheets/learning-needs-factsheet/</w:t>
        </w:r>
      </w:hyperlink>
      <w:r w:rsidRPr="007D6994">
        <w:t xml:space="preserve"> (Accessed: 1 February 2026).</w:t>
      </w:r>
    </w:p>
    <w:p w:rsidR="00B81EC6" w:rsidRDefault="00B81EC6" w:rsidP="00224E11">
      <w:pPr>
        <w:pStyle w:val="NoSpacing"/>
      </w:pPr>
    </w:p>
    <w:p w:rsidR="008B678D" w:rsidRDefault="00B81EC6" w:rsidP="00224E11">
      <w:pPr>
        <w:pStyle w:val="NoSpacing"/>
      </w:pPr>
      <w:r>
        <w:t>CIPD (2025</w:t>
      </w:r>
      <w:r w:rsidR="00714464">
        <w:t>a</w:t>
      </w:r>
      <w:r>
        <w:t xml:space="preserve">) </w:t>
      </w:r>
      <w:r>
        <w:rPr>
          <w:rStyle w:val="Emphasis"/>
        </w:rPr>
        <w:t>Evidence-based profession</w:t>
      </w:r>
      <w:r>
        <w:t xml:space="preserve">. Available at: </w:t>
      </w:r>
      <w:hyperlink r:id="rId26" w:tgtFrame="_new" w:history="1">
        <w:r>
          <w:rPr>
            <w:rStyle w:val="Hyperlink"/>
          </w:rPr>
          <w:t>https://www.cipd.org/uk/knowledge/guides/evidence-based-profession/</w:t>
        </w:r>
      </w:hyperlink>
      <w:r>
        <w:t xml:space="preserve"> (Accessed: 24 January 2026).</w:t>
      </w:r>
    </w:p>
    <w:p w:rsidR="00263F02" w:rsidRDefault="00263F02" w:rsidP="00224E11">
      <w:pPr>
        <w:pStyle w:val="NoSpacing"/>
      </w:pPr>
    </w:p>
    <w:p w:rsidR="00263F02" w:rsidRDefault="00263F02" w:rsidP="00224E11">
      <w:pPr>
        <w:pStyle w:val="NoSpacing"/>
      </w:pPr>
      <w:r>
        <w:lastRenderedPageBreak/>
        <w:t xml:space="preserve">CIPD (2025b) </w:t>
      </w:r>
      <w:r>
        <w:rPr>
          <w:rStyle w:val="Emphasis"/>
        </w:rPr>
        <w:t>Reward: an introduction</w:t>
      </w:r>
      <w:r>
        <w:t xml:space="preserve">. Factsheet. Available at: </w:t>
      </w:r>
      <w:hyperlink r:id="rId27" w:tgtFrame="_new" w:history="1">
        <w:r>
          <w:rPr>
            <w:rStyle w:val="Hyperlink"/>
          </w:rPr>
          <w:t>https://www.cipd.org/uk/knowledge/factsheets/reward-factsheet/</w:t>
        </w:r>
      </w:hyperlink>
      <w:r>
        <w:t xml:space="preserve"> (Accessed: 24 January 2026).</w:t>
      </w:r>
    </w:p>
    <w:p w:rsidR="00612464" w:rsidRDefault="00612464" w:rsidP="00224E11">
      <w:pPr>
        <w:pStyle w:val="NoSpacing"/>
      </w:pPr>
    </w:p>
    <w:p w:rsidR="00612464" w:rsidRDefault="00612464" w:rsidP="00224E11">
      <w:pPr>
        <w:pStyle w:val="NoSpacing"/>
      </w:pPr>
      <w:r w:rsidRPr="00612464">
        <w:t>CIPD (2025</w:t>
      </w:r>
      <w:r w:rsidR="00AB5AC9">
        <w:t>c</w:t>
      </w:r>
      <w:r w:rsidRPr="00612464">
        <w:t xml:space="preserve">) </w:t>
      </w:r>
      <w:r w:rsidRPr="00612464">
        <w:rPr>
          <w:i/>
          <w:iCs/>
        </w:rPr>
        <w:t>SWOT analysis</w:t>
      </w:r>
      <w:r w:rsidRPr="00612464">
        <w:t xml:space="preserve">. Factsheet. Available at: </w:t>
      </w:r>
      <w:hyperlink r:id="rId28" w:tgtFrame="_new" w:history="1">
        <w:r w:rsidRPr="00612464">
          <w:rPr>
            <w:rStyle w:val="Hyperlink"/>
          </w:rPr>
          <w:t>https://www.cipd.org/uk/knowledge/factsheets/swot-analysis-factsheet/</w:t>
        </w:r>
      </w:hyperlink>
      <w:r w:rsidRPr="00612464">
        <w:t xml:space="preserve"> (Accessed: 24 January 2026).</w:t>
      </w:r>
    </w:p>
    <w:p w:rsidR="00AB5AC9" w:rsidRDefault="00AB5AC9" w:rsidP="00224E11">
      <w:pPr>
        <w:pStyle w:val="NoSpacing"/>
      </w:pPr>
    </w:p>
    <w:p w:rsidR="00AB5AC9" w:rsidRDefault="00AB5AC9" w:rsidP="00224E11">
      <w:pPr>
        <w:pStyle w:val="NoSpacing"/>
      </w:pPr>
      <w:r>
        <w:t xml:space="preserve">CIPD (2025d) </w:t>
      </w:r>
      <w:r>
        <w:rPr>
          <w:rStyle w:val="Emphasis"/>
        </w:rPr>
        <w:t>Evidence</w:t>
      </w:r>
      <w:r>
        <w:rPr>
          <w:rStyle w:val="Emphasis"/>
        </w:rPr>
        <w:noBreakHyphen/>
        <w:t>based practice for effective decision</w:t>
      </w:r>
      <w:r>
        <w:rPr>
          <w:rStyle w:val="Emphasis"/>
        </w:rPr>
        <w:noBreakHyphen/>
        <w:t>making</w:t>
      </w:r>
      <w:r>
        <w:t xml:space="preserve">. Factsheet. Available at: </w:t>
      </w:r>
      <w:hyperlink r:id="rId29" w:tgtFrame="_new" w:history="1">
        <w:r>
          <w:rPr>
            <w:rStyle w:val="Hyperlink"/>
          </w:rPr>
          <w:t>https://www.cipd.org/en/knowledge/factsheets/evidence-based-practice-factsheet/</w:t>
        </w:r>
      </w:hyperlink>
      <w:r>
        <w:t xml:space="preserve"> (Accessed: 24 January 2026).</w:t>
      </w:r>
    </w:p>
    <w:p w:rsidR="00F72210" w:rsidRDefault="00F72210" w:rsidP="00224E11">
      <w:pPr>
        <w:pStyle w:val="NoSpacing"/>
      </w:pPr>
    </w:p>
    <w:p w:rsidR="004A6DFD" w:rsidRDefault="00F72210" w:rsidP="00224E11">
      <w:pPr>
        <w:pStyle w:val="NoSpacing"/>
      </w:pPr>
      <w:r w:rsidRPr="00F72210">
        <w:t>CIPD (2025</w:t>
      </w:r>
      <w:r w:rsidR="004A6DFD">
        <w:t>e</w:t>
      </w:r>
      <w:r w:rsidRPr="00F72210">
        <w:t xml:space="preserve">) </w:t>
      </w:r>
      <w:r w:rsidRPr="00F72210">
        <w:rPr>
          <w:i/>
          <w:iCs/>
        </w:rPr>
        <w:t>People analytics</w:t>
      </w:r>
      <w:r w:rsidRPr="00F72210">
        <w:t xml:space="preserve">. Factsheet. Available at: </w:t>
      </w:r>
      <w:hyperlink r:id="rId30" w:tgtFrame="_new" w:history="1">
        <w:r w:rsidRPr="00F72210">
          <w:rPr>
            <w:rStyle w:val="Hyperlink"/>
          </w:rPr>
          <w:t>https://www.cipd.org/uk/knowledge/factsheets/analytics-factsheet/</w:t>
        </w:r>
      </w:hyperlink>
      <w:r w:rsidRPr="00F72210">
        <w:t xml:space="preserve"> (Accessed: 26 January 2026).</w:t>
      </w:r>
    </w:p>
    <w:p w:rsidR="00251B21" w:rsidRDefault="00251B21" w:rsidP="00224E11">
      <w:pPr>
        <w:pStyle w:val="NoSpacing"/>
      </w:pPr>
    </w:p>
    <w:p w:rsidR="00251B21" w:rsidRDefault="00251B21" w:rsidP="00224E11">
      <w:pPr>
        <w:pStyle w:val="NoSpacing"/>
      </w:pPr>
      <w:r w:rsidRPr="00251B21">
        <w:t>CIPD (2025</w:t>
      </w:r>
      <w:r>
        <w:t>f</w:t>
      </w:r>
      <w:r w:rsidRPr="00251B21">
        <w:t xml:space="preserve">) </w:t>
      </w:r>
      <w:r w:rsidRPr="00251B21">
        <w:rPr>
          <w:i/>
          <w:iCs/>
        </w:rPr>
        <w:t>Ethical practice and the role of people professionals</w:t>
      </w:r>
      <w:r w:rsidRPr="00251B21">
        <w:t xml:space="preserve">. Available at: </w:t>
      </w:r>
      <w:hyperlink r:id="rId31" w:tgtFrame="_new" w:history="1">
        <w:r w:rsidRPr="00251B21">
          <w:rPr>
            <w:rStyle w:val="Hyperlink"/>
          </w:rPr>
          <w:t>https://www.cipd.org/uk/knowledge/factsheets/ethics-role-hr-factsheet/</w:t>
        </w:r>
      </w:hyperlink>
      <w:r w:rsidRPr="00251B21">
        <w:t xml:space="preserve"> (Accessed:</w:t>
      </w:r>
      <w:r>
        <w:t xml:space="preserve"> 28 January 2026).</w:t>
      </w:r>
    </w:p>
    <w:p w:rsidR="00105AC6" w:rsidRDefault="00105AC6" w:rsidP="00224E11">
      <w:pPr>
        <w:pStyle w:val="NoSpacing"/>
      </w:pPr>
    </w:p>
    <w:p w:rsidR="00105AC6" w:rsidRDefault="00105AC6" w:rsidP="00224E11">
      <w:pPr>
        <w:pStyle w:val="NoSpacing"/>
      </w:pPr>
      <w:r w:rsidRPr="00105AC6">
        <w:t>CIPD (2025</w:t>
      </w:r>
      <w:r>
        <w:t>g</w:t>
      </w:r>
      <w:r w:rsidRPr="00105AC6">
        <w:t xml:space="preserve">) </w:t>
      </w:r>
      <w:r w:rsidRPr="00105AC6">
        <w:rPr>
          <w:i/>
          <w:iCs/>
        </w:rPr>
        <w:t>Learning evaluation, impact and transfer</w:t>
      </w:r>
      <w:r w:rsidRPr="00105AC6">
        <w:t xml:space="preserve">. Factsheet. Available at: </w:t>
      </w:r>
      <w:hyperlink r:id="rId32" w:tgtFrame="_blank" w:history="1">
        <w:r w:rsidRPr="00105AC6">
          <w:rPr>
            <w:rStyle w:val="Hyperlink"/>
          </w:rPr>
          <w:t>https://www.cipd.org/uk/knowledge/factsheets/evaluating-learning-factsheet/</w:t>
        </w:r>
      </w:hyperlink>
      <w:r w:rsidRPr="00105AC6">
        <w:t xml:space="preserve"> (Accessed: 1 February 2026).</w:t>
      </w:r>
    </w:p>
    <w:p w:rsidR="00A348E7" w:rsidRDefault="00A348E7" w:rsidP="00224E11">
      <w:pPr>
        <w:pStyle w:val="NoSpacing"/>
      </w:pPr>
    </w:p>
    <w:p w:rsidR="00A348E7" w:rsidRDefault="00A348E7" w:rsidP="00224E11">
      <w:pPr>
        <w:pStyle w:val="NoSpacing"/>
      </w:pPr>
      <w:r>
        <w:t xml:space="preserve">CIPD (2026) </w:t>
      </w:r>
      <w:r>
        <w:rPr>
          <w:rStyle w:val="Emphasis"/>
        </w:rPr>
        <w:t>Performance management factsheet</w:t>
      </w:r>
      <w:r>
        <w:t xml:space="preserve">. Available at: </w:t>
      </w:r>
      <w:hyperlink r:id="rId33" w:tgtFrame="_new" w:history="1">
        <w:r>
          <w:rPr>
            <w:rStyle w:val="Hyperlink"/>
          </w:rPr>
          <w:t>https://www.cipd.org/uk/knowledge/factsheets/performance-factsheet/</w:t>
        </w:r>
      </w:hyperlink>
      <w:r>
        <w:t xml:space="preserve"> (Accessed: 31 January 2026).</w:t>
      </w:r>
    </w:p>
    <w:p w:rsidR="00333538" w:rsidRDefault="00333538" w:rsidP="00224E11">
      <w:pPr>
        <w:pStyle w:val="NoSpacing"/>
      </w:pPr>
    </w:p>
    <w:p w:rsidR="00333538" w:rsidRDefault="00333538" w:rsidP="00224E11">
      <w:pPr>
        <w:pStyle w:val="NoSpacing"/>
      </w:pPr>
      <w:r>
        <w:t xml:space="preserve">Clark, S.J.A. (2015) </w:t>
      </w:r>
      <w:r>
        <w:rPr>
          <w:rStyle w:val="Emphasis"/>
        </w:rPr>
        <w:t>Ethical decision making: eight perspectives on workplace dilemmas</w:t>
      </w:r>
      <w:r>
        <w:t xml:space="preserve">. London: CIPD Publishing. Available at: </w:t>
      </w:r>
      <w:hyperlink r:id="rId34" w:tgtFrame="_new" w:history="1">
        <w:r>
          <w:rPr>
            <w:rStyle w:val="Hyperlink"/>
          </w:rPr>
          <w:t>https://www.cipd.org/globalassets/media/comms/the-people-profession/profession-map-pdfs/ethical-decision-making-2015-eight-perspectives-on-workplace-dilemmas_tcm29-9564.pdf</w:t>
        </w:r>
      </w:hyperlink>
      <w:r>
        <w:t xml:space="preserve"> (Accessed: 28 January 2026).</w:t>
      </w:r>
    </w:p>
    <w:p w:rsidR="00076D4F" w:rsidRDefault="00076D4F" w:rsidP="00224E11">
      <w:pPr>
        <w:pStyle w:val="NoSpacing"/>
      </w:pPr>
    </w:p>
    <w:p w:rsidR="00076D4F" w:rsidRDefault="00076D4F" w:rsidP="00224E11">
      <w:pPr>
        <w:pStyle w:val="NoSpacing"/>
      </w:pPr>
      <w:proofErr w:type="spellStart"/>
      <w:r>
        <w:t>FeedLearning</w:t>
      </w:r>
      <w:proofErr w:type="spellEnd"/>
      <w:r>
        <w:t xml:space="preserve"> (2025) </w:t>
      </w:r>
      <w:r>
        <w:rPr>
          <w:i/>
          <w:iCs/>
        </w:rPr>
        <w:t>How to conduct a learning needs analysis</w:t>
      </w:r>
      <w:r>
        <w:t xml:space="preserve">. Available at: </w:t>
      </w:r>
      <w:hyperlink r:id="rId35" w:tgtFrame="_blank" w:history="1">
        <w:r>
          <w:rPr>
            <w:rStyle w:val="Hyperlink"/>
          </w:rPr>
          <w:t>https://www.feedlearning.com/blog/how-to-conduct-a-learning-needs-analysis</w:t>
        </w:r>
      </w:hyperlink>
      <w:r>
        <w:t xml:space="preserve"> (Accessed: 1 February 2026).</w:t>
      </w:r>
    </w:p>
    <w:p w:rsidR="00716C77" w:rsidRDefault="00716C77" w:rsidP="00224E11">
      <w:pPr>
        <w:pStyle w:val="NoSpacing"/>
      </w:pPr>
    </w:p>
    <w:p w:rsidR="00716C77" w:rsidRDefault="00716C77" w:rsidP="00224E11">
      <w:pPr>
        <w:pStyle w:val="NoSpacing"/>
      </w:pPr>
      <w:r w:rsidRPr="00716C77">
        <w:t>Findlay, P., Thompson, P., Cooper, C. and Pascoe</w:t>
      </w:r>
      <w:r w:rsidRPr="00716C77">
        <w:noBreakHyphen/>
      </w:r>
      <w:proofErr w:type="spellStart"/>
      <w:r w:rsidRPr="00716C77">
        <w:t>Deslauriers</w:t>
      </w:r>
      <w:proofErr w:type="spellEnd"/>
      <w:r w:rsidRPr="00716C77">
        <w:t xml:space="preserve">, R. (2018) </w:t>
      </w:r>
      <w:r w:rsidRPr="00716C77">
        <w:rPr>
          <w:i/>
          <w:iCs/>
        </w:rPr>
        <w:t>Creating and capturing value at work: Who benefits? Part 2 – measurements report</w:t>
      </w:r>
      <w:r w:rsidRPr="00716C77">
        <w:t xml:space="preserve">. Available at: </w:t>
      </w:r>
      <w:hyperlink r:id="rId36" w:tgtFrame="_new" w:history="1">
        <w:r w:rsidRPr="00716C77">
          <w:rPr>
            <w:rStyle w:val="Hyperlink"/>
          </w:rPr>
          <w:t>https://www.cipd.org/globalassets/media/knowledge/knowledge-hub/reports/creating-and-capturing-value-at-work_2018-who-benefits-part-2_tcm18-37078.pdf</w:t>
        </w:r>
      </w:hyperlink>
      <w:r w:rsidRPr="00716C77">
        <w:t xml:space="preserve"> (Accessed: 31 January 2026).</w:t>
      </w:r>
    </w:p>
    <w:p w:rsidR="003630B2" w:rsidRDefault="003630B2" w:rsidP="00224E11">
      <w:pPr>
        <w:pStyle w:val="NoSpacing"/>
      </w:pPr>
    </w:p>
    <w:p w:rsidR="003630B2" w:rsidRPr="0093106C" w:rsidRDefault="003630B2" w:rsidP="00224E11">
      <w:pPr>
        <w:pStyle w:val="NoSpacing"/>
        <w:rPr>
          <w:b/>
          <w:bCs/>
          <w:i/>
          <w:iCs/>
        </w:rPr>
      </w:pPr>
      <w:r w:rsidRPr="003630B2">
        <w:t xml:space="preserve">Finnegan, R.P. (2018) </w:t>
      </w:r>
      <w:proofErr w:type="gramStart"/>
      <w:r w:rsidR="004E191E">
        <w:rPr>
          <w:bCs/>
          <w:i/>
          <w:iCs/>
        </w:rPr>
        <w:t>The</w:t>
      </w:r>
      <w:proofErr w:type="gramEnd"/>
      <w:r w:rsidR="004E191E">
        <w:rPr>
          <w:bCs/>
          <w:i/>
          <w:iCs/>
        </w:rPr>
        <w:t xml:space="preserve"> power of stay interviews for engagement and r</w:t>
      </w:r>
      <w:r w:rsidR="0093106C" w:rsidRPr="0093106C">
        <w:rPr>
          <w:bCs/>
          <w:i/>
          <w:iCs/>
        </w:rPr>
        <w:t>etention</w:t>
      </w:r>
      <w:r w:rsidRPr="003630B2">
        <w:t xml:space="preserve">. 2nd </w:t>
      </w:r>
      <w:proofErr w:type="spellStart"/>
      <w:r w:rsidRPr="003630B2">
        <w:t>edn</w:t>
      </w:r>
      <w:proofErr w:type="spellEnd"/>
      <w:r w:rsidRPr="003630B2">
        <w:t>. Society for Human Resource Management (SHRM).</w:t>
      </w:r>
    </w:p>
    <w:p w:rsidR="008A375D" w:rsidRDefault="008A375D" w:rsidP="00224E11">
      <w:pPr>
        <w:pStyle w:val="NoSpacing"/>
      </w:pPr>
    </w:p>
    <w:p w:rsidR="008A375D" w:rsidRDefault="008A375D" w:rsidP="00224E11">
      <w:pPr>
        <w:pStyle w:val="NoSpacing"/>
      </w:pPr>
      <w:r>
        <w:t xml:space="preserve">Friedman, H.H. (2023) </w:t>
      </w:r>
      <w:r w:rsidR="004E191E" w:rsidRPr="004E191E">
        <w:rPr>
          <w:rStyle w:val="Emphasis"/>
          <w:i w:val="0"/>
        </w:rPr>
        <w:t>Cognitive biases and their influence on critical thinking and scientific reasoning: a practical guide for students and t</w:t>
      </w:r>
      <w:r w:rsidRPr="004E191E">
        <w:rPr>
          <w:rStyle w:val="Emphasis"/>
          <w:i w:val="0"/>
        </w:rPr>
        <w:t>eachers</w:t>
      </w:r>
      <w:r w:rsidRPr="004E191E">
        <w:rPr>
          <w:i/>
        </w:rPr>
        <w:t>.</w:t>
      </w:r>
      <w:r>
        <w:t xml:space="preserve"> </w:t>
      </w:r>
      <w:r w:rsidRPr="004E191E">
        <w:rPr>
          <w:i/>
        </w:rPr>
        <w:t>SSRN Electronic Journal</w:t>
      </w:r>
      <w:r>
        <w:t xml:space="preserve">. Available at: </w:t>
      </w:r>
      <w:hyperlink r:id="rId37" w:tgtFrame="_new" w:history="1">
        <w:r>
          <w:rPr>
            <w:rStyle w:val="Hyperlink"/>
          </w:rPr>
          <w:t>https://www.researchgate.net/publication/316486755_Cognitive_Biases_and_Their_Influence_on_Critical_Thinking_and_Scientific_Reasoning_A_Practical_Guide_for_Students_and_Teachers</w:t>
        </w:r>
      </w:hyperlink>
      <w:r>
        <w:t xml:space="preserve"> (Accessed: 24 January 2026).</w:t>
      </w:r>
    </w:p>
    <w:p w:rsidR="00205B48" w:rsidRDefault="00205B48" w:rsidP="00224E11">
      <w:pPr>
        <w:pStyle w:val="NoSpacing"/>
      </w:pPr>
    </w:p>
    <w:p w:rsidR="005E262A" w:rsidRDefault="005E262A" w:rsidP="00224E11">
      <w:pPr>
        <w:pStyle w:val="NoSpacing"/>
      </w:pPr>
      <w:r w:rsidRPr="005E262A">
        <w:t xml:space="preserve">Fukui, S., </w:t>
      </w:r>
      <w:proofErr w:type="spellStart"/>
      <w:r w:rsidRPr="005E262A">
        <w:t>Garabrant</w:t>
      </w:r>
      <w:proofErr w:type="spellEnd"/>
      <w:r w:rsidRPr="005E262A">
        <w:t xml:space="preserve">, J., Greenfield, J., </w:t>
      </w:r>
      <w:proofErr w:type="spellStart"/>
      <w:r w:rsidRPr="005E262A">
        <w:t>Salyers</w:t>
      </w:r>
      <w:proofErr w:type="spellEnd"/>
      <w:r w:rsidRPr="005E262A">
        <w:t xml:space="preserve">, M.P., Morse, G. and Bass, E. (2025) ‘Using exit surveys to elicit turnover reasons among </w:t>
      </w:r>
      <w:proofErr w:type="spellStart"/>
      <w:r w:rsidRPr="005E262A">
        <w:t>behavioral</w:t>
      </w:r>
      <w:proofErr w:type="spellEnd"/>
      <w:r w:rsidRPr="005E262A">
        <w:t xml:space="preserve"> health employees for organizational interventions’,</w:t>
      </w:r>
      <w:r w:rsidR="00297435">
        <w:t xml:space="preserve"> </w:t>
      </w:r>
      <w:r w:rsidRPr="005E262A">
        <w:rPr>
          <w:i/>
          <w:iCs/>
        </w:rPr>
        <w:lastRenderedPageBreak/>
        <w:t>Psychiatric Rehabilitation Journal</w:t>
      </w:r>
      <w:r w:rsidR="00714464">
        <w:t>, 48(3), pp. 208-</w:t>
      </w:r>
      <w:r w:rsidRPr="005E262A">
        <w:t xml:space="preserve">213. Available at: </w:t>
      </w:r>
      <w:hyperlink r:id="rId38" w:tgtFrame="_new" w:history="1">
        <w:r w:rsidRPr="005E262A">
          <w:rPr>
            <w:rStyle w:val="Hyperlink"/>
          </w:rPr>
          <w:t>https://pmc.ncbi.nlm.nih.gov/articles/PMC12312671/</w:t>
        </w:r>
      </w:hyperlink>
      <w:r w:rsidRPr="005E262A">
        <w:t xml:space="preserve"> (Accessed: 31 January 2026).</w:t>
      </w:r>
    </w:p>
    <w:p w:rsidR="005E262A" w:rsidRDefault="005E262A" w:rsidP="00224E11">
      <w:pPr>
        <w:pStyle w:val="NoSpacing"/>
      </w:pPr>
    </w:p>
    <w:p w:rsidR="00B87B6A" w:rsidRDefault="00B87B6A" w:rsidP="00224E11">
      <w:pPr>
        <w:pStyle w:val="NoSpacing"/>
      </w:pPr>
      <w:r>
        <w:t xml:space="preserve">Holt, D. (2020) </w:t>
      </w:r>
      <w:r w:rsidRPr="00D6446E">
        <w:rPr>
          <w:rStyle w:val="Emphasis"/>
        </w:rPr>
        <w:t xml:space="preserve">Deontology: </w:t>
      </w:r>
      <w:r w:rsidR="004E191E" w:rsidRPr="00D6446E">
        <w:rPr>
          <w:rStyle w:val="Emphasis"/>
        </w:rPr>
        <w:t>strengths &amp; w</w:t>
      </w:r>
      <w:r w:rsidRPr="00D6446E">
        <w:rPr>
          <w:rStyle w:val="Emphasis"/>
        </w:rPr>
        <w:t>eaknesses</w:t>
      </w:r>
      <w:r w:rsidR="00D6446E" w:rsidRPr="00D6446E">
        <w:t>.</w:t>
      </w:r>
      <w:r w:rsidR="00D6446E">
        <w:t xml:space="preserve"> </w:t>
      </w:r>
      <w:r>
        <w:t xml:space="preserve">Available at: </w:t>
      </w:r>
      <w:hyperlink r:id="rId39" w:tgtFrame="_new" w:history="1">
        <w:r>
          <w:rPr>
            <w:rStyle w:val="Hyperlink"/>
          </w:rPr>
          <w:t>https://viva.pressbooks.pub/phi220ethics/chapter/deontology-pros-cons/</w:t>
        </w:r>
      </w:hyperlink>
      <w:r>
        <w:t xml:space="preserve"> (Accessed: </w:t>
      </w:r>
      <w:r>
        <w:rPr>
          <w:rStyle w:val="Strong"/>
          <w:b w:val="0"/>
        </w:rPr>
        <w:t>28 January 2026</w:t>
      </w:r>
      <w:r>
        <w:t>).</w:t>
      </w:r>
    </w:p>
    <w:p w:rsidR="00B87B6A" w:rsidRDefault="00B87B6A" w:rsidP="00224E11">
      <w:pPr>
        <w:pStyle w:val="NoSpacing"/>
      </w:pPr>
    </w:p>
    <w:p w:rsidR="00205B48" w:rsidRDefault="00205B48" w:rsidP="00224E11">
      <w:pPr>
        <w:pStyle w:val="NoSpacing"/>
      </w:pPr>
      <w:r w:rsidRPr="00205B48">
        <w:t>HR</w:t>
      </w:r>
      <w:r w:rsidRPr="00205B48">
        <w:noBreakHyphen/>
        <w:t xml:space="preserve">Inform (2021) </w:t>
      </w:r>
      <w:r w:rsidRPr="00205B48">
        <w:rPr>
          <w:i/>
          <w:iCs/>
        </w:rPr>
        <w:t>Stay interviews – a valuable retention tool</w:t>
      </w:r>
      <w:r w:rsidRPr="00205B48">
        <w:t xml:space="preserve">. Available at: </w:t>
      </w:r>
      <w:hyperlink r:id="rId40" w:tgtFrame="_new" w:history="1">
        <w:r w:rsidRPr="00205B48">
          <w:rPr>
            <w:rStyle w:val="Hyperlink"/>
          </w:rPr>
          <w:t>https://www.hr-inform.co.uk/news-article/stay-interviews-a-valuable-retention-tool</w:t>
        </w:r>
      </w:hyperlink>
      <w:r w:rsidRPr="00205B48">
        <w:t xml:space="preserve"> (Accessed: 26 January 202</w:t>
      </w:r>
      <w:r w:rsidR="009B6704">
        <w:t>6).</w:t>
      </w:r>
    </w:p>
    <w:p w:rsidR="008A375D" w:rsidRDefault="008A375D" w:rsidP="00224E11">
      <w:pPr>
        <w:pStyle w:val="NoSpacing"/>
      </w:pPr>
    </w:p>
    <w:p w:rsidR="001F4EEE" w:rsidRDefault="001F4EEE" w:rsidP="00224E11">
      <w:pPr>
        <w:pStyle w:val="NoSpacing"/>
      </w:pPr>
      <w:proofErr w:type="spellStart"/>
      <w:r w:rsidRPr="001F4EEE">
        <w:t>Linos</w:t>
      </w:r>
      <w:proofErr w:type="spellEnd"/>
      <w:r w:rsidRPr="001F4EEE">
        <w:t xml:space="preserve">, E. and </w:t>
      </w:r>
      <w:proofErr w:type="spellStart"/>
      <w:r w:rsidRPr="001F4EEE">
        <w:t>Reinhard</w:t>
      </w:r>
      <w:proofErr w:type="spellEnd"/>
      <w:r w:rsidRPr="001F4EEE">
        <w:t xml:space="preserve">, J. (2015) </w:t>
      </w:r>
      <w:r w:rsidRPr="001F4EEE">
        <w:rPr>
          <w:i/>
          <w:iCs/>
        </w:rPr>
        <w:t>A head for hiring: the behavioural science of recruitment and selection</w:t>
      </w:r>
      <w:r w:rsidRPr="001F4EEE">
        <w:t xml:space="preserve">. CIPD. Available at: </w:t>
      </w:r>
      <w:hyperlink r:id="rId41" w:tgtFrame="_new" w:history="1">
        <w:r w:rsidRPr="001F4EEE">
          <w:rPr>
            <w:rStyle w:val="Hyperlink"/>
          </w:rPr>
          <w:t>https://www.cipd.org/globalassets/media/knowledge/knowledge-hub/reports/a-head-for-hiring_2015-behavioural-science-of-recruitment-and-selection_tcm18-9557.pdf</w:t>
        </w:r>
      </w:hyperlink>
      <w:r w:rsidRPr="001F4EEE">
        <w:t xml:space="preserve"> (Accessed: 24 January 2026).</w:t>
      </w:r>
    </w:p>
    <w:p w:rsidR="00DA0EDF" w:rsidRDefault="00DA0EDF" w:rsidP="00224E11">
      <w:pPr>
        <w:pStyle w:val="NoSpacing"/>
      </w:pPr>
    </w:p>
    <w:p w:rsidR="00917CF9" w:rsidRDefault="00D6446E" w:rsidP="00224E11">
      <w:pPr>
        <w:pStyle w:val="NoSpacing"/>
      </w:pPr>
      <w:proofErr w:type="spellStart"/>
      <w:r>
        <w:t>Marchington</w:t>
      </w:r>
      <w:proofErr w:type="spellEnd"/>
      <w:r>
        <w:t xml:space="preserve">, M., Wilkinson, A., Donnelly, R. and </w:t>
      </w:r>
      <w:proofErr w:type="spellStart"/>
      <w:r>
        <w:t>Kynighou</w:t>
      </w:r>
      <w:proofErr w:type="spellEnd"/>
      <w:r>
        <w:t xml:space="preserve">, A. (2025) </w:t>
      </w:r>
      <w:r>
        <w:rPr>
          <w:rStyle w:val="Emphasis"/>
        </w:rPr>
        <w:t>Human resource management at work: the definitive guide</w:t>
      </w:r>
      <w:r>
        <w:t xml:space="preserve">. 8th </w:t>
      </w:r>
      <w:proofErr w:type="spellStart"/>
      <w:r>
        <w:t>edn</w:t>
      </w:r>
      <w:proofErr w:type="spellEnd"/>
      <w:r>
        <w:t xml:space="preserve">. London: </w:t>
      </w:r>
      <w:proofErr w:type="spellStart"/>
      <w:r>
        <w:t>Kogan</w:t>
      </w:r>
      <w:proofErr w:type="spellEnd"/>
      <w:r>
        <w:t xml:space="preserve"> Page.</w:t>
      </w:r>
    </w:p>
    <w:p w:rsidR="00D6446E" w:rsidRDefault="00D6446E" w:rsidP="00224E11">
      <w:pPr>
        <w:pStyle w:val="NoSpacing"/>
      </w:pPr>
    </w:p>
    <w:p w:rsidR="00917CF9" w:rsidRDefault="00917CF9" w:rsidP="00224E11">
      <w:pPr>
        <w:pStyle w:val="NoSpacing"/>
      </w:pPr>
      <w:r w:rsidRPr="00917CF9">
        <w:t xml:space="preserve">Markopoulos, E., </w:t>
      </w:r>
      <w:proofErr w:type="spellStart"/>
      <w:r w:rsidRPr="00917CF9">
        <w:t>Refflinghaus</w:t>
      </w:r>
      <w:proofErr w:type="spellEnd"/>
      <w:r w:rsidRPr="00917CF9">
        <w:t xml:space="preserve">, J., </w:t>
      </w:r>
      <w:proofErr w:type="spellStart"/>
      <w:r w:rsidRPr="00917CF9">
        <w:t>Roell</w:t>
      </w:r>
      <w:proofErr w:type="spellEnd"/>
      <w:r w:rsidRPr="00917CF9">
        <w:t xml:space="preserve">, M. and </w:t>
      </w:r>
      <w:proofErr w:type="spellStart"/>
      <w:r w:rsidRPr="00917CF9">
        <w:t>Vanharanta</w:t>
      </w:r>
      <w:proofErr w:type="spellEnd"/>
      <w:r w:rsidRPr="00917CF9">
        <w:t xml:space="preserve">, H. (2022) ‘Understanding </w:t>
      </w:r>
      <w:proofErr w:type="spellStart"/>
      <w:r w:rsidRPr="00917CF9">
        <w:t>situationality</w:t>
      </w:r>
      <w:proofErr w:type="spellEnd"/>
      <w:r w:rsidRPr="00917CF9">
        <w:t xml:space="preserve"> using the </w:t>
      </w:r>
      <w:proofErr w:type="spellStart"/>
      <w:r w:rsidRPr="00917CF9">
        <w:t>Kepner</w:t>
      </w:r>
      <w:r w:rsidRPr="00917CF9">
        <w:rPr>
          <w:rFonts w:ascii="Cambria Math" w:hAnsi="Cambria Math" w:cs="Cambria Math"/>
        </w:rPr>
        <w:t>‑</w:t>
      </w:r>
      <w:r w:rsidRPr="00917CF9">
        <w:t>Tregoe</w:t>
      </w:r>
      <w:proofErr w:type="spellEnd"/>
      <w:r w:rsidRPr="00917CF9">
        <w:t xml:space="preserve"> Method in the Company Democracy Model to increase employee engagement and knowledge contribution</w:t>
      </w:r>
      <w:r w:rsidRPr="00917CF9">
        <w:rPr>
          <w:rFonts w:ascii="Calibri" w:hAnsi="Calibri" w:cs="Calibri"/>
        </w:rPr>
        <w:t>’</w:t>
      </w:r>
      <w:r w:rsidRPr="00917CF9">
        <w:t xml:space="preserve">, </w:t>
      </w:r>
      <w:r w:rsidRPr="00714464">
        <w:rPr>
          <w:i/>
        </w:rPr>
        <w:t>Creativity, Innovation an</w:t>
      </w:r>
      <w:r w:rsidR="004540C0" w:rsidRPr="00714464">
        <w:rPr>
          <w:i/>
        </w:rPr>
        <w:t>d Entrepreneurship</w:t>
      </w:r>
      <w:r w:rsidR="004540C0">
        <w:t>, 31, pp. 196-</w:t>
      </w:r>
      <w:r w:rsidRPr="00917CF9">
        <w:t xml:space="preserve">207. </w:t>
      </w:r>
      <w:r w:rsidR="004540C0">
        <w:t xml:space="preserve">Available at: </w:t>
      </w:r>
      <w:r w:rsidR="00714464" w:rsidRPr="00714464">
        <w:t>https://doi.org/10.54941/ahfe1001522</w:t>
      </w:r>
    </w:p>
    <w:p w:rsidR="00BE0556" w:rsidRDefault="00BE0556" w:rsidP="00224E11">
      <w:pPr>
        <w:pStyle w:val="NoSpacing"/>
      </w:pPr>
    </w:p>
    <w:p w:rsidR="00810782" w:rsidRDefault="00D6446E" w:rsidP="00224E11">
      <w:pPr>
        <w:pStyle w:val="NoSpacing"/>
      </w:pPr>
      <w:r>
        <w:t xml:space="preserve">Marr, B. (2012) </w:t>
      </w:r>
      <w:r>
        <w:rPr>
          <w:rStyle w:val="Emphasis"/>
        </w:rPr>
        <w:t>Key performance indicators: the 75 measures every manager needs to know</w:t>
      </w:r>
      <w:r>
        <w:t xml:space="preserve">. 1st </w:t>
      </w:r>
      <w:proofErr w:type="spellStart"/>
      <w:r>
        <w:t>edn</w:t>
      </w:r>
      <w:proofErr w:type="spellEnd"/>
      <w:r>
        <w:t>. Harlow: Pearson.</w:t>
      </w:r>
    </w:p>
    <w:p w:rsidR="00930FB3" w:rsidRDefault="00930FB3" w:rsidP="00224E11">
      <w:pPr>
        <w:pStyle w:val="NoSpacing"/>
      </w:pPr>
    </w:p>
    <w:p w:rsidR="00930FB3" w:rsidRDefault="00930FB3" w:rsidP="00224E11">
      <w:pPr>
        <w:pStyle w:val="NoSpacing"/>
      </w:pPr>
      <w:proofErr w:type="spellStart"/>
      <w:r w:rsidRPr="00930FB3">
        <w:t>Murre</w:t>
      </w:r>
      <w:proofErr w:type="spellEnd"/>
      <w:r w:rsidRPr="00930FB3">
        <w:t xml:space="preserve">, J.M.J. and </w:t>
      </w:r>
      <w:proofErr w:type="spellStart"/>
      <w:r w:rsidRPr="00930FB3">
        <w:t>Dros</w:t>
      </w:r>
      <w:proofErr w:type="spellEnd"/>
      <w:r w:rsidRPr="00930FB3">
        <w:t xml:space="preserve">, J. (2015) ‘Replication and analysis of </w:t>
      </w:r>
      <w:proofErr w:type="spellStart"/>
      <w:r w:rsidRPr="00930FB3">
        <w:t>Ebbinghaus</w:t>
      </w:r>
      <w:proofErr w:type="spellEnd"/>
      <w:r w:rsidRPr="00930FB3">
        <w:t xml:space="preserve">' forgetting curve’, </w:t>
      </w:r>
      <w:r w:rsidRPr="00930FB3">
        <w:rPr>
          <w:i/>
          <w:iCs/>
        </w:rPr>
        <w:t>PLOS ONE</w:t>
      </w:r>
      <w:r w:rsidRPr="00930FB3">
        <w:t xml:space="preserve">, 10(7), article e0120644. Available at: </w:t>
      </w:r>
      <w:hyperlink r:id="rId42" w:tgtFrame="_blank" w:history="1">
        <w:r w:rsidRPr="00930FB3">
          <w:rPr>
            <w:rStyle w:val="Hyperlink"/>
          </w:rPr>
          <w:t>https://doi.org/10.1371/journal.pone.0120644</w:t>
        </w:r>
      </w:hyperlink>
      <w:r w:rsidR="00297435">
        <w:t xml:space="preserve"> </w:t>
      </w:r>
    </w:p>
    <w:p w:rsidR="00694584" w:rsidRDefault="00694584" w:rsidP="00224E11">
      <w:pPr>
        <w:pStyle w:val="NoSpacing"/>
      </w:pPr>
    </w:p>
    <w:p w:rsidR="00694584" w:rsidRDefault="00694584" w:rsidP="00224E11">
      <w:pPr>
        <w:pStyle w:val="NoSpacing"/>
      </w:pPr>
      <w:r w:rsidRPr="00694584">
        <w:t xml:space="preserve">National Training (2022) </w:t>
      </w:r>
      <w:r w:rsidRPr="00694584">
        <w:rPr>
          <w:i/>
          <w:iCs/>
        </w:rPr>
        <w:t>How to conduct learning needs analysis</w:t>
      </w:r>
      <w:r w:rsidRPr="00694584">
        <w:t xml:space="preserve">. Available at: </w:t>
      </w:r>
      <w:hyperlink r:id="rId43" w:tgtFrame="_blank" w:history="1">
        <w:r w:rsidRPr="00694584">
          <w:rPr>
            <w:rStyle w:val="Hyperlink"/>
          </w:rPr>
          <w:t>https://nationaltraining.edu.au/how-to-conduct-learning-needs-analysis/</w:t>
        </w:r>
      </w:hyperlink>
      <w:r w:rsidRPr="00694584">
        <w:t xml:space="preserve"> (Accessed: 1 February 2026).</w:t>
      </w:r>
    </w:p>
    <w:p w:rsidR="00D6446E" w:rsidRDefault="00D6446E" w:rsidP="00224E11">
      <w:pPr>
        <w:pStyle w:val="NoSpacing"/>
      </w:pPr>
    </w:p>
    <w:p w:rsidR="00810782" w:rsidRDefault="00810782" w:rsidP="00224E11">
      <w:pPr>
        <w:pStyle w:val="NoSpacing"/>
      </w:pPr>
      <w:proofErr w:type="spellStart"/>
      <w:r>
        <w:t>Parmenter</w:t>
      </w:r>
      <w:proofErr w:type="spellEnd"/>
      <w:r>
        <w:t xml:space="preserve">, D. (2014) </w:t>
      </w:r>
      <w:r w:rsidR="00862545">
        <w:rPr>
          <w:rStyle w:val="Emphasis"/>
        </w:rPr>
        <w:t>Human resources key performance i</w:t>
      </w:r>
      <w:r>
        <w:rPr>
          <w:rStyle w:val="Emphasis"/>
        </w:rPr>
        <w:t>ndicators</w:t>
      </w:r>
      <w:r>
        <w:t xml:space="preserve">. Available at: </w:t>
      </w:r>
      <w:hyperlink r:id="rId44" w:tgtFrame="_new" w:history="1">
        <w:r>
          <w:rPr>
            <w:rStyle w:val="Hyperlink"/>
          </w:rPr>
          <w:t>https://www.researchgate.net/publication/269829585_Human_Resources_Key_Performance_Indicators</w:t>
        </w:r>
      </w:hyperlink>
      <w:r>
        <w:t xml:space="preserve"> (Accessed: 31 January 2026).</w:t>
      </w:r>
    </w:p>
    <w:p w:rsidR="00AF4526" w:rsidRDefault="00AF4526" w:rsidP="00224E11">
      <w:pPr>
        <w:pStyle w:val="NoSpacing"/>
      </w:pPr>
    </w:p>
    <w:p w:rsidR="00AF4526" w:rsidRDefault="00AF4526" w:rsidP="00224E11">
      <w:pPr>
        <w:pStyle w:val="NoSpacing"/>
      </w:pPr>
      <w:r>
        <w:t>Parra, X., Tort</w:t>
      </w:r>
      <w:r>
        <w:noBreakHyphen/>
      </w:r>
      <w:proofErr w:type="spellStart"/>
      <w:r>
        <w:t>Martorell</w:t>
      </w:r>
      <w:proofErr w:type="spellEnd"/>
      <w:r>
        <w:t>, X., Alvarez</w:t>
      </w:r>
      <w:r>
        <w:noBreakHyphen/>
        <w:t>Gomez, F. and Ruiz</w:t>
      </w:r>
      <w:r>
        <w:noBreakHyphen/>
      </w:r>
      <w:proofErr w:type="spellStart"/>
      <w:r>
        <w:t>Viñals</w:t>
      </w:r>
      <w:proofErr w:type="spellEnd"/>
      <w:r>
        <w:t>, C. (2023) ‘Chronological evolution of the information</w:t>
      </w:r>
      <w:r>
        <w:noBreakHyphen/>
        <w:t>drive</w:t>
      </w:r>
      <w:r w:rsidR="004540C0">
        <w:t>n decision</w:t>
      </w:r>
      <w:r w:rsidR="004540C0">
        <w:noBreakHyphen/>
        <w:t>making process (1950-</w:t>
      </w:r>
      <w:r>
        <w:t xml:space="preserve">2020)’, </w:t>
      </w:r>
      <w:r>
        <w:rPr>
          <w:rStyle w:val="Emphasis"/>
        </w:rPr>
        <w:t>Journal of the Knowledge Economy</w:t>
      </w:r>
      <w:r w:rsidR="004540C0">
        <w:t>, 14(3), pp. 2363-</w:t>
      </w:r>
      <w:r>
        <w:t xml:space="preserve">2394. </w:t>
      </w:r>
      <w:r w:rsidR="004540C0">
        <w:t xml:space="preserve">Available at: </w:t>
      </w:r>
      <w:hyperlink r:id="rId45" w:history="1">
        <w:r w:rsidR="00076D4F" w:rsidRPr="00F03159">
          <w:rPr>
            <w:rStyle w:val="Hyperlink"/>
          </w:rPr>
          <w:t>https://doi.org/10.1007/s13132-022-00917-y</w:t>
        </w:r>
      </w:hyperlink>
    </w:p>
    <w:p w:rsidR="00076D4F" w:rsidRDefault="00076D4F" w:rsidP="00224E11">
      <w:pPr>
        <w:pStyle w:val="NoSpacing"/>
      </w:pPr>
    </w:p>
    <w:p w:rsidR="00076D4F" w:rsidRDefault="00076D4F" w:rsidP="00224E11">
      <w:pPr>
        <w:pStyle w:val="NoSpacing"/>
      </w:pPr>
      <w:r w:rsidRPr="00076D4F">
        <w:t xml:space="preserve">Reed (2026) </w:t>
      </w:r>
      <w:r w:rsidRPr="00076D4F">
        <w:rPr>
          <w:i/>
          <w:iCs/>
        </w:rPr>
        <w:t>Salary guide 2026: human resources</w:t>
      </w:r>
      <w:r w:rsidRPr="00076D4F">
        <w:t>. London: Reed.</w:t>
      </w:r>
    </w:p>
    <w:p w:rsidR="001F4EEE" w:rsidRDefault="001F4EEE" w:rsidP="00224E11">
      <w:pPr>
        <w:pStyle w:val="NoSpacing"/>
      </w:pPr>
    </w:p>
    <w:p w:rsidR="008B678D" w:rsidRDefault="008B678D" w:rsidP="00224E11">
      <w:pPr>
        <w:pStyle w:val="NoSpacing"/>
      </w:pPr>
      <w:r w:rsidRPr="008B678D">
        <w:t xml:space="preserve">Reid Elder, S. and </w:t>
      </w:r>
      <w:proofErr w:type="spellStart"/>
      <w:r w:rsidRPr="008B678D">
        <w:t>Nikodem</w:t>
      </w:r>
      <w:proofErr w:type="spellEnd"/>
      <w:r w:rsidRPr="008B678D">
        <w:t xml:space="preserve">, M. (2023) </w:t>
      </w:r>
      <w:r w:rsidR="00D6446E">
        <w:t>‘</w:t>
      </w:r>
      <w:r w:rsidRPr="00D6446E">
        <w:rPr>
          <w:iCs/>
        </w:rPr>
        <w:t>Considering the application and relevance of evidence</w:t>
      </w:r>
      <w:r w:rsidRPr="00D6446E">
        <w:rPr>
          <w:iCs/>
        </w:rPr>
        <w:noBreakHyphen/>
        <w:t>based HR</w:t>
      </w:r>
      <w:r w:rsidR="00D6446E" w:rsidRPr="00D6446E">
        <w:rPr>
          <w:iCs/>
        </w:rPr>
        <w:t>’</w:t>
      </w:r>
      <w:r w:rsidRPr="00D6446E">
        <w:t>.</w:t>
      </w:r>
      <w:r w:rsidRPr="008B678D">
        <w:t xml:space="preserve"> </w:t>
      </w:r>
      <w:r w:rsidRPr="00D6446E">
        <w:rPr>
          <w:i/>
        </w:rPr>
        <w:t>People Management</w:t>
      </w:r>
      <w:r>
        <w:t xml:space="preserve">. Available at: </w:t>
      </w:r>
      <w:hyperlink r:id="rId46" w:tgtFrame="_new" w:history="1">
        <w:r w:rsidRPr="008B678D">
          <w:rPr>
            <w:rStyle w:val="Hyperlink"/>
          </w:rPr>
          <w:t>https://www.peoplemanagement.co.uk/article/1845833/considering-application-relevance-evidence-based-hr</w:t>
        </w:r>
      </w:hyperlink>
      <w:r w:rsidRPr="008B678D">
        <w:t xml:space="preserve"> (Accessed: 24 January 2026).</w:t>
      </w:r>
    </w:p>
    <w:p w:rsidR="00C1781A" w:rsidRDefault="00C1781A" w:rsidP="00224E11">
      <w:pPr>
        <w:pStyle w:val="NoSpacing"/>
      </w:pPr>
    </w:p>
    <w:p w:rsidR="00D33098" w:rsidRDefault="00C1781A" w:rsidP="00224E11">
      <w:pPr>
        <w:pStyle w:val="NoSpacing"/>
      </w:pPr>
      <w:r w:rsidRPr="00C1781A">
        <w:t xml:space="preserve">Rose, M. (2014) </w:t>
      </w:r>
      <w:r w:rsidR="00D6446E">
        <w:rPr>
          <w:i/>
          <w:iCs/>
        </w:rPr>
        <w:t>Reward m</w:t>
      </w:r>
      <w:r w:rsidRPr="00C1781A">
        <w:rPr>
          <w:i/>
          <w:iCs/>
        </w:rPr>
        <w:t>anagement</w:t>
      </w:r>
      <w:r w:rsidRPr="00C1781A">
        <w:t xml:space="preserve">. London: </w:t>
      </w:r>
      <w:proofErr w:type="spellStart"/>
      <w:r w:rsidRPr="00C1781A">
        <w:t>Kogan</w:t>
      </w:r>
      <w:proofErr w:type="spellEnd"/>
      <w:r w:rsidRPr="00C1781A">
        <w:t xml:space="preserve"> Page Ltd. Available at: </w:t>
      </w:r>
      <w:hyperlink r:id="rId47" w:tgtFrame="_new" w:history="1">
        <w:r w:rsidRPr="00C1781A">
          <w:rPr>
            <w:rStyle w:val="Hyperlink"/>
          </w:rPr>
          <w:t>https://nibmehub.com/opac-service/pdf/read/Reward%20Management-%20Rose-%20M..pdf</w:t>
        </w:r>
      </w:hyperlink>
      <w:r w:rsidRPr="00C1781A">
        <w:t xml:space="preserve"> (Accessed: 24 January 2026).</w:t>
      </w:r>
    </w:p>
    <w:p w:rsidR="00D33098" w:rsidRDefault="00D33098" w:rsidP="00224E11">
      <w:pPr>
        <w:pStyle w:val="NoSpacing"/>
      </w:pPr>
      <w:r w:rsidRPr="00D33098">
        <w:lastRenderedPageBreak/>
        <w:t xml:space="preserve">Ruggiero, V.R. (2012) </w:t>
      </w:r>
      <w:proofErr w:type="gramStart"/>
      <w:r w:rsidR="00714464">
        <w:rPr>
          <w:i/>
          <w:iCs/>
        </w:rPr>
        <w:t>Beyond</w:t>
      </w:r>
      <w:proofErr w:type="gramEnd"/>
      <w:r w:rsidR="00714464">
        <w:rPr>
          <w:i/>
          <w:iCs/>
        </w:rPr>
        <w:t xml:space="preserve"> feelings: a</w:t>
      </w:r>
      <w:r w:rsidRPr="00D33098">
        <w:rPr>
          <w:i/>
          <w:iCs/>
        </w:rPr>
        <w:t xml:space="preserve"> guide to critical thinking</w:t>
      </w:r>
      <w:r w:rsidRPr="00D33098">
        <w:t xml:space="preserve">. 9th </w:t>
      </w:r>
      <w:proofErr w:type="spellStart"/>
      <w:r w:rsidRPr="00D33098">
        <w:t>edn</w:t>
      </w:r>
      <w:proofErr w:type="spellEnd"/>
      <w:r w:rsidRPr="00D33098">
        <w:t>. McGraw-Hill.</w:t>
      </w:r>
    </w:p>
    <w:p w:rsidR="00CE5847" w:rsidRDefault="00CE5847" w:rsidP="00224E11">
      <w:pPr>
        <w:pStyle w:val="NoSpacing"/>
      </w:pPr>
    </w:p>
    <w:p w:rsidR="00CE5847" w:rsidRDefault="00CE5847" w:rsidP="00224E11">
      <w:pPr>
        <w:pStyle w:val="NoSpacing"/>
      </w:pPr>
      <w:r w:rsidRPr="00CE5847">
        <w:t xml:space="preserve">Salas, E., Tannenbaum, S.I., </w:t>
      </w:r>
      <w:proofErr w:type="spellStart"/>
      <w:r w:rsidRPr="00CE5847">
        <w:t>Kraiger</w:t>
      </w:r>
      <w:proofErr w:type="spellEnd"/>
      <w:r w:rsidRPr="00CE5847">
        <w:t>, K. and Smith-</w:t>
      </w:r>
      <w:proofErr w:type="spellStart"/>
      <w:r w:rsidRPr="00CE5847">
        <w:t>Jentsch</w:t>
      </w:r>
      <w:proofErr w:type="spellEnd"/>
      <w:r w:rsidRPr="00CE5847">
        <w:t>, K.A. (2012) ‘</w:t>
      </w:r>
      <w:proofErr w:type="gramStart"/>
      <w:r w:rsidRPr="00CE5847">
        <w:t>The</w:t>
      </w:r>
      <w:proofErr w:type="gramEnd"/>
      <w:r w:rsidRPr="00CE5847">
        <w:t xml:space="preserve"> science of training and development in organizations: what matters in practice’, </w:t>
      </w:r>
      <w:r w:rsidRPr="00CE5847">
        <w:rPr>
          <w:i/>
          <w:iCs/>
        </w:rPr>
        <w:t>Psychological Science in the Public Interest</w:t>
      </w:r>
      <w:r>
        <w:t>, 13(2), pp. 74-</w:t>
      </w:r>
      <w:r w:rsidRPr="00CE5847">
        <w:t xml:space="preserve">101. Available at: </w:t>
      </w:r>
      <w:hyperlink r:id="rId48" w:tgtFrame="_blank" w:history="1">
        <w:r w:rsidRPr="00CE5847">
          <w:rPr>
            <w:rStyle w:val="Hyperlink"/>
          </w:rPr>
          <w:t>https://doi.org/10.1177/1529100612436661</w:t>
        </w:r>
      </w:hyperlink>
      <w:r w:rsidR="00297435">
        <w:t xml:space="preserve"> </w:t>
      </w:r>
    </w:p>
    <w:p w:rsidR="00D34EC0" w:rsidRDefault="00D34EC0" w:rsidP="00224E11">
      <w:pPr>
        <w:pStyle w:val="NoSpacing"/>
      </w:pPr>
    </w:p>
    <w:p w:rsidR="00D34EC0" w:rsidRDefault="00D34EC0" w:rsidP="00224E11">
      <w:pPr>
        <w:pStyle w:val="NoSpacing"/>
      </w:pPr>
      <w:r w:rsidRPr="00E706F0">
        <w:t>Schmidt, F.L. and Hunter, J.E. (1998) ‘</w:t>
      </w:r>
      <w:proofErr w:type="gramStart"/>
      <w:r w:rsidRPr="00E706F0">
        <w:t>The</w:t>
      </w:r>
      <w:proofErr w:type="gramEnd"/>
      <w:r w:rsidRPr="00E706F0">
        <w:t xml:space="preserve"> validity and utility of selection methods in personnel psychology: practical and theoretical implications of 85 years of research findings’, </w:t>
      </w:r>
      <w:r w:rsidRPr="00E706F0">
        <w:rPr>
          <w:i/>
          <w:iCs/>
        </w:rPr>
        <w:t>Psychological Bulletin</w:t>
      </w:r>
      <w:r w:rsidR="00D6446E">
        <w:t>, 124(2), pp.262-</w:t>
      </w:r>
      <w:r w:rsidRPr="00E706F0">
        <w:t xml:space="preserve">274. Available at: </w:t>
      </w:r>
      <w:hyperlink r:id="rId49" w:tgtFrame="_new" w:history="1">
        <w:r w:rsidRPr="00E706F0">
          <w:rPr>
            <w:rStyle w:val="Hyperlink"/>
          </w:rPr>
          <w:t>https://docslib.org/doc/4277464/the-validity-and-utility-of-selection-methods-in-personnel-psychology-practical-and-theoretical-implications-of-85-years-of-research-findings</w:t>
        </w:r>
      </w:hyperlink>
      <w:r w:rsidRPr="00E706F0">
        <w:t xml:space="preserve"> (Accessed: 24 January 2026). </w:t>
      </w:r>
    </w:p>
    <w:p w:rsidR="00B87B6A" w:rsidRDefault="00B87B6A" w:rsidP="00224E11">
      <w:pPr>
        <w:pStyle w:val="NoSpacing"/>
      </w:pPr>
    </w:p>
    <w:p w:rsidR="004A1DE2" w:rsidRDefault="004A1DE2" w:rsidP="00224E11">
      <w:pPr>
        <w:pStyle w:val="NoSpacing"/>
      </w:pPr>
      <w:r>
        <w:t xml:space="preserve">Schumann, P.L. (2001) ‘A moral principles framework for human resource management ethics’, </w:t>
      </w:r>
      <w:r>
        <w:rPr>
          <w:rStyle w:val="Emphasis"/>
        </w:rPr>
        <w:t>Human Resource Management Review</w:t>
      </w:r>
      <w:r w:rsidR="00714464">
        <w:t>, 11(1–2), pp. 93-</w:t>
      </w:r>
      <w:r>
        <w:t xml:space="preserve">111. </w:t>
      </w:r>
      <w:r w:rsidR="004540C0">
        <w:t xml:space="preserve">Available at: </w:t>
      </w:r>
      <w:hyperlink r:id="rId50" w:history="1">
        <w:r w:rsidR="00714464" w:rsidRPr="00F03159">
          <w:rPr>
            <w:rStyle w:val="Hyperlink"/>
          </w:rPr>
          <w:t>https://doi.org/10.1016/S1053-4822(00)00042-5</w:t>
        </w:r>
      </w:hyperlink>
    </w:p>
    <w:p w:rsidR="00297435" w:rsidRDefault="00297435" w:rsidP="00224E11">
      <w:pPr>
        <w:pStyle w:val="NoSpacing"/>
      </w:pPr>
    </w:p>
    <w:p w:rsidR="00297435" w:rsidRDefault="00297435" w:rsidP="00224E11">
      <w:pPr>
        <w:pStyle w:val="NoSpacing"/>
      </w:pPr>
      <w:proofErr w:type="spellStart"/>
      <w:r w:rsidRPr="00D34EC0">
        <w:t>Serrat</w:t>
      </w:r>
      <w:proofErr w:type="spellEnd"/>
      <w:r>
        <w:t>, O. (2017) ‘Wearing six thinking h</w:t>
      </w:r>
      <w:r w:rsidRPr="00D34EC0">
        <w:t xml:space="preserve">ats’, in </w:t>
      </w:r>
      <w:r>
        <w:rPr>
          <w:i/>
          <w:iCs/>
        </w:rPr>
        <w:t>Knowledge so</w:t>
      </w:r>
      <w:r w:rsidRPr="00D34EC0">
        <w:rPr>
          <w:i/>
          <w:iCs/>
        </w:rPr>
        <w:t>lutions</w:t>
      </w:r>
      <w:r>
        <w:t>, Singapore: Springer, pp. 615-</w:t>
      </w:r>
      <w:r w:rsidRPr="00D34EC0">
        <w:t xml:space="preserve">618. Available at: </w:t>
      </w:r>
      <w:hyperlink r:id="rId51" w:tgtFrame="_new" w:history="1">
        <w:r w:rsidRPr="00D34EC0">
          <w:rPr>
            <w:rStyle w:val="Hyperlink"/>
          </w:rPr>
          <w:t>https://link.springer.com/chapter/10.1007/978-981-10-0983-9_67</w:t>
        </w:r>
      </w:hyperlink>
      <w:r w:rsidRPr="00D34EC0">
        <w:t xml:space="preserve"> (Accessed: 25 January 2026).</w:t>
      </w:r>
    </w:p>
    <w:p w:rsidR="004A1DE2" w:rsidRDefault="004A1DE2" w:rsidP="00224E11">
      <w:pPr>
        <w:pStyle w:val="NoSpacing"/>
      </w:pPr>
    </w:p>
    <w:p w:rsidR="00B87B6A" w:rsidRDefault="00B87B6A" w:rsidP="00224E11">
      <w:pPr>
        <w:pStyle w:val="NoSpacing"/>
      </w:pPr>
      <w:proofErr w:type="spellStart"/>
      <w:r>
        <w:t>Shahzad</w:t>
      </w:r>
      <w:proofErr w:type="spellEnd"/>
      <w:r>
        <w:t xml:space="preserve">, K., Hong, Y., Muller, A., </w:t>
      </w:r>
      <w:proofErr w:type="spellStart"/>
      <w:r>
        <w:t>DeSisto</w:t>
      </w:r>
      <w:proofErr w:type="spellEnd"/>
      <w:r>
        <w:t>, M. and Rizvi, F. (2024) ‘An investigation of the relationship between ethics</w:t>
      </w:r>
      <w:r>
        <w:noBreakHyphen/>
        <w:t xml:space="preserve">oriented HRM systems, moral attentiveness, and deviant workplace </w:t>
      </w:r>
      <w:proofErr w:type="spellStart"/>
      <w:r>
        <w:t>behavior</w:t>
      </w:r>
      <w:proofErr w:type="spellEnd"/>
      <w:r>
        <w:t xml:space="preserve">’, </w:t>
      </w:r>
      <w:r>
        <w:rPr>
          <w:rStyle w:val="Emphasis"/>
        </w:rPr>
        <w:t>Journal of Business Ethics</w:t>
      </w:r>
      <w:r>
        <w:t xml:space="preserve">, 192(3), pp. 591–608. </w:t>
      </w:r>
      <w:r w:rsidR="004540C0">
        <w:t xml:space="preserve">Available at: </w:t>
      </w:r>
      <w:hyperlink r:id="rId52" w:history="1">
        <w:r w:rsidR="00714464" w:rsidRPr="00F03159">
          <w:rPr>
            <w:rStyle w:val="Hyperlink"/>
          </w:rPr>
          <w:t>https://doi.org/10.1007/s10551-023-05513-x</w:t>
        </w:r>
      </w:hyperlink>
    </w:p>
    <w:p w:rsidR="00390444" w:rsidRDefault="00390444" w:rsidP="00224E11">
      <w:pPr>
        <w:pStyle w:val="NoSpacing"/>
      </w:pPr>
    </w:p>
    <w:p w:rsidR="00297435" w:rsidRDefault="00297435" w:rsidP="00224E11">
      <w:pPr>
        <w:pStyle w:val="NoSpacing"/>
      </w:pPr>
      <w:r w:rsidRPr="007B0A6D">
        <w:t xml:space="preserve">Simon, H.A. (1990) ‘Bounded rationality’, in </w:t>
      </w:r>
      <w:proofErr w:type="spellStart"/>
      <w:r w:rsidRPr="007B0A6D">
        <w:t>Eatwell</w:t>
      </w:r>
      <w:proofErr w:type="spellEnd"/>
      <w:r w:rsidRPr="007B0A6D">
        <w:t xml:space="preserve">, J., </w:t>
      </w:r>
      <w:proofErr w:type="spellStart"/>
      <w:r w:rsidRPr="007B0A6D">
        <w:t>Milgate</w:t>
      </w:r>
      <w:proofErr w:type="spellEnd"/>
      <w:r w:rsidRPr="007B0A6D">
        <w:t>, M. and Newman, P. (</w:t>
      </w:r>
      <w:proofErr w:type="spellStart"/>
      <w:proofErr w:type="gramStart"/>
      <w:r w:rsidRPr="007B0A6D">
        <w:t>eds</w:t>
      </w:r>
      <w:proofErr w:type="spellEnd"/>
      <w:proofErr w:type="gramEnd"/>
      <w:r w:rsidRPr="007B0A6D">
        <w:t xml:space="preserve">) </w:t>
      </w:r>
      <w:r>
        <w:rPr>
          <w:i/>
          <w:iCs/>
        </w:rPr>
        <w:t>Utility and p</w:t>
      </w:r>
      <w:r w:rsidRPr="007B0A6D">
        <w:rPr>
          <w:i/>
          <w:iCs/>
        </w:rPr>
        <w:t>robability</w:t>
      </w:r>
      <w:r w:rsidRPr="007B0A6D">
        <w:t>. Lon</w:t>
      </w:r>
      <w:r>
        <w:t>don: Palgrave Macmillan, pp. 15-</w:t>
      </w:r>
      <w:r w:rsidRPr="007B0A6D">
        <w:t xml:space="preserve">18. Available at: </w:t>
      </w:r>
      <w:hyperlink r:id="rId53" w:tgtFrame="_new" w:history="1">
        <w:r w:rsidRPr="007B0A6D">
          <w:rPr>
            <w:rStyle w:val="Hyperlink"/>
          </w:rPr>
          <w:t>https://link.springer.com/chapter/10.1007/978-1-349-20568-4_5</w:t>
        </w:r>
      </w:hyperlink>
      <w:r w:rsidRPr="007B0A6D">
        <w:t xml:space="preserve"> (Accessed: 24 January 2026).</w:t>
      </w:r>
    </w:p>
    <w:p w:rsidR="00297435" w:rsidRDefault="00297435" w:rsidP="00224E11">
      <w:pPr>
        <w:pStyle w:val="NoSpacing"/>
      </w:pPr>
    </w:p>
    <w:p w:rsidR="007B0A6D" w:rsidRDefault="00390444" w:rsidP="00224E11">
      <w:pPr>
        <w:pStyle w:val="NoSpacing"/>
      </w:pPr>
      <w:r>
        <w:t>Singapor</w:t>
      </w:r>
      <w:r w:rsidR="00D6446E">
        <w:t>e Institute of Management (SIM)</w:t>
      </w:r>
      <w:r>
        <w:t xml:space="preserve"> (2025) </w:t>
      </w:r>
      <w:r w:rsidR="00D6446E" w:rsidRPr="00D6446E">
        <w:rPr>
          <w:i/>
          <w:iCs/>
        </w:rPr>
        <w:t xml:space="preserve">Six thinking hats technique: boost decision making </w:t>
      </w:r>
      <w:r w:rsidR="00D6446E">
        <w:rPr>
          <w:i/>
          <w:iCs/>
        </w:rPr>
        <w:t>&amp; solve workplace problems</w:t>
      </w:r>
      <w:r>
        <w:t xml:space="preserve">. Available at: </w:t>
      </w:r>
      <w:hyperlink r:id="rId54" w:tgtFrame="_new" w:history="1">
        <w:r>
          <w:rPr>
            <w:rStyle w:val="Hyperlink"/>
          </w:rPr>
          <w:t>https://www.sim.edu.sg/articles-inspirations/six-thinking-hats-technique-boost-decision-making-solve-workplace-problems</w:t>
        </w:r>
      </w:hyperlink>
      <w:r w:rsidR="00297435">
        <w:t xml:space="preserve"> (Accessed: 25 January 2026).</w:t>
      </w:r>
    </w:p>
    <w:p w:rsidR="00FA14C8" w:rsidRDefault="00FA14C8" w:rsidP="00224E11">
      <w:pPr>
        <w:pStyle w:val="NoSpacing"/>
      </w:pPr>
    </w:p>
    <w:p w:rsidR="00D23B30" w:rsidRDefault="00FA14C8" w:rsidP="00224E11">
      <w:pPr>
        <w:pStyle w:val="NoSpacing"/>
      </w:pPr>
      <w:r>
        <w:t>Smith, J. and Mitchell, J. (2022</w:t>
      </w:r>
      <w:r w:rsidR="00714464">
        <w:t>a</w:t>
      </w:r>
      <w:r>
        <w:t xml:space="preserve">) ‘The behaviour of the people professional’, in Taylor, S. and </w:t>
      </w:r>
      <w:proofErr w:type="spellStart"/>
      <w:r w:rsidR="00714464">
        <w:t>Woodhams</w:t>
      </w:r>
      <w:proofErr w:type="spellEnd"/>
      <w:r w:rsidR="00714464">
        <w:t>, C. (</w:t>
      </w:r>
      <w:proofErr w:type="spellStart"/>
      <w:proofErr w:type="gramStart"/>
      <w:r w:rsidR="00714464">
        <w:t>eds</w:t>
      </w:r>
      <w:proofErr w:type="spellEnd"/>
      <w:proofErr w:type="gramEnd"/>
      <w:r>
        <w:t xml:space="preserve">) </w:t>
      </w:r>
      <w:r w:rsidR="00862545">
        <w:rPr>
          <w:rStyle w:val="Emphasis"/>
        </w:rPr>
        <w:t>Studying human resource m</w:t>
      </w:r>
      <w:r>
        <w:rPr>
          <w:rStyle w:val="Emphasis"/>
        </w:rPr>
        <w:t>anagement</w:t>
      </w:r>
      <w:r>
        <w:t xml:space="preserve">. </w:t>
      </w:r>
      <w:r w:rsidR="00D6446E">
        <w:t xml:space="preserve">3rd </w:t>
      </w:r>
      <w:proofErr w:type="spellStart"/>
      <w:r w:rsidR="00D6446E">
        <w:t>edn</w:t>
      </w:r>
      <w:proofErr w:type="spellEnd"/>
      <w:r w:rsidR="00D6446E">
        <w:t xml:space="preserve">. London: </w:t>
      </w:r>
      <w:proofErr w:type="spellStart"/>
      <w:r w:rsidR="00D6446E">
        <w:t>Kogan</w:t>
      </w:r>
      <w:proofErr w:type="spellEnd"/>
      <w:r w:rsidR="00D6446E">
        <w:t xml:space="preserve"> Page pp. 141-</w:t>
      </w:r>
      <w:r>
        <w:t>172</w:t>
      </w:r>
      <w:r w:rsidR="00D6446E">
        <w:t>.</w:t>
      </w:r>
    </w:p>
    <w:p w:rsidR="00F25640" w:rsidRPr="00D23B30" w:rsidRDefault="00D23B30" w:rsidP="00224E11">
      <w:pPr>
        <w:pStyle w:val="NormalWeb"/>
        <w:spacing w:before="240" w:beforeAutospacing="0" w:after="240" w:afterAutospacing="0"/>
        <w:rPr>
          <w:rFonts w:asciiTheme="minorHAnsi" w:hAnsiTheme="minorHAnsi" w:cstheme="minorHAnsi"/>
          <w:sz w:val="22"/>
          <w:szCs w:val="22"/>
        </w:rPr>
      </w:pPr>
      <w:r w:rsidRPr="00E86218">
        <w:rPr>
          <w:rFonts w:asciiTheme="minorHAnsi" w:hAnsiTheme="minorHAnsi" w:cstheme="minorHAnsi"/>
          <w:sz w:val="22"/>
          <w:szCs w:val="22"/>
        </w:rPr>
        <w:t>Smith, J. and Mitchell, J. (2022</w:t>
      </w:r>
      <w:r>
        <w:rPr>
          <w:rFonts w:asciiTheme="minorHAnsi" w:hAnsiTheme="minorHAnsi" w:cstheme="minorHAnsi"/>
          <w:sz w:val="22"/>
          <w:szCs w:val="22"/>
        </w:rPr>
        <w:t>b</w:t>
      </w:r>
      <w:r w:rsidRPr="00E86218">
        <w:rPr>
          <w:rFonts w:asciiTheme="minorHAnsi" w:hAnsiTheme="minorHAnsi" w:cstheme="minorHAnsi"/>
          <w:sz w:val="22"/>
          <w:szCs w:val="22"/>
        </w:rPr>
        <w:t>) ‘Shaping people practice to benefit your organisation’, in T</w:t>
      </w:r>
      <w:r w:rsidR="00714464">
        <w:rPr>
          <w:rFonts w:asciiTheme="minorHAnsi" w:hAnsiTheme="minorHAnsi" w:cstheme="minorHAnsi"/>
          <w:sz w:val="22"/>
          <w:szCs w:val="22"/>
        </w:rPr>
        <w:t xml:space="preserve">aylor, S. and </w:t>
      </w:r>
      <w:proofErr w:type="spellStart"/>
      <w:r w:rsidR="00714464">
        <w:rPr>
          <w:rFonts w:asciiTheme="minorHAnsi" w:hAnsiTheme="minorHAnsi" w:cstheme="minorHAnsi"/>
          <w:sz w:val="22"/>
          <w:szCs w:val="22"/>
        </w:rPr>
        <w:t>Woodhams</w:t>
      </w:r>
      <w:proofErr w:type="spellEnd"/>
      <w:r w:rsidR="00714464">
        <w:rPr>
          <w:rFonts w:asciiTheme="minorHAnsi" w:hAnsiTheme="minorHAnsi" w:cstheme="minorHAnsi"/>
          <w:sz w:val="22"/>
          <w:szCs w:val="22"/>
        </w:rPr>
        <w:t>, C. (</w:t>
      </w:r>
      <w:proofErr w:type="spellStart"/>
      <w:proofErr w:type="gramStart"/>
      <w:r w:rsidR="00714464">
        <w:rPr>
          <w:rFonts w:asciiTheme="minorHAnsi" w:hAnsiTheme="minorHAnsi" w:cstheme="minorHAnsi"/>
          <w:sz w:val="22"/>
          <w:szCs w:val="22"/>
        </w:rPr>
        <w:t>eds</w:t>
      </w:r>
      <w:proofErr w:type="spellEnd"/>
      <w:proofErr w:type="gramEnd"/>
      <w:r w:rsidRPr="00E86218">
        <w:rPr>
          <w:rFonts w:asciiTheme="minorHAnsi" w:hAnsiTheme="minorHAnsi" w:cstheme="minorHAnsi"/>
          <w:sz w:val="22"/>
          <w:szCs w:val="22"/>
        </w:rPr>
        <w:t xml:space="preserve">) </w:t>
      </w:r>
      <w:r w:rsidR="00862545">
        <w:rPr>
          <w:rStyle w:val="Emphasis"/>
          <w:rFonts w:asciiTheme="minorHAnsi" w:hAnsiTheme="minorHAnsi" w:cstheme="minorHAnsi"/>
          <w:sz w:val="22"/>
          <w:szCs w:val="22"/>
        </w:rPr>
        <w:t>Studying human resource m</w:t>
      </w:r>
      <w:r w:rsidRPr="00E86218">
        <w:rPr>
          <w:rStyle w:val="Emphasis"/>
          <w:rFonts w:asciiTheme="minorHAnsi" w:hAnsiTheme="minorHAnsi" w:cstheme="minorHAnsi"/>
          <w:sz w:val="22"/>
          <w:szCs w:val="22"/>
        </w:rPr>
        <w:t>anagement</w:t>
      </w:r>
      <w:r w:rsidR="00D6446E">
        <w:rPr>
          <w:rFonts w:asciiTheme="minorHAnsi" w:hAnsiTheme="minorHAnsi" w:cstheme="minorHAnsi"/>
          <w:sz w:val="22"/>
          <w:szCs w:val="22"/>
        </w:rPr>
        <w:t>. London: Routledge, pp. 89-</w:t>
      </w:r>
      <w:r w:rsidRPr="00E86218">
        <w:rPr>
          <w:rFonts w:asciiTheme="minorHAnsi" w:hAnsiTheme="minorHAnsi" w:cstheme="minorHAnsi"/>
          <w:sz w:val="22"/>
          <w:szCs w:val="22"/>
        </w:rPr>
        <w:t>112.</w:t>
      </w:r>
    </w:p>
    <w:p w:rsidR="00F25640" w:rsidRDefault="00F25640" w:rsidP="00224E11">
      <w:pPr>
        <w:pStyle w:val="NoSpacing"/>
      </w:pPr>
      <w:proofErr w:type="spellStart"/>
      <w:r>
        <w:t>Stobierski</w:t>
      </w:r>
      <w:proofErr w:type="spellEnd"/>
      <w:r>
        <w:t xml:space="preserve">, T. (2020) </w:t>
      </w:r>
      <w:r>
        <w:rPr>
          <w:rStyle w:val="Emphasis"/>
        </w:rPr>
        <w:t>13 financial performance measures managers should monitor</w:t>
      </w:r>
      <w:r>
        <w:t xml:space="preserve">. Harvard Business School Online. Available at: </w:t>
      </w:r>
      <w:hyperlink r:id="rId55" w:tgtFrame="_new" w:history="1">
        <w:r>
          <w:rPr>
            <w:rStyle w:val="Hyperlink"/>
          </w:rPr>
          <w:t>https://online.hbs.edu/blog/post/financial-performance-measures</w:t>
        </w:r>
      </w:hyperlink>
      <w:r>
        <w:t xml:space="preserve"> (Accessed: 31 January 2026).</w:t>
      </w:r>
    </w:p>
    <w:p w:rsidR="00DC6C94" w:rsidRDefault="00DC6C94" w:rsidP="00224E11">
      <w:pPr>
        <w:pStyle w:val="NoSpacing"/>
      </w:pPr>
    </w:p>
    <w:p w:rsidR="00DC6C94" w:rsidRDefault="00DC6C94" w:rsidP="00224E11">
      <w:pPr>
        <w:pStyle w:val="NoSpacing"/>
      </w:pPr>
      <w:proofErr w:type="spellStart"/>
      <w:r w:rsidRPr="00DC6C94">
        <w:t>Tafvelin</w:t>
      </w:r>
      <w:proofErr w:type="spellEnd"/>
      <w:r w:rsidRPr="00DC6C94">
        <w:t xml:space="preserve">, S., Hasson, H., Nielsen, K. and von Thiele Schwarz, U. (2021) ‘Integrating a transfer perspective into evaluations of leadership training’, </w:t>
      </w:r>
      <w:r w:rsidRPr="00DC6C94">
        <w:rPr>
          <w:i/>
          <w:iCs/>
        </w:rPr>
        <w:t>The Leadership Quarterly</w:t>
      </w:r>
      <w:r w:rsidRPr="00DC6C94">
        <w:t xml:space="preserve">, 32(3), article 101524. Available at: </w:t>
      </w:r>
      <w:hyperlink r:id="rId56" w:history="1">
        <w:r w:rsidRPr="00DC6C94">
          <w:rPr>
            <w:rStyle w:val="Hyperlink"/>
          </w:rPr>
          <w:t>https://doi.org/10.1108/LODJ-11-2019-0492%20</w:t>
        </w:r>
      </w:hyperlink>
    </w:p>
    <w:p w:rsidR="00043DAA" w:rsidRDefault="00043DAA" w:rsidP="00224E11">
      <w:pPr>
        <w:pStyle w:val="NoSpacing"/>
      </w:pPr>
    </w:p>
    <w:p w:rsidR="00043DAA" w:rsidRDefault="00043DAA" w:rsidP="00224E11">
      <w:pPr>
        <w:pStyle w:val="NoSpacing"/>
      </w:pPr>
      <w:r>
        <w:t xml:space="preserve">Taylor, S. and </w:t>
      </w:r>
      <w:proofErr w:type="spellStart"/>
      <w:r>
        <w:t>Woodhams</w:t>
      </w:r>
      <w:proofErr w:type="spellEnd"/>
      <w:r>
        <w:t xml:space="preserve">, C. (2022) </w:t>
      </w:r>
      <w:r>
        <w:rPr>
          <w:rStyle w:val="Emphasis"/>
        </w:rPr>
        <w:t>Studying human resource management</w:t>
      </w:r>
      <w:r>
        <w:t xml:space="preserve">. 3rd </w:t>
      </w:r>
      <w:proofErr w:type="spellStart"/>
      <w:r>
        <w:t>edn</w:t>
      </w:r>
      <w:proofErr w:type="spellEnd"/>
      <w:r>
        <w:t xml:space="preserve">. London: </w:t>
      </w:r>
      <w:proofErr w:type="spellStart"/>
      <w:r>
        <w:t>Kogan</w:t>
      </w:r>
      <w:proofErr w:type="spellEnd"/>
      <w:r>
        <w:t xml:space="preserve"> Page.</w:t>
      </w:r>
    </w:p>
    <w:p w:rsidR="004706A2" w:rsidRDefault="004706A2" w:rsidP="00224E11">
      <w:pPr>
        <w:pStyle w:val="NoSpacing"/>
      </w:pPr>
    </w:p>
    <w:p w:rsidR="004706A2" w:rsidRDefault="004706A2" w:rsidP="00224E11">
      <w:pPr>
        <w:pStyle w:val="NoSpacing"/>
      </w:pPr>
      <w:r>
        <w:lastRenderedPageBreak/>
        <w:t xml:space="preserve">The CPD Certification Service (2024) </w:t>
      </w:r>
      <w:r>
        <w:rPr>
          <w:i/>
          <w:iCs/>
        </w:rPr>
        <w:t>CPD: why take a train the trainer course?</w:t>
      </w:r>
      <w:r>
        <w:t xml:space="preserve"> Available at: </w:t>
      </w:r>
      <w:hyperlink r:id="rId57" w:tgtFrame="_blank" w:history="1">
        <w:r>
          <w:rPr>
            <w:rStyle w:val="Hyperlink"/>
          </w:rPr>
          <w:t>https://www.cpduk.co.uk/news/cpd-why-take-a-train-the-trainer-course</w:t>
        </w:r>
      </w:hyperlink>
      <w:r>
        <w:t xml:space="preserve"> (Accessed: 1 February 2026).</w:t>
      </w:r>
    </w:p>
    <w:p w:rsidR="004706A2" w:rsidRDefault="004706A2" w:rsidP="00224E11">
      <w:pPr>
        <w:pStyle w:val="NoSpacing"/>
      </w:pPr>
    </w:p>
    <w:p w:rsidR="004706A2" w:rsidRDefault="004706A2" w:rsidP="00224E11">
      <w:pPr>
        <w:pStyle w:val="NoSpacing"/>
      </w:pPr>
      <w:r w:rsidRPr="004706A2">
        <w:t xml:space="preserve">The Mandatory Training Group (2026) </w:t>
      </w:r>
      <w:r w:rsidRPr="004706A2">
        <w:rPr>
          <w:i/>
          <w:iCs/>
        </w:rPr>
        <w:t>Online train the trainer courses &amp; training</w:t>
      </w:r>
      <w:r w:rsidRPr="004706A2">
        <w:t xml:space="preserve">. Available at: </w:t>
      </w:r>
      <w:hyperlink r:id="rId58" w:tgtFrame="_blank" w:history="1">
        <w:r w:rsidRPr="004706A2">
          <w:rPr>
            <w:rStyle w:val="Hyperlink"/>
          </w:rPr>
          <w:t>https://www.mandatorytraining.co.uk/collections/online-train-the-trainer-courses-training</w:t>
        </w:r>
      </w:hyperlink>
      <w:r w:rsidRPr="004706A2">
        <w:t xml:space="preserve"> (Accessed: 1 February 2026).</w:t>
      </w:r>
    </w:p>
    <w:p w:rsidR="00AB5AC9" w:rsidRDefault="00AB5AC9" w:rsidP="00224E11">
      <w:pPr>
        <w:pStyle w:val="NoSpacing"/>
      </w:pPr>
    </w:p>
    <w:p w:rsidR="00590BA7" w:rsidRDefault="004E191E" w:rsidP="00224E11">
      <w:pPr>
        <w:pStyle w:val="NoSpacing"/>
      </w:pPr>
      <w:proofErr w:type="spellStart"/>
      <w:r>
        <w:t>Tinsager</w:t>
      </w:r>
      <w:proofErr w:type="spellEnd"/>
      <w:r>
        <w:t>, A. and</w:t>
      </w:r>
      <w:r w:rsidR="00590BA7" w:rsidRPr="00590BA7">
        <w:t xml:space="preserve"> Smith, B. (2022) ‘Managing employee react</w:t>
      </w:r>
      <w:r>
        <w:t>ions to change’, in Taylor, P. and</w:t>
      </w:r>
      <w:r w:rsidR="00D6446E">
        <w:t xml:space="preserve"> </w:t>
      </w:r>
      <w:proofErr w:type="spellStart"/>
      <w:r w:rsidR="00D6446E">
        <w:t>Woodhams</w:t>
      </w:r>
      <w:proofErr w:type="spellEnd"/>
      <w:r w:rsidR="00D6446E">
        <w:t>, E. (</w:t>
      </w:r>
      <w:proofErr w:type="spellStart"/>
      <w:proofErr w:type="gramStart"/>
      <w:r w:rsidR="00D6446E">
        <w:t>eds</w:t>
      </w:r>
      <w:proofErr w:type="spellEnd"/>
      <w:proofErr w:type="gramEnd"/>
      <w:r w:rsidR="00590BA7" w:rsidRPr="00590BA7">
        <w:t xml:space="preserve">) </w:t>
      </w:r>
      <w:r w:rsidR="00590BA7" w:rsidRPr="00590BA7">
        <w:rPr>
          <w:i/>
          <w:iCs/>
        </w:rPr>
        <w:t>Organisational change and development</w:t>
      </w:r>
      <w:r w:rsidR="00590BA7" w:rsidRPr="00590BA7">
        <w:t>. London: Rou</w:t>
      </w:r>
      <w:r w:rsidR="00D6446E">
        <w:t>tledge, pp. 41-</w:t>
      </w:r>
      <w:r w:rsidR="00590BA7" w:rsidRPr="00590BA7">
        <w:t>64.</w:t>
      </w:r>
    </w:p>
    <w:p w:rsidR="00263F02" w:rsidRDefault="00263F02" w:rsidP="00224E11">
      <w:pPr>
        <w:pStyle w:val="NormalWeb"/>
        <w:spacing w:before="240" w:beforeAutospacing="0" w:after="240" w:afterAutospacing="0"/>
        <w:ind w:right="600"/>
        <w:rPr>
          <w:rFonts w:asciiTheme="minorHAnsi" w:hAnsiTheme="minorHAnsi" w:cstheme="minorHAnsi"/>
          <w:color w:val="000000"/>
          <w:sz w:val="22"/>
          <w:szCs w:val="22"/>
        </w:rPr>
      </w:pPr>
      <w:r w:rsidRPr="00E86218">
        <w:rPr>
          <w:rFonts w:asciiTheme="minorHAnsi" w:hAnsiTheme="minorHAnsi" w:cstheme="minorHAnsi"/>
          <w:color w:val="000000"/>
          <w:sz w:val="22"/>
          <w:szCs w:val="22"/>
        </w:rPr>
        <w:t xml:space="preserve">Waite, K., </w:t>
      </w:r>
      <w:proofErr w:type="spellStart"/>
      <w:r w:rsidRPr="00E86218">
        <w:rPr>
          <w:rFonts w:asciiTheme="minorHAnsi" w:hAnsiTheme="minorHAnsi" w:cstheme="minorHAnsi"/>
          <w:color w:val="000000"/>
          <w:sz w:val="22"/>
          <w:szCs w:val="22"/>
        </w:rPr>
        <w:t>Beevers</w:t>
      </w:r>
      <w:proofErr w:type="spellEnd"/>
      <w:r w:rsidR="004E191E">
        <w:rPr>
          <w:rFonts w:asciiTheme="minorHAnsi" w:hAnsiTheme="minorHAnsi" w:cstheme="minorHAnsi"/>
          <w:color w:val="000000"/>
          <w:sz w:val="22"/>
          <w:szCs w:val="22"/>
        </w:rPr>
        <w:t>, K., Tomlinson, K., Small, N. and</w:t>
      </w:r>
      <w:r w:rsidRPr="00E86218">
        <w:rPr>
          <w:rFonts w:asciiTheme="minorHAnsi" w:hAnsiTheme="minorHAnsi" w:cstheme="minorHAnsi"/>
          <w:color w:val="000000"/>
          <w:sz w:val="22"/>
          <w:szCs w:val="22"/>
        </w:rPr>
        <w:t xml:space="preserve"> Hussain, S. (2021) </w:t>
      </w:r>
      <w:r w:rsidR="00741AE7">
        <w:rPr>
          <w:rFonts w:asciiTheme="minorHAnsi" w:hAnsiTheme="minorHAnsi" w:cstheme="minorHAnsi"/>
          <w:i/>
          <w:iCs/>
          <w:color w:val="000000"/>
          <w:sz w:val="22"/>
          <w:szCs w:val="22"/>
        </w:rPr>
        <w:t xml:space="preserve">People practice: a complete </w:t>
      </w:r>
      <w:r w:rsidRPr="00E86218">
        <w:rPr>
          <w:rFonts w:asciiTheme="minorHAnsi" w:hAnsiTheme="minorHAnsi" w:cstheme="minorHAnsi"/>
          <w:i/>
          <w:iCs/>
          <w:color w:val="000000"/>
          <w:sz w:val="22"/>
          <w:szCs w:val="22"/>
        </w:rPr>
        <w:t>guide</w:t>
      </w:r>
      <w:r w:rsidRPr="00E86218">
        <w:rPr>
          <w:rFonts w:asciiTheme="minorHAnsi" w:hAnsiTheme="minorHAnsi" w:cstheme="minorHAnsi"/>
          <w:color w:val="000000"/>
          <w:sz w:val="22"/>
          <w:szCs w:val="22"/>
        </w:rPr>
        <w:t xml:space="preserve">. London: </w:t>
      </w:r>
      <w:proofErr w:type="spellStart"/>
      <w:r w:rsidRPr="00E86218">
        <w:rPr>
          <w:rFonts w:asciiTheme="minorHAnsi" w:hAnsiTheme="minorHAnsi" w:cstheme="minorHAnsi"/>
          <w:color w:val="000000"/>
          <w:sz w:val="22"/>
          <w:szCs w:val="22"/>
        </w:rPr>
        <w:t>Kogan</w:t>
      </w:r>
      <w:proofErr w:type="spellEnd"/>
      <w:r w:rsidRPr="00E86218">
        <w:rPr>
          <w:rFonts w:asciiTheme="minorHAnsi" w:hAnsiTheme="minorHAnsi" w:cstheme="minorHAnsi"/>
          <w:color w:val="000000"/>
          <w:sz w:val="22"/>
          <w:szCs w:val="22"/>
        </w:rPr>
        <w:t xml:space="preserve"> Page.</w:t>
      </w:r>
    </w:p>
    <w:p w:rsidR="00F65EFE" w:rsidRDefault="00F65EFE" w:rsidP="00224E11">
      <w:pPr>
        <w:pStyle w:val="NormalWeb"/>
        <w:spacing w:before="240" w:beforeAutospacing="0" w:after="240" w:afterAutospacing="0"/>
        <w:ind w:right="600"/>
        <w:rPr>
          <w:rFonts w:asciiTheme="minorHAnsi" w:hAnsiTheme="minorHAnsi" w:cstheme="minorHAnsi"/>
          <w:color w:val="000000"/>
          <w:sz w:val="22"/>
          <w:szCs w:val="22"/>
        </w:rPr>
      </w:pPr>
      <w:proofErr w:type="spellStart"/>
      <w:r w:rsidRPr="00F65EFE">
        <w:rPr>
          <w:rFonts w:asciiTheme="minorHAnsi" w:hAnsiTheme="minorHAnsi" w:cstheme="minorHAnsi"/>
          <w:color w:val="000000"/>
          <w:sz w:val="22"/>
          <w:szCs w:val="22"/>
        </w:rPr>
        <w:t>Wisshak</w:t>
      </w:r>
      <w:proofErr w:type="spellEnd"/>
      <w:r w:rsidRPr="00F65EFE">
        <w:rPr>
          <w:rFonts w:asciiTheme="minorHAnsi" w:hAnsiTheme="minorHAnsi" w:cstheme="minorHAnsi"/>
          <w:color w:val="000000"/>
          <w:sz w:val="22"/>
          <w:szCs w:val="22"/>
        </w:rPr>
        <w:t xml:space="preserve">, S., </w:t>
      </w:r>
      <w:proofErr w:type="spellStart"/>
      <w:r w:rsidRPr="00F65EFE">
        <w:rPr>
          <w:rFonts w:asciiTheme="minorHAnsi" w:hAnsiTheme="minorHAnsi" w:cstheme="minorHAnsi"/>
          <w:color w:val="000000"/>
          <w:sz w:val="22"/>
          <w:szCs w:val="22"/>
        </w:rPr>
        <w:t>Naumann</w:t>
      </w:r>
      <w:proofErr w:type="spellEnd"/>
      <w:r w:rsidRPr="00F65EFE">
        <w:rPr>
          <w:rFonts w:asciiTheme="minorHAnsi" w:hAnsiTheme="minorHAnsi" w:cstheme="minorHAnsi"/>
          <w:color w:val="000000"/>
          <w:sz w:val="22"/>
          <w:szCs w:val="22"/>
        </w:rPr>
        <w:t xml:space="preserve">, A., Koch, A. and </w:t>
      </w:r>
      <w:proofErr w:type="spellStart"/>
      <w:r w:rsidRPr="00F65EFE">
        <w:rPr>
          <w:rFonts w:asciiTheme="minorHAnsi" w:hAnsiTheme="minorHAnsi" w:cstheme="minorHAnsi"/>
          <w:color w:val="000000"/>
          <w:sz w:val="22"/>
          <w:szCs w:val="22"/>
        </w:rPr>
        <w:t>Spener</w:t>
      </w:r>
      <w:proofErr w:type="spellEnd"/>
      <w:r w:rsidRPr="00F65EFE">
        <w:rPr>
          <w:rFonts w:asciiTheme="minorHAnsi" w:hAnsiTheme="minorHAnsi" w:cstheme="minorHAnsi"/>
          <w:color w:val="000000"/>
          <w:sz w:val="22"/>
          <w:szCs w:val="22"/>
        </w:rPr>
        <w:t xml:space="preserve">, C. (2025) ‘Trainers’ knowledge of training transfer: exploration of a crucial yet uncharted concept’, </w:t>
      </w:r>
      <w:proofErr w:type="spellStart"/>
      <w:r w:rsidRPr="00F65EFE">
        <w:rPr>
          <w:rFonts w:asciiTheme="minorHAnsi" w:hAnsiTheme="minorHAnsi" w:cstheme="minorHAnsi"/>
          <w:i/>
          <w:iCs/>
          <w:color w:val="000000"/>
          <w:sz w:val="22"/>
          <w:szCs w:val="22"/>
        </w:rPr>
        <w:t>Zeitschrift</w:t>
      </w:r>
      <w:proofErr w:type="spellEnd"/>
      <w:r w:rsidRPr="00F65EFE">
        <w:rPr>
          <w:rFonts w:asciiTheme="minorHAnsi" w:hAnsiTheme="minorHAnsi" w:cstheme="minorHAnsi"/>
          <w:i/>
          <w:iCs/>
          <w:color w:val="000000"/>
          <w:sz w:val="22"/>
          <w:szCs w:val="22"/>
        </w:rPr>
        <w:t xml:space="preserve"> </w:t>
      </w:r>
      <w:proofErr w:type="spellStart"/>
      <w:r w:rsidRPr="00F65EFE">
        <w:rPr>
          <w:rFonts w:asciiTheme="minorHAnsi" w:hAnsiTheme="minorHAnsi" w:cstheme="minorHAnsi"/>
          <w:i/>
          <w:iCs/>
          <w:color w:val="000000"/>
          <w:sz w:val="22"/>
          <w:szCs w:val="22"/>
        </w:rPr>
        <w:t>für</w:t>
      </w:r>
      <w:proofErr w:type="spellEnd"/>
      <w:r w:rsidRPr="00F65EFE">
        <w:rPr>
          <w:rFonts w:asciiTheme="minorHAnsi" w:hAnsiTheme="minorHAnsi" w:cstheme="minorHAnsi"/>
          <w:i/>
          <w:iCs/>
          <w:color w:val="000000"/>
          <w:sz w:val="22"/>
          <w:szCs w:val="22"/>
        </w:rPr>
        <w:t xml:space="preserve"> </w:t>
      </w:r>
      <w:proofErr w:type="spellStart"/>
      <w:r w:rsidRPr="00F65EFE">
        <w:rPr>
          <w:rFonts w:asciiTheme="minorHAnsi" w:hAnsiTheme="minorHAnsi" w:cstheme="minorHAnsi"/>
          <w:i/>
          <w:iCs/>
          <w:color w:val="000000"/>
          <w:sz w:val="22"/>
          <w:szCs w:val="22"/>
        </w:rPr>
        <w:t>Erziehungswissenschaft</w:t>
      </w:r>
      <w:proofErr w:type="spellEnd"/>
      <w:r w:rsidRPr="00F65EFE">
        <w:rPr>
          <w:rFonts w:asciiTheme="minorHAnsi" w:hAnsiTheme="minorHAnsi" w:cstheme="minorHAnsi"/>
          <w:color w:val="000000"/>
          <w:sz w:val="22"/>
          <w:szCs w:val="22"/>
        </w:rPr>
        <w:t xml:space="preserve">. Available at: </w:t>
      </w:r>
      <w:hyperlink r:id="rId59" w:tgtFrame="_blank" w:history="1">
        <w:r w:rsidRPr="00F65EFE">
          <w:rPr>
            <w:rStyle w:val="Hyperlink"/>
            <w:rFonts w:asciiTheme="minorHAnsi" w:hAnsiTheme="minorHAnsi" w:cstheme="minorHAnsi"/>
            <w:sz w:val="22"/>
            <w:szCs w:val="22"/>
          </w:rPr>
          <w:t>https://doi.org/10.1007/s11618-025-01318-y</w:t>
        </w:r>
      </w:hyperlink>
      <w:r w:rsidRPr="00F65EFE">
        <w:rPr>
          <w:rFonts w:asciiTheme="minorHAnsi" w:hAnsiTheme="minorHAnsi" w:cstheme="minorHAnsi"/>
          <w:color w:val="000000"/>
          <w:sz w:val="22"/>
          <w:szCs w:val="22"/>
        </w:rPr>
        <w:t xml:space="preserve"> </w:t>
      </w:r>
    </w:p>
    <w:p w:rsidR="00741AE7" w:rsidRPr="00E86218" w:rsidRDefault="00741AE7" w:rsidP="00224E11">
      <w:pPr>
        <w:pStyle w:val="NormalWeb"/>
        <w:spacing w:before="240" w:beforeAutospacing="0" w:after="240" w:afterAutospacing="0"/>
        <w:ind w:right="600"/>
        <w:jc w:val="both"/>
        <w:rPr>
          <w:rFonts w:asciiTheme="minorHAnsi" w:hAnsiTheme="minorHAnsi" w:cstheme="minorHAnsi"/>
          <w:sz w:val="22"/>
          <w:szCs w:val="22"/>
        </w:rPr>
      </w:pPr>
      <w:proofErr w:type="spellStart"/>
      <w:r w:rsidRPr="00741AE7">
        <w:rPr>
          <w:rFonts w:asciiTheme="minorHAnsi" w:hAnsiTheme="minorHAnsi" w:cstheme="minorHAnsi"/>
          <w:sz w:val="22"/>
          <w:szCs w:val="22"/>
        </w:rPr>
        <w:t>Woodhams</w:t>
      </w:r>
      <w:proofErr w:type="spellEnd"/>
      <w:r w:rsidRPr="00741AE7">
        <w:rPr>
          <w:rFonts w:asciiTheme="minorHAnsi" w:hAnsiTheme="minorHAnsi" w:cstheme="minorHAnsi"/>
          <w:sz w:val="22"/>
          <w:szCs w:val="22"/>
        </w:rPr>
        <w:t>, C. and Perkins, G. (2022) ‘Research and evid</w:t>
      </w:r>
      <w:r w:rsidR="00224E11">
        <w:rPr>
          <w:rFonts w:asciiTheme="minorHAnsi" w:hAnsiTheme="minorHAnsi" w:cstheme="minorHAnsi"/>
          <w:sz w:val="22"/>
          <w:szCs w:val="22"/>
        </w:rPr>
        <w:t xml:space="preserve">ence-based practice in HRM’, in </w:t>
      </w:r>
      <w:r w:rsidRPr="00741AE7">
        <w:rPr>
          <w:rFonts w:asciiTheme="minorHAnsi" w:hAnsiTheme="minorHAnsi" w:cstheme="minorHAnsi"/>
          <w:sz w:val="22"/>
          <w:szCs w:val="22"/>
        </w:rPr>
        <w:t xml:space="preserve">Taylor, S. and </w:t>
      </w:r>
      <w:proofErr w:type="spellStart"/>
      <w:r w:rsidRPr="00741AE7">
        <w:rPr>
          <w:rFonts w:asciiTheme="minorHAnsi" w:hAnsiTheme="minorHAnsi" w:cstheme="minorHAnsi"/>
          <w:sz w:val="22"/>
          <w:szCs w:val="22"/>
        </w:rPr>
        <w:t>Woodhams</w:t>
      </w:r>
      <w:proofErr w:type="spellEnd"/>
      <w:r w:rsidR="00D6446E">
        <w:rPr>
          <w:rFonts w:asciiTheme="minorHAnsi" w:hAnsiTheme="minorHAnsi" w:cstheme="minorHAnsi"/>
          <w:sz w:val="22"/>
          <w:szCs w:val="22"/>
        </w:rPr>
        <w:t>, C. (</w:t>
      </w:r>
      <w:proofErr w:type="spellStart"/>
      <w:proofErr w:type="gramStart"/>
      <w:r w:rsidR="00D6446E">
        <w:rPr>
          <w:rFonts w:asciiTheme="minorHAnsi" w:hAnsiTheme="minorHAnsi" w:cstheme="minorHAnsi"/>
          <w:sz w:val="22"/>
          <w:szCs w:val="22"/>
        </w:rPr>
        <w:t>eds</w:t>
      </w:r>
      <w:proofErr w:type="spellEnd"/>
      <w:proofErr w:type="gramEnd"/>
      <w:r w:rsidRPr="00741AE7">
        <w:rPr>
          <w:rFonts w:asciiTheme="minorHAnsi" w:hAnsiTheme="minorHAnsi" w:cstheme="minorHAnsi"/>
          <w:sz w:val="22"/>
          <w:szCs w:val="22"/>
        </w:rPr>
        <w:t xml:space="preserve">) </w:t>
      </w:r>
      <w:r w:rsidRPr="00741AE7">
        <w:rPr>
          <w:rFonts w:asciiTheme="minorHAnsi" w:hAnsiTheme="minorHAnsi" w:cstheme="minorHAnsi"/>
          <w:i/>
          <w:iCs/>
          <w:sz w:val="22"/>
          <w:szCs w:val="22"/>
        </w:rPr>
        <w:t xml:space="preserve">Studying </w:t>
      </w:r>
      <w:r w:rsidR="00862545">
        <w:rPr>
          <w:rFonts w:asciiTheme="minorHAnsi" w:hAnsiTheme="minorHAnsi" w:cstheme="minorHAnsi"/>
          <w:i/>
          <w:iCs/>
          <w:sz w:val="22"/>
          <w:szCs w:val="22"/>
        </w:rPr>
        <w:t>human resource m</w:t>
      </w:r>
      <w:r w:rsidRPr="00741AE7">
        <w:rPr>
          <w:rFonts w:asciiTheme="minorHAnsi" w:hAnsiTheme="minorHAnsi" w:cstheme="minorHAnsi"/>
          <w:i/>
          <w:iCs/>
          <w:sz w:val="22"/>
          <w:szCs w:val="22"/>
        </w:rPr>
        <w:t>anagement</w:t>
      </w:r>
      <w:r w:rsidRPr="00741AE7">
        <w:rPr>
          <w:rFonts w:asciiTheme="minorHAnsi" w:hAnsiTheme="minorHAnsi" w:cstheme="minorHAnsi"/>
          <w:sz w:val="22"/>
          <w:szCs w:val="22"/>
        </w:rPr>
        <w:t xml:space="preserve">. 3rd </w:t>
      </w:r>
      <w:proofErr w:type="spellStart"/>
      <w:r w:rsidRPr="00741AE7">
        <w:rPr>
          <w:rFonts w:asciiTheme="minorHAnsi" w:hAnsiTheme="minorHAnsi" w:cstheme="minorHAnsi"/>
          <w:sz w:val="22"/>
          <w:szCs w:val="22"/>
        </w:rPr>
        <w:t>edn</w:t>
      </w:r>
      <w:proofErr w:type="spellEnd"/>
      <w:r w:rsidRPr="00741AE7">
        <w:rPr>
          <w:rFonts w:asciiTheme="minorHAnsi" w:hAnsiTheme="minorHAnsi" w:cstheme="minorHAnsi"/>
          <w:sz w:val="22"/>
          <w:szCs w:val="22"/>
        </w:rPr>
        <w:t xml:space="preserve">. </w:t>
      </w:r>
      <w:proofErr w:type="spellStart"/>
      <w:r w:rsidRPr="00741AE7">
        <w:rPr>
          <w:rFonts w:asciiTheme="minorHAnsi" w:hAnsiTheme="minorHAnsi" w:cstheme="minorHAnsi"/>
          <w:sz w:val="22"/>
          <w:szCs w:val="22"/>
        </w:rPr>
        <w:t>Kogan</w:t>
      </w:r>
      <w:proofErr w:type="spellEnd"/>
      <w:r w:rsidRPr="00741AE7">
        <w:rPr>
          <w:rFonts w:asciiTheme="minorHAnsi" w:hAnsiTheme="minorHAnsi" w:cstheme="minorHAnsi"/>
          <w:sz w:val="22"/>
          <w:szCs w:val="22"/>
        </w:rPr>
        <w:t xml:space="preserve"> Page.</w:t>
      </w:r>
    </w:p>
    <w:p w:rsidR="00263F02" w:rsidRPr="00E706F0" w:rsidRDefault="00263F02" w:rsidP="00224E11">
      <w:pPr>
        <w:pStyle w:val="NoSpacing"/>
      </w:pPr>
      <w:bookmarkStart w:id="0" w:name="_GoBack"/>
      <w:bookmarkEnd w:id="0"/>
    </w:p>
    <w:p w:rsidR="00E706F0" w:rsidRPr="00B81EC6" w:rsidRDefault="00E706F0" w:rsidP="00224E11">
      <w:pPr>
        <w:pStyle w:val="NoSpacing"/>
      </w:pPr>
    </w:p>
    <w:sectPr w:rsidR="00E706F0" w:rsidRPr="00B81E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E6623"/>
    <w:multiLevelType w:val="hybridMultilevel"/>
    <w:tmpl w:val="10500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11B63"/>
    <w:multiLevelType w:val="multilevel"/>
    <w:tmpl w:val="AE32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F65F58"/>
    <w:multiLevelType w:val="hybridMultilevel"/>
    <w:tmpl w:val="21B22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A81F49"/>
    <w:multiLevelType w:val="multilevel"/>
    <w:tmpl w:val="DC6A6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C6291D"/>
    <w:multiLevelType w:val="multilevel"/>
    <w:tmpl w:val="DAAA4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AF02DF"/>
    <w:multiLevelType w:val="hybridMultilevel"/>
    <w:tmpl w:val="CADCF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6142B6"/>
    <w:multiLevelType w:val="multilevel"/>
    <w:tmpl w:val="E0966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6D6AB2"/>
    <w:multiLevelType w:val="hybridMultilevel"/>
    <w:tmpl w:val="1F22C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4312EA"/>
    <w:multiLevelType w:val="hybridMultilevel"/>
    <w:tmpl w:val="ACCEC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3E0FF4"/>
    <w:multiLevelType w:val="hybridMultilevel"/>
    <w:tmpl w:val="234A455A"/>
    <w:lvl w:ilvl="0" w:tplc="DE3A1C48">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8"/>
  </w:num>
  <w:num w:numId="4">
    <w:abstractNumId w:val="9"/>
  </w:num>
  <w:num w:numId="5">
    <w:abstractNumId w:val="0"/>
  </w:num>
  <w:num w:numId="6">
    <w:abstractNumId w:val="4"/>
  </w:num>
  <w:num w:numId="7">
    <w:abstractNumId w:val="1"/>
  </w:num>
  <w:num w:numId="8">
    <w:abstractNumId w:val="6"/>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AC4"/>
    <w:rsid w:val="00004E7A"/>
    <w:rsid w:val="00005A62"/>
    <w:rsid w:val="00007ED3"/>
    <w:rsid w:val="00017B63"/>
    <w:rsid w:val="00043DAA"/>
    <w:rsid w:val="0006316B"/>
    <w:rsid w:val="000659C1"/>
    <w:rsid w:val="000727B1"/>
    <w:rsid w:val="00076D4F"/>
    <w:rsid w:val="00087FF7"/>
    <w:rsid w:val="000A2DD6"/>
    <w:rsid w:val="00105AC6"/>
    <w:rsid w:val="00105CF9"/>
    <w:rsid w:val="00106155"/>
    <w:rsid w:val="00110F0F"/>
    <w:rsid w:val="001157D0"/>
    <w:rsid w:val="001179CE"/>
    <w:rsid w:val="00136609"/>
    <w:rsid w:val="00136668"/>
    <w:rsid w:val="00136953"/>
    <w:rsid w:val="00146B97"/>
    <w:rsid w:val="0017011C"/>
    <w:rsid w:val="00175EC2"/>
    <w:rsid w:val="001800EC"/>
    <w:rsid w:val="001B6626"/>
    <w:rsid w:val="001C4317"/>
    <w:rsid w:val="001E16CE"/>
    <w:rsid w:val="001E769C"/>
    <w:rsid w:val="001F0FF9"/>
    <w:rsid w:val="001F1864"/>
    <w:rsid w:val="001F4EEE"/>
    <w:rsid w:val="001F5901"/>
    <w:rsid w:val="00205B48"/>
    <w:rsid w:val="00221406"/>
    <w:rsid w:val="00223433"/>
    <w:rsid w:val="00224E11"/>
    <w:rsid w:val="00237336"/>
    <w:rsid w:val="00247FC2"/>
    <w:rsid w:val="00251334"/>
    <w:rsid w:val="00251B21"/>
    <w:rsid w:val="00263F02"/>
    <w:rsid w:val="0029382F"/>
    <w:rsid w:val="00297435"/>
    <w:rsid w:val="002B0714"/>
    <w:rsid w:val="002D6A8B"/>
    <w:rsid w:val="002E1B08"/>
    <w:rsid w:val="00330A0A"/>
    <w:rsid w:val="003325A5"/>
    <w:rsid w:val="00333538"/>
    <w:rsid w:val="00343682"/>
    <w:rsid w:val="00351A8E"/>
    <w:rsid w:val="00360741"/>
    <w:rsid w:val="00362624"/>
    <w:rsid w:val="003630B2"/>
    <w:rsid w:val="00363F71"/>
    <w:rsid w:val="003775D3"/>
    <w:rsid w:val="00390444"/>
    <w:rsid w:val="003A3ADD"/>
    <w:rsid w:val="003A6A66"/>
    <w:rsid w:val="003A792A"/>
    <w:rsid w:val="003B1105"/>
    <w:rsid w:val="003B3EAF"/>
    <w:rsid w:val="003B4784"/>
    <w:rsid w:val="003C7A26"/>
    <w:rsid w:val="003D67AA"/>
    <w:rsid w:val="003F0BEB"/>
    <w:rsid w:val="00401399"/>
    <w:rsid w:val="00425285"/>
    <w:rsid w:val="004257D9"/>
    <w:rsid w:val="0043143D"/>
    <w:rsid w:val="00435566"/>
    <w:rsid w:val="0043786B"/>
    <w:rsid w:val="00443987"/>
    <w:rsid w:val="004540C0"/>
    <w:rsid w:val="0046697C"/>
    <w:rsid w:val="004706A2"/>
    <w:rsid w:val="0049130B"/>
    <w:rsid w:val="0049466D"/>
    <w:rsid w:val="004A1DE2"/>
    <w:rsid w:val="004A3AC4"/>
    <w:rsid w:val="004A6DFD"/>
    <w:rsid w:val="004A76EC"/>
    <w:rsid w:val="004B369F"/>
    <w:rsid w:val="004B6DC9"/>
    <w:rsid w:val="004E191E"/>
    <w:rsid w:val="004E3717"/>
    <w:rsid w:val="004E780C"/>
    <w:rsid w:val="004F4126"/>
    <w:rsid w:val="00504396"/>
    <w:rsid w:val="00506AF9"/>
    <w:rsid w:val="00511E5E"/>
    <w:rsid w:val="0054057D"/>
    <w:rsid w:val="00550DF3"/>
    <w:rsid w:val="00560AE6"/>
    <w:rsid w:val="00563E7B"/>
    <w:rsid w:val="005644DC"/>
    <w:rsid w:val="005808AB"/>
    <w:rsid w:val="00584448"/>
    <w:rsid w:val="00590BA7"/>
    <w:rsid w:val="0059182F"/>
    <w:rsid w:val="005A327A"/>
    <w:rsid w:val="005A650C"/>
    <w:rsid w:val="005C7E7B"/>
    <w:rsid w:val="005D3ABB"/>
    <w:rsid w:val="005E262A"/>
    <w:rsid w:val="005E73A1"/>
    <w:rsid w:val="005F063F"/>
    <w:rsid w:val="005F26E9"/>
    <w:rsid w:val="00607C24"/>
    <w:rsid w:val="00612464"/>
    <w:rsid w:val="00630AA0"/>
    <w:rsid w:val="00632F28"/>
    <w:rsid w:val="00636C04"/>
    <w:rsid w:val="00657C30"/>
    <w:rsid w:val="006812FB"/>
    <w:rsid w:val="00687373"/>
    <w:rsid w:val="00694584"/>
    <w:rsid w:val="00694BE9"/>
    <w:rsid w:val="006A3D01"/>
    <w:rsid w:val="006A5732"/>
    <w:rsid w:val="006B0B07"/>
    <w:rsid w:val="006B6CFB"/>
    <w:rsid w:val="006D0EB0"/>
    <w:rsid w:val="006F18DC"/>
    <w:rsid w:val="007138D7"/>
    <w:rsid w:val="00714464"/>
    <w:rsid w:val="00716C77"/>
    <w:rsid w:val="0071765C"/>
    <w:rsid w:val="007234A9"/>
    <w:rsid w:val="00724852"/>
    <w:rsid w:val="00741AE7"/>
    <w:rsid w:val="00755932"/>
    <w:rsid w:val="00763DB8"/>
    <w:rsid w:val="00763F74"/>
    <w:rsid w:val="00794B34"/>
    <w:rsid w:val="007A0EEA"/>
    <w:rsid w:val="007A700F"/>
    <w:rsid w:val="007A7D72"/>
    <w:rsid w:val="007B0A6D"/>
    <w:rsid w:val="007B52F4"/>
    <w:rsid w:val="007C2740"/>
    <w:rsid w:val="007D6994"/>
    <w:rsid w:val="007E2196"/>
    <w:rsid w:val="007E4BFE"/>
    <w:rsid w:val="00803C8C"/>
    <w:rsid w:val="00810782"/>
    <w:rsid w:val="00821FF9"/>
    <w:rsid w:val="0083342A"/>
    <w:rsid w:val="00836CA8"/>
    <w:rsid w:val="00836FE8"/>
    <w:rsid w:val="00844F24"/>
    <w:rsid w:val="008503D7"/>
    <w:rsid w:val="00850E9D"/>
    <w:rsid w:val="00855E69"/>
    <w:rsid w:val="00861623"/>
    <w:rsid w:val="00862545"/>
    <w:rsid w:val="00880172"/>
    <w:rsid w:val="00890E7C"/>
    <w:rsid w:val="008A375D"/>
    <w:rsid w:val="008B5789"/>
    <w:rsid w:val="008B678D"/>
    <w:rsid w:val="008C2317"/>
    <w:rsid w:val="008E584D"/>
    <w:rsid w:val="00911ACD"/>
    <w:rsid w:val="00913FA1"/>
    <w:rsid w:val="00915ED3"/>
    <w:rsid w:val="00917CF9"/>
    <w:rsid w:val="009278F9"/>
    <w:rsid w:val="00930D24"/>
    <w:rsid w:val="00930FB3"/>
    <w:rsid w:val="0093106C"/>
    <w:rsid w:val="00933326"/>
    <w:rsid w:val="00933DD8"/>
    <w:rsid w:val="00934E48"/>
    <w:rsid w:val="009356A3"/>
    <w:rsid w:val="00943BC5"/>
    <w:rsid w:val="00943F13"/>
    <w:rsid w:val="0094467A"/>
    <w:rsid w:val="00944E92"/>
    <w:rsid w:val="00945210"/>
    <w:rsid w:val="009678CE"/>
    <w:rsid w:val="00986CD4"/>
    <w:rsid w:val="00987063"/>
    <w:rsid w:val="00995A7F"/>
    <w:rsid w:val="00996C28"/>
    <w:rsid w:val="009B6704"/>
    <w:rsid w:val="009D0FAB"/>
    <w:rsid w:val="00A3415C"/>
    <w:rsid w:val="00A348E7"/>
    <w:rsid w:val="00A47AD1"/>
    <w:rsid w:val="00A66B29"/>
    <w:rsid w:val="00A72466"/>
    <w:rsid w:val="00AB24B8"/>
    <w:rsid w:val="00AB5AC9"/>
    <w:rsid w:val="00AB72E9"/>
    <w:rsid w:val="00AD24A2"/>
    <w:rsid w:val="00AD642D"/>
    <w:rsid w:val="00AE0936"/>
    <w:rsid w:val="00AF4526"/>
    <w:rsid w:val="00B2613F"/>
    <w:rsid w:val="00B37067"/>
    <w:rsid w:val="00B62771"/>
    <w:rsid w:val="00B63D7E"/>
    <w:rsid w:val="00B669D0"/>
    <w:rsid w:val="00B81EC6"/>
    <w:rsid w:val="00B87B6A"/>
    <w:rsid w:val="00B93D97"/>
    <w:rsid w:val="00BB3BEB"/>
    <w:rsid w:val="00BB52D8"/>
    <w:rsid w:val="00BC5509"/>
    <w:rsid w:val="00BC7707"/>
    <w:rsid w:val="00BD2410"/>
    <w:rsid w:val="00BE0556"/>
    <w:rsid w:val="00BE44AA"/>
    <w:rsid w:val="00BE4510"/>
    <w:rsid w:val="00BF06B6"/>
    <w:rsid w:val="00C14E4C"/>
    <w:rsid w:val="00C1781A"/>
    <w:rsid w:val="00C20D6E"/>
    <w:rsid w:val="00C273A5"/>
    <w:rsid w:val="00C307C5"/>
    <w:rsid w:val="00C30ECC"/>
    <w:rsid w:val="00C33CA0"/>
    <w:rsid w:val="00C56CDE"/>
    <w:rsid w:val="00C6468A"/>
    <w:rsid w:val="00C71432"/>
    <w:rsid w:val="00C73032"/>
    <w:rsid w:val="00C91F16"/>
    <w:rsid w:val="00CA0060"/>
    <w:rsid w:val="00CC54D2"/>
    <w:rsid w:val="00CC7084"/>
    <w:rsid w:val="00CE5847"/>
    <w:rsid w:val="00CE7801"/>
    <w:rsid w:val="00D22009"/>
    <w:rsid w:val="00D23B30"/>
    <w:rsid w:val="00D23E52"/>
    <w:rsid w:val="00D33098"/>
    <w:rsid w:val="00D33C50"/>
    <w:rsid w:val="00D34EC0"/>
    <w:rsid w:val="00D46F74"/>
    <w:rsid w:val="00D53AE5"/>
    <w:rsid w:val="00D6141D"/>
    <w:rsid w:val="00D6446E"/>
    <w:rsid w:val="00D735B6"/>
    <w:rsid w:val="00D77591"/>
    <w:rsid w:val="00D778DC"/>
    <w:rsid w:val="00D80FD0"/>
    <w:rsid w:val="00D822B9"/>
    <w:rsid w:val="00D82E11"/>
    <w:rsid w:val="00DA0EDF"/>
    <w:rsid w:val="00DA3B7A"/>
    <w:rsid w:val="00DC6C94"/>
    <w:rsid w:val="00DD3D7C"/>
    <w:rsid w:val="00DE1D52"/>
    <w:rsid w:val="00DF353E"/>
    <w:rsid w:val="00E055C6"/>
    <w:rsid w:val="00E110A3"/>
    <w:rsid w:val="00E120BF"/>
    <w:rsid w:val="00E13F89"/>
    <w:rsid w:val="00E342C0"/>
    <w:rsid w:val="00E37A15"/>
    <w:rsid w:val="00E43844"/>
    <w:rsid w:val="00E45813"/>
    <w:rsid w:val="00E50696"/>
    <w:rsid w:val="00E706F0"/>
    <w:rsid w:val="00E70E47"/>
    <w:rsid w:val="00E717B2"/>
    <w:rsid w:val="00E73594"/>
    <w:rsid w:val="00E82BF9"/>
    <w:rsid w:val="00E91E15"/>
    <w:rsid w:val="00EA0791"/>
    <w:rsid w:val="00EB39B1"/>
    <w:rsid w:val="00EB59BF"/>
    <w:rsid w:val="00EB6CD6"/>
    <w:rsid w:val="00EE3725"/>
    <w:rsid w:val="00EF04A7"/>
    <w:rsid w:val="00F03416"/>
    <w:rsid w:val="00F1304F"/>
    <w:rsid w:val="00F250F6"/>
    <w:rsid w:val="00F25640"/>
    <w:rsid w:val="00F415B5"/>
    <w:rsid w:val="00F42F95"/>
    <w:rsid w:val="00F56203"/>
    <w:rsid w:val="00F65EFE"/>
    <w:rsid w:val="00F70A04"/>
    <w:rsid w:val="00F70F46"/>
    <w:rsid w:val="00F72210"/>
    <w:rsid w:val="00F73708"/>
    <w:rsid w:val="00F76D76"/>
    <w:rsid w:val="00F76F42"/>
    <w:rsid w:val="00F812E6"/>
    <w:rsid w:val="00F83AEC"/>
    <w:rsid w:val="00F9462F"/>
    <w:rsid w:val="00FA14C8"/>
    <w:rsid w:val="00FE73F2"/>
    <w:rsid w:val="00FF1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36A778-E209-444C-B694-5EA01344F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3106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30A0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4448"/>
    <w:pPr>
      <w:ind w:left="720"/>
      <w:contextualSpacing/>
    </w:pPr>
  </w:style>
  <w:style w:type="paragraph" w:styleId="NoSpacing">
    <w:name w:val="No Spacing"/>
    <w:uiPriority w:val="1"/>
    <w:qFormat/>
    <w:rsid w:val="00584448"/>
    <w:pPr>
      <w:spacing w:after="0" w:line="240" w:lineRule="auto"/>
    </w:pPr>
  </w:style>
  <w:style w:type="character" w:styleId="Hyperlink">
    <w:name w:val="Hyperlink"/>
    <w:basedOn w:val="DefaultParagraphFont"/>
    <w:uiPriority w:val="99"/>
    <w:unhideWhenUsed/>
    <w:rsid w:val="00B81EC6"/>
    <w:rPr>
      <w:color w:val="0563C1" w:themeColor="hyperlink"/>
      <w:u w:val="single"/>
    </w:rPr>
  </w:style>
  <w:style w:type="character" w:styleId="Emphasis">
    <w:name w:val="Emphasis"/>
    <w:basedOn w:val="DefaultParagraphFont"/>
    <w:uiPriority w:val="20"/>
    <w:qFormat/>
    <w:rsid w:val="00B81EC6"/>
    <w:rPr>
      <w:i/>
      <w:iCs/>
    </w:rPr>
  </w:style>
  <w:style w:type="paragraph" w:styleId="NormalWeb">
    <w:name w:val="Normal (Web)"/>
    <w:basedOn w:val="Normal"/>
    <w:uiPriority w:val="99"/>
    <w:unhideWhenUsed/>
    <w:rsid w:val="00263F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3106C"/>
    <w:rPr>
      <w:rFonts w:asciiTheme="majorHAnsi" w:eastAsiaTheme="majorEastAsia" w:hAnsiTheme="majorHAnsi" w:cstheme="majorBidi"/>
      <w:color w:val="2E74B5" w:themeColor="accent1" w:themeShade="BF"/>
      <w:sz w:val="32"/>
      <w:szCs w:val="32"/>
    </w:rPr>
  </w:style>
  <w:style w:type="character" w:customStyle="1" w:styleId="vkekvd">
    <w:name w:val="vkekvd"/>
    <w:basedOn w:val="DefaultParagraphFont"/>
    <w:rsid w:val="00794B34"/>
  </w:style>
  <w:style w:type="character" w:styleId="Strong">
    <w:name w:val="Strong"/>
    <w:basedOn w:val="DefaultParagraphFont"/>
    <w:uiPriority w:val="22"/>
    <w:qFormat/>
    <w:rsid w:val="00333538"/>
    <w:rPr>
      <w:b/>
      <w:bCs/>
    </w:rPr>
  </w:style>
  <w:style w:type="character" w:customStyle="1" w:styleId="t286pc">
    <w:name w:val="t286pc"/>
    <w:basedOn w:val="DefaultParagraphFont"/>
    <w:rsid w:val="00D46F74"/>
  </w:style>
  <w:style w:type="character" w:customStyle="1" w:styleId="Heading3Char">
    <w:name w:val="Heading 3 Char"/>
    <w:basedOn w:val="DefaultParagraphFont"/>
    <w:link w:val="Heading3"/>
    <w:uiPriority w:val="9"/>
    <w:semiHidden/>
    <w:rsid w:val="00330A0A"/>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054305">
      <w:bodyDiv w:val="1"/>
      <w:marLeft w:val="0"/>
      <w:marRight w:val="0"/>
      <w:marTop w:val="0"/>
      <w:marBottom w:val="0"/>
      <w:divBdr>
        <w:top w:val="none" w:sz="0" w:space="0" w:color="auto"/>
        <w:left w:val="none" w:sz="0" w:space="0" w:color="auto"/>
        <w:bottom w:val="none" w:sz="0" w:space="0" w:color="auto"/>
        <w:right w:val="none" w:sz="0" w:space="0" w:color="auto"/>
      </w:divBdr>
    </w:div>
    <w:div w:id="155465505">
      <w:bodyDiv w:val="1"/>
      <w:marLeft w:val="0"/>
      <w:marRight w:val="0"/>
      <w:marTop w:val="0"/>
      <w:marBottom w:val="0"/>
      <w:divBdr>
        <w:top w:val="none" w:sz="0" w:space="0" w:color="auto"/>
        <w:left w:val="none" w:sz="0" w:space="0" w:color="auto"/>
        <w:bottom w:val="none" w:sz="0" w:space="0" w:color="auto"/>
        <w:right w:val="none" w:sz="0" w:space="0" w:color="auto"/>
      </w:divBdr>
    </w:div>
    <w:div w:id="325939408">
      <w:bodyDiv w:val="1"/>
      <w:marLeft w:val="0"/>
      <w:marRight w:val="0"/>
      <w:marTop w:val="0"/>
      <w:marBottom w:val="0"/>
      <w:divBdr>
        <w:top w:val="none" w:sz="0" w:space="0" w:color="auto"/>
        <w:left w:val="none" w:sz="0" w:space="0" w:color="auto"/>
        <w:bottom w:val="none" w:sz="0" w:space="0" w:color="auto"/>
        <w:right w:val="none" w:sz="0" w:space="0" w:color="auto"/>
      </w:divBdr>
    </w:div>
    <w:div w:id="437990957">
      <w:bodyDiv w:val="1"/>
      <w:marLeft w:val="0"/>
      <w:marRight w:val="0"/>
      <w:marTop w:val="0"/>
      <w:marBottom w:val="0"/>
      <w:divBdr>
        <w:top w:val="none" w:sz="0" w:space="0" w:color="auto"/>
        <w:left w:val="none" w:sz="0" w:space="0" w:color="auto"/>
        <w:bottom w:val="none" w:sz="0" w:space="0" w:color="auto"/>
        <w:right w:val="none" w:sz="0" w:space="0" w:color="auto"/>
      </w:divBdr>
    </w:div>
    <w:div w:id="537206821">
      <w:bodyDiv w:val="1"/>
      <w:marLeft w:val="0"/>
      <w:marRight w:val="0"/>
      <w:marTop w:val="0"/>
      <w:marBottom w:val="0"/>
      <w:divBdr>
        <w:top w:val="none" w:sz="0" w:space="0" w:color="auto"/>
        <w:left w:val="none" w:sz="0" w:space="0" w:color="auto"/>
        <w:bottom w:val="none" w:sz="0" w:space="0" w:color="auto"/>
        <w:right w:val="none" w:sz="0" w:space="0" w:color="auto"/>
      </w:divBdr>
    </w:div>
    <w:div w:id="597908227">
      <w:bodyDiv w:val="1"/>
      <w:marLeft w:val="0"/>
      <w:marRight w:val="0"/>
      <w:marTop w:val="0"/>
      <w:marBottom w:val="0"/>
      <w:divBdr>
        <w:top w:val="none" w:sz="0" w:space="0" w:color="auto"/>
        <w:left w:val="none" w:sz="0" w:space="0" w:color="auto"/>
        <w:bottom w:val="none" w:sz="0" w:space="0" w:color="auto"/>
        <w:right w:val="none" w:sz="0" w:space="0" w:color="auto"/>
      </w:divBdr>
    </w:div>
    <w:div w:id="929697806">
      <w:bodyDiv w:val="1"/>
      <w:marLeft w:val="0"/>
      <w:marRight w:val="0"/>
      <w:marTop w:val="0"/>
      <w:marBottom w:val="0"/>
      <w:divBdr>
        <w:top w:val="none" w:sz="0" w:space="0" w:color="auto"/>
        <w:left w:val="none" w:sz="0" w:space="0" w:color="auto"/>
        <w:bottom w:val="none" w:sz="0" w:space="0" w:color="auto"/>
        <w:right w:val="none" w:sz="0" w:space="0" w:color="auto"/>
      </w:divBdr>
    </w:div>
    <w:div w:id="982733751">
      <w:bodyDiv w:val="1"/>
      <w:marLeft w:val="0"/>
      <w:marRight w:val="0"/>
      <w:marTop w:val="0"/>
      <w:marBottom w:val="0"/>
      <w:divBdr>
        <w:top w:val="none" w:sz="0" w:space="0" w:color="auto"/>
        <w:left w:val="none" w:sz="0" w:space="0" w:color="auto"/>
        <w:bottom w:val="none" w:sz="0" w:space="0" w:color="auto"/>
        <w:right w:val="none" w:sz="0" w:space="0" w:color="auto"/>
      </w:divBdr>
    </w:div>
    <w:div w:id="1247494637">
      <w:bodyDiv w:val="1"/>
      <w:marLeft w:val="0"/>
      <w:marRight w:val="0"/>
      <w:marTop w:val="0"/>
      <w:marBottom w:val="0"/>
      <w:divBdr>
        <w:top w:val="none" w:sz="0" w:space="0" w:color="auto"/>
        <w:left w:val="none" w:sz="0" w:space="0" w:color="auto"/>
        <w:bottom w:val="none" w:sz="0" w:space="0" w:color="auto"/>
        <w:right w:val="none" w:sz="0" w:space="0" w:color="auto"/>
      </w:divBdr>
    </w:div>
    <w:div w:id="1492719827">
      <w:bodyDiv w:val="1"/>
      <w:marLeft w:val="0"/>
      <w:marRight w:val="0"/>
      <w:marTop w:val="0"/>
      <w:marBottom w:val="0"/>
      <w:divBdr>
        <w:top w:val="none" w:sz="0" w:space="0" w:color="auto"/>
        <w:left w:val="none" w:sz="0" w:space="0" w:color="auto"/>
        <w:bottom w:val="none" w:sz="0" w:space="0" w:color="auto"/>
        <w:right w:val="none" w:sz="0" w:space="0" w:color="auto"/>
      </w:divBdr>
    </w:div>
    <w:div w:id="1669209883">
      <w:bodyDiv w:val="1"/>
      <w:marLeft w:val="0"/>
      <w:marRight w:val="0"/>
      <w:marTop w:val="0"/>
      <w:marBottom w:val="0"/>
      <w:divBdr>
        <w:top w:val="none" w:sz="0" w:space="0" w:color="auto"/>
        <w:left w:val="none" w:sz="0" w:space="0" w:color="auto"/>
        <w:bottom w:val="none" w:sz="0" w:space="0" w:color="auto"/>
        <w:right w:val="none" w:sz="0" w:space="0" w:color="auto"/>
      </w:divBdr>
    </w:div>
    <w:div w:id="1735353604">
      <w:bodyDiv w:val="1"/>
      <w:marLeft w:val="0"/>
      <w:marRight w:val="0"/>
      <w:marTop w:val="0"/>
      <w:marBottom w:val="0"/>
      <w:divBdr>
        <w:top w:val="none" w:sz="0" w:space="0" w:color="auto"/>
        <w:left w:val="none" w:sz="0" w:space="0" w:color="auto"/>
        <w:bottom w:val="none" w:sz="0" w:space="0" w:color="auto"/>
        <w:right w:val="none" w:sz="0" w:space="0" w:color="auto"/>
      </w:divBdr>
    </w:div>
    <w:div w:id="1818954593">
      <w:bodyDiv w:val="1"/>
      <w:marLeft w:val="0"/>
      <w:marRight w:val="0"/>
      <w:marTop w:val="0"/>
      <w:marBottom w:val="0"/>
      <w:divBdr>
        <w:top w:val="none" w:sz="0" w:space="0" w:color="auto"/>
        <w:left w:val="none" w:sz="0" w:space="0" w:color="auto"/>
        <w:bottom w:val="none" w:sz="0" w:space="0" w:color="auto"/>
        <w:right w:val="none" w:sz="0" w:space="0" w:color="auto"/>
      </w:divBdr>
    </w:div>
    <w:div w:id="1928342217">
      <w:bodyDiv w:val="1"/>
      <w:marLeft w:val="0"/>
      <w:marRight w:val="0"/>
      <w:marTop w:val="0"/>
      <w:marBottom w:val="0"/>
      <w:divBdr>
        <w:top w:val="none" w:sz="0" w:space="0" w:color="auto"/>
        <w:left w:val="none" w:sz="0" w:space="0" w:color="auto"/>
        <w:bottom w:val="none" w:sz="0" w:space="0" w:color="auto"/>
        <w:right w:val="none" w:sz="0" w:space="0" w:color="auto"/>
      </w:divBdr>
    </w:div>
    <w:div w:id="2000384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4018/ejbmr.2021.6.3.893" TargetMode="External"/><Relationship Id="rId18" Type="http://schemas.openxmlformats.org/officeDocument/2006/relationships/hyperlink" Target="https://cebma.org/assets/Uploads/Briner-Denyer-Rousseau-Evidence-based-management-Concept-cleanup-time.pdf?utm_source=chatgpt.com" TargetMode="External"/><Relationship Id="rId26" Type="http://schemas.openxmlformats.org/officeDocument/2006/relationships/hyperlink" Target="https://www.cipd.org/uk/knowledge/guides/evidence-based-profession/" TargetMode="External"/><Relationship Id="rId39" Type="http://schemas.openxmlformats.org/officeDocument/2006/relationships/hyperlink" Target="https://viva.pressbooks.pub/phi220ethics/chapter/deontology-pros-cons/?utm_source=chatgpt.com" TargetMode="External"/><Relationship Id="rId21" Type="http://schemas.openxmlformats.org/officeDocument/2006/relationships/hyperlink" Target="https://chermackscenarios.com/wp-content/uploads/2020/10/The-Use-and-Misuse-of-SWOT-Analysis-and-Implications-for-HRD-Professionals.pdf?utm_source=chatgpt.com" TargetMode="External"/><Relationship Id="rId34" Type="http://schemas.openxmlformats.org/officeDocument/2006/relationships/hyperlink" Target="https://www.cipd.org/globalassets/media/comms/the-people-profession/profession-map-pdfs/ethical-decision-making-2015-eight-perspectives-on-workplace-dilemmas_tcm29-9564.pdf?utm_source=chatgpt.com" TargetMode="External"/><Relationship Id="rId42" Type="http://schemas.openxmlformats.org/officeDocument/2006/relationships/hyperlink" Target="https://doi.org/10.1371/journal.pone.0120644" TargetMode="External"/><Relationship Id="rId47" Type="http://schemas.openxmlformats.org/officeDocument/2006/relationships/hyperlink" Target="https://nibmehub.com/opac-service/pdf/read/Reward%20Management-%20Rose-%20M..pdf?utm_source=chatgpt.com" TargetMode="External"/><Relationship Id="rId50" Type="http://schemas.openxmlformats.org/officeDocument/2006/relationships/hyperlink" Target="https://doi.org/10.1016/S1053-4822(00)00042-5" TargetMode="External"/><Relationship Id="rId55" Type="http://schemas.openxmlformats.org/officeDocument/2006/relationships/hyperlink" Target="https://online.hbs.edu/blog/post/financial-performance-measures?utm_source=chatgpt.com"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doi.org/10.1016/j.evalprogplan.2004.04.011" TargetMode="External"/><Relationship Id="rId29" Type="http://schemas.openxmlformats.org/officeDocument/2006/relationships/hyperlink" Target="https://www.cipd.org/en/knowledge/factsheets/evidence-based-practice-factsheet/?utm_source=chatgpt.com" TargetMode="External"/><Relationship Id="rId11" Type="http://schemas.openxmlformats.org/officeDocument/2006/relationships/image" Target="media/image7.png"/><Relationship Id="rId24" Type="http://schemas.openxmlformats.org/officeDocument/2006/relationships/hyperlink" Target="https://www.cipd.org/uk/knowledge/factsheets/learning-methods-factsheet/" TargetMode="External"/><Relationship Id="rId32" Type="http://schemas.openxmlformats.org/officeDocument/2006/relationships/hyperlink" Target="https://www.cipd.org/uk/knowledge/factsheets/evaluating-learning-factsheet/" TargetMode="External"/><Relationship Id="rId37" Type="http://schemas.openxmlformats.org/officeDocument/2006/relationships/hyperlink" Target="https://www.researchgate.net/publication/316486755_Cognitive_Biases_and_Their_Influence_on_Critical_Thinking_and_Scientific_Reasoning_A_Practical_Guide_for_Students_and_Teachers?utm_source=chatgpt.com" TargetMode="External"/><Relationship Id="rId40" Type="http://schemas.openxmlformats.org/officeDocument/2006/relationships/hyperlink" Target="https://www.hr-inform.co.uk/news-article/stay-interviews-a-valuable-retention-tool?utm_source=chatgpt.com" TargetMode="External"/><Relationship Id="rId45" Type="http://schemas.openxmlformats.org/officeDocument/2006/relationships/hyperlink" Target="https://doi.org/10.1007/s13132-022-00917-y" TargetMode="External"/><Relationship Id="rId53" Type="http://schemas.openxmlformats.org/officeDocument/2006/relationships/hyperlink" Target="https://link.springer.com/chapter/10.1007/978-1-349-20568-4_5" TargetMode="External"/><Relationship Id="rId58" Type="http://schemas.openxmlformats.org/officeDocument/2006/relationships/hyperlink" Target="https://www.mandatorytraining.co.uk/collections/online-train-the-trainer-courses-training" TargetMode="External"/><Relationship Id="rId5" Type="http://schemas.openxmlformats.org/officeDocument/2006/relationships/image" Target="media/image1.png"/><Relationship Id="rId61" Type="http://schemas.openxmlformats.org/officeDocument/2006/relationships/theme" Target="theme/theme1.xml"/><Relationship Id="rId19" Type="http://schemas.openxmlformats.org/officeDocument/2006/relationships/hyperlink" Target="https://blogs.ubc.ca/evaluation/files/2009/02/success20case20method.pdf" TargetMode="External"/><Relationship Id="rId14" Type="http://schemas.openxmlformats.org/officeDocument/2006/relationships/hyperlink" Target="https://www.asecib.ase.ro/mps/Bandura_SocialLearningTheory.pdf" TargetMode="External"/><Relationship Id="rId22" Type="http://schemas.openxmlformats.org/officeDocument/2006/relationships/hyperlink" Target="https://www.cipd.org/uk/knowledge/podcasts/critical-thinking/?utm_source=chatgpt.com" TargetMode="External"/><Relationship Id="rId27" Type="http://schemas.openxmlformats.org/officeDocument/2006/relationships/hyperlink" Target="https://www.cipd.org/uk/knowledge/factsheets/reward-factsheet/?utm_source=chatgpt.com" TargetMode="External"/><Relationship Id="rId30" Type="http://schemas.openxmlformats.org/officeDocument/2006/relationships/hyperlink" Target="https://www.cipd.org/uk/knowledge/factsheets/analytics-factsheet/?utm_source=chatgpt.com" TargetMode="External"/><Relationship Id="rId35" Type="http://schemas.openxmlformats.org/officeDocument/2006/relationships/hyperlink" Target="https://www.feedlearning.com/blog/how-to-conduct-a-learning-needs-analysis" TargetMode="External"/><Relationship Id="rId43" Type="http://schemas.openxmlformats.org/officeDocument/2006/relationships/hyperlink" Target="https://nationaltraining.edu.au/how-to-conduct-learning-needs-analysis/" TargetMode="External"/><Relationship Id="rId48" Type="http://schemas.openxmlformats.org/officeDocument/2006/relationships/hyperlink" Target="https://doi.org/10.1177/1529100612436661" TargetMode="External"/><Relationship Id="rId56" Type="http://schemas.openxmlformats.org/officeDocument/2006/relationships/hyperlink" Target="https://doi.org/10.1108/LODJ-11-2019-0492%20" TargetMode="External"/><Relationship Id="rId8" Type="http://schemas.openxmlformats.org/officeDocument/2006/relationships/image" Target="media/image4.png"/><Relationship Id="rId51" Type="http://schemas.openxmlformats.org/officeDocument/2006/relationships/hyperlink" Target="https://link.springer.com/chapter/10.1007/978-981-10-0983-9_67?utm_source=chatgpt.com" TargetMode="External"/><Relationship Id="rId3" Type="http://schemas.openxmlformats.org/officeDocument/2006/relationships/settings" Target="settings.xml"/><Relationship Id="rId12" Type="http://schemas.openxmlformats.org/officeDocument/2006/relationships/hyperlink" Target="https://www.agile-hr-analytics.com/hr-performance-kpis-guide/%20" TargetMode="External"/><Relationship Id="rId17" Type="http://schemas.openxmlformats.org/officeDocument/2006/relationships/hyperlink" Target="https://bluegoose.co.uk/how-to-write-and-analyse-an-employee-engagement-survey/" TargetMode="External"/><Relationship Id="rId25" Type="http://schemas.openxmlformats.org/officeDocument/2006/relationships/hyperlink" Target="https://www.cipd.org/uk/knowledge/factsheets/learning-needs-factsheet/" TargetMode="External"/><Relationship Id="rId33" Type="http://schemas.openxmlformats.org/officeDocument/2006/relationships/hyperlink" Target="https://www.cipd.org/uk/knowledge/factsheets/performance-factsheet/" TargetMode="External"/><Relationship Id="rId38" Type="http://schemas.openxmlformats.org/officeDocument/2006/relationships/hyperlink" Target="https://pmc.ncbi.nlm.nih.gov/articles/PMC12312671/?utm_source=chatgpt.com" TargetMode="External"/><Relationship Id="rId46" Type="http://schemas.openxmlformats.org/officeDocument/2006/relationships/hyperlink" Target="https://www.peoplemanagement.co.uk/article/1845833/considering-application-relevance-evidence-based-hr?utm_source=chatgpt.com" TargetMode="External"/><Relationship Id="rId59" Type="http://schemas.openxmlformats.org/officeDocument/2006/relationships/hyperlink" Target="https://doi.org/10.1007/s11618-025-01318-y" TargetMode="External"/><Relationship Id="rId20" Type="http://schemas.openxmlformats.org/officeDocument/2006/relationships/hyperlink" Target="https://www.cipd.org/globalassets/media/knowledge/knowledge-hub/reports/people-and-the-creation-of-value_tcm18-19955.pdf?utm_source=chatgpt.com" TargetMode="External"/><Relationship Id="rId41" Type="http://schemas.openxmlformats.org/officeDocument/2006/relationships/hyperlink" Target="https://www.cipd.org/globalassets/media/knowledge/knowledge-hub/reports/a-head-for-hiring_2015-behavioural-science-of-recruitment-and-selection_tcm18-9557.pdf?utm_source=chatgpt.com" TargetMode="External"/><Relationship Id="rId54" Type="http://schemas.openxmlformats.org/officeDocument/2006/relationships/hyperlink" Target="https://www.sim.edu.sg/articles-inspirations/six-thinking-hats-technique-boost-decision-making-solve-workplace-problems?utm_source=chatgpt.com" TargetMode="External"/><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hyperlink" Target="https://cebma.org/assets/Uploads/Evidence-Based-Practice-The-Basic-Principles.pdf?utm_source=chatgpt.com" TargetMode="External"/><Relationship Id="rId23" Type="http://schemas.openxmlformats.org/officeDocument/2006/relationships/hyperlink" Target="https://www.cipd.org/globalassets/media/comms/code-of-conduct/2023-cipd-code-of-conduct-and-ethics.pdf?utm_source=chatgpt.com" TargetMode="External"/><Relationship Id="rId28" Type="http://schemas.openxmlformats.org/officeDocument/2006/relationships/hyperlink" Target="https://www.cipd.org/uk/knowledge/factsheets/swot-analysis-factsheet/?utm_source=chatgpt.com" TargetMode="External"/><Relationship Id="rId36" Type="http://schemas.openxmlformats.org/officeDocument/2006/relationships/hyperlink" Target="https://www.cipd.org/globalassets/media/knowledge/knowledge-hub/reports/creating-and-capturing-value-at-work_2018-who-benefits-part-2_tcm18-37078.pdf?utm_source=chatgpt.com" TargetMode="External"/><Relationship Id="rId49" Type="http://schemas.openxmlformats.org/officeDocument/2006/relationships/hyperlink" Target="https://docslib.org/doc/4277464/the-validity-and-utility-of-selection-methods-in-personnel-psychology-practical-and-theoretical-implications-of-85-years-of-research-findings?utm_source=chatgpt.com" TargetMode="External"/><Relationship Id="rId57" Type="http://schemas.openxmlformats.org/officeDocument/2006/relationships/hyperlink" Target="https://www.cpduk.co.uk/news/cpd-why-take-a-train-the-trainer-course" TargetMode="External"/><Relationship Id="rId10" Type="http://schemas.openxmlformats.org/officeDocument/2006/relationships/image" Target="media/image6.png"/><Relationship Id="rId31" Type="http://schemas.openxmlformats.org/officeDocument/2006/relationships/hyperlink" Target="https://www.cipd.org/uk/knowledge/factsheets/ethics-role-hr-factsheet/?utm_source=chatgpt.com" TargetMode="External"/><Relationship Id="rId44" Type="http://schemas.openxmlformats.org/officeDocument/2006/relationships/hyperlink" Target="https://www.researchgate.net/publication/269829585_Human_Resources_Key_Performance_Indicators" TargetMode="External"/><Relationship Id="rId52" Type="http://schemas.openxmlformats.org/officeDocument/2006/relationships/hyperlink" Target="https://doi.org/10.1007/s10551-023-05513-x"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6550</Words>
  <Characters>44346</Characters>
  <Application>Microsoft Office Word</Application>
  <DocSecurity>0</DocSecurity>
  <Lines>739</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Sanderson</dc:creator>
  <cp:keywords/>
  <dc:description/>
  <cp:lastModifiedBy>Laura Sanderson</cp:lastModifiedBy>
  <cp:revision>2</cp:revision>
  <dcterms:created xsi:type="dcterms:W3CDTF">2026-02-01T23:23:00Z</dcterms:created>
  <dcterms:modified xsi:type="dcterms:W3CDTF">2026-02-01T23:23:00Z</dcterms:modified>
</cp:coreProperties>
</file>