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5E908" w14:textId="635EAF24" w:rsidR="00835A1E" w:rsidRDefault="004536A2" w:rsidP="00422C07">
      <w:pPr>
        <w:jc w:val="center"/>
        <w:rPr>
          <w:rFonts w:ascii="Arial" w:hAnsi="Arial" w:cs="Arial"/>
          <w:b/>
          <w:bCs/>
          <w:sz w:val="44"/>
          <w:szCs w:val="44"/>
        </w:rPr>
      </w:pPr>
      <w:r>
        <w:rPr>
          <w:rFonts w:ascii="Arial" w:hAnsi="Arial" w:cs="Arial"/>
          <w:b/>
          <w:bCs/>
          <w:noProof/>
          <w:sz w:val="44"/>
          <w:szCs w:val="44"/>
        </w:rPr>
        <w:drawing>
          <wp:inline distT="0" distB="0" distL="0" distR="0" wp14:anchorId="4271E64C" wp14:editId="69525FA5">
            <wp:extent cx="4635500" cy="1206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4635500" cy="1206500"/>
                    </a:xfrm>
                    <a:prstGeom prst="rect">
                      <a:avLst/>
                    </a:prstGeom>
                  </pic:spPr>
                </pic:pic>
              </a:graphicData>
            </a:graphic>
          </wp:inline>
        </w:drawing>
      </w:r>
    </w:p>
    <w:p w14:paraId="3CA14B1B" w14:textId="77777777" w:rsidR="00835A1E" w:rsidRDefault="00835A1E" w:rsidP="00835A1E">
      <w:pPr>
        <w:jc w:val="center"/>
        <w:rPr>
          <w:rFonts w:ascii="Arial" w:hAnsi="Arial" w:cs="Arial"/>
          <w:b/>
          <w:bCs/>
          <w:sz w:val="44"/>
          <w:szCs w:val="44"/>
        </w:rPr>
      </w:pPr>
    </w:p>
    <w:p w14:paraId="21DB2C8D" w14:textId="3A49CF45" w:rsidR="002547FE" w:rsidRPr="006B5162" w:rsidRDefault="002547FE" w:rsidP="00835A1E">
      <w:pPr>
        <w:jc w:val="center"/>
        <w:rPr>
          <w:rFonts w:ascii="Arial" w:hAnsi="Arial" w:cs="Arial"/>
          <w:b/>
          <w:bCs/>
          <w:sz w:val="44"/>
          <w:szCs w:val="44"/>
        </w:rPr>
      </w:pPr>
      <w:r w:rsidRPr="006B5162">
        <w:rPr>
          <w:rFonts w:ascii="Arial" w:hAnsi="Arial" w:cs="Arial"/>
          <w:b/>
          <w:bCs/>
          <w:sz w:val="44"/>
          <w:szCs w:val="44"/>
        </w:rPr>
        <w:t>Assessment</w:t>
      </w:r>
    </w:p>
    <w:p w14:paraId="6BC81804" w14:textId="40D4B1F6" w:rsidR="002547FE" w:rsidRPr="006B5162" w:rsidRDefault="002547FE" w:rsidP="002547FE">
      <w:pPr>
        <w:jc w:val="center"/>
        <w:rPr>
          <w:rFonts w:ascii="Arial" w:hAnsi="Arial" w:cs="Arial"/>
          <w:b/>
          <w:bCs/>
          <w:sz w:val="44"/>
          <w:szCs w:val="44"/>
        </w:rPr>
      </w:pPr>
      <w:r w:rsidRPr="006B5162">
        <w:rPr>
          <w:rFonts w:ascii="Arial" w:hAnsi="Arial" w:cs="Arial"/>
          <w:b/>
          <w:bCs/>
          <w:sz w:val="44"/>
          <w:szCs w:val="44"/>
        </w:rPr>
        <w:t>On</w:t>
      </w:r>
    </w:p>
    <w:p w14:paraId="764E40DE" w14:textId="77777777" w:rsidR="002547FE" w:rsidRPr="006B5162" w:rsidRDefault="002547FE" w:rsidP="002547FE">
      <w:pPr>
        <w:jc w:val="center"/>
        <w:rPr>
          <w:rFonts w:ascii="Arial" w:hAnsi="Arial" w:cs="Arial"/>
          <w:b/>
          <w:bCs/>
          <w:sz w:val="44"/>
          <w:szCs w:val="44"/>
        </w:rPr>
      </w:pPr>
    </w:p>
    <w:p w14:paraId="636FF449" w14:textId="77777777" w:rsidR="0061705D" w:rsidRPr="0061705D" w:rsidRDefault="0061705D" w:rsidP="0061705D">
      <w:pPr>
        <w:jc w:val="center"/>
        <w:rPr>
          <w:b/>
          <w:sz w:val="44"/>
          <w:szCs w:val="44"/>
        </w:rPr>
      </w:pPr>
      <w:r w:rsidRPr="0061705D">
        <w:rPr>
          <w:b/>
          <w:sz w:val="44"/>
          <w:szCs w:val="44"/>
        </w:rPr>
        <w:t>Developing Workplace Critical Thinking</w:t>
      </w:r>
    </w:p>
    <w:p w14:paraId="40778A11" w14:textId="77777777" w:rsidR="002547FE" w:rsidRPr="006B5162" w:rsidRDefault="002547FE" w:rsidP="002547FE">
      <w:pPr>
        <w:jc w:val="center"/>
        <w:rPr>
          <w:rFonts w:ascii="Arial" w:hAnsi="Arial" w:cs="Arial"/>
          <w:b/>
          <w:bCs/>
          <w:sz w:val="44"/>
          <w:szCs w:val="44"/>
        </w:rPr>
      </w:pPr>
    </w:p>
    <w:p w14:paraId="44F87954" w14:textId="1E3DC11E" w:rsidR="002547FE" w:rsidRPr="006B5162" w:rsidRDefault="002547FE" w:rsidP="002547FE">
      <w:pPr>
        <w:jc w:val="center"/>
        <w:rPr>
          <w:rFonts w:ascii="Arial" w:hAnsi="Arial" w:cs="Arial"/>
          <w:b/>
          <w:bCs/>
          <w:sz w:val="40"/>
          <w:szCs w:val="40"/>
        </w:rPr>
      </w:pPr>
      <w:r>
        <w:rPr>
          <w:rFonts w:ascii="Arial" w:hAnsi="Arial" w:cs="Arial"/>
          <w:b/>
          <w:bCs/>
          <w:sz w:val="40"/>
          <w:szCs w:val="40"/>
        </w:rPr>
        <w:t xml:space="preserve"> </w:t>
      </w:r>
      <w:proofErr w:type="gramStart"/>
      <w:r>
        <w:rPr>
          <w:rFonts w:ascii="Arial" w:hAnsi="Arial" w:cs="Arial"/>
          <w:b/>
          <w:bCs/>
          <w:sz w:val="40"/>
          <w:szCs w:val="40"/>
        </w:rPr>
        <w:t>(</w:t>
      </w:r>
      <w:r w:rsidRPr="006B5162">
        <w:rPr>
          <w:rFonts w:ascii="Arial" w:hAnsi="Arial" w:cs="Arial"/>
          <w:b/>
          <w:bCs/>
          <w:sz w:val="40"/>
          <w:szCs w:val="40"/>
        </w:rPr>
        <w:t xml:space="preserve"> BMSW</w:t>
      </w:r>
      <w:proofErr w:type="gramEnd"/>
      <w:r w:rsidR="0061705D">
        <w:rPr>
          <w:rFonts w:ascii="Arial" w:hAnsi="Arial" w:cs="Arial"/>
          <w:b/>
          <w:bCs/>
          <w:sz w:val="40"/>
          <w:szCs w:val="40"/>
        </w:rPr>
        <w:t xml:space="preserve"> 5101</w:t>
      </w:r>
      <w:r w:rsidR="00502469">
        <w:rPr>
          <w:rFonts w:ascii="Arial" w:hAnsi="Arial" w:cs="Arial"/>
          <w:b/>
          <w:bCs/>
          <w:sz w:val="40"/>
          <w:szCs w:val="40"/>
        </w:rPr>
        <w:t>_LON</w:t>
      </w:r>
      <w:r>
        <w:rPr>
          <w:rFonts w:ascii="Arial" w:hAnsi="Arial" w:cs="Arial"/>
          <w:b/>
          <w:bCs/>
          <w:sz w:val="40"/>
          <w:szCs w:val="40"/>
        </w:rPr>
        <w:t>)</w:t>
      </w:r>
    </w:p>
    <w:p w14:paraId="0B536C7A" w14:textId="77777777" w:rsidR="002547FE" w:rsidRPr="006B5162" w:rsidRDefault="002547FE" w:rsidP="002547FE">
      <w:pPr>
        <w:jc w:val="center"/>
        <w:rPr>
          <w:rFonts w:ascii="Arial" w:hAnsi="Arial" w:cs="Arial"/>
          <w:b/>
          <w:bCs/>
          <w:sz w:val="44"/>
          <w:szCs w:val="44"/>
        </w:rPr>
      </w:pPr>
    </w:p>
    <w:p w14:paraId="1A753972" w14:textId="77777777" w:rsidR="002547FE" w:rsidRPr="006B5162" w:rsidRDefault="002547FE" w:rsidP="002547FE">
      <w:pPr>
        <w:jc w:val="center"/>
        <w:rPr>
          <w:rFonts w:ascii="Arial" w:hAnsi="Arial" w:cs="Arial"/>
          <w:b/>
          <w:bCs/>
          <w:sz w:val="44"/>
          <w:szCs w:val="44"/>
        </w:rPr>
      </w:pPr>
    </w:p>
    <w:p w14:paraId="1E299BF0" w14:textId="77777777" w:rsidR="002547FE" w:rsidRDefault="002547FE" w:rsidP="002547FE">
      <w:pPr>
        <w:jc w:val="center"/>
        <w:rPr>
          <w:rFonts w:ascii="Arial" w:hAnsi="Arial" w:cs="Arial"/>
          <w:b/>
          <w:bCs/>
          <w:sz w:val="22"/>
          <w:szCs w:val="22"/>
        </w:rPr>
      </w:pPr>
    </w:p>
    <w:p w14:paraId="3D5011A4" w14:textId="77777777" w:rsidR="002547FE" w:rsidRDefault="002547FE" w:rsidP="002547FE">
      <w:pPr>
        <w:jc w:val="center"/>
        <w:rPr>
          <w:rFonts w:ascii="Arial" w:hAnsi="Arial" w:cs="Arial"/>
          <w:b/>
          <w:bCs/>
          <w:sz w:val="22"/>
          <w:szCs w:val="22"/>
        </w:rPr>
      </w:pPr>
    </w:p>
    <w:p w14:paraId="43C1970C" w14:textId="77777777" w:rsidR="002547FE" w:rsidRDefault="002547FE" w:rsidP="002547FE">
      <w:pPr>
        <w:jc w:val="center"/>
        <w:rPr>
          <w:rFonts w:ascii="Arial" w:hAnsi="Arial" w:cs="Arial"/>
          <w:b/>
          <w:bCs/>
          <w:sz w:val="22"/>
          <w:szCs w:val="22"/>
        </w:rPr>
      </w:pPr>
    </w:p>
    <w:p w14:paraId="74CC725C" w14:textId="77777777" w:rsidR="002547FE" w:rsidRDefault="002547FE" w:rsidP="002547FE">
      <w:pPr>
        <w:jc w:val="center"/>
        <w:rPr>
          <w:rFonts w:ascii="Arial" w:hAnsi="Arial" w:cs="Arial"/>
          <w:b/>
          <w:bCs/>
          <w:sz w:val="22"/>
          <w:szCs w:val="22"/>
        </w:rPr>
      </w:pPr>
    </w:p>
    <w:p w14:paraId="624C2CCE" w14:textId="77777777" w:rsidR="002547FE" w:rsidRDefault="002547FE" w:rsidP="002547FE">
      <w:pPr>
        <w:jc w:val="center"/>
        <w:rPr>
          <w:rFonts w:ascii="Arial" w:hAnsi="Arial" w:cs="Arial"/>
          <w:b/>
          <w:bCs/>
          <w:sz w:val="22"/>
          <w:szCs w:val="22"/>
        </w:rPr>
      </w:pPr>
    </w:p>
    <w:p w14:paraId="1F5FBE91" w14:textId="77777777" w:rsidR="002547FE" w:rsidRDefault="002547FE" w:rsidP="002547FE">
      <w:pPr>
        <w:rPr>
          <w:rFonts w:ascii="Arial" w:hAnsi="Arial" w:cs="Arial"/>
          <w:b/>
          <w:bCs/>
          <w:sz w:val="22"/>
          <w:szCs w:val="22"/>
        </w:rPr>
      </w:pPr>
    </w:p>
    <w:p w14:paraId="371E9173" w14:textId="77777777" w:rsidR="002547FE" w:rsidRDefault="002547FE" w:rsidP="002547FE">
      <w:pPr>
        <w:rPr>
          <w:rFonts w:ascii="Arial" w:hAnsi="Arial" w:cs="Arial"/>
          <w:b/>
          <w:bCs/>
          <w:sz w:val="22"/>
          <w:szCs w:val="22"/>
        </w:rPr>
      </w:pPr>
    </w:p>
    <w:p w14:paraId="2ABEBB46" w14:textId="77777777" w:rsidR="002547FE" w:rsidRDefault="002547FE" w:rsidP="002547FE">
      <w:pPr>
        <w:rPr>
          <w:rFonts w:ascii="Arial" w:hAnsi="Arial" w:cs="Arial"/>
          <w:b/>
          <w:bCs/>
          <w:sz w:val="22"/>
          <w:szCs w:val="22"/>
        </w:rPr>
      </w:pPr>
      <w:r>
        <w:rPr>
          <w:rFonts w:ascii="Arial" w:hAnsi="Arial" w:cs="Arial"/>
          <w:b/>
          <w:bCs/>
          <w:sz w:val="22"/>
          <w:szCs w:val="22"/>
        </w:rPr>
        <w:t xml:space="preserve">Student: </w:t>
      </w:r>
      <w:proofErr w:type="spellStart"/>
      <w:r>
        <w:rPr>
          <w:rFonts w:ascii="Arial" w:hAnsi="Arial" w:cs="Arial"/>
          <w:b/>
          <w:bCs/>
          <w:sz w:val="22"/>
          <w:szCs w:val="22"/>
        </w:rPr>
        <w:t>Sajeda</w:t>
      </w:r>
      <w:proofErr w:type="spellEnd"/>
      <w:r>
        <w:rPr>
          <w:rFonts w:ascii="Arial" w:hAnsi="Arial" w:cs="Arial"/>
          <w:b/>
          <w:bCs/>
          <w:sz w:val="22"/>
          <w:szCs w:val="22"/>
        </w:rPr>
        <w:t xml:space="preserve"> </w:t>
      </w:r>
      <w:proofErr w:type="spellStart"/>
      <w:r>
        <w:rPr>
          <w:rFonts w:ascii="Arial" w:hAnsi="Arial" w:cs="Arial"/>
          <w:b/>
          <w:bCs/>
          <w:sz w:val="22"/>
          <w:szCs w:val="22"/>
        </w:rPr>
        <w:t>Akter</w:t>
      </w:r>
      <w:proofErr w:type="spellEnd"/>
      <w:r>
        <w:rPr>
          <w:rFonts w:ascii="Arial" w:hAnsi="Arial" w:cs="Arial"/>
          <w:b/>
          <w:bCs/>
          <w:sz w:val="22"/>
          <w:szCs w:val="22"/>
        </w:rPr>
        <w:t xml:space="preserve"> </w:t>
      </w:r>
      <w:proofErr w:type="gramStart"/>
      <w:r>
        <w:rPr>
          <w:rFonts w:ascii="Arial" w:hAnsi="Arial" w:cs="Arial"/>
          <w:b/>
          <w:bCs/>
          <w:sz w:val="22"/>
          <w:szCs w:val="22"/>
        </w:rPr>
        <w:t>( 2018704</w:t>
      </w:r>
      <w:proofErr w:type="gramEnd"/>
      <w:r>
        <w:rPr>
          <w:rFonts w:ascii="Arial" w:hAnsi="Arial" w:cs="Arial"/>
          <w:b/>
          <w:bCs/>
          <w:sz w:val="22"/>
          <w:szCs w:val="22"/>
        </w:rPr>
        <w:t>)</w:t>
      </w:r>
    </w:p>
    <w:p w14:paraId="722345BE" w14:textId="77777777" w:rsidR="002547FE" w:rsidRDefault="002547FE" w:rsidP="002547FE">
      <w:pPr>
        <w:rPr>
          <w:rFonts w:ascii="Arial" w:hAnsi="Arial" w:cs="Arial"/>
          <w:b/>
          <w:bCs/>
          <w:sz w:val="22"/>
          <w:szCs w:val="22"/>
        </w:rPr>
      </w:pPr>
    </w:p>
    <w:p w14:paraId="4E3777A5" w14:textId="197E55B4" w:rsidR="002547FE" w:rsidRDefault="002547FE" w:rsidP="002547FE">
      <w:pPr>
        <w:rPr>
          <w:rFonts w:ascii="Arial" w:hAnsi="Arial" w:cs="Arial"/>
          <w:b/>
          <w:bCs/>
          <w:sz w:val="22"/>
          <w:szCs w:val="22"/>
        </w:rPr>
      </w:pPr>
      <w:proofErr w:type="gramStart"/>
      <w:r>
        <w:rPr>
          <w:rFonts w:ascii="Arial" w:hAnsi="Arial" w:cs="Arial"/>
          <w:b/>
          <w:bCs/>
          <w:sz w:val="22"/>
          <w:szCs w:val="22"/>
        </w:rPr>
        <w:t>Lecturer :</w:t>
      </w:r>
      <w:proofErr w:type="gramEnd"/>
      <w:r>
        <w:rPr>
          <w:rFonts w:ascii="Arial" w:hAnsi="Arial" w:cs="Arial"/>
          <w:b/>
          <w:bCs/>
          <w:sz w:val="22"/>
          <w:szCs w:val="22"/>
        </w:rPr>
        <w:t xml:space="preserve"> </w:t>
      </w:r>
      <w:proofErr w:type="spellStart"/>
      <w:r w:rsidR="0061705D">
        <w:rPr>
          <w:rFonts w:ascii="Arial" w:hAnsi="Arial" w:cs="Arial"/>
          <w:b/>
          <w:bCs/>
          <w:sz w:val="22"/>
          <w:szCs w:val="22"/>
        </w:rPr>
        <w:t>Akinseye</w:t>
      </w:r>
      <w:proofErr w:type="spellEnd"/>
      <w:r w:rsidR="0061705D">
        <w:rPr>
          <w:rFonts w:ascii="Arial" w:hAnsi="Arial" w:cs="Arial"/>
          <w:b/>
          <w:bCs/>
          <w:sz w:val="22"/>
          <w:szCs w:val="22"/>
        </w:rPr>
        <w:t xml:space="preserve"> Aluko</w:t>
      </w:r>
    </w:p>
    <w:p w14:paraId="40F5C4E4" w14:textId="77777777" w:rsidR="002547FE" w:rsidRDefault="002547FE" w:rsidP="002547FE">
      <w:pPr>
        <w:rPr>
          <w:rFonts w:ascii="Arial" w:hAnsi="Arial" w:cs="Arial"/>
          <w:b/>
          <w:bCs/>
          <w:sz w:val="22"/>
          <w:szCs w:val="22"/>
        </w:rPr>
      </w:pPr>
    </w:p>
    <w:p w14:paraId="2F8F3167" w14:textId="77777777" w:rsidR="002547FE" w:rsidRDefault="002547FE" w:rsidP="002547FE">
      <w:pPr>
        <w:rPr>
          <w:rFonts w:ascii="Arial" w:hAnsi="Arial" w:cs="Arial"/>
          <w:b/>
          <w:bCs/>
          <w:sz w:val="22"/>
          <w:szCs w:val="22"/>
        </w:rPr>
      </w:pPr>
      <w:r>
        <w:rPr>
          <w:rFonts w:ascii="Arial" w:hAnsi="Arial" w:cs="Arial"/>
          <w:b/>
          <w:bCs/>
          <w:sz w:val="22"/>
          <w:szCs w:val="22"/>
        </w:rPr>
        <w:br/>
      </w:r>
    </w:p>
    <w:p w14:paraId="00000008" w14:textId="182C2458" w:rsidR="00687770" w:rsidRPr="0061705D" w:rsidRDefault="00687770" w:rsidP="0061705D">
      <w:pPr>
        <w:rPr>
          <w:rFonts w:ascii="Arial" w:hAnsi="Arial" w:cs="Arial"/>
          <w:b/>
          <w:bCs/>
          <w:sz w:val="22"/>
          <w:szCs w:val="22"/>
        </w:rPr>
      </w:pPr>
    </w:p>
    <w:p w14:paraId="00000009" w14:textId="7D490CE0" w:rsidR="00687770" w:rsidRDefault="00000000">
      <w:pPr>
        <w:keepNext/>
        <w:keepLines/>
        <w:pBdr>
          <w:top w:val="nil"/>
          <w:left w:val="nil"/>
          <w:bottom w:val="nil"/>
          <w:right w:val="nil"/>
          <w:between w:val="nil"/>
        </w:pBdr>
        <w:spacing w:before="240" w:line="259" w:lineRule="auto"/>
        <w:jc w:val="left"/>
        <w:rPr>
          <w:rFonts w:ascii="Calibri" w:eastAsia="Calibri" w:hAnsi="Calibri" w:cs="Calibri"/>
          <w:color w:val="366091"/>
          <w:sz w:val="32"/>
          <w:szCs w:val="32"/>
        </w:rPr>
      </w:pPr>
      <w:r>
        <w:rPr>
          <w:rFonts w:ascii="Calibri" w:eastAsia="Calibri" w:hAnsi="Calibri" w:cs="Calibri"/>
          <w:color w:val="366091"/>
          <w:sz w:val="32"/>
          <w:szCs w:val="32"/>
        </w:rPr>
        <w:t>Table of Contents</w:t>
      </w:r>
    </w:p>
    <w:p w14:paraId="767FF837" w14:textId="21C72BE9" w:rsidR="0061705D" w:rsidRPr="0061705D" w:rsidRDefault="0061705D">
      <w:pPr>
        <w:keepNext/>
        <w:keepLines/>
        <w:pBdr>
          <w:top w:val="nil"/>
          <w:left w:val="nil"/>
          <w:bottom w:val="nil"/>
          <w:right w:val="nil"/>
          <w:between w:val="nil"/>
        </w:pBdr>
        <w:spacing w:before="240" w:line="259" w:lineRule="auto"/>
        <w:jc w:val="left"/>
        <w:rPr>
          <w:rFonts w:ascii="Calibri" w:eastAsia="Calibri" w:hAnsi="Calibri" w:cs="Calibri"/>
          <w:b/>
          <w:bCs/>
          <w:color w:val="000000" w:themeColor="text1"/>
          <w:sz w:val="32"/>
          <w:szCs w:val="32"/>
        </w:rPr>
      </w:pPr>
      <w:r w:rsidRPr="0061705D">
        <w:rPr>
          <w:rFonts w:ascii="Calibri" w:eastAsia="Calibri" w:hAnsi="Calibri" w:cs="Calibri"/>
          <w:b/>
          <w:bCs/>
          <w:color w:val="000000" w:themeColor="text1"/>
          <w:sz w:val="32"/>
          <w:szCs w:val="32"/>
        </w:rPr>
        <w:t>Part 1</w:t>
      </w:r>
    </w:p>
    <w:sdt>
      <w:sdtPr>
        <w:id w:val="-1016158103"/>
        <w:docPartObj>
          <w:docPartGallery w:val="Table of Contents"/>
          <w:docPartUnique/>
        </w:docPartObj>
      </w:sdtPr>
      <w:sdtEndPr>
        <w:rPr>
          <w:sz w:val="44"/>
          <w:szCs w:val="44"/>
        </w:rPr>
      </w:sdtEndPr>
      <w:sdtContent>
        <w:p w14:paraId="0ABA4E1A" w14:textId="6B135132" w:rsidR="004E4584" w:rsidRDefault="00000000">
          <w:pPr>
            <w:pStyle w:val="TOC1"/>
            <w:tabs>
              <w:tab w:val="right" w:pos="9350"/>
            </w:tabs>
            <w:rPr>
              <w:noProof/>
            </w:rPr>
          </w:pPr>
          <w:r>
            <w:fldChar w:fldCharType="begin"/>
          </w:r>
          <w:r>
            <w:instrText xml:space="preserve"> TOC \h \u \z </w:instrText>
          </w:r>
          <w:r>
            <w:fldChar w:fldCharType="separate"/>
          </w:r>
          <w:hyperlink w:anchor="_Toc111580982" w:history="1">
            <w:r w:rsidR="004E4584" w:rsidRPr="008635BD">
              <w:rPr>
                <w:rStyle w:val="Hyperlink"/>
                <w:noProof/>
              </w:rPr>
              <w:t>Introduction</w:t>
            </w:r>
            <w:r w:rsidR="004E4584">
              <w:rPr>
                <w:noProof/>
                <w:webHidden/>
              </w:rPr>
              <w:tab/>
            </w:r>
            <w:r w:rsidR="004E4584">
              <w:rPr>
                <w:noProof/>
                <w:webHidden/>
              </w:rPr>
              <w:fldChar w:fldCharType="begin"/>
            </w:r>
            <w:r w:rsidR="004E4584">
              <w:rPr>
                <w:noProof/>
                <w:webHidden/>
              </w:rPr>
              <w:instrText xml:space="preserve"> PAGEREF _Toc111580982 \h </w:instrText>
            </w:r>
            <w:r w:rsidR="004E4584">
              <w:rPr>
                <w:noProof/>
                <w:webHidden/>
              </w:rPr>
            </w:r>
            <w:r w:rsidR="004E4584">
              <w:rPr>
                <w:noProof/>
                <w:webHidden/>
              </w:rPr>
              <w:fldChar w:fldCharType="separate"/>
            </w:r>
            <w:r w:rsidR="004E4584">
              <w:rPr>
                <w:noProof/>
                <w:webHidden/>
              </w:rPr>
              <w:t>3</w:t>
            </w:r>
            <w:r w:rsidR="004E4584">
              <w:rPr>
                <w:noProof/>
                <w:webHidden/>
              </w:rPr>
              <w:fldChar w:fldCharType="end"/>
            </w:r>
          </w:hyperlink>
        </w:p>
        <w:p w14:paraId="2852E27C" w14:textId="08AE3344" w:rsidR="004E4584" w:rsidRDefault="00000000">
          <w:pPr>
            <w:pStyle w:val="TOC1"/>
            <w:tabs>
              <w:tab w:val="right" w:pos="9350"/>
            </w:tabs>
            <w:rPr>
              <w:noProof/>
            </w:rPr>
          </w:pPr>
          <w:hyperlink w:anchor="_Toc111580983" w:history="1">
            <w:r w:rsidR="004E4584" w:rsidRPr="008635BD">
              <w:rPr>
                <w:rStyle w:val="Hyperlink"/>
                <w:noProof/>
              </w:rPr>
              <w:t>Taylor Management theory</w:t>
            </w:r>
            <w:r w:rsidR="004E4584">
              <w:rPr>
                <w:noProof/>
                <w:webHidden/>
              </w:rPr>
              <w:tab/>
            </w:r>
            <w:r w:rsidR="004E4584">
              <w:rPr>
                <w:noProof/>
                <w:webHidden/>
              </w:rPr>
              <w:fldChar w:fldCharType="begin"/>
            </w:r>
            <w:r w:rsidR="004E4584">
              <w:rPr>
                <w:noProof/>
                <w:webHidden/>
              </w:rPr>
              <w:instrText xml:space="preserve"> PAGEREF _Toc111580983 \h </w:instrText>
            </w:r>
            <w:r w:rsidR="004E4584">
              <w:rPr>
                <w:noProof/>
                <w:webHidden/>
              </w:rPr>
            </w:r>
            <w:r w:rsidR="004E4584">
              <w:rPr>
                <w:noProof/>
                <w:webHidden/>
              </w:rPr>
              <w:fldChar w:fldCharType="separate"/>
            </w:r>
            <w:r w:rsidR="004E4584">
              <w:rPr>
                <w:noProof/>
                <w:webHidden/>
              </w:rPr>
              <w:t>3</w:t>
            </w:r>
            <w:r w:rsidR="004E4584">
              <w:rPr>
                <w:noProof/>
                <w:webHidden/>
              </w:rPr>
              <w:fldChar w:fldCharType="end"/>
            </w:r>
          </w:hyperlink>
        </w:p>
        <w:p w14:paraId="0EC77AE1" w14:textId="31756272" w:rsidR="004E4584" w:rsidRDefault="00000000">
          <w:pPr>
            <w:pStyle w:val="TOC1"/>
            <w:tabs>
              <w:tab w:val="right" w:pos="9350"/>
            </w:tabs>
            <w:rPr>
              <w:noProof/>
            </w:rPr>
          </w:pPr>
          <w:hyperlink w:anchor="_Toc111580984" w:history="1">
            <w:r w:rsidR="004E4584" w:rsidRPr="008635BD">
              <w:rPr>
                <w:rStyle w:val="Hyperlink"/>
                <w:noProof/>
              </w:rPr>
              <w:t>SWOT Analysis of Tesco</w:t>
            </w:r>
            <w:r w:rsidR="004E4584">
              <w:rPr>
                <w:noProof/>
                <w:webHidden/>
              </w:rPr>
              <w:tab/>
            </w:r>
            <w:r w:rsidR="004E4584">
              <w:rPr>
                <w:noProof/>
                <w:webHidden/>
              </w:rPr>
              <w:fldChar w:fldCharType="begin"/>
            </w:r>
            <w:r w:rsidR="004E4584">
              <w:rPr>
                <w:noProof/>
                <w:webHidden/>
              </w:rPr>
              <w:instrText xml:space="preserve"> PAGEREF _Toc111580984 \h </w:instrText>
            </w:r>
            <w:r w:rsidR="004E4584">
              <w:rPr>
                <w:noProof/>
                <w:webHidden/>
              </w:rPr>
            </w:r>
            <w:r w:rsidR="004E4584">
              <w:rPr>
                <w:noProof/>
                <w:webHidden/>
              </w:rPr>
              <w:fldChar w:fldCharType="separate"/>
            </w:r>
            <w:r w:rsidR="004E4584">
              <w:rPr>
                <w:noProof/>
                <w:webHidden/>
              </w:rPr>
              <w:t>4</w:t>
            </w:r>
            <w:r w:rsidR="004E4584">
              <w:rPr>
                <w:noProof/>
                <w:webHidden/>
              </w:rPr>
              <w:fldChar w:fldCharType="end"/>
            </w:r>
          </w:hyperlink>
        </w:p>
        <w:p w14:paraId="15C1B653" w14:textId="5A53BFA1" w:rsidR="004E4584" w:rsidRDefault="00000000">
          <w:pPr>
            <w:pStyle w:val="TOC1"/>
            <w:tabs>
              <w:tab w:val="right" w:pos="9350"/>
            </w:tabs>
            <w:rPr>
              <w:noProof/>
            </w:rPr>
          </w:pPr>
          <w:hyperlink w:anchor="_Toc111580985" w:history="1">
            <w:r w:rsidR="004E4584" w:rsidRPr="008635BD">
              <w:rPr>
                <w:rStyle w:val="Hyperlink"/>
                <w:noProof/>
              </w:rPr>
              <w:t>Strengths</w:t>
            </w:r>
            <w:r w:rsidR="004E4584">
              <w:rPr>
                <w:noProof/>
                <w:webHidden/>
              </w:rPr>
              <w:tab/>
            </w:r>
            <w:r w:rsidR="004E4584">
              <w:rPr>
                <w:noProof/>
                <w:webHidden/>
              </w:rPr>
              <w:fldChar w:fldCharType="begin"/>
            </w:r>
            <w:r w:rsidR="004E4584">
              <w:rPr>
                <w:noProof/>
                <w:webHidden/>
              </w:rPr>
              <w:instrText xml:space="preserve"> PAGEREF _Toc111580985 \h </w:instrText>
            </w:r>
            <w:r w:rsidR="004E4584">
              <w:rPr>
                <w:noProof/>
                <w:webHidden/>
              </w:rPr>
            </w:r>
            <w:r w:rsidR="004E4584">
              <w:rPr>
                <w:noProof/>
                <w:webHidden/>
              </w:rPr>
              <w:fldChar w:fldCharType="separate"/>
            </w:r>
            <w:r w:rsidR="004E4584">
              <w:rPr>
                <w:noProof/>
                <w:webHidden/>
              </w:rPr>
              <w:t>4</w:t>
            </w:r>
            <w:r w:rsidR="004E4584">
              <w:rPr>
                <w:noProof/>
                <w:webHidden/>
              </w:rPr>
              <w:fldChar w:fldCharType="end"/>
            </w:r>
          </w:hyperlink>
        </w:p>
        <w:p w14:paraId="437C448D" w14:textId="6078F7EA" w:rsidR="004E4584" w:rsidRDefault="00000000">
          <w:pPr>
            <w:pStyle w:val="TOC1"/>
            <w:tabs>
              <w:tab w:val="right" w:pos="9350"/>
            </w:tabs>
            <w:rPr>
              <w:noProof/>
            </w:rPr>
          </w:pPr>
          <w:hyperlink w:anchor="_Toc111580986" w:history="1">
            <w:r w:rsidR="004E4584" w:rsidRPr="008635BD">
              <w:rPr>
                <w:rStyle w:val="Hyperlink"/>
                <w:noProof/>
              </w:rPr>
              <w:t>Weaknesses</w:t>
            </w:r>
            <w:r w:rsidR="004E4584">
              <w:rPr>
                <w:noProof/>
                <w:webHidden/>
              </w:rPr>
              <w:tab/>
            </w:r>
            <w:r w:rsidR="004E4584">
              <w:rPr>
                <w:noProof/>
                <w:webHidden/>
              </w:rPr>
              <w:fldChar w:fldCharType="begin"/>
            </w:r>
            <w:r w:rsidR="004E4584">
              <w:rPr>
                <w:noProof/>
                <w:webHidden/>
              </w:rPr>
              <w:instrText xml:space="preserve"> PAGEREF _Toc111580986 \h </w:instrText>
            </w:r>
            <w:r w:rsidR="004E4584">
              <w:rPr>
                <w:noProof/>
                <w:webHidden/>
              </w:rPr>
            </w:r>
            <w:r w:rsidR="004E4584">
              <w:rPr>
                <w:noProof/>
                <w:webHidden/>
              </w:rPr>
              <w:fldChar w:fldCharType="separate"/>
            </w:r>
            <w:r w:rsidR="004E4584">
              <w:rPr>
                <w:noProof/>
                <w:webHidden/>
              </w:rPr>
              <w:t>5</w:t>
            </w:r>
            <w:r w:rsidR="004E4584">
              <w:rPr>
                <w:noProof/>
                <w:webHidden/>
              </w:rPr>
              <w:fldChar w:fldCharType="end"/>
            </w:r>
          </w:hyperlink>
        </w:p>
        <w:p w14:paraId="115EAA1F" w14:textId="062B0858" w:rsidR="004E4584" w:rsidRDefault="00000000">
          <w:pPr>
            <w:pStyle w:val="TOC1"/>
            <w:tabs>
              <w:tab w:val="right" w:pos="9350"/>
            </w:tabs>
            <w:rPr>
              <w:noProof/>
            </w:rPr>
          </w:pPr>
          <w:hyperlink w:anchor="_Toc111580987" w:history="1">
            <w:r w:rsidR="004E4584" w:rsidRPr="008635BD">
              <w:rPr>
                <w:rStyle w:val="Hyperlink"/>
                <w:noProof/>
              </w:rPr>
              <w:t>Opportunities</w:t>
            </w:r>
            <w:r w:rsidR="004E4584">
              <w:rPr>
                <w:noProof/>
                <w:webHidden/>
              </w:rPr>
              <w:tab/>
            </w:r>
            <w:r w:rsidR="004E4584">
              <w:rPr>
                <w:noProof/>
                <w:webHidden/>
              </w:rPr>
              <w:fldChar w:fldCharType="begin"/>
            </w:r>
            <w:r w:rsidR="004E4584">
              <w:rPr>
                <w:noProof/>
                <w:webHidden/>
              </w:rPr>
              <w:instrText xml:space="preserve"> PAGEREF _Toc111580987 \h </w:instrText>
            </w:r>
            <w:r w:rsidR="004E4584">
              <w:rPr>
                <w:noProof/>
                <w:webHidden/>
              </w:rPr>
            </w:r>
            <w:r w:rsidR="004E4584">
              <w:rPr>
                <w:noProof/>
                <w:webHidden/>
              </w:rPr>
              <w:fldChar w:fldCharType="separate"/>
            </w:r>
            <w:r w:rsidR="004E4584">
              <w:rPr>
                <w:noProof/>
                <w:webHidden/>
              </w:rPr>
              <w:t>5</w:t>
            </w:r>
            <w:r w:rsidR="004E4584">
              <w:rPr>
                <w:noProof/>
                <w:webHidden/>
              </w:rPr>
              <w:fldChar w:fldCharType="end"/>
            </w:r>
          </w:hyperlink>
        </w:p>
        <w:p w14:paraId="77B11304" w14:textId="7BF89E80" w:rsidR="004E4584" w:rsidRDefault="00000000">
          <w:pPr>
            <w:pStyle w:val="TOC1"/>
            <w:tabs>
              <w:tab w:val="right" w:pos="9350"/>
            </w:tabs>
            <w:rPr>
              <w:noProof/>
            </w:rPr>
          </w:pPr>
          <w:hyperlink w:anchor="_Toc111580988" w:history="1">
            <w:r w:rsidR="004E4584" w:rsidRPr="008635BD">
              <w:rPr>
                <w:rStyle w:val="Hyperlink"/>
                <w:noProof/>
              </w:rPr>
              <w:t>Threats</w:t>
            </w:r>
            <w:r w:rsidR="004E4584">
              <w:rPr>
                <w:noProof/>
                <w:webHidden/>
              </w:rPr>
              <w:tab/>
            </w:r>
            <w:r w:rsidR="004E4584">
              <w:rPr>
                <w:noProof/>
                <w:webHidden/>
              </w:rPr>
              <w:fldChar w:fldCharType="begin"/>
            </w:r>
            <w:r w:rsidR="004E4584">
              <w:rPr>
                <w:noProof/>
                <w:webHidden/>
              </w:rPr>
              <w:instrText xml:space="preserve"> PAGEREF _Toc111580988 \h </w:instrText>
            </w:r>
            <w:r w:rsidR="004E4584">
              <w:rPr>
                <w:noProof/>
                <w:webHidden/>
              </w:rPr>
            </w:r>
            <w:r w:rsidR="004E4584">
              <w:rPr>
                <w:noProof/>
                <w:webHidden/>
              </w:rPr>
              <w:fldChar w:fldCharType="separate"/>
            </w:r>
            <w:r w:rsidR="004E4584">
              <w:rPr>
                <w:noProof/>
                <w:webHidden/>
              </w:rPr>
              <w:t>5</w:t>
            </w:r>
            <w:r w:rsidR="004E4584">
              <w:rPr>
                <w:noProof/>
                <w:webHidden/>
              </w:rPr>
              <w:fldChar w:fldCharType="end"/>
            </w:r>
          </w:hyperlink>
        </w:p>
        <w:p w14:paraId="5F3383A7" w14:textId="324ECBF8" w:rsidR="004E4584" w:rsidRDefault="00000000">
          <w:pPr>
            <w:pStyle w:val="TOC1"/>
            <w:tabs>
              <w:tab w:val="right" w:pos="9350"/>
            </w:tabs>
            <w:rPr>
              <w:noProof/>
            </w:rPr>
          </w:pPr>
          <w:hyperlink w:anchor="_Toc111580989" w:history="1">
            <w:r w:rsidR="004E4584" w:rsidRPr="008635BD">
              <w:rPr>
                <w:rStyle w:val="Hyperlink"/>
                <w:noProof/>
              </w:rPr>
              <w:t>Organization Culture and its impact</w:t>
            </w:r>
            <w:r w:rsidR="004E4584">
              <w:rPr>
                <w:noProof/>
                <w:webHidden/>
              </w:rPr>
              <w:tab/>
            </w:r>
            <w:r w:rsidR="004E4584">
              <w:rPr>
                <w:noProof/>
                <w:webHidden/>
              </w:rPr>
              <w:fldChar w:fldCharType="begin"/>
            </w:r>
            <w:r w:rsidR="004E4584">
              <w:rPr>
                <w:noProof/>
                <w:webHidden/>
              </w:rPr>
              <w:instrText xml:space="preserve"> PAGEREF _Toc111580989 \h </w:instrText>
            </w:r>
            <w:r w:rsidR="004E4584">
              <w:rPr>
                <w:noProof/>
                <w:webHidden/>
              </w:rPr>
            </w:r>
            <w:r w:rsidR="004E4584">
              <w:rPr>
                <w:noProof/>
                <w:webHidden/>
              </w:rPr>
              <w:fldChar w:fldCharType="separate"/>
            </w:r>
            <w:r w:rsidR="004E4584">
              <w:rPr>
                <w:noProof/>
                <w:webHidden/>
              </w:rPr>
              <w:t>6</w:t>
            </w:r>
            <w:r w:rsidR="004E4584">
              <w:rPr>
                <w:noProof/>
                <w:webHidden/>
              </w:rPr>
              <w:fldChar w:fldCharType="end"/>
            </w:r>
          </w:hyperlink>
        </w:p>
        <w:p w14:paraId="564E799B" w14:textId="1E6D467D" w:rsidR="004E4584" w:rsidRDefault="00000000">
          <w:pPr>
            <w:pStyle w:val="TOC1"/>
            <w:tabs>
              <w:tab w:val="right" w:pos="9350"/>
            </w:tabs>
            <w:rPr>
              <w:noProof/>
            </w:rPr>
          </w:pPr>
          <w:hyperlink w:anchor="_Toc111580990" w:history="1">
            <w:r w:rsidR="004E4584" w:rsidRPr="008635BD">
              <w:rPr>
                <w:rStyle w:val="Hyperlink"/>
                <w:noProof/>
              </w:rPr>
              <w:t>Herzberg's motivation-hygiene theory</w:t>
            </w:r>
            <w:r w:rsidR="004E4584">
              <w:rPr>
                <w:noProof/>
                <w:webHidden/>
              </w:rPr>
              <w:tab/>
            </w:r>
            <w:r w:rsidR="004E4584">
              <w:rPr>
                <w:noProof/>
                <w:webHidden/>
              </w:rPr>
              <w:fldChar w:fldCharType="begin"/>
            </w:r>
            <w:r w:rsidR="004E4584">
              <w:rPr>
                <w:noProof/>
                <w:webHidden/>
              </w:rPr>
              <w:instrText xml:space="preserve"> PAGEREF _Toc111580990 \h </w:instrText>
            </w:r>
            <w:r w:rsidR="004E4584">
              <w:rPr>
                <w:noProof/>
                <w:webHidden/>
              </w:rPr>
            </w:r>
            <w:r w:rsidR="004E4584">
              <w:rPr>
                <w:noProof/>
                <w:webHidden/>
              </w:rPr>
              <w:fldChar w:fldCharType="separate"/>
            </w:r>
            <w:r w:rsidR="004E4584">
              <w:rPr>
                <w:noProof/>
                <w:webHidden/>
              </w:rPr>
              <w:t>7</w:t>
            </w:r>
            <w:r w:rsidR="004E4584">
              <w:rPr>
                <w:noProof/>
                <w:webHidden/>
              </w:rPr>
              <w:fldChar w:fldCharType="end"/>
            </w:r>
          </w:hyperlink>
        </w:p>
        <w:p w14:paraId="1B9C0448" w14:textId="54C71D6B" w:rsidR="004E4584" w:rsidRDefault="00000000">
          <w:pPr>
            <w:pStyle w:val="TOC1"/>
            <w:tabs>
              <w:tab w:val="right" w:pos="9350"/>
            </w:tabs>
            <w:rPr>
              <w:noProof/>
            </w:rPr>
          </w:pPr>
          <w:hyperlink w:anchor="_Toc111580991" w:history="1">
            <w:r w:rsidR="004E4584" w:rsidRPr="008635BD">
              <w:rPr>
                <w:rStyle w:val="Hyperlink"/>
                <w:noProof/>
              </w:rPr>
              <w:t>Impact of management theories</w:t>
            </w:r>
            <w:r w:rsidR="004E4584">
              <w:rPr>
                <w:noProof/>
                <w:webHidden/>
              </w:rPr>
              <w:tab/>
            </w:r>
            <w:r w:rsidR="004E4584">
              <w:rPr>
                <w:noProof/>
                <w:webHidden/>
              </w:rPr>
              <w:fldChar w:fldCharType="begin"/>
            </w:r>
            <w:r w:rsidR="004E4584">
              <w:rPr>
                <w:noProof/>
                <w:webHidden/>
              </w:rPr>
              <w:instrText xml:space="preserve"> PAGEREF _Toc111580991 \h </w:instrText>
            </w:r>
            <w:r w:rsidR="004E4584">
              <w:rPr>
                <w:noProof/>
                <w:webHidden/>
              </w:rPr>
            </w:r>
            <w:r w:rsidR="004E4584">
              <w:rPr>
                <w:noProof/>
                <w:webHidden/>
              </w:rPr>
              <w:fldChar w:fldCharType="separate"/>
            </w:r>
            <w:r w:rsidR="004E4584">
              <w:rPr>
                <w:noProof/>
                <w:webHidden/>
              </w:rPr>
              <w:t>7</w:t>
            </w:r>
            <w:r w:rsidR="004E4584">
              <w:rPr>
                <w:noProof/>
                <w:webHidden/>
              </w:rPr>
              <w:fldChar w:fldCharType="end"/>
            </w:r>
          </w:hyperlink>
        </w:p>
        <w:p w14:paraId="4B5CF0E2" w14:textId="6FC16882" w:rsidR="004E4584" w:rsidRDefault="00000000">
          <w:pPr>
            <w:pStyle w:val="TOC1"/>
            <w:tabs>
              <w:tab w:val="right" w:pos="9350"/>
            </w:tabs>
            <w:rPr>
              <w:noProof/>
            </w:rPr>
          </w:pPr>
          <w:hyperlink w:anchor="_Toc111580992" w:history="1">
            <w:r w:rsidR="004E4584" w:rsidRPr="008635BD">
              <w:rPr>
                <w:rStyle w:val="Hyperlink"/>
                <w:noProof/>
              </w:rPr>
              <w:t>Recommendations</w:t>
            </w:r>
            <w:r w:rsidR="004E4584">
              <w:rPr>
                <w:noProof/>
                <w:webHidden/>
              </w:rPr>
              <w:tab/>
            </w:r>
            <w:r w:rsidR="004E4584">
              <w:rPr>
                <w:noProof/>
                <w:webHidden/>
              </w:rPr>
              <w:fldChar w:fldCharType="begin"/>
            </w:r>
            <w:r w:rsidR="004E4584">
              <w:rPr>
                <w:noProof/>
                <w:webHidden/>
              </w:rPr>
              <w:instrText xml:space="preserve"> PAGEREF _Toc111580992 \h </w:instrText>
            </w:r>
            <w:r w:rsidR="004E4584">
              <w:rPr>
                <w:noProof/>
                <w:webHidden/>
              </w:rPr>
            </w:r>
            <w:r w:rsidR="004E4584">
              <w:rPr>
                <w:noProof/>
                <w:webHidden/>
              </w:rPr>
              <w:fldChar w:fldCharType="separate"/>
            </w:r>
            <w:r w:rsidR="004E4584">
              <w:rPr>
                <w:noProof/>
                <w:webHidden/>
              </w:rPr>
              <w:t>9</w:t>
            </w:r>
            <w:r w:rsidR="004E4584">
              <w:rPr>
                <w:noProof/>
                <w:webHidden/>
              </w:rPr>
              <w:fldChar w:fldCharType="end"/>
            </w:r>
          </w:hyperlink>
        </w:p>
        <w:p w14:paraId="4791E6D1" w14:textId="7E6CB91B" w:rsidR="004E4584" w:rsidRDefault="00000000">
          <w:pPr>
            <w:pStyle w:val="TOC1"/>
            <w:tabs>
              <w:tab w:val="right" w:pos="9350"/>
            </w:tabs>
            <w:rPr>
              <w:noProof/>
            </w:rPr>
          </w:pPr>
          <w:hyperlink w:anchor="_Toc111580993" w:history="1">
            <w:r w:rsidR="004E4584" w:rsidRPr="008635BD">
              <w:rPr>
                <w:rStyle w:val="Hyperlink"/>
                <w:noProof/>
              </w:rPr>
              <w:t>Conclusion</w:t>
            </w:r>
            <w:r w:rsidR="004E4584">
              <w:rPr>
                <w:noProof/>
                <w:webHidden/>
              </w:rPr>
              <w:tab/>
            </w:r>
            <w:r w:rsidR="004E4584">
              <w:rPr>
                <w:noProof/>
                <w:webHidden/>
              </w:rPr>
              <w:fldChar w:fldCharType="begin"/>
            </w:r>
            <w:r w:rsidR="004E4584">
              <w:rPr>
                <w:noProof/>
                <w:webHidden/>
              </w:rPr>
              <w:instrText xml:space="preserve"> PAGEREF _Toc111580993 \h </w:instrText>
            </w:r>
            <w:r w:rsidR="004E4584">
              <w:rPr>
                <w:noProof/>
                <w:webHidden/>
              </w:rPr>
            </w:r>
            <w:r w:rsidR="004E4584">
              <w:rPr>
                <w:noProof/>
                <w:webHidden/>
              </w:rPr>
              <w:fldChar w:fldCharType="separate"/>
            </w:r>
            <w:r w:rsidR="004E4584">
              <w:rPr>
                <w:noProof/>
                <w:webHidden/>
              </w:rPr>
              <w:t>10</w:t>
            </w:r>
            <w:r w:rsidR="004E4584">
              <w:rPr>
                <w:noProof/>
                <w:webHidden/>
              </w:rPr>
              <w:fldChar w:fldCharType="end"/>
            </w:r>
          </w:hyperlink>
        </w:p>
        <w:p w14:paraId="4350BC2A" w14:textId="7BFF1AF5" w:rsidR="004E4584" w:rsidRDefault="00000000">
          <w:pPr>
            <w:pStyle w:val="TOC1"/>
            <w:tabs>
              <w:tab w:val="right" w:pos="9350"/>
            </w:tabs>
            <w:rPr>
              <w:noProof/>
            </w:rPr>
          </w:pPr>
          <w:hyperlink w:anchor="_Toc111580994" w:history="1">
            <w:r w:rsidR="004E4584" w:rsidRPr="008635BD">
              <w:rPr>
                <w:rStyle w:val="Hyperlink"/>
                <w:noProof/>
              </w:rPr>
              <w:t>References</w:t>
            </w:r>
            <w:r w:rsidR="004E4584">
              <w:rPr>
                <w:noProof/>
                <w:webHidden/>
              </w:rPr>
              <w:tab/>
            </w:r>
            <w:r w:rsidR="004E4584">
              <w:rPr>
                <w:noProof/>
                <w:webHidden/>
              </w:rPr>
              <w:fldChar w:fldCharType="begin"/>
            </w:r>
            <w:r w:rsidR="004E4584">
              <w:rPr>
                <w:noProof/>
                <w:webHidden/>
              </w:rPr>
              <w:instrText xml:space="preserve"> PAGEREF _Toc111580994 \h </w:instrText>
            </w:r>
            <w:r w:rsidR="004E4584">
              <w:rPr>
                <w:noProof/>
                <w:webHidden/>
              </w:rPr>
            </w:r>
            <w:r w:rsidR="004E4584">
              <w:rPr>
                <w:noProof/>
                <w:webHidden/>
              </w:rPr>
              <w:fldChar w:fldCharType="separate"/>
            </w:r>
            <w:r w:rsidR="004E4584">
              <w:rPr>
                <w:noProof/>
                <w:webHidden/>
              </w:rPr>
              <w:t>11</w:t>
            </w:r>
            <w:r w:rsidR="004E4584">
              <w:rPr>
                <w:noProof/>
                <w:webHidden/>
              </w:rPr>
              <w:fldChar w:fldCharType="end"/>
            </w:r>
          </w:hyperlink>
        </w:p>
        <w:p w14:paraId="01FC9628" w14:textId="0B4F61BD" w:rsidR="004E4584" w:rsidRDefault="00000000" w:rsidP="0061705D">
          <w:pPr>
            <w:keepNext/>
            <w:keepLines/>
            <w:pBdr>
              <w:top w:val="nil"/>
              <w:left w:val="nil"/>
              <w:bottom w:val="nil"/>
              <w:right w:val="nil"/>
              <w:between w:val="nil"/>
            </w:pBdr>
            <w:spacing w:before="240" w:line="259" w:lineRule="auto"/>
            <w:jc w:val="left"/>
            <w:rPr>
              <w:rFonts w:ascii="Calibri" w:eastAsia="Calibri" w:hAnsi="Calibri" w:cs="Calibri"/>
              <w:b/>
              <w:bCs/>
              <w:color w:val="000000" w:themeColor="text1"/>
              <w:sz w:val="32"/>
              <w:szCs w:val="32"/>
            </w:rPr>
          </w:pPr>
          <w:r>
            <w:fldChar w:fldCharType="end"/>
          </w:r>
          <w:r w:rsidR="0061705D" w:rsidRPr="0061705D">
            <w:rPr>
              <w:rFonts w:ascii="Calibri" w:eastAsia="Calibri" w:hAnsi="Calibri" w:cs="Calibri"/>
              <w:b/>
              <w:bCs/>
              <w:color w:val="000000" w:themeColor="text1"/>
              <w:sz w:val="32"/>
              <w:szCs w:val="32"/>
            </w:rPr>
            <w:t>Part</w:t>
          </w:r>
          <w:r w:rsidR="0061705D" w:rsidRPr="0061705D">
            <w:rPr>
              <w:sz w:val="44"/>
              <w:szCs w:val="44"/>
            </w:rPr>
            <w:t xml:space="preserve"> </w:t>
          </w:r>
          <w:r w:rsidR="0061705D" w:rsidRPr="0061705D">
            <w:rPr>
              <w:rFonts w:ascii="Calibri" w:eastAsia="Calibri" w:hAnsi="Calibri" w:cs="Calibri"/>
              <w:b/>
              <w:bCs/>
              <w:color w:val="000000" w:themeColor="text1"/>
              <w:sz w:val="32"/>
              <w:szCs w:val="32"/>
            </w:rPr>
            <w:t>2</w:t>
          </w:r>
        </w:p>
        <w:p w14:paraId="00000017" w14:textId="053B960D" w:rsidR="00687770" w:rsidRPr="004E4584" w:rsidRDefault="004E4584" w:rsidP="0061705D">
          <w:pPr>
            <w:keepNext/>
            <w:keepLines/>
            <w:pBdr>
              <w:top w:val="nil"/>
              <w:left w:val="nil"/>
              <w:bottom w:val="nil"/>
              <w:right w:val="nil"/>
              <w:between w:val="nil"/>
            </w:pBdr>
            <w:spacing w:before="240" w:line="259" w:lineRule="auto"/>
            <w:jc w:val="left"/>
          </w:pPr>
          <w:r>
            <w:t>Reflective Journal</w:t>
          </w:r>
          <w:r>
            <w:tab/>
          </w:r>
          <w:r>
            <w:tab/>
          </w:r>
          <w:r>
            <w:tab/>
          </w:r>
          <w:r>
            <w:tab/>
          </w:r>
          <w:r>
            <w:tab/>
          </w:r>
          <w:r>
            <w:tab/>
          </w:r>
          <w:r>
            <w:tab/>
          </w:r>
          <w:r>
            <w:tab/>
          </w:r>
          <w:r>
            <w:tab/>
          </w:r>
          <w:r>
            <w:tab/>
            <w:t xml:space="preserve">        12</w:t>
          </w:r>
          <w:r>
            <w:tab/>
          </w:r>
        </w:p>
      </w:sdtContent>
    </w:sdt>
    <w:p w14:paraId="00000018" w14:textId="77777777" w:rsidR="00687770" w:rsidRDefault="00000000">
      <w:pPr>
        <w:spacing w:line="276" w:lineRule="auto"/>
        <w:jc w:val="left"/>
        <w:rPr>
          <w:b/>
          <w:sz w:val="28"/>
          <w:szCs w:val="28"/>
        </w:rPr>
      </w:pPr>
      <w:r>
        <w:br w:type="page"/>
      </w:r>
    </w:p>
    <w:p w14:paraId="00000019" w14:textId="77777777" w:rsidR="00687770" w:rsidRDefault="00000000">
      <w:pPr>
        <w:pStyle w:val="Heading1"/>
      </w:pPr>
      <w:bookmarkStart w:id="0" w:name="_Toc111580982"/>
      <w:r>
        <w:lastRenderedPageBreak/>
        <w:t>Introduction</w:t>
      </w:r>
      <w:bookmarkEnd w:id="0"/>
      <w:r>
        <w:t xml:space="preserve"> </w:t>
      </w:r>
    </w:p>
    <w:p w14:paraId="00A466B3" w14:textId="241587B2" w:rsidR="00351E3A" w:rsidRDefault="00000000">
      <w:r>
        <w:t>Tesco is one of the leading grocery chains in the United Kingdom. Tesco has 3968 shops in the United Kingdom and over 7000 sites worldwide. Tesco even does e-commerce via tesco.com. Tesco is one of the largest grocery chains in the United Kingdom, with other stores such as Extra, Metro, Superstore, and Express. Tesco is the world's third biggest grocery chain, after only Walmart and Carrefour. Tesco began as a food store but has now expanded into stationery, technology, health, lifestyle, and home entertainment. Tesco has a wide variety of food to choose from, with over 5000 food items available in its locations. Tesco had annual revenue of roughly 53 billion British pounds in the UK and the Republic of Ireland in the fiscal year 2019-2020, with a forecast rise of more than 1.3 billion compared to the previous fiscal year. This research will examine management theories and their influence on the culture, structure, and values of Tesco.</w:t>
      </w:r>
    </w:p>
    <w:p w14:paraId="0000001B" w14:textId="77777777" w:rsidR="00687770" w:rsidRDefault="00000000">
      <w:pPr>
        <w:pStyle w:val="Heading1"/>
      </w:pPr>
      <w:bookmarkStart w:id="1" w:name="_Toc111580983"/>
      <w:r>
        <w:t>Taylor Management theory</w:t>
      </w:r>
      <w:bookmarkEnd w:id="1"/>
      <w:r>
        <w:t xml:space="preserve"> </w:t>
      </w:r>
    </w:p>
    <w:p w14:paraId="0000001C" w14:textId="7191FE79" w:rsidR="00687770" w:rsidRDefault="00000000">
      <w:r>
        <w:t xml:space="preserve">Frederick Taylor's scientific management theory is widely regarded as the "classic" management philosophy. This concept was developed in the nineteenth century. Taylor's scientific management theory emphasizes effectiveness, which is comparable to Max Weber's approach. </w:t>
      </w:r>
      <w:sdt>
        <w:sdtPr>
          <w:id w:val="2084101130"/>
          <w:citation/>
        </w:sdtPr>
        <w:sdtContent>
          <w:r w:rsidR="00351E3A">
            <w:fldChar w:fldCharType="begin"/>
          </w:r>
          <w:r w:rsidR="00351E3A">
            <w:rPr>
              <w:lang w:val="en-GB"/>
            </w:rPr>
            <w:instrText xml:space="preserve"> CITATION Had15 \l 2057 </w:instrText>
          </w:r>
          <w:r w:rsidR="00351E3A">
            <w:fldChar w:fldCharType="separate"/>
          </w:r>
          <w:r w:rsidR="00351E3A" w:rsidRPr="00351E3A">
            <w:rPr>
              <w:noProof/>
              <w:lang w:val="en-GB"/>
            </w:rPr>
            <w:t>(Haddock-Millar, 2015)</w:t>
          </w:r>
          <w:r w:rsidR="00351E3A">
            <w:fldChar w:fldCharType="end"/>
          </w:r>
        </w:sdtContent>
      </w:sdt>
      <w:r w:rsidR="00AC7515">
        <w:t xml:space="preserve">. </w:t>
      </w:r>
      <w:r>
        <w:t xml:space="preserve">Taylor's management approach, on the other hand, advocates rewarding staff for increased productivity rather than reprimanding them for minor flaws. In contrast to the conventional method. The primary goal of this school of thinking is to maximize employees' potential levels of production. According to Taylor's scientific management theory, "one who is motivated works fully for money," Tesco has implemented an incentive program that offers financial help to its staff to push them to perform better. This is done to compete with other firms offering comparable programs. Tesco goes above and above Taylor's definition of employee support by giving a range of benefits that are targeted to their workers' specific needs and hobbies. Taylor's concept was based on the premise that workers should be allowed to follow their interests outside of work </w:t>
      </w:r>
      <w:r>
        <w:rPr>
          <w:color w:val="222222"/>
          <w:highlight w:val="white"/>
        </w:rPr>
        <w:t>(Evans and Mason, 2018)</w:t>
      </w:r>
      <w:r>
        <w:t xml:space="preserve">. </w:t>
      </w:r>
    </w:p>
    <w:p w14:paraId="0000001D" w14:textId="77777777" w:rsidR="00687770" w:rsidRDefault="00000000">
      <w:r>
        <w:t xml:space="preserve">Tesco puts a great value on open communication channels with its workers and actively encourages them to provide objective feedback. Tesco appreciates the necessity of giving chances for its employees to improve their education since it is such a massive corporation. In the end, this promotes mutual understanding among team members, increases proficiency, and instills pride in </w:t>
      </w:r>
      <w:r>
        <w:lastRenderedPageBreak/>
        <w:t xml:space="preserve">one's work </w:t>
      </w:r>
      <w:r>
        <w:rPr>
          <w:color w:val="222222"/>
          <w:highlight w:val="white"/>
        </w:rPr>
        <w:t>(</w:t>
      </w:r>
      <w:proofErr w:type="spellStart"/>
      <w:r>
        <w:rPr>
          <w:color w:val="222222"/>
          <w:highlight w:val="white"/>
        </w:rPr>
        <w:t>Rosnizam</w:t>
      </w:r>
      <w:proofErr w:type="spellEnd"/>
      <w:r>
        <w:rPr>
          <w:color w:val="222222"/>
          <w:highlight w:val="white"/>
        </w:rPr>
        <w:t xml:space="preserve"> et al, 2020)</w:t>
      </w:r>
      <w:r>
        <w:t>. Tesco conducts staff surveys regularly to get feedback and thoughts on their job. The survey results will give Tesco information that will help them determine what improvements may be done to boost employee happiness. Tesco provides a range of perks to its workers, including paid time off (between four and twelve weeks), job security (the ability to return to work after a leave of absence is guaranteed), and a pension plan, among others (for the future).</w:t>
      </w:r>
    </w:p>
    <w:p w14:paraId="52193E4C" w14:textId="39CF0265" w:rsidR="004A407E" w:rsidRDefault="00000000">
      <w:r>
        <w:t xml:space="preserve">Tesco exhibits its commitment to its workers by offering a variety of benefits designed to increase their sense of well-being while on the job </w:t>
      </w:r>
      <w:r>
        <w:rPr>
          <w:color w:val="222222"/>
          <w:highlight w:val="white"/>
        </w:rPr>
        <w:t>(Wood et al, 2017)</w:t>
      </w:r>
      <w:r>
        <w:t>. Tesco can accomplish these results because it offers its employees a feeling of purpose and success, promotes employment security, and motivates them to give their all while at work.</w:t>
      </w:r>
    </w:p>
    <w:p w14:paraId="0000001F" w14:textId="77777777" w:rsidR="00687770" w:rsidRDefault="00000000">
      <w:pPr>
        <w:pStyle w:val="Heading1"/>
      </w:pPr>
      <w:bookmarkStart w:id="2" w:name="_Toc111580984"/>
      <w:r>
        <w:t>SWOT Analysis of Tesco</w:t>
      </w:r>
      <w:bookmarkEnd w:id="2"/>
      <w:r>
        <w:t xml:space="preserve"> </w:t>
      </w:r>
    </w:p>
    <w:p w14:paraId="00000020" w14:textId="1381FAE2" w:rsidR="00687770" w:rsidRDefault="00000000">
      <w:r>
        <w:t>Tesco is the biggest supermarket retailer in the United Kingdom, with operations in over a dozen countries throughout Europe and Asia. The firm serves both areas. Tesco must do a SWOT analysis to ensure that it will maintain its existing market position and profitability.</w:t>
      </w:r>
      <w:sdt>
        <w:sdtPr>
          <w:id w:val="1831402804"/>
          <w:citation/>
        </w:sdtPr>
        <w:sdtContent>
          <w:r w:rsidR="004A407E">
            <w:fldChar w:fldCharType="begin"/>
          </w:r>
          <w:r w:rsidR="004A407E">
            <w:rPr>
              <w:lang w:val="en-GB"/>
            </w:rPr>
            <w:instrText xml:space="preserve"> CITATION Eva18 \l 2057 </w:instrText>
          </w:r>
          <w:r w:rsidR="004A407E">
            <w:fldChar w:fldCharType="separate"/>
          </w:r>
          <w:r w:rsidR="004A407E">
            <w:rPr>
              <w:noProof/>
              <w:lang w:val="en-GB"/>
            </w:rPr>
            <w:t xml:space="preserve"> </w:t>
          </w:r>
          <w:r w:rsidR="004A407E" w:rsidRPr="004A407E">
            <w:rPr>
              <w:noProof/>
              <w:lang w:val="en-GB"/>
            </w:rPr>
            <w:t>(Evans, 2018)</w:t>
          </w:r>
          <w:r w:rsidR="004A407E">
            <w:fldChar w:fldCharType="end"/>
          </w:r>
        </w:sdtContent>
      </w:sdt>
    </w:p>
    <w:p w14:paraId="00000021" w14:textId="77777777" w:rsidR="00687770" w:rsidRDefault="00000000">
      <w:pPr>
        <w:pStyle w:val="Heading1"/>
      </w:pPr>
      <w:bookmarkStart w:id="3" w:name="_Toc111580985"/>
      <w:r>
        <w:t>Strengths</w:t>
      </w:r>
      <w:bookmarkEnd w:id="3"/>
      <w:r>
        <w:t xml:space="preserve"> </w:t>
      </w:r>
    </w:p>
    <w:p w14:paraId="00000022" w14:textId="77777777" w:rsidR="00687770" w:rsidRDefault="00000000">
      <w:r>
        <w:t xml:space="preserve">Tesco is a well-known brand across the globe, and its goods are extensively utilized in daily life. Tesco is currently the sixth most valuable brand in the UK, valued at $9.2 billion. Customers go to Tesco in great numbers because the firm consistently offers reasonable prices on a wide variety of items. Tesco now has over 7,000 stores located across the United Kingdom. Furthermore, the company has been a trailblazer in the adoption of several novel business ideas, such as the introduction of the Tesco Metro and Tesco Express models. At the time, the shops were opening in suburban and rural areas around the United Kingdom. Tesco can retain its retail market leadership by operating in a diverse variety of global activities. Among these are the building of an e-commerce website and cooperative ventures in nations such as China. Tesco can make bulk purchases because of its market dominance, which allows the company to maintain its product prices competitive </w:t>
      </w:r>
      <w:r>
        <w:rPr>
          <w:color w:val="222222"/>
          <w:highlight w:val="white"/>
        </w:rPr>
        <w:t>(Nguyen et al, 2017)</w:t>
      </w:r>
      <w:r>
        <w:t xml:space="preserve">. Tesco also offers a customer loyalty program called Clubcard to its consumers. Customers may receive incentives that are proportionate to the total </w:t>
      </w:r>
      <w:r>
        <w:lastRenderedPageBreak/>
        <w:t>cash amount as well as the frequency of their purchases via this program. When the time comes, customers may redeem their points for a discount on a future purchase.</w:t>
      </w:r>
    </w:p>
    <w:p w14:paraId="00000023" w14:textId="77777777" w:rsidR="00687770" w:rsidRDefault="00000000">
      <w:pPr>
        <w:pStyle w:val="Heading1"/>
      </w:pPr>
      <w:bookmarkStart w:id="4" w:name="_Toc111580986"/>
      <w:r>
        <w:t>Weaknesses</w:t>
      </w:r>
      <w:bookmarkEnd w:id="4"/>
      <w:r>
        <w:t xml:space="preserve"> </w:t>
      </w:r>
    </w:p>
    <w:p w14:paraId="00000024" w14:textId="77777777" w:rsidR="00687770" w:rsidRDefault="00000000">
      <w:r>
        <w:t>Tesco is one of the largest grocery stores in the United Kingdom, offering a broad range of things outside food and apparel, including home furnishings. Even though they are generally advantageous to the brand, there are some drawbacks to employing them. Tesco was unable to recover from the consequences of bad debt and a high volume of homeowner insurance claims. Tesco even lost money when it attempted to expand into sectors where it had little to no expertise, such as the mobile device industry, which includes items like smartphones and tablets. Rather than focusing simply on cost-cutting measures, Tesco must spend more money on store renovations as well as improved information technology (IT) and web solutions for their online business.</w:t>
      </w:r>
    </w:p>
    <w:p w14:paraId="00000025" w14:textId="77777777" w:rsidR="00687770" w:rsidRDefault="00000000">
      <w:pPr>
        <w:pStyle w:val="Heading1"/>
      </w:pPr>
      <w:bookmarkStart w:id="5" w:name="_Toc111580987"/>
      <w:r>
        <w:t>Opportunities</w:t>
      </w:r>
      <w:bookmarkEnd w:id="5"/>
      <w:r>
        <w:t xml:space="preserve"> </w:t>
      </w:r>
    </w:p>
    <w:p w14:paraId="00000026" w14:textId="77777777" w:rsidR="00687770" w:rsidRDefault="00000000">
      <w:r>
        <w:t>Tesco must investigate several new business opportunities to grow. Tesco has little alternative but to grow its activities in the digital entertainment business since it has already invested 80 percent of its funds in the Blink box. If Tesco invests enough in research and development and offers cutting-edge items at competitive prices, the company's popularity in the smartphone and tablet markets may be lucrative. Tesco also has room for improvement in the area of online purchasing, namely in terms of ensuring that consumers get their purchases in a timelier manner. Tesco must also have a retail presence in emerging markets and economies such as India, Thailand, the Philippines, Turkey, and others.</w:t>
      </w:r>
    </w:p>
    <w:p w14:paraId="00000027" w14:textId="77777777" w:rsidR="00687770" w:rsidRDefault="00000000">
      <w:pPr>
        <w:pStyle w:val="Heading1"/>
      </w:pPr>
      <w:bookmarkStart w:id="6" w:name="_Toc111580988"/>
      <w:r>
        <w:t>Threats</w:t>
      </w:r>
      <w:bookmarkEnd w:id="6"/>
      <w:r>
        <w:t xml:space="preserve"> </w:t>
      </w:r>
    </w:p>
    <w:p w14:paraId="00000028" w14:textId="77777777" w:rsidR="00687770" w:rsidRDefault="00000000">
      <w:r>
        <w:t>Tesco is the market leader, but it is up against several other corporations in the sector. Tesco faces stiff competition from competing supermarkets such as Walmart and Asda. Tesco is losing consumers in the United Kingdom as a direct result of Walmart's aggressive marketing strategies. Tesco is a possible rival for Walmart, but Walmart has the resources, cash on hand, investors, and management to eliminate Tesco as a threat</w:t>
      </w:r>
      <w:r>
        <w:rPr>
          <w:color w:val="222222"/>
          <w:highlight w:val="white"/>
        </w:rPr>
        <w:t xml:space="preserve"> (Malik, 2015)</w:t>
      </w:r>
      <w:r>
        <w:t>.</w:t>
      </w:r>
    </w:p>
    <w:p w14:paraId="00000029" w14:textId="5DEEA3D8" w:rsidR="00687770" w:rsidRDefault="002547FE">
      <w:pPr>
        <w:pStyle w:val="Heading1"/>
      </w:pPr>
      <w:bookmarkStart w:id="7" w:name="_Toc111580989"/>
      <w:r>
        <w:lastRenderedPageBreak/>
        <w:t>Organization Culture and its impact</w:t>
      </w:r>
      <w:bookmarkEnd w:id="7"/>
      <w:r>
        <w:t xml:space="preserve"> </w:t>
      </w:r>
    </w:p>
    <w:p w14:paraId="0000002A" w14:textId="2D20E4EB" w:rsidR="00687770" w:rsidRDefault="00000000">
      <w:r>
        <w:t>Tesco's culture has an impact on both internal operations and relations with the outside world. An organization's culture is critical in defining the feeling that pervades the workplace. Employees who make their job more pleasurable may see a boost in productivity. Tesco's senior management puts a great priority on the organization's environment and culture to boost staff morale and productivity. Once a plan of action has been devised, the resources and components needed to successfully manage the function should be brought together and structured in line with the company's goals and objectives. All you need is to be directed in the appropriate direction to comprehend how the operation is carried out. To display leadership, you must make an effort to help the other members of your team do their jobs effectively. A competent captain is capable of carrying out the ship's purpose and vision via effective management. They can look into the future and forecast the effects of certain actions. This method, in addition to being very important, has the potential to save money while improving productivity. despite the fact that the link between them is not clear. The primary goal of this leadership style is to improve the feeling of togetherness and productivity that prevails among team members. Because of the way this company is run, every employee has the opportunity to contribute their ideas and views on important issues, as well as the right to have their voices heard. Any employee may openly voice their opinion on any initiatives or tasks related to operational management. Assuming that dedicated workers value their roles as the company's ambassadors to customers is an excellent way to boost morale and productivity. This is because devoted employees are the ones that connect directly with clients. One of Taylor's scientific management theories' weaknesses is that, as Tesco discovered, offering financial support to all of an organization's workers may have a considerable influence on the operational budget. This is simply one of the numerous flaws in Taylor's ideas. Workers who return to Tesco after a vacation are more likely to be negligent about their jobs and to want to take advantage of the company's excellent benefits. Employees who take a lengthy vacation before returning to work are less likely to perform well.</w:t>
      </w:r>
      <w:sdt>
        <w:sdtPr>
          <w:id w:val="61533014"/>
          <w:citation/>
        </w:sdtPr>
        <w:sdtContent>
          <w:r w:rsidR="00CA7E95">
            <w:fldChar w:fldCharType="begin"/>
          </w:r>
          <w:r w:rsidR="00CA7E95">
            <w:rPr>
              <w:lang w:val="en-GB"/>
            </w:rPr>
            <w:instrText xml:space="preserve"> CITATION Ros20 \l 2057 </w:instrText>
          </w:r>
          <w:r w:rsidR="00CA7E95">
            <w:fldChar w:fldCharType="separate"/>
          </w:r>
          <w:r w:rsidR="00CA7E95">
            <w:rPr>
              <w:noProof/>
              <w:lang w:val="en-GB"/>
            </w:rPr>
            <w:t xml:space="preserve"> </w:t>
          </w:r>
          <w:r w:rsidR="00CA7E95" w:rsidRPr="00CA7E95">
            <w:rPr>
              <w:noProof/>
              <w:lang w:val="en-GB"/>
            </w:rPr>
            <w:t>(Rosnizam, 2020)</w:t>
          </w:r>
          <w:r w:rsidR="00CA7E95">
            <w:fldChar w:fldCharType="end"/>
          </w:r>
        </w:sdtContent>
      </w:sdt>
    </w:p>
    <w:p w14:paraId="3518A527" w14:textId="0D848AA9" w:rsidR="0009047F" w:rsidRDefault="0009047F"/>
    <w:p w14:paraId="0000002B" w14:textId="77777777" w:rsidR="00687770" w:rsidRDefault="00000000">
      <w:pPr>
        <w:pStyle w:val="Heading1"/>
      </w:pPr>
      <w:bookmarkStart w:id="8" w:name="_Toc111580990"/>
      <w:r>
        <w:lastRenderedPageBreak/>
        <w:t>Herzberg's motivation-hygiene theory</w:t>
      </w:r>
      <w:bookmarkEnd w:id="8"/>
      <w:r>
        <w:t xml:space="preserve"> </w:t>
      </w:r>
    </w:p>
    <w:p w14:paraId="0000002C" w14:textId="77777777" w:rsidR="00687770" w:rsidRDefault="00000000">
      <w:r>
        <w:t xml:space="preserve">Tesco should apply the two-factor theory of motivation to encourage its staff. It is feasible that with the help of this concept, open lines of communication and a collaborative working atmosphere may be developed, leading to an increase in worker motivation and agency. A Tesco employee, for example, may have some say on which items are served in the restaurant's diner. As a result, Tesco staff are encouraged to make choices that benefit the company's in-house dining options </w:t>
      </w:r>
      <w:r>
        <w:rPr>
          <w:color w:val="222222"/>
          <w:highlight w:val="white"/>
        </w:rPr>
        <w:t>(</w:t>
      </w:r>
      <w:proofErr w:type="spellStart"/>
      <w:r>
        <w:rPr>
          <w:color w:val="222222"/>
          <w:highlight w:val="white"/>
        </w:rPr>
        <w:t>Foabeh</w:t>
      </w:r>
      <w:proofErr w:type="spellEnd"/>
      <w:r>
        <w:rPr>
          <w:color w:val="222222"/>
          <w:highlight w:val="white"/>
        </w:rPr>
        <w:t xml:space="preserve"> and </w:t>
      </w:r>
      <w:proofErr w:type="spellStart"/>
      <w:r>
        <w:rPr>
          <w:color w:val="222222"/>
          <w:highlight w:val="white"/>
        </w:rPr>
        <w:t>Achaleke</w:t>
      </w:r>
      <w:proofErr w:type="spellEnd"/>
      <w:r>
        <w:rPr>
          <w:color w:val="222222"/>
          <w:highlight w:val="white"/>
        </w:rPr>
        <w:t>, 2020).</w:t>
      </w:r>
      <w:r>
        <w:t xml:space="preserve"> As a result, Tesco acknowledges that all workers attain their maximum potential, and we have the chance to utilize it at an extraordinarily high level while also feeling job pleasure as a direct result of the firm's constant development and excellent reputation. Line managers feel that knowing concept theory is critical to appropriately inspire their employees and achieve the maximum potential output. However, when frontline leaders do not exercise command and control over their people, the efficacy of incentives is diminished.</w:t>
      </w:r>
    </w:p>
    <w:p w14:paraId="0000002D" w14:textId="77777777" w:rsidR="00687770" w:rsidRDefault="00000000">
      <w:pPr>
        <w:pStyle w:val="Heading1"/>
      </w:pPr>
      <w:bookmarkStart w:id="9" w:name="_Toc111580991"/>
      <w:r>
        <w:t>Impact of management theories</w:t>
      </w:r>
      <w:bookmarkEnd w:id="9"/>
      <w:r>
        <w:t xml:space="preserve"> </w:t>
      </w:r>
    </w:p>
    <w:p w14:paraId="0000002E" w14:textId="77777777" w:rsidR="00687770" w:rsidRDefault="00000000">
      <w:r>
        <w:t xml:space="preserve">Managers are given knowledge of the inner workings of firms like Tesco, such as the firm's aims and objectives, as well as the hours that the company is open, so that they may manage their workers' work more successfully. This paves the way for enhanced manager-employee communication, the utilization of workers' specialized knowledge and services, the adoption of a more rational approach to work, and the creation of higher levels of employee motivation. In this case, personal observation and conversation with the other members of your group will be your greatest alternatives. The key to fulfilling one's aims and gaining success is to develop a well-respected, widely distributed faith-based organization with a culture backed by strategy and structure. Employees understand what management is looking for, are confident that the answer they are expected to provide is accurate, and comprehend how their efforts contribute to the firm's value in a well-functioning workplace. It is critical for the company's culture to attract and retain individuals who have the right mindset to prosper in the setting </w:t>
      </w:r>
      <w:r>
        <w:rPr>
          <w:color w:val="222222"/>
          <w:highlight w:val="white"/>
        </w:rPr>
        <w:t>(Jenkins and Williamson, 2015).</w:t>
      </w:r>
      <w:r>
        <w:t xml:space="preserve"> The human resources department creates a program of education, training, and performance management for the firm to build and strengthen the organization's essential principles. Following that, the department recognizes and promotes employees in ways that represent these principles. The standards of conduct expected of an organization's members are determined by its culture. </w:t>
      </w:r>
      <w:r>
        <w:lastRenderedPageBreak/>
        <w:t>How management creates, communicates, and enforces a set of values and standards influences how employees think and behave. In a planning culture, the entity performing the planning creates every antecedent. There is no one cultural model that can fully capture all of the probable situations since there are so many diverse domains and contexts. Individuals with inadequate leadership and organizational skills will certainly emerge from an inefficient culture. Workers are now being rescued. A high employee turnover rate, strained customer relationships, and low profitability are just a few of the negative effects that a bad culture may have on a company's financial performance. Mergers and acquisitions may cause cultural clashes and misunderstandings. It is not impossible for a culture that is presently working correctly to decline into one that is not once a merger is completed. According to recent research, cultural differences are to blame for two-thirds of all merger failures. Bringing together people from varied ethnic and socioeconomic backgrounds to create their traditions, work through difficulties, and lay the framework for the future</w:t>
      </w:r>
      <w:r>
        <w:rPr>
          <w:color w:val="222222"/>
          <w:highlight w:val="white"/>
        </w:rPr>
        <w:t xml:space="preserve"> (Reilly, 2015)</w:t>
      </w:r>
      <w:r>
        <w:t xml:space="preserve">. The present approach to organizational integration evolved as a direct consequence of the quick speed at which previous mergers and acquisitions were executed. The accomplishment of certain financial objectives, rather than the blending of two distinct cultures, is now the major focus of the merger. A company's culture may be expressed to the outside world via various channels, including leadership styles, communication strategies, corporate events, and press conferences. Given the large number of components that go into each one, it should come as no surprise that there is such a diverse lexicon used to distinguish cultures. When trying to characterize a culture, concepts such as "customer-focused entrepreneurial innovation," "entertainment," "ethics," "research," "technology," "processes," "layers," "family," and "adventure" are often utilized. Corporate cultures aren't all that different from one another. Many times, distribution-related groups, such as those concerned with health and safety, make significant contributions to society as a whole. Many private-sector enterprises, for example, have shown a strong desire to expand their operations and increase their profitability. The majority of the proposals are actionable, and the group works together to develop these suggestions further. Because the bulk of them are protohemin and lazy, they are motivated by the success of their enterprises and the profit they produce. Every person is a unique individual with their own set of beliefs, goals, habits, and perspectives on life. This study examines Taylor's scientific management theory as well as Herzberg's idea of motivational hygiene. Both of these ideas are management-related. Each of these possibilities might have a favorable or negative impact on the firm's image. </w:t>
      </w:r>
      <w:r>
        <w:lastRenderedPageBreak/>
        <w:t>Each person has a unique set of experiences and beliefs that may or may not be favorable to the brand, just as every theory has both good and bad components. This study offered data that supported Taylor's scientific argument by focusing light on the importance of intrinsic incentives inside organizations. According to Taylor's idea, if a business prioritizes having happy people in its workforce, it may have to accept a financial loss. The Herzberg hypothesis, on the other hand, categorizes work experiences as either positive or negative, and it advocates the concept that workers should be allowed greater autonomy on the job.</w:t>
      </w:r>
    </w:p>
    <w:p w14:paraId="0000002F" w14:textId="77777777" w:rsidR="00687770" w:rsidRDefault="00000000">
      <w:pPr>
        <w:pStyle w:val="Heading1"/>
      </w:pPr>
      <w:bookmarkStart w:id="10" w:name="_Toc111580992"/>
      <w:r>
        <w:t>Recommendations</w:t>
      </w:r>
      <w:bookmarkEnd w:id="10"/>
    </w:p>
    <w:p w14:paraId="00000030" w14:textId="77777777" w:rsidR="00687770" w:rsidRDefault="00000000">
      <w:r>
        <w:t>COVID-19 is the first of its type, and as Tesco's Chief Financial Officer Alan Stewart put it, "a mission unlike any other." Stewart claims that as a result of the pandemic, "our business altered more in the two months that followed than it had in the previous 10 years." The effects of the increased workload were felt by all of our teams, and I must say that I am very impressed at how swiftly and selflessly our employees came together to put our customers first. Tesco's finance department personnel worked together with their colleagues to expedite the implementation of important operational changes, which was a vital component of the company's swift reaction to the crisis. In April, the company made history by being the first retailer in the United Kingdom to fulfill one million online grocery orders in a single week. This was made feasible by more than doubling the company's capacity for online food purchasing</w:t>
      </w:r>
      <w:r>
        <w:rPr>
          <w:color w:val="222222"/>
          <w:highlight w:val="white"/>
        </w:rPr>
        <w:t xml:space="preserve"> (Haddock-Millar and Rigby, 2015)</w:t>
      </w:r>
      <w:r>
        <w:t>. Tesco boosted its present personnel in its stores, warehouses, and on the road by employing about 50,000 temporary workers during the height of the crisis. Tesco's finance department, on the other hand, wasn't only working behind the scenes. Members of the group also proceeded to inspect the factory floor.</w:t>
      </w:r>
    </w:p>
    <w:p w14:paraId="00000031" w14:textId="77777777" w:rsidR="00687770" w:rsidRDefault="00000000">
      <w:pPr>
        <w:spacing w:line="276" w:lineRule="auto"/>
        <w:jc w:val="left"/>
        <w:rPr>
          <w:b/>
          <w:sz w:val="28"/>
          <w:szCs w:val="28"/>
        </w:rPr>
      </w:pPr>
      <w:r>
        <w:br w:type="page"/>
      </w:r>
    </w:p>
    <w:p w14:paraId="00000032" w14:textId="77777777" w:rsidR="00687770" w:rsidRDefault="00000000">
      <w:pPr>
        <w:pStyle w:val="Heading1"/>
      </w:pPr>
      <w:bookmarkStart w:id="11" w:name="_Toc111580993"/>
      <w:r>
        <w:lastRenderedPageBreak/>
        <w:t>Conclusion</w:t>
      </w:r>
      <w:bookmarkEnd w:id="11"/>
      <w:r>
        <w:t xml:space="preserve"> </w:t>
      </w:r>
    </w:p>
    <w:p w14:paraId="00000033" w14:textId="77777777" w:rsidR="00687770" w:rsidRDefault="00000000">
      <w:r>
        <w:t>Last but not least, several motivation theories may teach you how to be satisfied with your work while simultaneously maintaining a pleasant attitude toward your boss. There are many things you can do to help Tesco realize the full potential of its employees. Employees who are opposed to salary increases and promotions. At the same time, negative repercussions are extremely obvious. This demonstrates that a failure to inspire employees to meet even the most basic requirements established by the organization is the core cause of low morale and quality in the workplace. By discussing the role that getting information from these concepts should play in gaining workers' trust and enhancing their job happiness. Tesco is dedicated to creating a pleasant working environment for its employees, and it expresses its thanks to those individuals by recognizing and acknowledging the contributions they have made to the company's success. Tesco's ability to achieve long-term success in the food retailing market is based on all of these variables.</w:t>
      </w:r>
    </w:p>
    <w:p w14:paraId="00000034" w14:textId="77777777" w:rsidR="00687770" w:rsidRDefault="00687770">
      <w:pPr>
        <w:rPr>
          <w:b/>
        </w:rPr>
      </w:pPr>
    </w:p>
    <w:p w14:paraId="00000035" w14:textId="77777777" w:rsidR="00687770" w:rsidRDefault="00000000">
      <w:pPr>
        <w:spacing w:line="276" w:lineRule="auto"/>
        <w:jc w:val="left"/>
        <w:rPr>
          <w:b/>
          <w:sz w:val="28"/>
          <w:szCs w:val="28"/>
        </w:rPr>
      </w:pPr>
      <w:r>
        <w:br w:type="page"/>
      </w:r>
    </w:p>
    <w:p w14:paraId="30A069A9" w14:textId="77777777" w:rsidR="002547FE" w:rsidRDefault="002547FE" w:rsidP="002547FE">
      <w:pPr>
        <w:jc w:val="center"/>
      </w:pPr>
    </w:p>
    <w:p w14:paraId="0028035E" w14:textId="70EC44AF" w:rsidR="002547FE" w:rsidRDefault="002547FE" w:rsidP="002547FE">
      <w:pPr>
        <w:jc w:val="center"/>
        <w:rPr>
          <w:b/>
          <w:sz w:val="44"/>
          <w:szCs w:val="44"/>
        </w:rPr>
      </w:pPr>
      <w:r w:rsidRPr="0061705D">
        <w:rPr>
          <w:b/>
          <w:sz w:val="44"/>
          <w:szCs w:val="44"/>
        </w:rPr>
        <w:t>Part 2</w:t>
      </w:r>
    </w:p>
    <w:p w14:paraId="3313F2DF" w14:textId="1F59343F" w:rsidR="0061705D" w:rsidRDefault="0061705D" w:rsidP="002547FE">
      <w:pPr>
        <w:jc w:val="center"/>
        <w:rPr>
          <w:b/>
          <w:sz w:val="44"/>
          <w:szCs w:val="44"/>
        </w:rPr>
      </w:pPr>
    </w:p>
    <w:p w14:paraId="3C36298E" w14:textId="2EF32936" w:rsidR="0061705D" w:rsidRPr="0061705D" w:rsidRDefault="0061705D" w:rsidP="002547FE">
      <w:pPr>
        <w:jc w:val="center"/>
        <w:rPr>
          <w:b/>
          <w:sz w:val="44"/>
          <w:szCs w:val="44"/>
        </w:rPr>
      </w:pPr>
      <w:r>
        <w:rPr>
          <w:b/>
          <w:sz w:val="44"/>
          <w:szCs w:val="44"/>
        </w:rPr>
        <w:t>Reflective Journal</w:t>
      </w:r>
    </w:p>
    <w:p w14:paraId="1A15CC65" w14:textId="77777777" w:rsidR="002547FE" w:rsidRDefault="002547FE" w:rsidP="002547FE">
      <w:pPr>
        <w:jc w:val="center"/>
        <w:rPr>
          <w:b/>
        </w:rPr>
      </w:pPr>
      <w:r>
        <w:br w:type="page"/>
      </w:r>
    </w:p>
    <w:p w14:paraId="514F0EB7" w14:textId="77777777" w:rsidR="002547FE" w:rsidRDefault="002547FE" w:rsidP="002547FE">
      <w:pPr>
        <w:rPr>
          <w:b/>
        </w:rPr>
      </w:pPr>
      <w:r>
        <w:rPr>
          <w:b/>
        </w:rPr>
        <w:lastRenderedPageBreak/>
        <w:t>Week-1</w:t>
      </w:r>
    </w:p>
    <w:p w14:paraId="60F46A63" w14:textId="77777777" w:rsidR="002547FE" w:rsidRDefault="002547FE" w:rsidP="002547FE">
      <w:pPr>
        <w:spacing w:after="220"/>
      </w:pPr>
      <w:r>
        <w:t>My background does not contain much expertise in change management. According to what I've learned so far in this session, the process of reforming firms seems to be complex. According to studies, change leaders who can connect with their audiences on an emotional level are more successful than those who can just convince them with logic. In addition, I now have a greater awareness of the need of dealing with the inevitable conflicts that arise between functional operations and top-down reform attempts. People generally agree that change management is difficult, but they disagree on which elements have the greatest effect. In a range of scientific papers and case studies, a number of qualities have been identified as needed for a successful transition.</w:t>
      </w:r>
    </w:p>
    <w:p w14:paraId="760707ED" w14:textId="5DE56520" w:rsidR="00CF6F64" w:rsidRDefault="002547FE" w:rsidP="002547FE">
      <w:pPr>
        <w:spacing w:after="220"/>
      </w:pPr>
      <w:r>
        <w:t>Management Theoretical Perspectives Management theory may be advantageous to newly formed businesses. It investigates the connections that managers and leaders form with their various organizations based on their understanding of those organizations' goals</w:t>
      </w:r>
      <w:r>
        <w:rPr>
          <w:color w:val="222222"/>
          <w:highlight w:val="white"/>
        </w:rPr>
        <w:t xml:space="preserve"> (Lovelace et al, 2016)</w:t>
      </w:r>
      <w:r>
        <w:t>. It teaches its workers how to set objectives and then pays them for achieving those goals after they have been set. Having an operational plan, being in charge of monitoring new advancements, and having control over the production process are the three pillars of management theory.</w:t>
      </w:r>
      <w:sdt>
        <w:sdtPr>
          <w:id w:val="1558053543"/>
          <w:citation/>
        </w:sdtPr>
        <w:sdtContent>
          <w:r w:rsidR="00CF6F64">
            <w:fldChar w:fldCharType="begin"/>
          </w:r>
          <w:r w:rsidR="00CF6F64">
            <w:rPr>
              <w:lang w:val="en-GB"/>
            </w:rPr>
            <w:instrText xml:space="preserve"> CITATION Ism20 \l 2057 </w:instrText>
          </w:r>
          <w:r w:rsidR="00CF6F64">
            <w:fldChar w:fldCharType="separate"/>
          </w:r>
          <w:r w:rsidR="00CF6F64">
            <w:rPr>
              <w:noProof/>
              <w:lang w:val="en-GB"/>
            </w:rPr>
            <w:t xml:space="preserve"> </w:t>
          </w:r>
          <w:r w:rsidR="00CF6F64" w:rsidRPr="00CF6F64">
            <w:rPr>
              <w:noProof/>
              <w:lang w:val="en-GB"/>
            </w:rPr>
            <w:t>(Widodo, 2020)</w:t>
          </w:r>
          <w:r w:rsidR="00CF6F64">
            <w:fldChar w:fldCharType="end"/>
          </w:r>
        </w:sdtContent>
      </w:sdt>
    </w:p>
    <w:p w14:paraId="392C7432" w14:textId="77777777" w:rsidR="002547FE" w:rsidRDefault="002547FE" w:rsidP="002547FE">
      <w:pPr>
        <w:rPr>
          <w:b/>
        </w:rPr>
      </w:pPr>
      <w:r>
        <w:rPr>
          <w:b/>
        </w:rPr>
        <w:t>Week-2</w:t>
      </w:r>
    </w:p>
    <w:p w14:paraId="797285BE" w14:textId="77777777" w:rsidR="002547FE" w:rsidRDefault="002547FE" w:rsidP="002547FE">
      <w:pPr>
        <w:spacing w:after="200"/>
      </w:pPr>
      <w:r>
        <w:t>This study will define values, organizations, and organizational values before delving into the origins of organizational values and the influence those values have had on organizational practices and policies. We will examine the advantages and disadvantages of several organizational theories. In this session, we will look at human resource strategies for long-term success, with a specific emphasis on measures for maintaining and developing key personnel and encouraging them to stay with the firm. Finally, this essay will illustrate why it is critical to have critical employees on hand and how to do it efficiently.</w:t>
      </w:r>
    </w:p>
    <w:p w14:paraId="3981B339" w14:textId="77777777" w:rsidR="002547FE" w:rsidRDefault="002547FE" w:rsidP="002547FE">
      <w:pPr>
        <w:spacing w:after="200"/>
      </w:pPr>
      <w:r>
        <w:t xml:space="preserve">The first topics addressed in this article are facts that have been found to be true regarding human behavior, organizational behavior, and organizational structure. Personality insights help people better understand themselves and plan for the future by exposing how their attributes influence their behavior. It is useful to be able to predict how much a person's interpersonal traits will contribute to the effective functioning of a team. Second, the structure, workers, and other </w:t>
      </w:r>
      <w:r>
        <w:lastRenderedPageBreak/>
        <w:t>characteristics of a corporation have an influence on workplace behavior as well as interpersonal relationships. This article explains how a greater knowledge of human and organizational behavior may lead to better relationships among employees, coworkers, and supervisors. As a result, this essay indicates that enhanced relationships among employees, colleagues and supervisors are possible. Despite the fact that the results of the leadership and cooperation section revealed that I am more task-oriented than people-oriented, I believe I am an adaptable and situational leader capable of striking a good balance between people and tasks</w:t>
      </w:r>
      <w:r>
        <w:rPr>
          <w:color w:val="222222"/>
          <w:highlight w:val="white"/>
        </w:rPr>
        <w:t xml:space="preserve"> (</w:t>
      </w:r>
      <w:proofErr w:type="spellStart"/>
      <w:r>
        <w:rPr>
          <w:color w:val="222222"/>
          <w:highlight w:val="white"/>
        </w:rPr>
        <w:t>Zuriguel</w:t>
      </w:r>
      <w:proofErr w:type="spellEnd"/>
      <w:r>
        <w:rPr>
          <w:color w:val="222222"/>
          <w:highlight w:val="white"/>
        </w:rPr>
        <w:t xml:space="preserve"> Perez et al, 2015)</w:t>
      </w:r>
      <w:r>
        <w:t>. Behavioral theorists like Hersey and Kenneth Blanchard suggest that the ideal technique exert leadership varies depending on the context, not just on the tasks at hand but also on the individuals involved.</w:t>
      </w:r>
    </w:p>
    <w:p w14:paraId="3FC56C72" w14:textId="77777777" w:rsidR="002547FE" w:rsidRDefault="002547FE" w:rsidP="002547FE">
      <w:pPr>
        <w:rPr>
          <w:b/>
        </w:rPr>
      </w:pPr>
      <w:r>
        <w:rPr>
          <w:b/>
        </w:rPr>
        <w:t>Week-3</w:t>
      </w:r>
    </w:p>
    <w:p w14:paraId="13DE29FB" w14:textId="77777777" w:rsidR="002547FE" w:rsidRDefault="002547FE" w:rsidP="002547FE">
      <w:r>
        <w:t>The course covered a wide range of subjects, but the critical thinking component was the most interesting to me. Before forming an opinion or reaching a conclusion, one needs to participate in this kind of cognition, which requires doing an extensive study of subjects, theories, and events. Developing this skill requires time and effort investment. If I were to be honest with myself, I would conclude that I am the kind of person who is reluctant to consider the viewpoints of others. Because I'm a creative person, I often allow my emotions and vanity to cloud my judgment.</w:t>
      </w:r>
    </w:p>
    <w:p w14:paraId="4CFD507C" w14:textId="77777777" w:rsidR="002547FE" w:rsidRDefault="002547FE" w:rsidP="002547FE">
      <w:r>
        <w:t>Critical reflection is the act of reflecting on what one has learnt, assessing why what worked and what didn't work, and generating judgments about how to better oneself in the future. Because it entails looking back, understanding the causes, and making conclusions, reflection is a powerful learning technique. To me, the process of writing this reflection is an opportunity to go deeper into my ideas and approach to learning, as well as to go beyond a cursory comprehension of the issue at hand. Furthermore, the topic of mathematics, as well as the discipline of finance, may benefit from the use of critical thinking. I feel that a person's capacity to think critically is one of the most important aspects to examine when deciding whether or not they have a firm grip on a topic. For example, if I'm learning a new mathematical idea or formula, I may use rote memory and repetition to conduct calculations and explain the principles. On the other hand, if I employ critical thinking, I can explain why a formula works and even trace the procedures involved in establishing a formula. This is because critical thinking helps me to explain why a formula works and why it works. Not only am I capable of coming up with a solution, but I am also capable of explaining the mental process that led to it.</w:t>
      </w:r>
    </w:p>
    <w:p w14:paraId="2D0577C5" w14:textId="77777777" w:rsidR="002547FE" w:rsidRDefault="002547FE" w:rsidP="002547FE"/>
    <w:p w14:paraId="45D0886C" w14:textId="77777777" w:rsidR="002547FE" w:rsidRDefault="002547FE" w:rsidP="002547FE">
      <w:pPr>
        <w:rPr>
          <w:b/>
        </w:rPr>
      </w:pPr>
      <w:r>
        <w:rPr>
          <w:b/>
        </w:rPr>
        <w:t>Week-4</w:t>
      </w:r>
    </w:p>
    <w:p w14:paraId="6C0E787D" w14:textId="77777777" w:rsidR="002547FE" w:rsidRDefault="002547FE" w:rsidP="002547FE">
      <w:pPr>
        <w:shd w:val="clear" w:color="auto" w:fill="FFFFFF"/>
        <w:spacing w:after="160"/>
      </w:pPr>
      <w:r>
        <w:t>Choices, both major and little, must be made on a daily basis in the business world, and a variety of circumstances might possibly affect those decisions. Leaders are being compelled by current events to adapt to changing situations and make difficult choices in order to maintain their competitive advantage and remain ahead of the pack. The general environment and the task environment are two major environmental variables that may influence a firm's actions. The environment in which a firm works, whether on an international, national, or regional size, may have an impact on it on a macro level. Despite the fact that the task environment has no direct impact on day-to-day corporate operations, it has an impact on businesses. These many contexts are explored in business articles, which give concrete instances of how market forces affect firms and how such organizations must adapt in order to remain competitive in the contemporary economy.</w:t>
      </w:r>
    </w:p>
    <w:p w14:paraId="02314AC6" w14:textId="77777777" w:rsidR="002547FE" w:rsidRDefault="002547FE" w:rsidP="002547FE">
      <w:pPr>
        <w:shd w:val="clear" w:color="auto" w:fill="FFFFFF"/>
        <w:spacing w:after="160"/>
      </w:pPr>
      <w:r>
        <w:t xml:space="preserve">The ability of a corporation to perceive opportunities within its industry and seize those opportunities in order to acquire a competitive advantage is crucial to the organization's success </w:t>
      </w:r>
      <w:r>
        <w:rPr>
          <w:color w:val="222222"/>
          <w:highlight w:val="white"/>
        </w:rPr>
        <w:t>(</w:t>
      </w:r>
      <w:proofErr w:type="spellStart"/>
      <w:r>
        <w:rPr>
          <w:color w:val="222222"/>
          <w:highlight w:val="white"/>
        </w:rPr>
        <w:t>Changwong</w:t>
      </w:r>
      <w:proofErr w:type="spellEnd"/>
      <w:r>
        <w:rPr>
          <w:color w:val="222222"/>
          <w:highlight w:val="white"/>
        </w:rPr>
        <w:t xml:space="preserve"> et al, 2018)</w:t>
      </w:r>
      <w:r>
        <w:t>. Furthermore, it has the ability to increase an organization's efficiency. Companies that constantly monitor their environments and adjust their business practices in response to those observations not only have a higher chance of improving their overall performance but also have a higher chance of remaining at the forefront of their industry for a significantly longer period of time. Environmental knowledge may assist an organization to enhance its image by showing that it is aware of the environment in which it works. This sensitivity may aid the company's success.</w:t>
      </w:r>
    </w:p>
    <w:p w14:paraId="380E4F0B" w14:textId="77777777" w:rsidR="002547FE" w:rsidRDefault="002547FE" w:rsidP="002547FE">
      <w:pPr>
        <w:rPr>
          <w:b/>
        </w:rPr>
      </w:pPr>
      <w:r>
        <w:rPr>
          <w:b/>
        </w:rPr>
        <w:t>Week-5</w:t>
      </w:r>
    </w:p>
    <w:p w14:paraId="17FB2CEC" w14:textId="77777777" w:rsidR="002547FE" w:rsidRDefault="002547FE" w:rsidP="002547FE">
      <w:pPr>
        <w:shd w:val="clear" w:color="auto" w:fill="FFFFFF"/>
        <w:spacing w:after="360"/>
      </w:pPr>
      <w:r>
        <w:t>The six thinking hats are a method of dividing a product development team into smaller groups known as sub teams (the white hat group, the red hat group, etc.). Every subgroup examines the product through the lens of their own hat, whether it's the logical elements, the emotional aspects, or something entirely different. This enables easier and more effective cooperation among subgroups, which can then potentially reassemble with better results.</w:t>
      </w:r>
    </w:p>
    <w:p w14:paraId="19F70EA3" w14:textId="77777777" w:rsidR="002547FE" w:rsidRDefault="002547FE" w:rsidP="002547FE">
      <w:pPr>
        <w:shd w:val="clear" w:color="auto" w:fill="FFFFFF"/>
        <w:spacing w:after="360"/>
      </w:pPr>
      <w:r>
        <w:lastRenderedPageBreak/>
        <w:t>Dr. Edward de Bono, a well-known psychologist, invented and popularized the notion of the "six thinking hats" in 1985. The author's desire to provide a framework for creative thought, which may produce conflict in a group, spurred the idea for the book and eventually led to its production</w:t>
      </w:r>
      <w:r>
        <w:rPr>
          <w:color w:val="222222"/>
          <w:highlight w:val="white"/>
        </w:rPr>
        <w:t xml:space="preserve"> (</w:t>
      </w:r>
      <w:proofErr w:type="spellStart"/>
      <w:r>
        <w:rPr>
          <w:color w:val="222222"/>
          <w:highlight w:val="white"/>
        </w:rPr>
        <w:t>Nold</w:t>
      </w:r>
      <w:proofErr w:type="spellEnd"/>
      <w:r>
        <w:rPr>
          <w:color w:val="222222"/>
          <w:highlight w:val="white"/>
        </w:rPr>
        <w:t>, 2017)</w:t>
      </w:r>
      <w:r>
        <w:t>.</w:t>
      </w:r>
    </w:p>
    <w:p w14:paraId="35F93FD5" w14:textId="77777777" w:rsidR="002547FE" w:rsidRDefault="002547FE" w:rsidP="002547FE">
      <w:pPr>
        <w:shd w:val="clear" w:color="auto" w:fill="FFFFFF"/>
        <w:spacing w:after="360"/>
      </w:pPr>
      <w:r>
        <w:t>Using the "Six Thinking Hats" strategy might be quite beneficial to the decision-making process. This practice increases the participants' level of attention while also making it simpler for them to engage in the debate by using an organized parallel thinking process.</w:t>
      </w:r>
    </w:p>
    <w:p w14:paraId="3612A632" w14:textId="77777777" w:rsidR="002547FE" w:rsidRDefault="002547FE" w:rsidP="002547FE">
      <w:pPr>
        <w:shd w:val="clear" w:color="auto" w:fill="FFFFFF"/>
        <w:spacing w:after="360"/>
      </w:pPr>
      <w:r>
        <w:t xml:space="preserve">This method may be used to accomplish a wide range of tasks, whether done alone or collectively. </w:t>
      </w:r>
    </w:p>
    <w:p w14:paraId="047EA183" w14:textId="77777777" w:rsidR="002547FE" w:rsidRDefault="002547FE" w:rsidP="002547FE">
      <w:pPr>
        <w:rPr>
          <w:b/>
        </w:rPr>
      </w:pPr>
      <w:r>
        <w:rPr>
          <w:b/>
        </w:rPr>
        <w:t>Week-6</w:t>
      </w:r>
    </w:p>
    <w:p w14:paraId="0906CDCC" w14:textId="77777777" w:rsidR="002547FE" w:rsidRDefault="002547FE" w:rsidP="002547FE">
      <w:pPr>
        <w:shd w:val="clear" w:color="auto" w:fill="FFFFFF"/>
        <w:spacing w:after="360"/>
      </w:pPr>
      <w:r>
        <w:t>The goal of participating in critical thinking exercises is to improve one's ability to analyze several possibilities and make a decision from among them. Making sense of the world and your place in it requires the application of mental talents such as logic, imagination, and thinking.</w:t>
      </w:r>
    </w:p>
    <w:p w14:paraId="6511CF38" w14:textId="77777777" w:rsidR="002547FE" w:rsidRDefault="002547FE" w:rsidP="002547FE">
      <w:pPr>
        <w:shd w:val="clear" w:color="auto" w:fill="FFFFFF"/>
        <w:spacing w:after="360"/>
      </w:pPr>
      <w:r>
        <w:t>This description may seem to be vague, but that is because critical thinking is a flexible talent that can be used in a broad range of situations. It is likely that its usage will help with job interviews, time management, product selection, and a variety of other tasks.</w:t>
      </w:r>
    </w:p>
    <w:p w14:paraId="77477573" w14:textId="77777777" w:rsidR="002547FE" w:rsidRDefault="002547FE" w:rsidP="002547FE">
      <w:pPr>
        <w:shd w:val="clear" w:color="auto" w:fill="FFFFFF"/>
        <w:spacing w:after="360"/>
      </w:pPr>
      <w:r>
        <w:t>A human's mind is always engaged in some action. We have no choice but to suffer through it. However, not all of it can be deemed critical thinking. No one can sustain continuous critical thinking because it would be exhausting. Instead, it is a procedure that is used on purpose, especially when we need to solve a tough issue or make a crucial choice.</w:t>
      </w:r>
    </w:p>
    <w:p w14:paraId="0B71C261" w14:textId="77777777" w:rsidR="002547FE" w:rsidRDefault="002547FE" w:rsidP="002547FE">
      <w:pPr>
        <w:shd w:val="clear" w:color="auto" w:fill="FFFFFF"/>
        <w:spacing w:after="360"/>
      </w:pPr>
      <w:r>
        <w:t>Critical reflection is the act of reflecting on what one has learnt, assessing why what worked and what didn't work, and generating judgments about how to better oneself in the future. Because it entails looking back, understanding the causes, and making conclusions, reflection is a powerful learning technique.</w:t>
      </w:r>
    </w:p>
    <w:p w14:paraId="263AB19F" w14:textId="77777777" w:rsidR="002547FE" w:rsidRDefault="002547FE" w:rsidP="002547FE">
      <w:pPr>
        <w:shd w:val="clear" w:color="auto" w:fill="FFFFFF"/>
        <w:spacing w:after="360"/>
      </w:pPr>
      <w:r>
        <w:t xml:space="preserve">When applied to the topic of leadership, the contingency theory considers the interplay of a number of elements that impact a leader's performance. These elements are as follows: One of the most </w:t>
      </w:r>
      <w:r>
        <w:lastRenderedPageBreak/>
        <w:t>essential axioms of contingency theory is that no one model of leadership can be used in all situations.</w:t>
      </w:r>
    </w:p>
    <w:p w14:paraId="34BCE4F3" w14:textId="77777777" w:rsidR="002547FE" w:rsidRDefault="002547FE" w:rsidP="002547FE">
      <w:pPr>
        <w:shd w:val="clear" w:color="auto" w:fill="FFFFFF"/>
        <w:spacing w:after="360"/>
      </w:pPr>
      <w:r>
        <w:t>According to Fiedler's contingency theory, a leader's efficacy is governed by three factors: the personality and attitudes of the subordinates, the nature of the tasks at hand, and the leader's place in the organizational hierarchy. The effectiveness of a leader is assessed in this model based on the degree of productivity attained by the groups for which the leader is accountable.</w:t>
      </w:r>
    </w:p>
    <w:p w14:paraId="4DA7FCFE" w14:textId="77777777" w:rsidR="002547FE" w:rsidRDefault="002547FE" w:rsidP="002547FE">
      <w:pPr>
        <w:shd w:val="clear" w:color="auto" w:fill="FFFFFF"/>
        <w:spacing w:after="360"/>
      </w:pPr>
      <w:r>
        <w:t>Furthermore, the notion implies that a situation is more advantageous to a leader if it allows the leader to have greater control over the activities of the group's members. According to this view, one of the fundamental features of good leadership is the capacity to persuade one's followers to collaborate in the pursuit of a common objective.</w:t>
      </w:r>
    </w:p>
    <w:p w14:paraId="40A17763" w14:textId="77777777" w:rsidR="002547FE" w:rsidRDefault="002547FE" w:rsidP="002547FE">
      <w:pPr>
        <w:rPr>
          <w:b/>
        </w:rPr>
      </w:pPr>
      <w:r>
        <w:rPr>
          <w:b/>
        </w:rPr>
        <w:t>Week-7</w:t>
      </w:r>
    </w:p>
    <w:p w14:paraId="0D6DE603" w14:textId="77777777" w:rsidR="002547FE" w:rsidRDefault="002547FE" w:rsidP="002547FE">
      <w:r>
        <w:t xml:space="preserve">Systems theory is the multidisciplinary study of the interdependencies that occur between several subsystems that comprise a larger whole. The core principle of systems theory is that the whole is greater than the sum of its parts, and this fundamental thesis is compatible with its applications in every field of study. This means that certain elements of the entire, complex system, cannot be readily explained or justified when merely looking at one of its systems, the parts, a holistic assessment of how smaller systems interact to affect the bigger complex system shows this </w:t>
      </w:r>
      <w:r>
        <w:rPr>
          <w:color w:val="222222"/>
          <w:highlight w:val="white"/>
        </w:rPr>
        <w:t>(</w:t>
      </w:r>
      <w:proofErr w:type="spellStart"/>
      <w:r>
        <w:rPr>
          <w:color w:val="222222"/>
          <w:highlight w:val="white"/>
        </w:rPr>
        <w:t>Zivkovil</w:t>
      </w:r>
      <w:proofErr w:type="spellEnd"/>
      <w:r>
        <w:rPr>
          <w:color w:val="222222"/>
          <w:highlight w:val="white"/>
        </w:rPr>
        <w:t>, 2016).</w:t>
      </w:r>
      <w:r>
        <w:t xml:space="preserve"> This was identified as a consequence of the fact that certain of the overall, sophisticated system's properties are difficult to explain or justify. </w:t>
      </w:r>
    </w:p>
    <w:p w14:paraId="6E133E7F" w14:textId="612F7ED1" w:rsidR="00CA7E95" w:rsidRPr="007E749E" w:rsidRDefault="002547FE" w:rsidP="002547FE">
      <w:r>
        <w:t>The goal of systems theory is to explain the properties of complex systems that do not appear elsewhere in the system and to make hypotheses about such characteristics. This kind of phenomenon is known as emergent behavior. Emergent behavior is a feature of complex systems that cannot be explained by looking at the system's separate components. Baking is an excellent example of basic systems theory. Consider the many different ingredients that go into making a cake. If you didn't know how to bake, it may be difficult to envision how the eggs, flour, sugar, and other components for a cake would be mixed and cooked to produce a cake if you spread out all of the baking materials on the counter and exhibited them there. The reason for this is that heat alone is insufficient to produce a baked object such as cake. The whole (the dessert) in this example is more than the sum of its parts, which is compatible with the concept of systems</w:t>
      </w:r>
    </w:p>
    <w:p w14:paraId="1219EBF5" w14:textId="77777777" w:rsidR="00CA7E95" w:rsidRDefault="00CA7E95" w:rsidP="002547FE">
      <w:pPr>
        <w:rPr>
          <w:b/>
        </w:rPr>
      </w:pPr>
    </w:p>
    <w:p w14:paraId="2B93859D" w14:textId="22397A6A" w:rsidR="002547FE" w:rsidRDefault="002547FE" w:rsidP="002547FE">
      <w:pPr>
        <w:rPr>
          <w:b/>
        </w:rPr>
      </w:pPr>
      <w:r>
        <w:rPr>
          <w:b/>
        </w:rPr>
        <w:t>Week-8</w:t>
      </w:r>
    </w:p>
    <w:p w14:paraId="5579B4A5" w14:textId="77777777" w:rsidR="002547FE" w:rsidRDefault="002547FE" w:rsidP="002547FE">
      <w:pPr>
        <w:shd w:val="clear" w:color="auto" w:fill="FFFFFF"/>
        <w:spacing w:after="360"/>
      </w:pPr>
      <w:r>
        <w:t>The major goal of this research is to compare and evaluate different change models and the relative contributions they make to the effective implementation of change within an organization. The researcher did an outstanding job of ensuring that all of the prerequisites for the study's work were met. Secondary data was obtained from a range of trustworthy internet and print sources. According to the study's results, generating creative thoughts and tactics is a critical component of driving organizational transformation. Creative thinking and new ideas are often the driving drivers behind organizational progress. They emphasize the need of providing new approaches to current difficulties in order to boost organizational efficiency</w:t>
      </w:r>
      <w:r>
        <w:rPr>
          <w:color w:val="222222"/>
          <w:highlight w:val="white"/>
        </w:rPr>
        <w:t xml:space="preserve"> (Prat-Sala and Van </w:t>
      </w:r>
      <w:proofErr w:type="spellStart"/>
      <w:r>
        <w:rPr>
          <w:color w:val="222222"/>
          <w:highlight w:val="white"/>
        </w:rPr>
        <w:t>Duuren</w:t>
      </w:r>
      <w:proofErr w:type="spellEnd"/>
      <w:r>
        <w:rPr>
          <w:color w:val="222222"/>
          <w:highlight w:val="white"/>
        </w:rPr>
        <w:t>, 2022)</w:t>
      </w:r>
      <w:r>
        <w:t xml:space="preserve">. Several other theoretical models were tested and found to be effective throughout the course of the research, including Beer and </w:t>
      </w:r>
      <w:proofErr w:type="spellStart"/>
      <w:r>
        <w:t>Nohria's</w:t>
      </w:r>
      <w:proofErr w:type="spellEnd"/>
      <w:r>
        <w:t xml:space="preserve"> theory E and O, Lewin's change model, and Hayes' model of change. It was also shown that the importance of strong leadership in times of transition cannot be emphasized. The author of the study concluded that in order for leaders to create and implement policies that produce the intended outcomes, they must comprehend the significance of the change.</w:t>
      </w:r>
    </w:p>
    <w:p w14:paraId="39140B43" w14:textId="77777777" w:rsidR="002547FE" w:rsidRDefault="002547FE" w:rsidP="002547FE">
      <w:pPr>
        <w:rPr>
          <w:b/>
        </w:rPr>
      </w:pPr>
      <w:r>
        <w:rPr>
          <w:b/>
        </w:rPr>
        <w:t xml:space="preserve">Week-9 </w:t>
      </w:r>
    </w:p>
    <w:p w14:paraId="5100E3B4" w14:textId="77777777" w:rsidR="002547FE" w:rsidRDefault="002547FE" w:rsidP="002547FE">
      <w:pPr>
        <w:shd w:val="clear" w:color="auto" w:fill="FFFFFF"/>
        <w:spacing w:before="160" w:after="460"/>
      </w:pPr>
      <w:r>
        <w:t xml:space="preserve">The term "sustainable development" refers to a basic action plan that allows us to attain sustainability in any endeavor involving the utilization of a resource. Furthermore, it is critical that it be replicated both instantly and throughout generations. We can assist you to comprehend the idea as well as the benefits of sustainable development by writing an essay on the subject </w:t>
      </w:r>
      <w:r>
        <w:rPr>
          <w:color w:val="222222"/>
          <w:highlight w:val="white"/>
        </w:rPr>
        <w:t>(Stephenson and Sadler-McKnight, 2016).</w:t>
      </w:r>
    </w:p>
    <w:p w14:paraId="2A2C4C7B" w14:textId="77777777" w:rsidR="002547FE" w:rsidRDefault="002547FE" w:rsidP="002547FE">
      <w:pPr>
        <w:shd w:val="clear" w:color="auto" w:fill="FFFFFF"/>
        <w:spacing w:before="160" w:after="460"/>
      </w:pPr>
      <w:r>
        <w:t>We may construct organizational principles that contribute to the preservation of the limited resources required to satisfy the requirements of future generations by participating in sustainable development. People will be able to spend their lives on this planet with a feeling of fulfillment as a consequence of this.</w:t>
      </w:r>
    </w:p>
    <w:p w14:paraId="007EC73B" w14:textId="1F7E7C1C" w:rsidR="002547FE" w:rsidRDefault="002547FE" w:rsidP="002547FE">
      <w:pPr>
        <w:shd w:val="clear" w:color="auto" w:fill="FFFFFF"/>
        <w:spacing w:before="160" w:after="460"/>
        <w:rPr>
          <w:b/>
        </w:rPr>
      </w:pPr>
      <w:r>
        <w:br w:type="page"/>
      </w:r>
      <w:r>
        <w:rPr>
          <w:b/>
        </w:rPr>
        <w:lastRenderedPageBreak/>
        <w:t xml:space="preserve">References </w:t>
      </w:r>
    </w:p>
    <w:p w14:paraId="135E70C1" w14:textId="77777777" w:rsidR="00471995" w:rsidRDefault="00471995" w:rsidP="00471995">
      <w:pPr>
        <w:pStyle w:val="Heading1"/>
      </w:pPr>
      <w:bookmarkStart w:id="12" w:name="_Toc111580994"/>
      <w:r>
        <w:t>References</w:t>
      </w:r>
      <w:bookmarkEnd w:id="12"/>
      <w:r>
        <w:t xml:space="preserve"> </w:t>
      </w:r>
    </w:p>
    <w:p w14:paraId="2918562F" w14:textId="77777777" w:rsidR="00471995" w:rsidRDefault="00471995" w:rsidP="00471995">
      <w:pPr>
        <w:shd w:val="clear" w:color="auto" w:fill="FFFFFF"/>
        <w:spacing w:before="160" w:after="460" w:line="240" w:lineRule="auto"/>
        <w:rPr>
          <w:color w:val="222222"/>
          <w:highlight w:val="white"/>
        </w:rPr>
      </w:pPr>
      <w:r>
        <w:rPr>
          <w:color w:val="222222"/>
          <w:highlight w:val="white"/>
        </w:rPr>
        <w:t xml:space="preserve">Evans, B. and Mason, R., 2018. </w:t>
      </w:r>
      <w:r w:rsidRPr="00471995">
        <w:rPr>
          <w:color w:val="222222"/>
          <w:highlight w:val="white"/>
        </w:rPr>
        <w:t>The lean supply chain: managing the challenge at Tesco</w:t>
      </w:r>
      <w:r>
        <w:rPr>
          <w:color w:val="222222"/>
          <w:highlight w:val="white"/>
        </w:rPr>
        <w:t xml:space="preserve">. Kogan Page Publishers.  </w:t>
      </w:r>
    </w:p>
    <w:p w14:paraId="25AF1A26" w14:textId="77777777" w:rsidR="00471995" w:rsidRPr="00471995" w:rsidRDefault="00471995" w:rsidP="00471995">
      <w:pPr>
        <w:shd w:val="clear" w:color="auto" w:fill="FFFFFF"/>
        <w:spacing w:before="160" w:after="460" w:line="240" w:lineRule="auto"/>
        <w:rPr>
          <w:color w:val="222222"/>
          <w:highlight w:val="white"/>
        </w:rPr>
      </w:pPr>
      <w:proofErr w:type="spellStart"/>
      <w:r>
        <w:rPr>
          <w:color w:val="222222"/>
          <w:highlight w:val="white"/>
        </w:rPr>
        <w:t>Foabeh</w:t>
      </w:r>
      <w:proofErr w:type="spellEnd"/>
      <w:r>
        <w:rPr>
          <w:color w:val="222222"/>
          <w:highlight w:val="white"/>
        </w:rPr>
        <w:t xml:space="preserve">, P.A. and </w:t>
      </w:r>
      <w:proofErr w:type="spellStart"/>
      <w:r>
        <w:rPr>
          <w:color w:val="222222"/>
          <w:highlight w:val="white"/>
        </w:rPr>
        <w:t>Achaleke</w:t>
      </w:r>
      <w:proofErr w:type="spellEnd"/>
      <w:r>
        <w:rPr>
          <w:color w:val="222222"/>
          <w:highlight w:val="white"/>
        </w:rPr>
        <w:t>, H.F., 2020. Attitudes and perceptions of shoppers’ grocery supermarket choice: A comparative analysis between big C and Tesco lotus.</w:t>
      </w:r>
      <w:r w:rsidRPr="00471995">
        <w:rPr>
          <w:color w:val="222222"/>
          <w:highlight w:val="white"/>
        </w:rPr>
        <w:t xml:space="preserve">   </w:t>
      </w:r>
    </w:p>
    <w:p w14:paraId="498AEBCF" w14:textId="77777777" w:rsidR="00471995" w:rsidRPr="00471995" w:rsidRDefault="00471995" w:rsidP="00471995">
      <w:pPr>
        <w:shd w:val="clear" w:color="auto" w:fill="FFFFFF"/>
        <w:spacing w:before="160" w:after="460" w:line="240" w:lineRule="auto"/>
        <w:rPr>
          <w:color w:val="222222"/>
          <w:highlight w:val="white"/>
        </w:rPr>
      </w:pPr>
      <w:r>
        <w:rPr>
          <w:color w:val="222222"/>
          <w:highlight w:val="white"/>
        </w:rPr>
        <w:t xml:space="preserve">Haddock-Millar, J. and Rigby, C., 2015. Business Strategy and the Environment: Tesco PLC’s Declining Financial Performance and Underlying Issues. </w:t>
      </w:r>
      <w:r w:rsidRPr="00471995">
        <w:rPr>
          <w:color w:val="222222"/>
          <w:highlight w:val="white"/>
        </w:rPr>
        <w:t>Review of Business &amp; Finance Studies</w:t>
      </w:r>
      <w:r>
        <w:rPr>
          <w:color w:val="222222"/>
          <w:highlight w:val="white"/>
        </w:rPr>
        <w:t xml:space="preserve">, </w:t>
      </w:r>
      <w:r w:rsidRPr="00471995">
        <w:rPr>
          <w:color w:val="222222"/>
          <w:highlight w:val="white"/>
        </w:rPr>
        <w:t>6</w:t>
      </w:r>
      <w:r>
        <w:rPr>
          <w:color w:val="222222"/>
          <w:highlight w:val="white"/>
        </w:rPr>
        <w:t xml:space="preserve">(3), pp.91-103.   </w:t>
      </w:r>
    </w:p>
    <w:p w14:paraId="71855364" w14:textId="77777777" w:rsidR="00471995" w:rsidRDefault="00471995" w:rsidP="00471995">
      <w:pPr>
        <w:shd w:val="clear" w:color="auto" w:fill="FFFFFF"/>
        <w:spacing w:before="160" w:after="460" w:line="240" w:lineRule="auto"/>
        <w:rPr>
          <w:color w:val="222222"/>
          <w:highlight w:val="white"/>
        </w:rPr>
      </w:pPr>
      <w:r>
        <w:rPr>
          <w:color w:val="222222"/>
          <w:highlight w:val="white"/>
        </w:rPr>
        <w:t xml:space="preserve">Jenkins, W. and Williamson, D., 2015. </w:t>
      </w:r>
      <w:r w:rsidRPr="00471995">
        <w:rPr>
          <w:color w:val="222222"/>
          <w:highlight w:val="white"/>
        </w:rPr>
        <w:t>Strategic management and business analysis</w:t>
      </w:r>
      <w:r>
        <w:rPr>
          <w:color w:val="222222"/>
          <w:highlight w:val="white"/>
        </w:rPr>
        <w:t xml:space="preserve">. Routledge.   </w:t>
      </w:r>
    </w:p>
    <w:p w14:paraId="22DD1273" w14:textId="77777777" w:rsidR="00471995" w:rsidRDefault="00471995" w:rsidP="00471995">
      <w:pPr>
        <w:shd w:val="clear" w:color="auto" w:fill="FFFFFF"/>
        <w:spacing w:before="160" w:after="460" w:line="240" w:lineRule="auto"/>
        <w:rPr>
          <w:color w:val="222222"/>
          <w:highlight w:val="white"/>
        </w:rPr>
      </w:pPr>
      <w:r>
        <w:rPr>
          <w:color w:val="222222"/>
          <w:highlight w:val="white"/>
        </w:rPr>
        <w:t xml:space="preserve">Malik, S.A., 2015. </w:t>
      </w:r>
      <w:proofErr w:type="spellStart"/>
      <w:r w:rsidRPr="00471995">
        <w:rPr>
          <w:color w:val="222222"/>
          <w:highlight w:val="white"/>
        </w:rPr>
        <w:t>Optimising</w:t>
      </w:r>
      <w:proofErr w:type="spellEnd"/>
      <w:r w:rsidRPr="00471995">
        <w:rPr>
          <w:color w:val="222222"/>
          <w:highlight w:val="white"/>
        </w:rPr>
        <w:t xml:space="preserve"> supermarket promotions of fast-moving consumer goods using disaggregated sales data: A case study of Tesco and their small and medium sized suppliers</w:t>
      </w:r>
      <w:r>
        <w:rPr>
          <w:color w:val="222222"/>
          <w:highlight w:val="white"/>
        </w:rPr>
        <w:t xml:space="preserve">. University of Kent (United Kingdom). </w:t>
      </w:r>
    </w:p>
    <w:p w14:paraId="161987A4" w14:textId="77777777" w:rsidR="00471995" w:rsidRDefault="00471995" w:rsidP="00471995">
      <w:pPr>
        <w:shd w:val="clear" w:color="auto" w:fill="FFFFFF"/>
        <w:spacing w:before="160" w:after="460" w:line="240" w:lineRule="auto"/>
        <w:rPr>
          <w:color w:val="222222"/>
          <w:highlight w:val="white"/>
        </w:rPr>
      </w:pPr>
      <w:r>
        <w:rPr>
          <w:color w:val="222222"/>
          <w:highlight w:val="white"/>
        </w:rPr>
        <w:t xml:space="preserve">Nguyen, L.T., Jamal, A., O’Brien, J. and Nawaz, I.Y., 2017. The effect of click &amp; collect service in the context of retail atmospherics on consumer buying </w:t>
      </w:r>
      <w:proofErr w:type="spellStart"/>
      <w:r>
        <w:rPr>
          <w:color w:val="222222"/>
          <w:highlight w:val="white"/>
        </w:rPr>
        <w:t>behaviour</w:t>
      </w:r>
      <w:proofErr w:type="spellEnd"/>
      <w:r>
        <w:rPr>
          <w:color w:val="222222"/>
          <w:highlight w:val="white"/>
        </w:rPr>
        <w:t xml:space="preserve"> in terms of repurchase intention: an empirical study of Tesco UK. In </w:t>
      </w:r>
      <w:r w:rsidRPr="00471995">
        <w:rPr>
          <w:color w:val="222222"/>
          <w:highlight w:val="white"/>
        </w:rPr>
        <w:t>4th International Conference on Innovation in Economics and Business</w:t>
      </w:r>
      <w:r>
        <w:rPr>
          <w:color w:val="222222"/>
          <w:highlight w:val="white"/>
        </w:rPr>
        <w:t xml:space="preserve"> (Vol. 87, pp. 43-51).    </w:t>
      </w:r>
    </w:p>
    <w:p w14:paraId="6C756B74" w14:textId="77777777" w:rsidR="00471995" w:rsidRDefault="00471995" w:rsidP="00471995">
      <w:pPr>
        <w:shd w:val="clear" w:color="auto" w:fill="FFFFFF"/>
        <w:spacing w:before="160" w:after="460" w:line="240" w:lineRule="auto"/>
        <w:rPr>
          <w:color w:val="222222"/>
          <w:highlight w:val="white"/>
        </w:rPr>
      </w:pPr>
      <w:r>
        <w:rPr>
          <w:color w:val="222222"/>
          <w:highlight w:val="white"/>
        </w:rPr>
        <w:t>Reilly, P., 2015. Every little help? YouTube, sousveillance and the ‘anti-</w:t>
      </w:r>
      <w:proofErr w:type="spellStart"/>
      <w:r>
        <w:rPr>
          <w:color w:val="222222"/>
          <w:highlight w:val="white"/>
        </w:rPr>
        <w:t>Tesco’riot</w:t>
      </w:r>
      <w:proofErr w:type="spellEnd"/>
      <w:r>
        <w:rPr>
          <w:color w:val="222222"/>
          <w:highlight w:val="white"/>
        </w:rPr>
        <w:t xml:space="preserve"> in Stokes Croft. </w:t>
      </w:r>
      <w:r w:rsidRPr="00471995">
        <w:rPr>
          <w:color w:val="222222"/>
          <w:highlight w:val="white"/>
        </w:rPr>
        <w:t>New Media &amp; Society</w:t>
      </w:r>
      <w:r>
        <w:rPr>
          <w:color w:val="222222"/>
          <w:highlight w:val="white"/>
        </w:rPr>
        <w:t xml:space="preserve">, </w:t>
      </w:r>
      <w:r w:rsidRPr="00471995">
        <w:rPr>
          <w:color w:val="222222"/>
          <w:highlight w:val="white"/>
        </w:rPr>
        <w:t>17</w:t>
      </w:r>
      <w:r>
        <w:rPr>
          <w:color w:val="222222"/>
          <w:highlight w:val="white"/>
        </w:rPr>
        <w:t xml:space="preserve">(5), pp.755-771.  </w:t>
      </w:r>
    </w:p>
    <w:p w14:paraId="6FA828EA" w14:textId="77777777" w:rsidR="00471995" w:rsidRDefault="00471995" w:rsidP="00471995">
      <w:pPr>
        <w:shd w:val="clear" w:color="auto" w:fill="FFFFFF"/>
        <w:spacing w:before="160" w:after="460" w:line="240" w:lineRule="auto"/>
        <w:rPr>
          <w:color w:val="222222"/>
          <w:highlight w:val="white"/>
        </w:rPr>
      </w:pPr>
      <w:proofErr w:type="spellStart"/>
      <w:r>
        <w:rPr>
          <w:color w:val="222222"/>
          <w:highlight w:val="white"/>
        </w:rPr>
        <w:t>Rosnizam</w:t>
      </w:r>
      <w:proofErr w:type="spellEnd"/>
      <w:r>
        <w:rPr>
          <w:color w:val="222222"/>
          <w:highlight w:val="white"/>
        </w:rPr>
        <w:t xml:space="preserve">, M.R.A.B., Kee, D.M.H., Akhir, M.E.H.B.M., </w:t>
      </w:r>
      <w:proofErr w:type="spellStart"/>
      <w:r>
        <w:rPr>
          <w:color w:val="222222"/>
          <w:highlight w:val="white"/>
        </w:rPr>
        <w:t>Shahqira</w:t>
      </w:r>
      <w:proofErr w:type="spellEnd"/>
      <w:r>
        <w:rPr>
          <w:color w:val="222222"/>
          <w:highlight w:val="white"/>
        </w:rPr>
        <w:t xml:space="preserve">, M., </w:t>
      </w:r>
      <w:proofErr w:type="spellStart"/>
      <w:r>
        <w:rPr>
          <w:color w:val="222222"/>
          <w:highlight w:val="white"/>
        </w:rPr>
        <w:t>Yusoff</w:t>
      </w:r>
      <w:proofErr w:type="spellEnd"/>
      <w:r>
        <w:rPr>
          <w:color w:val="222222"/>
          <w:highlight w:val="white"/>
        </w:rPr>
        <w:t xml:space="preserve">, M.A.H.B.M., Budiman, R.S. and </w:t>
      </w:r>
      <w:proofErr w:type="spellStart"/>
      <w:r>
        <w:rPr>
          <w:color w:val="222222"/>
          <w:highlight w:val="white"/>
        </w:rPr>
        <w:t>Alajmi</w:t>
      </w:r>
      <w:proofErr w:type="spellEnd"/>
      <w:r>
        <w:rPr>
          <w:color w:val="222222"/>
          <w:highlight w:val="white"/>
        </w:rPr>
        <w:t xml:space="preserve">, A.M., 2020. Market opportunities and challenges: A case study of Tesco. </w:t>
      </w:r>
      <w:r w:rsidRPr="00471995">
        <w:rPr>
          <w:color w:val="222222"/>
          <w:highlight w:val="white"/>
        </w:rPr>
        <w:t>Journal of the Community Development in Asia (JCDA)</w:t>
      </w:r>
      <w:r>
        <w:rPr>
          <w:color w:val="222222"/>
          <w:highlight w:val="white"/>
        </w:rPr>
        <w:t xml:space="preserve">, </w:t>
      </w:r>
      <w:r w:rsidRPr="00471995">
        <w:rPr>
          <w:color w:val="222222"/>
          <w:highlight w:val="white"/>
        </w:rPr>
        <w:t>3</w:t>
      </w:r>
      <w:r>
        <w:rPr>
          <w:color w:val="222222"/>
          <w:highlight w:val="white"/>
        </w:rPr>
        <w:t xml:space="preserve">(2), pp.18-27.   </w:t>
      </w:r>
    </w:p>
    <w:p w14:paraId="213688E1" w14:textId="77777777" w:rsidR="00471995" w:rsidRDefault="00471995" w:rsidP="00471995">
      <w:pPr>
        <w:shd w:val="clear" w:color="auto" w:fill="FFFFFF"/>
        <w:spacing w:before="160" w:after="460" w:line="240" w:lineRule="auto"/>
        <w:rPr>
          <w:color w:val="222222"/>
          <w:highlight w:val="white"/>
        </w:rPr>
      </w:pPr>
      <w:r>
        <w:rPr>
          <w:color w:val="222222"/>
          <w:highlight w:val="white"/>
        </w:rPr>
        <w:t xml:space="preserve">Wood, S., Wrigley, N. and Coe, N.M., 2017. Capital discipline and financial market relations in retail globalization: insights from the case of Tesco plc. </w:t>
      </w:r>
      <w:r w:rsidRPr="00471995">
        <w:rPr>
          <w:color w:val="222222"/>
          <w:highlight w:val="white"/>
        </w:rPr>
        <w:t>Journal of Economic Geography</w:t>
      </w:r>
      <w:r>
        <w:rPr>
          <w:color w:val="222222"/>
          <w:highlight w:val="white"/>
        </w:rPr>
        <w:t xml:space="preserve">, </w:t>
      </w:r>
      <w:r w:rsidRPr="00471995">
        <w:rPr>
          <w:color w:val="222222"/>
          <w:highlight w:val="white"/>
        </w:rPr>
        <w:t>17</w:t>
      </w:r>
      <w:r>
        <w:rPr>
          <w:color w:val="222222"/>
          <w:highlight w:val="white"/>
        </w:rPr>
        <w:t xml:space="preserve">(1), pp.31-57.   </w:t>
      </w:r>
    </w:p>
    <w:p w14:paraId="442DDA8F" w14:textId="77777777" w:rsidR="00471995" w:rsidRDefault="00471995" w:rsidP="00471995">
      <w:pPr>
        <w:rPr>
          <w:color w:val="222222"/>
          <w:highlight w:val="white"/>
        </w:rPr>
      </w:pPr>
      <w:r>
        <w:rPr>
          <w:color w:val="222222"/>
          <w:highlight w:val="white"/>
        </w:rPr>
        <w:br w:type="page"/>
      </w:r>
    </w:p>
    <w:p w14:paraId="526BF9E4" w14:textId="77777777" w:rsidR="00471995" w:rsidRDefault="00471995" w:rsidP="002547FE">
      <w:pPr>
        <w:shd w:val="clear" w:color="auto" w:fill="FFFFFF"/>
        <w:spacing w:before="160" w:after="460"/>
        <w:rPr>
          <w:b/>
        </w:rPr>
      </w:pPr>
    </w:p>
    <w:p w14:paraId="1AADCCEC" w14:textId="77777777" w:rsidR="002547FE" w:rsidRDefault="002547FE" w:rsidP="004E4584">
      <w:pPr>
        <w:shd w:val="clear" w:color="auto" w:fill="FFFFFF"/>
        <w:spacing w:before="160" w:after="460" w:line="240" w:lineRule="auto"/>
        <w:rPr>
          <w:b/>
        </w:rPr>
      </w:pPr>
      <w:proofErr w:type="spellStart"/>
      <w:r>
        <w:rPr>
          <w:color w:val="222222"/>
          <w:highlight w:val="white"/>
        </w:rPr>
        <w:t>Changwong</w:t>
      </w:r>
      <w:proofErr w:type="spellEnd"/>
      <w:r>
        <w:rPr>
          <w:color w:val="222222"/>
          <w:highlight w:val="white"/>
        </w:rPr>
        <w:t xml:space="preserve">, K., </w:t>
      </w:r>
      <w:proofErr w:type="spellStart"/>
      <w:r>
        <w:rPr>
          <w:color w:val="222222"/>
          <w:highlight w:val="white"/>
        </w:rPr>
        <w:t>Sukkamart</w:t>
      </w:r>
      <w:proofErr w:type="spellEnd"/>
      <w:r>
        <w:rPr>
          <w:color w:val="222222"/>
          <w:highlight w:val="white"/>
        </w:rPr>
        <w:t xml:space="preserve">, A. and </w:t>
      </w:r>
      <w:proofErr w:type="spellStart"/>
      <w:r>
        <w:rPr>
          <w:color w:val="222222"/>
          <w:highlight w:val="white"/>
        </w:rPr>
        <w:t>Sisan</w:t>
      </w:r>
      <w:proofErr w:type="spellEnd"/>
      <w:r>
        <w:rPr>
          <w:color w:val="222222"/>
          <w:highlight w:val="white"/>
        </w:rPr>
        <w:t xml:space="preserve">, B., 2018. Critical thinking skill development: Analysis of a new learning management model for Thai high schools. </w:t>
      </w:r>
      <w:r>
        <w:rPr>
          <w:i/>
          <w:color w:val="222222"/>
          <w:highlight w:val="white"/>
        </w:rPr>
        <w:t>Journal of International Studies</w:t>
      </w:r>
      <w:r>
        <w:rPr>
          <w:color w:val="222222"/>
          <w:highlight w:val="white"/>
        </w:rPr>
        <w:t xml:space="preserve">, </w:t>
      </w:r>
      <w:r>
        <w:rPr>
          <w:i/>
          <w:color w:val="222222"/>
          <w:highlight w:val="white"/>
        </w:rPr>
        <w:t>11</w:t>
      </w:r>
      <w:r>
        <w:rPr>
          <w:color w:val="222222"/>
          <w:highlight w:val="white"/>
        </w:rPr>
        <w:t xml:space="preserve">(2).   </w:t>
      </w:r>
    </w:p>
    <w:p w14:paraId="189B2CD7" w14:textId="77777777" w:rsidR="002547FE" w:rsidRDefault="002547FE" w:rsidP="004E4584">
      <w:pPr>
        <w:shd w:val="clear" w:color="auto" w:fill="FFFFFF"/>
        <w:spacing w:before="160" w:after="460" w:line="240" w:lineRule="auto"/>
        <w:rPr>
          <w:color w:val="222222"/>
          <w:highlight w:val="white"/>
        </w:rPr>
      </w:pPr>
      <w:proofErr w:type="spellStart"/>
      <w:r>
        <w:rPr>
          <w:color w:val="222222"/>
          <w:highlight w:val="white"/>
        </w:rPr>
        <w:t>Ismara</w:t>
      </w:r>
      <w:proofErr w:type="spellEnd"/>
      <w:r>
        <w:rPr>
          <w:color w:val="222222"/>
          <w:highlight w:val="white"/>
        </w:rPr>
        <w:t xml:space="preserve">, K.I., </w:t>
      </w:r>
      <w:proofErr w:type="spellStart"/>
      <w:r>
        <w:rPr>
          <w:color w:val="222222"/>
          <w:highlight w:val="white"/>
        </w:rPr>
        <w:t>Setiadi</w:t>
      </w:r>
      <w:proofErr w:type="spellEnd"/>
      <w:r>
        <w:rPr>
          <w:color w:val="222222"/>
          <w:highlight w:val="white"/>
        </w:rPr>
        <w:t xml:space="preserve">, B.R. and Widodo, I.H.K., 2020. Indonesian Vocational Education Workplace Development. </w:t>
      </w:r>
      <w:r>
        <w:rPr>
          <w:i/>
          <w:color w:val="222222"/>
          <w:highlight w:val="white"/>
        </w:rPr>
        <w:t>International Journal of Psychosocial Rehabilitation</w:t>
      </w:r>
      <w:r>
        <w:rPr>
          <w:color w:val="222222"/>
          <w:highlight w:val="white"/>
        </w:rPr>
        <w:t xml:space="preserve">, </w:t>
      </w:r>
      <w:r>
        <w:rPr>
          <w:i/>
          <w:color w:val="222222"/>
          <w:highlight w:val="white"/>
        </w:rPr>
        <w:t>24</w:t>
      </w:r>
      <w:r>
        <w:rPr>
          <w:color w:val="222222"/>
          <w:highlight w:val="white"/>
        </w:rPr>
        <w:t>(09).</w:t>
      </w:r>
    </w:p>
    <w:p w14:paraId="1413EE71" w14:textId="77777777" w:rsidR="002547FE" w:rsidRDefault="002547FE" w:rsidP="004E4584">
      <w:pPr>
        <w:shd w:val="clear" w:color="auto" w:fill="FFFFFF"/>
        <w:spacing w:before="160" w:after="460" w:line="240" w:lineRule="auto"/>
        <w:rPr>
          <w:color w:val="222222"/>
          <w:highlight w:val="white"/>
        </w:rPr>
      </w:pPr>
      <w:r>
        <w:rPr>
          <w:color w:val="222222"/>
          <w:highlight w:val="white"/>
        </w:rPr>
        <w:t xml:space="preserve">Lovelace, K.J., Eggers, F. and Dyck, L.R., 2016. I do and I understand: Assessing the utility of web-based management simulations to develop critical thinking skills. </w:t>
      </w:r>
      <w:r>
        <w:rPr>
          <w:i/>
          <w:color w:val="222222"/>
          <w:highlight w:val="white"/>
        </w:rPr>
        <w:t>Academy of Management Learning &amp; Education</w:t>
      </w:r>
      <w:r>
        <w:rPr>
          <w:color w:val="222222"/>
          <w:highlight w:val="white"/>
        </w:rPr>
        <w:t xml:space="preserve">, </w:t>
      </w:r>
      <w:r>
        <w:rPr>
          <w:i/>
          <w:color w:val="222222"/>
          <w:highlight w:val="white"/>
        </w:rPr>
        <w:t>15</w:t>
      </w:r>
      <w:r>
        <w:rPr>
          <w:color w:val="222222"/>
          <w:highlight w:val="white"/>
        </w:rPr>
        <w:t xml:space="preserve">(1), pp.100-121.  </w:t>
      </w:r>
    </w:p>
    <w:p w14:paraId="5BAF14F7" w14:textId="77777777" w:rsidR="002547FE" w:rsidRDefault="002547FE" w:rsidP="004E4584">
      <w:pPr>
        <w:shd w:val="clear" w:color="auto" w:fill="FFFFFF"/>
        <w:spacing w:before="160" w:after="460" w:line="240" w:lineRule="auto"/>
        <w:rPr>
          <w:color w:val="222222"/>
          <w:highlight w:val="white"/>
        </w:rPr>
      </w:pPr>
      <w:proofErr w:type="spellStart"/>
      <w:r>
        <w:rPr>
          <w:color w:val="222222"/>
          <w:highlight w:val="white"/>
        </w:rPr>
        <w:t>Nold</w:t>
      </w:r>
      <w:proofErr w:type="spellEnd"/>
      <w:r>
        <w:rPr>
          <w:color w:val="222222"/>
          <w:highlight w:val="white"/>
        </w:rPr>
        <w:t xml:space="preserve">, H., 2017. Using Critical Thinking Teaching Methods to Increase Student Success: An Action Research Project. </w:t>
      </w:r>
      <w:r>
        <w:rPr>
          <w:i/>
          <w:color w:val="222222"/>
          <w:highlight w:val="white"/>
        </w:rPr>
        <w:t>International Journal of teaching and learning in Higher Education</w:t>
      </w:r>
      <w:r>
        <w:rPr>
          <w:color w:val="222222"/>
          <w:highlight w:val="white"/>
        </w:rPr>
        <w:t xml:space="preserve">, </w:t>
      </w:r>
      <w:r>
        <w:rPr>
          <w:i/>
          <w:color w:val="222222"/>
          <w:highlight w:val="white"/>
        </w:rPr>
        <w:t>29</w:t>
      </w:r>
      <w:r>
        <w:rPr>
          <w:color w:val="222222"/>
          <w:highlight w:val="white"/>
        </w:rPr>
        <w:t xml:space="preserve">(1), pp.17-32.  </w:t>
      </w:r>
    </w:p>
    <w:p w14:paraId="66C43ADB" w14:textId="77777777" w:rsidR="002547FE" w:rsidRDefault="002547FE" w:rsidP="004E4584">
      <w:pPr>
        <w:shd w:val="clear" w:color="auto" w:fill="FFFFFF"/>
        <w:spacing w:before="160" w:after="460" w:line="240" w:lineRule="auto"/>
        <w:rPr>
          <w:color w:val="222222"/>
          <w:highlight w:val="white"/>
        </w:rPr>
      </w:pPr>
      <w:r>
        <w:rPr>
          <w:color w:val="222222"/>
          <w:highlight w:val="white"/>
        </w:rPr>
        <w:t xml:space="preserve">Prat-Sala, M. and Van </w:t>
      </w:r>
      <w:proofErr w:type="spellStart"/>
      <w:r>
        <w:rPr>
          <w:color w:val="222222"/>
          <w:highlight w:val="white"/>
        </w:rPr>
        <w:t>Duuren</w:t>
      </w:r>
      <w:proofErr w:type="spellEnd"/>
      <w:r>
        <w:rPr>
          <w:color w:val="222222"/>
          <w:highlight w:val="white"/>
        </w:rPr>
        <w:t xml:space="preserve">, M., 2022. Critical thinking performance increases in psychology undergraduates measured using a workplace-recognized test. </w:t>
      </w:r>
      <w:r>
        <w:rPr>
          <w:i/>
          <w:color w:val="222222"/>
          <w:highlight w:val="white"/>
        </w:rPr>
        <w:t>Teaching of Psychology</w:t>
      </w:r>
      <w:r>
        <w:rPr>
          <w:color w:val="222222"/>
          <w:highlight w:val="white"/>
        </w:rPr>
        <w:t xml:space="preserve">, </w:t>
      </w:r>
      <w:r>
        <w:rPr>
          <w:i/>
          <w:color w:val="222222"/>
          <w:highlight w:val="white"/>
        </w:rPr>
        <w:t>49</w:t>
      </w:r>
      <w:r>
        <w:rPr>
          <w:color w:val="222222"/>
          <w:highlight w:val="white"/>
        </w:rPr>
        <w:t xml:space="preserve">(2), pp.153-163. </w:t>
      </w:r>
    </w:p>
    <w:p w14:paraId="1112D41B" w14:textId="77777777" w:rsidR="002547FE" w:rsidRDefault="002547FE" w:rsidP="004E4584">
      <w:pPr>
        <w:shd w:val="clear" w:color="auto" w:fill="FFFFFF"/>
        <w:spacing w:before="160" w:after="460" w:line="240" w:lineRule="auto"/>
        <w:rPr>
          <w:color w:val="222222"/>
          <w:highlight w:val="white"/>
        </w:rPr>
      </w:pPr>
      <w:r>
        <w:rPr>
          <w:color w:val="222222"/>
          <w:highlight w:val="white"/>
        </w:rPr>
        <w:t xml:space="preserve">Stephenson, N.S. and Sadler-McKnight, N.P., 2016. Developing critical thinking skills using the science writing heuristic in the chemistry laboratory. </w:t>
      </w:r>
      <w:r>
        <w:rPr>
          <w:i/>
          <w:color w:val="222222"/>
          <w:highlight w:val="white"/>
        </w:rPr>
        <w:t>Chemistry Education Research and Practice</w:t>
      </w:r>
      <w:r>
        <w:rPr>
          <w:color w:val="222222"/>
          <w:highlight w:val="white"/>
        </w:rPr>
        <w:t xml:space="preserve">, </w:t>
      </w:r>
      <w:r>
        <w:rPr>
          <w:i/>
          <w:color w:val="222222"/>
          <w:highlight w:val="white"/>
        </w:rPr>
        <w:t>17</w:t>
      </w:r>
      <w:r>
        <w:rPr>
          <w:color w:val="222222"/>
          <w:highlight w:val="white"/>
        </w:rPr>
        <w:t xml:space="preserve">(1), pp.72-79.  </w:t>
      </w:r>
    </w:p>
    <w:p w14:paraId="1A5FBC8B" w14:textId="77777777" w:rsidR="002547FE" w:rsidRDefault="002547FE" w:rsidP="004E4584">
      <w:pPr>
        <w:shd w:val="clear" w:color="auto" w:fill="FFFFFF"/>
        <w:spacing w:before="160" w:after="460" w:line="240" w:lineRule="auto"/>
        <w:rPr>
          <w:color w:val="222222"/>
          <w:highlight w:val="white"/>
        </w:rPr>
      </w:pPr>
      <w:proofErr w:type="spellStart"/>
      <w:r>
        <w:rPr>
          <w:color w:val="222222"/>
          <w:highlight w:val="white"/>
        </w:rPr>
        <w:t>ŽivkoviĿ</w:t>
      </w:r>
      <w:proofErr w:type="spellEnd"/>
      <w:r>
        <w:rPr>
          <w:color w:val="222222"/>
          <w:highlight w:val="white"/>
        </w:rPr>
        <w:t xml:space="preserve">, S., 2016. A model of critical thinking as an important attribute for success in the 21st century. </w:t>
      </w:r>
      <w:r>
        <w:rPr>
          <w:i/>
          <w:color w:val="222222"/>
          <w:highlight w:val="white"/>
        </w:rPr>
        <w:t>Procedia-social and behavioral sciences</w:t>
      </w:r>
      <w:r>
        <w:rPr>
          <w:color w:val="222222"/>
          <w:highlight w:val="white"/>
        </w:rPr>
        <w:t xml:space="preserve">, </w:t>
      </w:r>
      <w:r>
        <w:rPr>
          <w:i/>
          <w:color w:val="222222"/>
          <w:highlight w:val="white"/>
        </w:rPr>
        <w:t>232</w:t>
      </w:r>
      <w:r>
        <w:rPr>
          <w:color w:val="222222"/>
          <w:highlight w:val="white"/>
        </w:rPr>
        <w:t xml:space="preserve">, pp.102-108.   </w:t>
      </w:r>
    </w:p>
    <w:p w14:paraId="65D0E4D4" w14:textId="77777777" w:rsidR="002547FE" w:rsidRDefault="002547FE" w:rsidP="004E4584">
      <w:pPr>
        <w:shd w:val="clear" w:color="auto" w:fill="FFFFFF"/>
        <w:spacing w:before="160" w:after="460" w:line="240" w:lineRule="auto"/>
        <w:rPr>
          <w:color w:val="222222"/>
          <w:highlight w:val="white"/>
        </w:rPr>
      </w:pPr>
      <w:proofErr w:type="spellStart"/>
      <w:r>
        <w:rPr>
          <w:color w:val="222222"/>
          <w:highlight w:val="white"/>
        </w:rPr>
        <w:t>Zuriguel</w:t>
      </w:r>
      <w:proofErr w:type="spellEnd"/>
      <w:r>
        <w:rPr>
          <w:color w:val="222222"/>
          <w:highlight w:val="white"/>
        </w:rPr>
        <w:t xml:space="preserve"> Perez, E., </w:t>
      </w:r>
      <w:proofErr w:type="spellStart"/>
      <w:r>
        <w:rPr>
          <w:color w:val="222222"/>
          <w:highlight w:val="white"/>
        </w:rPr>
        <w:t>Lluch</w:t>
      </w:r>
      <w:proofErr w:type="spellEnd"/>
      <w:r>
        <w:rPr>
          <w:color w:val="222222"/>
          <w:highlight w:val="white"/>
        </w:rPr>
        <w:t xml:space="preserve"> </w:t>
      </w:r>
      <w:proofErr w:type="spellStart"/>
      <w:r>
        <w:rPr>
          <w:color w:val="222222"/>
          <w:highlight w:val="white"/>
        </w:rPr>
        <w:t>Canut</w:t>
      </w:r>
      <w:proofErr w:type="spellEnd"/>
      <w:r>
        <w:rPr>
          <w:color w:val="222222"/>
          <w:highlight w:val="white"/>
        </w:rPr>
        <w:t xml:space="preserve">, M.T., Falco </w:t>
      </w:r>
      <w:proofErr w:type="spellStart"/>
      <w:r>
        <w:rPr>
          <w:color w:val="222222"/>
          <w:highlight w:val="white"/>
        </w:rPr>
        <w:t>Pegueroles</w:t>
      </w:r>
      <w:proofErr w:type="spellEnd"/>
      <w:r>
        <w:rPr>
          <w:color w:val="222222"/>
          <w:highlight w:val="white"/>
        </w:rPr>
        <w:t xml:space="preserve">, A., Puig </w:t>
      </w:r>
      <w:proofErr w:type="spellStart"/>
      <w:r>
        <w:rPr>
          <w:color w:val="222222"/>
          <w:highlight w:val="white"/>
        </w:rPr>
        <w:t>Llobet</w:t>
      </w:r>
      <w:proofErr w:type="spellEnd"/>
      <w:r>
        <w:rPr>
          <w:color w:val="222222"/>
          <w:highlight w:val="white"/>
        </w:rPr>
        <w:t xml:space="preserve">, M., Moreno Arroyo, C. and Roldan Merino, J., 2015. Critical thinking in nursing: Scoping review of the literature. </w:t>
      </w:r>
      <w:r>
        <w:rPr>
          <w:i/>
          <w:color w:val="222222"/>
          <w:highlight w:val="white"/>
        </w:rPr>
        <w:t>International journal of nursing practice</w:t>
      </w:r>
      <w:r>
        <w:rPr>
          <w:color w:val="222222"/>
          <w:highlight w:val="white"/>
        </w:rPr>
        <w:t xml:space="preserve">, </w:t>
      </w:r>
      <w:r>
        <w:rPr>
          <w:i/>
          <w:color w:val="222222"/>
          <w:highlight w:val="white"/>
        </w:rPr>
        <w:t>21</w:t>
      </w:r>
      <w:r>
        <w:rPr>
          <w:color w:val="222222"/>
          <w:highlight w:val="white"/>
        </w:rPr>
        <w:t xml:space="preserve">(6), pp.820-830. </w:t>
      </w:r>
    </w:p>
    <w:p w14:paraId="19E78C08" w14:textId="77777777" w:rsidR="002547FE" w:rsidRDefault="002547FE" w:rsidP="004E4584">
      <w:pPr>
        <w:spacing w:line="240" w:lineRule="auto"/>
        <w:rPr>
          <w:b/>
        </w:rPr>
      </w:pPr>
    </w:p>
    <w:p w14:paraId="40CF5C51" w14:textId="77777777" w:rsidR="00687770" w:rsidRDefault="00687770">
      <w:pPr>
        <w:rPr>
          <w:color w:val="222222"/>
          <w:highlight w:val="white"/>
        </w:rPr>
      </w:pPr>
    </w:p>
    <w:sectPr w:rsidR="00687770">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92C36" w14:textId="77777777" w:rsidR="00A80E3C" w:rsidRDefault="00A80E3C">
      <w:pPr>
        <w:spacing w:line="240" w:lineRule="auto"/>
      </w:pPr>
      <w:r>
        <w:separator/>
      </w:r>
    </w:p>
  </w:endnote>
  <w:endnote w:type="continuationSeparator" w:id="0">
    <w:p w14:paraId="0DE7458B" w14:textId="77777777" w:rsidR="00A80E3C" w:rsidRDefault="00A80E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0" w14:textId="0D5C77EC" w:rsidR="00687770" w:rsidRDefault="00000000">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2547FE">
      <w:rPr>
        <w:noProof/>
        <w:color w:val="000000"/>
      </w:rPr>
      <w:t>1</w:t>
    </w:r>
    <w:r>
      <w:rPr>
        <w:color w:val="000000"/>
      </w:rPr>
      <w:fldChar w:fldCharType="end"/>
    </w:r>
  </w:p>
  <w:p w14:paraId="00000041" w14:textId="77777777" w:rsidR="00687770" w:rsidRDefault="0068777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3A065" w14:textId="77777777" w:rsidR="00A80E3C" w:rsidRDefault="00A80E3C">
      <w:pPr>
        <w:spacing w:line="240" w:lineRule="auto"/>
      </w:pPr>
      <w:r>
        <w:separator/>
      </w:r>
    </w:p>
  </w:footnote>
  <w:footnote w:type="continuationSeparator" w:id="0">
    <w:p w14:paraId="2BDCC6A7" w14:textId="77777777" w:rsidR="00A80E3C" w:rsidRDefault="00A80E3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770"/>
    <w:rsid w:val="00034352"/>
    <w:rsid w:val="0009047F"/>
    <w:rsid w:val="000F2A6E"/>
    <w:rsid w:val="0010432F"/>
    <w:rsid w:val="001A32AF"/>
    <w:rsid w:val="002547FE"/>
    <w:rsid w:val="00351E3A"/>
    <w:rsid w:val="00383DFD"/>
    <w:rsid w:val="00422C07"/>
    <w:rsid w:val="004536A2"/>
    <w:rsid w:val="00471995"/>
    <w:rsid w:val="004A407E"/>
    <w:rsid w:val="004E4584"/>
    <w:rsid w:val="00502469"/>
    <w:rsid w:val="0061705D"/>
    <w:rsid w:val="0062138F"/>
    <w:rsid w:val="00687770"/>
    <w:rsid w:val="00700498"/>
    <w:rsid w:val="007E749E"/>
    <w:rsid w:val="00835A1E"/>
    <w:rsid w:val="00A80E3C"/>
    <w:rsid w:val="00AC7515"/>
    <w:rsid w:val="00CA7E95"/>
    <w:rsid w:val="00CF6F64"/>
    <w:rsid w:val="00F17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0BA564"/>
  <w15:docId w15:val="{36847B8E-898C-9C4A-8F83-C706C30B0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4E4584"/>
    <w:pPr>
      <w:spacing w:after="100"/>
    </w:pPr>
  </w:style>
  <w:style w:type="character" w:styleId="Hyperlink">
    <w:name w:val="Hyperlink"/>
    <w:basedOn w:val="DefaultParagraphFont"/>
    <w:uiPriority w:val="99"/>
    <w:unhideWhenUsed/>
    <w:rsid w:val="004E45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100193">
      <w:bodyDiv w:val="1"/>
      <w:marLeft w:val="0"/>
      <w:marRight w:val="0"/>
      <w:marTop w:val="0"/>
      <w:marBottom w:val="0"/>
      <w:divBdr>
        <w:top w:val="none" w:sz="0" w:space="0" w:color="auto"/>
        <w:left w:val="none" w:sz="0" w:space="0" w:color="auto"/>
        <w:bottom w:val="none" w:sz="0" w:space="0" w:color="auto"/>
        <w:right w:val="none" w:sz="0" w:space="0" w:color="auto"/>
      </w:divBdr>
    </w:div>
    <w:div w:id="968971855">
      <w:bodyDiv w:val="1"/>
      <w:marLeft w:val="0"/>
      <w:marRight w:val="0"/>
      <w:marTop w:val="0"/>
      <w:marBottom w:val="0"/>
      <w:divBdr>
        <w:top w:val="none" w:sz="0" w:space="0" w:color="auto"/>
        <w:left w:val="none" w:sz="0" w:space="0" w:color="auto"/>
        <w:bottom w:val="none" w:sz="0" w:space="0" w:color="auto"/>
        <w:right w:val="none" w:sz="0" w:space="0" w:color="auto"/>
      </w:divBdr>
    </w:div>
    <w:div w:id="1379744819">
      <w:bodyDiv w:val="1"/>
      <w:marLeft w:val="0"/>
      <w:marRight w:val="0"/>
      <w:marTop w:val="0"/>
      <w:marBottom w:val="0"/>
      <w:divBdr>
        <w:top w:val="none" w:sz="0" w:space="0" w:color="auto"/>
        <w:left w:val="none" w:sz="0" w:space="0" w:color="auto"/>
        <w:bottom w:val="none" w:sz="0" w:space="0" w:color="auto"/>
        <w:right w:val="none" w:sz="0" w:space="0" w:color="auto"/>
      </w:divBdr>
    </w:div>
    <w:div w:id="20296018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Had15</b:Tag>
    <b:SourceType>JournalArticle</b:SourceType>
    <b:Guid>{6A803F03-4431-0F4E-B09D-F57FE1BB289F}</b:Guid>
    <b:Author>
      <b:Author>
        <b:NameList>
          <b:Person>
            <b:Last>Haddock-Millar</b:Last>
            <b:First>J</b:First>
            <b:Middle>and Rigby,C</b:Middle>
          </b:Person>
        </b:NameList>
      </b:Author>
    </b:Author>
    <b:Title>Business Strategy and Environment</b:Title>
    <b:Year>2015</b:Year>
    <b:JournalName>Review of business and finance studies</b:JournalName>
    <b:Pages>91-103</b:Pages>
    <b:RefOrder>1</b:RefOrder>
  </b:Source>
  <b:Source>
    <b:Tag>Eva18</b:Tag>
    <b:SourceType>JournalArticle</b:SourceType>
    <b:Guid>{EA5A6B4D-5F2E-5944-915B-3084F2548055}</b:Guid>
    <b:Title>The lean supply chain: managing the challenge at Tesco.</b:Title>
    <b:JournalName>Kogan page publishers</b:JournalName>
    <b:Year>2018</b:Year>
    <b:Author>
      <b:Author>
        <b:NameList>
          <b:Person>
            <b:Last>Evans</b:Last>
            <b:First>B</b:First>
            <b:Middle>and Mason,R</b:Middle>
          </b:Person>
        </b:NameList>
      </b:Author>
    </b:Author>
    <b:RefOrder>2</b:RefOrder>
  </b:Source>
  <b:Source>
    <b:Tag>Ros20</b:Tag>
    <b:SourceType>JournalArticle</b:SourceType>
    <b:Guid>{ECD7E883-4709-AD41-94CD-3977958571AE}</b:Guid>
    <b:Title>Market opportunities and challenges: A case study of Tesco</b:Title>
    <b:Year>2020</b:Year>
    <b:Author>
      <b:Author>
        <b:NameList>
          <b:Person>
            <b:Last>Rosnizam</b:Last>
            <b:First>Akhir,</b:First>
            <b:Middle>Yusoff and Alajmi</b:Middle>
          </b:Person>
        </b:NameList>
      </b:Author>
    </b:Author>
    <b:JournalName>Journal of the Community Development in Asia</b:JournalName>
    <b:Pages>18-27</b:Pages>
    <b:RefOrder>3</b:RefOrder>
  </b:Source>
  <b:Source>
    <b:Tag>Ism20</b:Tag>
    <b:SourceType>JournalArticle</b:SourceType>
    <b:Guid>{863CB69D-3642-5D4C-B058-C6646A62FD25}</b:Guid>
    <b:Author>
      <b:Author>
        <b:NameList>
          <b:Person>
            <b:Last>Widodo</b:Last>
            <b:First>Ismara</b:First>
            <b:Middle>and</b:Middle>
          </b:Person>
        </b:NameList>
      </b:Author>
    </b:Author>
    <b:Title>Indonesian Vocational Education Workplace Development</b:Title>
    <b:JournalName>Internatinoal Journal of Psychosocial Rehabilitation</b:JournalName>
    <b:Year>2020</b:Year>
    <b:Pages>24</b:Pages>
    <b:RefOrder>4</b:RefOrder>
  </b:Source>
</b:Sources>
</file>

<file path=customXml/itemProps1.xml><?xml version="1.0" encoding="utf-8"?>
<ds:datastoreItem xmlns:ds="http://schemas.openxmlformats.org/officeDocument/2006/customXml" ds:itemID="{79244C8B-104A-6C4C-ABD6-DE3BC3F02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19</Pages>
  <Words>5508</Words>
  <Characters>31402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8</cp:revision>
  <dcterms:created xsi:type="dcterms:W3CDTF">2022-08-16T21:09:00Z</dcterms:created>
  <dcterms:modified xsi:type="dcterms:W3CDTF">2022-08-31T21:24:00Z</dcterms:modified>
</cp:coreProperties>
</file>