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BE79F" w14:textId="77777777" w:rsidR="00F2097C" w:rsidRPr="002B38A4" w:rsidRDefault="00F2097C" w:rsidP="00F2097C">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kern w:val="0"/>
          <w:sz w:val="22"/>
          <w:szCs w:val="22"/>
          <w:lang w:eastAsia="en-GB"/>
          <w14:ligatures w14:val="none"/>
        </w:rPr>
        <w:t>5014 </w:t>
      </w:r>
    </w:p>
    <w:p w14:paraId="09919C6D" w14:textId="77777777" w:rsidR="00F2097C" w:rsidRPr="002B38A4" w:rsidRDefault="00F2097C" w:rsidP="00F2097C">
      <w:pPr>
        <w:spacing w:beforeAutospacing="1" w:after="0" w:afterAutospacing="1"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kern w:val="0"/>
          <w:sz w:val="22"/>
          <w:szCs w:val="22"/>
          <w:lang w:eastAsia="en-GB"/>
          <w14:ligatures w14:val="none"/>
        </w:rPr>
        <w:t>Design and conduct a small- scale research study and critically evaluate the impact of chosen research tools and data/findings on your professional practice.  </w:t>
      </w:r>
    </w:p>
    <w:p w14:paraId="322AB706" w14:textId="77777777" w:rsidR="00F2097C" w:rsidRPr="002B38A4" w:rsidRDefault="00F2097C" w:rsidP="00F2097C">
      <w:pPr>
        <w:spacing w:beforeAutospacing="1" w:after="0" w:afterAutospacing="1" w:line="240" w:lineRule="auto"/>
        <w:textAlignment w:val="baseline"/>
        <w:rPr>
          <w:rFonts w:ascii="Segoe UI" w:eastAsia="Times New Roman" w:hAnsi="Segoe UI" w:cs="Segoe UI"/>
          <w:kern w:val="0"/>
          <w:sz w:val="18"/>
          <w:szCs w:val="18"/>
          <w:lang w:val="en-US" w:eastAsia="en-GB"/>
          <w14:ligatures w14:val="none"/>
        </w:rPr>
      </w:pPr>
      <w:r w:rsidRPr="002B38A4">
        <w:rPr>
          <w:rFonts w:ascii="Aptos" w:eastAsia="Times New Roman" w:hAnsi="Aptos" w:cs="Segoe UI"/>
          <w:kern w:val="0"/>
          <w:sz w:val="22"/>
          <w:szCs w:val="22"/>
          <w:lang w:eastAsia="en-GB"/>
          <w14:ligatures w14:val="none"/>
        </w:rPr>
        <w:t xml:space="preserve">Exploring the effects of peer assessment in a primary classroom setting. </w:t>
      </w:r>
      <w:r w:rsidRPr="002B38A4">
        <w:rPr>
          <w:rFonts w:ascii="Aptos" w:eastAsia="Times New Roman" w:hAnsi="Aptos" w:cs="Segoe UI"/>
          <w:kern w:val="0"/>
          <w:sz w:val="22"/>
          <w:szCs w:val="22"/>
          <w:lang w:val="en-US" w:eastAsia="en-GB"/>
          <w14:ligatures w14:val="none"/>
        </w:rPr>
        <w:t> </w:t>
      </w:r>
    </w:p>
    <w:p w14:paraId="2BBC2837"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kern w:val="0"/>
          <w:sz w:val="22"/>
          <w:szCs w:val="22"/>
          <w:lang w:eastAsia="en-GB"/>
          <w14:ligatures w14:val="none"/>
        </w:rPr>
        <w:t> </w:t>
      </w:r>
    </w:p>
    <w:p w14:paraId="6C5F80F2"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Introduction  </w:t>
      </w:r>
    </w:p>
    <w:p w14:paraId="26E2C23F"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6442A7CD"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Assessment for learning (AFL), when implemented effectively, can bridge the gap between a student's current performance and their academic goals (Hawthorne, 2022). A method within AFL is peer assessment, which provides a structured approach for students to critique and offer feedback on each other's work. This process not only develops students’ ability to critique others but also enhances their self-assessment skills, enabling them to reflect on and improve their own work (Cornell University, 2025). Peer assessment fosters engagement, critical thinking, and self-reflection, while promoting a deeper understanding of the learning process (Estyn, 2022). This essay will explore the impact of peer assessment in a primary school setting, examining its potential to improve student outcomes. As part of this investigation, I conducted surveys and interviews with both staff and students at a primary school in South Wales to gather insights on its effectiveness. </w:t>
      </w:r>
    </w:p>
    <w:p w14:paraId="6C2C5729"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7C18AB1D" w14:textId="77777777" w:rsidR="00F2097C" w:rsidRDefault="00F2097C" w:rsidP="00F2097C">
      <w:pPr>
        <w:spacing w:after="0" w:line="240" w:lineRule="auto"/>
        <w:textAlignment w:val="baseline"/>
        <w:rPr>
          <w:rFonts w:ascii="Aptos" w:eastAsia="Times New Roman" w:hAnsi="Aptos" w:cs="Segoe UI"/>
          <w:color w:val="000000"/>
          <w:kern w:val="0"/>
          <w:sz w:val="22"/>
          <w:szCs w:val="22"/>
          <w:lang w:val="en-US" w:eastAsia="en-GB"/>
          <w14:ligatures w14:val="none"/>
        </w:rPr>
      </w:pPr>
      <w:r w:rsidRPr="002B38A4">
        <w:rPr>
          <w:rFonts w:ascii="Aptos" w:eastAsia="Times New Roman" w:hAnsi="Aptos" w:cs="Segoe UI"/>
          <w:kern w:val="0"/>
          <w:sz w:val="22"/>
          <w:szCs w:val="22"/>
          <w:lang w:eastAsia="en-GB"/>
          <w14:ligatures w14:val="none"/>
        </w:rPr>
        <w:t xml:space="preserve"> The Welsh curriculum emphasizes adaptable, individual learning, designed to meet the unique needs of each child (Welsh Curriculum, 2020). It incorporates four core purposes that guide educational goals (Welsh Curriculum, 2020), ensuring that assessment plays a vital role in fostering age-appropriate progress while maintaining appropriate challenges (Welsh Government, 2022). Collaboration, a key principle in the 12 Pedagogical Principles of the Welsh Curriculum, is closely linked to peer assessment. It encourages students to work together, providing and receiving feedback, which enhances teamwork and communication skills. Through this process, students reflect on their own work while supporting each other's learning, promoting a collaborative and supportive classroom environment </w:t>
      </w:r>
      <w:r w:rsidRPr="002B38A4">
        <w:rPr>
          <w:rFonts w:ascii="Aptos" w:eastAsia="Times New Roman" w:hAnsi="Aptos" w:cs="Segoe UI"/>
          <w:color w:val="000000"/>
          <w:kern w:val="0"/>
          <w:sz w:val="22"/>
          <w:szCs w:val="22"/>
          <w:lang w:eastAsia="en-GB"/>
          <w14:ligatures w14:val="none"/>
        </w:rPr>
        <w:t>(Welsh Government, 2023) (Jones, 2023).</w:t>
      </w:r>
      <w:r w:rsidRPr="002B38A4">
        <w:rPr>
          <w:rFonts w:ascii="Aptos" w:eastAsia="Times New Roman" w:hAnsi="Aptos" w:cs="Segoe UI"/>
          <w:color w:val="000000"/>
          <w:kern w:val="0"/>
          <w:sz w:val="22"/>
          <w:szCs w:val="22"/>
          <w:lang w:val="en-US" w:eastAsia="en-GB"/>
          <w14:ligatures w14:val="none"/>
        </w:rPr>
        <w:t> </w:t>
      </w:r>
    </w:p>
    <w:p w14:paraId="5969750A"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val="en-US" w:eastAsia="en-GB"/>
          <w14:ligatures w14:val="none"/>
        </w:rPr>
      </w:pPr>
    </w:p>
    <w:p w14:paraId="3DBBE410"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Literature review  </w:t>
      </w:r>
    </w:p>
    <w:p w14:paraId="6C291513"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7F1A5CE1"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This research focuses on peer assessment, a teaching strategy that can be incredibly valuable in the classroom. However, to be effective, peer assessment needs careful planning and ongoing monitoring by teachers. Teachers play a key role in setting clear expectations and guiding students to provide feedback that is "specific, helpful, and kind" (Berger, 2003, p. 93) (Estyn, 2022). During my PTE2 placement, I observed peer assessment in Key Stage 2-year 6 classroom and chose to explore how both students and staff see its effectiveness in the classroom and whether it truly impacts learning outcomes.  </w:t>
      </w:r>
    </w:p>
    <w:p w14:paraId="316A21FE"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4FA6E9A9" w14:textId="77777777" w:rsidR="00F2097C" w:rsidRDefault="00F2097C" w:rsidP="00F2097C">
      <w:pPr>
        <w:spacing w:after="0" w:line="240" w:lineRule="auto"/>
        <w:textAlignment w:val="baseline"/>
        <w:rPr>
          <w:rFonts w:ascii="Aptos" w:eastAsia="Times New Roman" w:hAnsi="Aptos" w:cs="Segoe UI"/>
          <w:color w:val="000000"/>
          <w:kern w:val="0"/>
          <w:sz w:val="22"/>
          <w:szCs w:val="22"/>
          <w:lang w:val="en-US" w:eastAsia="en-GB"/>
          <w14:ligatures w14:val="none"/>
        </w:rPr>
      </w:pPr>
      <w:r w:rsidRPr="002B38A4">
        <w:rPr>
          <w:rFonts w:ascii="Aptos" w:eastAsia="Times New Roman" w:hAnsi="Aptos" w:cs="Segoe UI"/>
          <w:color w:val="000000"/>
          <w:kern w:val="0"/>
          <w:sz w:val="22"/>
          <w:szCs w:val="22"/>
          <w:lang w:eastAsia="en-GB"/>
          <w14:ligatures w14:val="none"/>
        </w:rPr>
        <w:t xml:space="preserve">According to Donaldson (2015), peer assessment offers students a chance to reflect on their peers’ work, which deepens their understanding and can make the learning process clearer. It can also create a more relaxed environment in the classroom and bring in diverse perspectives on students' work. Donaldson also highlights how peer assessment can give children a chance to share their achievements and struggles together, promoting collaboration as mentioned in my introduction (Donaldson, 2015). Research from Dylan Wiliam and Paul Black backs this up, showing that when assessment for learning (AFL) is used correctly, it can boost student engagement and improve results (Black and Williams, 1998). Educational expert John Hattie agrees, noting that feedback is "one of the most powerful influences on learning and </w:t>
      </w:r>
      <w:r w:rsidRPr="002B38A4">
        <w:rPr>
          <w:rFonts w:ascii="Aptos" w:eastAsia="Times New Roman" w:hAnsi="Aptos" w:cs="Segoe UI"/>
          <w:color w:val="000000"/>
          <w:kern w:val="0"/>
          <w:sz w:val="22"/>
          <w:szCs w:val="22"/>
          <w:lang w:eastAsia="en-GB"/>
          <w14:ligatures w14:val="none"/>
        </w:rPr>
        <w:lastRenderedPageBreak/>
        <w:t>achievement" (Waack, S., 2025). He explains that feedback can be both positive and negative but is crucial for improving student outcomes, with peer feedback being especially effective when handled well. The way feedback is delivered can make all the difference (Hattie, J. &amp; Timperley, H., 2007, p. 81). The Education Endowment Foundation also highlights the positive impact of peer assessment, noting that it can add an extra five months of progress over a school year. Furthermore, how it helps children develop socially and personally by boosting their self-confidence and motivation (Education Endowment Foundation, 2021). This shows that peer assessment can play a vast role in enhancing learning. Wiliam (2007) also points out that students who receive constructive feedback and suggestions for improvement learn much faster than those who just get a result. However, he notes that higher-achieving students sometimes skip reviewing their work, and lower-achieving students might disengage with feedback altogether (Wiliam, D., 2007, p. 7).</w:t>
      </w:r>
      <w:r w:rsidRPr="002B38A4">
        <w:rPr>
          <w:rFonts w:ascii="Aptos" w:eastAsia="Times New Roman" w:hAnsi="Aptos" w:cs="Segoe UI"/>
          <w:color w:val="000000"/>
          <w:kern w:val="0"/>
          <w:sz w:val="22"/>
          <w:szCs w:val="22"/>
          <w:lang w:val="en-US" w:eastAsia="en-GB"/>
          <w14:ligatures w14:val="none"/>
        </w:rPr>
        <w:t> </w:t>
      </w:r>
    </w:p>
    <w:p w14:paraId="515ED0CF"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val="en-US" w:eastAsia="en-GB"/>
          <w14:ligatures w14:val="none"/>
        </w:rPr>
      </w:pPr>
    </w:p>
    <w:p w14:paraId="3D7D7BED"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On the other hand, Topping (2009) raises concerns about how peer assessment can be influenced by social dynamics in the classroom. He explains that there’s a risk of “diffusion of responsibility” and “social loafing,” where students don’t put in enough effort or take accountability for their peer's work. This can lead to biased feedback, shaped by friendships or power dynamics in the classroom, ultimately affecting the quality of the results (Topping, 2009). Another issue is that students may not always have enough subject knowledge to offer constructive feedback, which can result in overly harsh or unhelpful comments. This can create emotional stress for students, leaving them less likely to benefit from the strategy (Cho and Schunn, 2007, p. 4). Additionally, (Dochy, Segers and Sluijsmans, 1999) argues that students might feel anxiety when comparing their work to others, fearing judgment or negative feedback. This can make them see peer assessment as more of a negative than a positive experience.  </w:t>
      </w:r>
    </w:p>
    <w:p w14:paraId="12080E10"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5A1042EB"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Methodology </w:t>
      </w:r>
    </w:p>
    <w:p w14:paraId="3CE419AC"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15B9AF55"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Research in Education was founded by H.J. Butcher, Professor of Higher Education, and H. Hoyle, Lecturer in Educational Sociology (Clarke, Vincent and Carusi, 2024). I chose questionnaires and interviews for my research as they help gather information that isn't directly observed, such as emotions, attitudes, and individual experiences (Hüseyin, Üniversitesi and Bilimler, 2009). A 2016 Estyn report highlighted the positive impact of research projects in schools, highlighting benefits such as a more purposeful curriculum and the development of staff expertise (Estyn, 2025). Estyn also mentioned that research on peer assessment fostered increased innovation in the classroom. My research techniques combined both qualitative and quantitative data to gather comprehensive insights. Quantitative data measured the effectiveness of peer assessment through surveys with ratings, while qualitative data provided deeper understanding through interviews and open-ended survey questions (Anon, 2024). This mixed-methods approach strengthened my findings, supporting Hüseyin et al.'s (2009) conclusions.</w:t>
      </w:r>
      <w:r w:rsidRPr="002B38A4">
        <w:rPr>
          <w:rFonts w:ascii="Aptos" w:eastAsia="Times New Roman" w:hAnsi="Aptos" w:cs="Segoe UI"/>
          <w:kern w:val="0"/>
          <w:sz w:val="22"/>
          <w:szCs w:val="22"/>
          <w:lang w:eastAsia="en-GB"/>
          <w14:ligatures w14:val="none"/>
        </w:rPr>
        <w:t>  </w:t>
      </w:r>
    </w:p>
    <w:p w14:paraId="0F880D2C"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716E1AC9"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Questionnaire</w:t>
      </w:r>
    </w:p>
    <w:p w14:paraId="28068E00"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kern w:val="0"/>
          <w:sz w:val="22"/>
          <w:szCs w:val="22"/>
          <w:lang w:eastAsia="en-GB"/>
          <w14:ligatures w14:val="none"/>
        </w:rPr>
        <w:t>  </w:t>
      </w:r>
    </w:p>
    <w:p w14:paraId="1E826EF1"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color w:val="000000"/>
          <w:kern w:val="0"/>
          <w:sz w:val="22"/>
          <w:szCs w:val="22"/>
          <w:lang w:eastAsia="en-GB"/>
          <w14:ligatures w14:val="none"/>
        </w:rPr>
        <w:t>The first research technique I used was the questionnaire, I chose this as it provided structured data collection and anonymity. It was time-efficient, taking only three minutes to complete, which led to higher engagement compared to my second method. I distributed two questionnaires: one for staff and one for students. The students received closed-ended questions for simplicity and clarity, minimizing confusion and errors. The staff received open-ended questions to encourage more detailed responses. This approach was designed to gather a range of perspectives and maximize the quality and relevance of the data. </w:t>
      </w:r>
    </w:p>
    <w:p w14:paraId="0CE6DE55"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 xml:space="preserve"> Questionnaires serve various purposes, the primary one being to discover what opinions or personal thoughts of a larger group of people. Allowing the researcher to collect data that may </w:t>
      </w:r>
      <w:r w:rsidRPr="002B38A4">
        <w:rPr>
          <w:rFonts w:ascii="Aptos" w:eastAsia="Times New Roman" w:hAnsi="Aptos" w:cs="Segoe UI"/>
          <w:color w:val="000000"/>
          <w:kern w:val="0"/>
          <w:sz w:val="22"/>
          <w:szCs w:val="22"/>
          <w:lang w:eastAsia="en-GB"/>
          <w14:ligatures w14:val="none"/>
        </w:rPr>
        <w:lastRenderedPageBreak/>
        <w:t>not have been discovered otherwise (O’Leary, 2014). This statement can be supported by (Anon,2023) who explained similarly how questionnaires allow for in-depth various aspects and opinions of education such as learning environments, curriculum effectiveness and classroom dynamics. (Anon, 2023). This may highlight how interviews do provide honest and effective answers that could influence change within education. The questionnaires I conducted were self-administered allow staff and children to respond at their own time they felt convent. It also provided extra time for reflection on the questions to answer as accurate as possible. This can be a highlight of this technique as it allowed for protentional of many answers. (Mazikana,2023). However, presenting the questionnaire this way may have affected my results, as the technique limits the ability to fully explain questions, potentially leading to unanswered, incomplete, or incorrect responses. (Macfarlan, A. 2023). Supporting this negative aspect is Lindemann (2023) who stated how questionnaires can conclude with little engagement, they continue to express how when participants engage with a questionnaire, they may rush through the questions, leave some unanswered or show response biases. This can lead to poor-quality data that doesn’t accurately represent their genuine thoughts or opinions (Lindemann, N. 2023).  </w:t>
      </w:r>
    </w:p>
    <w:p w14:paraId="0FEC20FF"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70BAA05D"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Interviews  </w:t>
      </w:r>
    </w:p>
    <w:p w14:paraId="42A705CC"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1C96403F"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For my second research technique, I conducted interviews with staff (</w:t>
      </w:r>
      <w:r w:rsidRPr="002B38A4">
        <w:rPr>
          <w:rFonts w:ascii="Aptos" w:eastAsia="Times New Roman" w:hAnsi="Aptos" w:cs="Segoe UI"/>
          <w:color w:val="00B0F0"/>
          <w:kern w:val="0"/>
          <w:sz w:val="22"/>
          <w:szCs w:val="22"/>
          <w:lang w:eastAsia="en-GB"/>
          <w14:ligatures w14:val="none"/>
        </w:rPr>
        <w:t>see Appendix **)</w:t>
      </w:r>
      <w:r w:rsidRPr="002B38A4">
        <w:rPr>
          <w:rFonts w:ascii="Aptos" w:eastAsia="Times New Roman" w:hAnsi="Aptos" w:cs="Segoe UI"/>
          <w:color w:val="000000"/>
          <w:kern w:val="0"/>
          <w:sz w:val="22"/>
          <w:szCs w:val="22"/>
          <w:lang w:eastAsia="en-GB"/>
          <w14:ligatures w14:val="none"/>
        </w:rPr>
        <w:t>. Proving questions to encourage thoughtful and detailed responses on experiences and personal opinions. The interviews lasted under 10 minutes to ensure efficiency. The semi-structured format during the interview allowed for a more relaxed environment. This was supported by (Winwood, J.2019) who stated, “</w:t>
      </w:r>
      <w:r w:rsidRPr="002B38A4">
        <w:rPr>
          <w:rFonts w:ascii="Aptos" w:eastAsia="Times New Roman" w:hAnsi="Aptos" w:cs="Segoe UI"/>
          <w:kern w:val="0"/>
          <w:sz w:val="22"/>
          <w:szCs w:val="22"/>
          <w:lang w:eastAsia="en-GB"/>
          <w14:ligatures w14:val="none"/>
        </w:rPr>
        <w:t>The natural development of conversation and the insights revealed is one benefit of doing unstructured interviews”. Focusing</w:t>
      </w:r>
      <w:r w:rsidRPr="002B38A4">
        <w:rPr>
          <w:rFonts w:ascii="Aptos" w:eastAsia="Times New Roman" w:hAnsi="Aptos" w:cs="Segoe UI"/>
          <w:color w:val="000000"/>
          <w:kern w:val="0"/>
          <w:sz w:val="22"/>
          <w:szCs w:val="22"/>
          <w:lang w:eastAsia="en-GB"/>
          <w14:ligatures w14:val="none"/>
        </w:rPr>
        <w:t xml:space="preserve"> on the interviews conducted, the technique can be viewed as effected due to the interviews provided a private way for staff to correct or address any problems while demonstrating interest. Furthermore, unlike meetings, interviews have a direct objective and goal. This allowed me to collect immediate feedback in person, while also providing opportunities for future adjustments and improvements within schools (L. Alford, and Gardner, 2020). To support my last point, interviews allow to expand in greater depth anything that has been mentioned in other research methods, such as a questionnaire. However, on the other hand, issues may arise when it comes to interviews, a notable issue can be consent surround the interview. To conduct the interview, consent must be obtained from the headteacher and staff who took part. If consent is not provided in time for the scheduled interview slot, it may delay or prevent the interviews from taking place (Thompson, 2019) (Anon, no date). These factors highlight why interviews may not be the most effective method for collecting data in an educational setting. Writer Aldhaen (2020) discussed how the interview method may be flawed due to it becoming time consuming. They explained how a successful interview will take time to prepare and deliver. Interviews require careful attention to detail and in some instances follow up questions. Meaning the research would take longer than a standard questionnaire. They continued to express how interviews lack confidentiality due to most being face- to face, where anonymity is limited. (Aldhaen, 2020) This may affect participates wiliness to express true opinions or feelings. All these barriers may lead to inaccurate or even less results compared to other research methods. (Hecker and Kalpokas, 2024). </w:t>
      </w:r>
    </w:p>
    <w:p w14:paraId="4B2B8242"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5F3101DB"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Ethics </w:t>
      </w:r>
    </w:p>
    <w:p w14:paraId="76210D44"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6D06DA51"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 xml:space="preserve">Ethical considerations were central to this research. </w:t>
      </w:r>
      <w:r w:rsidRPr="002B38A4">
        <w:rPr>
          <w:rFonts w:ascii="Aptos" w:eastAsia="Times New Roman" w:hAnsi="Aptos" w:cs="Segoe UI"/>
          <w:color w:val="00B0F0"/>
          <w:kern w:val="0"/>
          <w:sz w:val="22"/>
          <w:szCs w:val="22"/>
          <w:lang w:eastAsia="en-GB"/>
          <w14:ligatures w14:val="none"/>
        </w:rPr>
        <w:t xml:space="preserve">As seen in appendix *** </w:t>
      </w:r>
      <w:r w:rsidRPr="002B38A4">
        <w:rPr>
          <w:rFonts w:ascii="Aptos" w:eastAsia="Times New Roman" w:hAnsi="Aptos" w:cs="Segoe UI"/>
          <w:kern w:val="0"/>
          <w:sz w:val="22"/>
          <w:szCs w:val="22"/>
          <w:lang w:eastAsia="en-GB"/>
          <w14:ligatures w14:val="none"/>
        </w:rPr>
        <w:t xml:space="preserve">the research methods were all conducted under the act of (BERA, 2024) that states ethical research requires safe handling of participants data and privacy, and researchers must acknowledge the right to the participants privacy. Along with a consent form provided off the headteacher and staff that took part in my interviews as seen in </w:t>
      </w:r>
      <w:r w:rsidRPr="002B38A4">
        <w:rPr>
          <w:rFonts w:ascii="Aptos" w:eastAsia="Times New Roman" w:hAnsi="Aptos" w:cs="Segoe UI"/>
          <w:color w:val="155F81"/>
          <w:kern w:val="0"/>
          <w:sz w:val="22"/>
          <w:szCs w:val="22"/>
          <w:lang w:eastAsia="en-GB"/>
          <w14:ligatures w14:val="none"/>
        </w:rPr>
        <w:t xml:space="preserve">appendix***. </w:t>
      </w:r>
      <w:r w:rsidRPr="002B38A4">
        <w:rPr>
          <w:rFonts w:ascii="Aptos" w:eastAsia="Times New Roman" w:hAnsi="Aptos" w:cs="Segoe UI"/>
          <w:kern w:val="0"/>
          <w:sz w:val="22"/>
          <w:szCs w:val="22"/>
          <w:lang w:eastAsia="en-GB"/>
          <w14:ligatures w14:val="none"/>
        </w:rPr>
        <w:t xml:space="preserve">The ethical guidelines further were outlined </w:t>
      </w:r>
      <w:r w:rsidRPr="002B38A4">
        <w:rPr>
          <w:rFonts w:ascii="Aptos" w:eastAsia="Times New Roman" w:hAnsi="Aptos" w:cs="Segoe UI"/>
          <w:kern w:val="0"/>
          <w:sz w:val="22"/>
          <w:szCs w:val="22"/>
          <w:lang w:eastAsia="en-GB"/>
          <w14:ligatures w14:val="none"/>
        </w:rPr>
        <w:lastRenderedPageBreak/>
        <w:t xml:space="preserve">in my approved ethics form, which detailed the aims of my research, including evaluating assessment for learning strategies and critically reflecting on the data to draw conclusions. The form also helped identify potential risks, such as the possibility of inaccurate data and the pressure participants might feel. This may link to Blackburn (2021) who explains how It highlights that ethics is crucial because it allows us to reflect on and shape the moral environment we live in. Ethics helps us critically evaluate our values and behaviours, which can prevent harmful consequences that may arise from misguided ethical beliefs </w:t>
      </w:r>
      <w:r w:rsidRPr="002B38A4">
        <w:rPr>
          <w:rFonts w:ascii="Aptos" w:eastAsia="Times New Roman" w:hAnsi="Aptos" w:cs="Segoe UI"/>
          <w:color w:val="000000"/>
          <w:kern w:val="0"/>
          <w:sz w:val="22"/>
          <w:szCs w:val="22"/>
          <w:lang w:eastAsia="en-GB"/>
          <w14:ligatures w14:val="none"/>
        </w:rPr>
        <w:t>(Blackburn, 2021). </w:t>
      </w:r>
    </w:p>
    <w:p w14:paraId="3AF255EE"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7DD752B7"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 xml:space="preserve">My research began by sending questionnaires to staff and students via email, along with a description of the questions and their purpose. I ensured participants understood they could withdraw at any time, in line with BERA guidelines (2024) and UNICEF’s Article 12 (2016). Conducting questions with children was challenging, as I wasn't present to assist, leading to some unanswered questions and potential bias, given their regular involvement in peer assessment. Staff interviews also had limitations, as I could only interview six Key Stage 2 teachers from the same school, which may have introduced bias. Ideally, I would have interviewed a broader range of staff. In the future, interviewing staff and children from multiple schools would provide more balanced data. Additionally, discussing the questionnaire face-to-face with children would help ensure better understanding and more insightful responses. </w:t>
      </w:r>
    </w:p>
    <w:p w14:paraId="488D2CB8"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p>
    <w:p w14:paraId="6AF95A72"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Findings and discussions </w:t>
      </w:r>
    </w:p>
    <w:p w14:paraId="7B0FABD1"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233F5A0D"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kern w:val="0"/>
          <w:sz w:val="22"/>
          <w:szCs w:val="22"/>
          <w:lang w:eastAsia="en-GB"/>
          <w14:ligatures w14:val="none"/>
        </w:rPr>
        <w:t xml:space="preserve">Reflecting on the results from both research methods, exploring the effects of peer assessment has provided valuable and insightful data. The questionnaires completed by 10 staff members, show that the majority believe peer assessment can be somewhat effective, with 80% agreeing </w:t>
      </w:r>
      <w:r w:rsidRPr="002B38A4">
        <w:rPr>
          <w:rFonts w:ascii="Aptos" w:eastAsia="Times New Roman" w:hAnsi="Aptos" w:cs="Segoe UI"/>
          <w:color w:val="0E2740"/>
          <w:kern w:val="0"/>
          <w:sz w:val="22"/>
          <w:szCs w:val="22"/>
          <w:lang w:eastAsia="en-GB"/>
          <w14:ligatures w14:val="none"/>
        </w:rPr>
        <w:t>(see Appendix *)</w:t>
      </w:r>
      <w:r w:rsidRPr="002B38A4">
        <w:rPr>
          <w:rFonts w:ascii="Aptos" w:eastAsia="Times New Roman" w:hAnsi="Aptos" w:cs="Segoe UI"/>
          <w:kern w:val="0"/>
          <w:sz w:val="22"/>
          <w:szCs w:val="22"/>
          <w:lang w:eastAsia="en-GB"/>
          <w14:ligatures w14:val="none"/>
        </w:rPr>
        <w:t xml:space="preserve">. When asked about challenges faced when implementing peer assessment, 60% of respondents highlighted the lack of constructive feedback, particularly from lower ability students who struggle to provide feedback for improvement. This finding aligns with Topping (2009) who, as mentioned prior explained how children may not always be able to give the level of feedback required, resulting in limited progress. In Question 7, which asked staff members, “Do students typically enjoy engaging in peer assessments? How do you address students who may feel reluctant or uncertain about participating?” 50% of participants said they believe children do enjoy peer assessment, providing reasons such as engaging in constructive conversations and taking on a new sense of responsibility. This is supported by Swaffield </w:t>
      </w:r>
      <w:r w:rsidRPr="002B38A4">
        <w:rPr>
          <w:rFonts w:ascii="Aptos" w:eastAsia="Times New Roman" w:hAnsi="Aptos" w:cs="Segoe UI"/>
          <w:color w:val="000000"/>
          <w:kern w:val="0"/>
          <w:sz w:val="22"/>
          <w:szCs w:val="22"/>
          <w:lang w:eastAsia="en-GB"/>
          <w14:ligatures w14:val="none"/>
        </w:rPr>
        <w:t>(2011.PP443)</w:t>
      </w:r>
      <w:r w:rsidRPr="002B38A4">
        <w:rPr>
          <w:rFonts w:ascii="Aptos" w:eastAsia="Times New Roman" w:hAnsi="Aptos" w:cs="Segoe UI"/>
          <w:kern w:val="0"/>
          <w:sz w:val="22"/>
          <w:szCs w:val="22"/>
          <w:lang w:eastAsia="en-GB"/>
          <w14:ligatures w14:val="none"/>
        </w:rPr>
        <w:t xml:space="preserve">, who states, “Sharing criteria with learners enables them to develop a clear sense of what they are aiming at and the meaning of quality in any endeavour. This, coupled with self and peer assessment, helps students learn.” </w:t>
      </w:r>
      <w:r w:rsidRPr="002B38A4">
        <w:rPr>
          <w:rFonts w:ascii="Aptos" w:eastAsia="Times New Roman" w:hAnsi="Aptos" w:cs="Segoe UI"/>
          <w:color w:val="000000"/>
          <w:kern w:val="0"/>
          <w:sz w:val="22"/>
          <w:szCs w:val="22"/>
          <w:lang w:eastAsia="en-GB"/>
          <w14:ligatures w14:val="none"/>
        </w:rPr>
        <w:t>(Swaffield, 2011).</w:t>
      </w:r>
      <w:r w:rsidRPr="002B38A4">
        <w:rPr>
          <w:rFonts w:ascii="Aptos" w:eastAsia="Times New Roman" w:hAnsi="Aptos" w:cs="Segoe UI"/>
          <w:kern w:val="0"/>
          <w:sz w:val="22"/>
          <w:szCs w:val="22"/>
          <w:lang w:eastAsia="en-GB"/>
          <w14:ligatures w14:val="none"/>
        </w:rPr>
        <w:t xml:space="preserve"> Additionally, Donaldson (2015) suggests that peer assessment can promote collaboration within the classroom, as mentioned earlier in the literature review. Reviewing these opinions may suggest peer assessment does have a positive effect in the classroom. When asked a suggestion to overcome any barrier of using peer assessment in classrooms 2 members of staff suggested to use a feedback rubix as a method of improving peer assessment, this suggestion can be supported by Orsmond (2000) and DeMarchi (2025)  who explains how using a rubric to guide students in providing specific, constructive feedback instead of vague praise </w:t>
      </w:r>
      <w:r w:rsidRPr="002B38A4">
        <w:rPr>
          <w:rFonts w:ascii="Aptos" w:eastAsia="Times New Roman" w:hAnsi="Aptos" w:cs="Segoe UI"/>
          <w:color w:val="000000"/>
          <w:kern w:val="0"/>
          <w:sz w:val="22"/>
          <w:szCs w:val="22"/>
          <w:lang w:eastAsia="en-GB"/>
          <w14:ligatures w14:val="none"/>
        </w:rPr>
        <w:t>(Orsmond, Merry and Reiling, 2000)</w:t>
      </w:r>
      <w:r w:rsidRPr="002B38A4">
        <w:rPr>
          <w:rFonts w:ascii="Aptos" w:eastAsia="Times New Roman" w:hAnsi="Aptos" w:cs="Segoe UI"/>
          <w:kern w:val="0"/>
          <w:sz w:val="22"/>
          <w:szCs w:val="22"/>
          <w:lang w:eastAsia="en-GB"/>
          <w14:ligatures w14:val="none"/>
        </w:rPr>
        <w:t xml:space="preserve">. An online rubric sets clear expectations, ensuring consistent feedback and helping students focus on key areas </w:t>
      </w:r>
      <w:r w:rsidRPr="002B38A4">
        <w:rPr>
          <w:rFonts w:ascii="Aptos" w:eastAsia="Times New Roman" w:hAnsi="Aptos" w:cs="Segoe UI"/>
          <w:color w:val="000000"/>
          <w:kern w:val="0"/>
          <w:sz w:val="22"/>
          <w:szCs w:val="22"/>
          <w:lang w:eastAsia="en-GB"/>
          <w14:ligatures w14:val="none"/>
        </w:rPr>
        <w:t>(DeMarchi, 2025). </w:t>
      </w:r>
    </w:p>
    <w:p w14:paraId="506E7891"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39143655" w14:textId="77777777" w:rsidR="00F2097C" w:rsidRPr="002B38A4" w:rsidRDefault="00F2097C" w:rsidP="00F2097C">
      <w:pPr>
        <w:spacing w:after="0" w:line="240" w:lineRule="auto"/>
        <w:textAlignment w:val="baseline"/>
        <w:rPr>
          <w:rFonts w:ascii="Aptos" w:eastAsia="Times New Roman" w:hAnsi="Aptos" w:cs="Segoe UI"/>
          <w:color w:val="215E99" w:themeColor="text2" w:themeTint="BF"/>
          <w:kern w:val="0"/>
          <w:sz w:val="22"/>
          <w:szCs w:val="22"/>
          <w:lang w:eastAsia="en-GB"/>
          <w14:ligatures w14:val="none"/>
        </w:rPr>
      </w:pPr>
      <w:r w:rsidRPr="002B38A4">
        <w:rPr>
          <w:rFonts w:ascii="Aptos" w:eastAsia="Times New Roman" w:hAnsi="Aptos" w:cs="Segoe UI"/>
          <w:kern w:val="0"/>
          <w:sz w:val="22"/>
          <w:szCs w:val="22"/>
          <w:lang w:eastAsia="en-GB"/>
          <w14:ligatures w14:val="none"/>
        </w:rPr>
        <w:t xml:space="preserve">Looking at the questionnaires completed by Year 6 pupils, it was clear that many students are comfortable with peers marking their work, with 42% stating they feel okay with it. Furthermore, when asked if peer assessment helps improve their work, 61% said yes. This aligns with the findings of the Education Endowment Foundation, which highlighted how peer assessment can boost confidence and support social development among children. However, these findings </w:t>
      </w:r>
      <w:r w:rsidRPr="002B38A4">
        <w:rPr>
          <w:rFonts w:ascii="Aptos" w:eastAsia="Times New Roman" w:hAnsi="Aptos" w:cs="Segoe UI"/>
          <w:kern w:val="0"/>
          <w:sz w:val="22"/>
          <w:szCs w:val="22"/>
          <w:lang w:eastAsia="en-GB"/>
          <w14:ligatures w14:val="none"/>
        </w:rPr>
        <w:lastRenderedPageBreak/>
        <w:t>seem to contradict staff responses, who noted that peer assessment could be skewed by biases among students, potentially leading to less constructive feedback. According to Dochy et al. (1999), peer assessment can have a positive impact on learning, but its effectiveness may be affected by social factors such as friendships, collusion, and concerns about fairness</w:t>
      </w:r>
      <w:r w:rsidRPr="002B38A4">
        <w:rPr>
          <w:rFonts w:ascii="Aptos" w:eastAsia="Times New Roman" w:hAnsi="Aptos" w:cs="Segoe UI"/>
          <w:color w:val="215E99" w:themeColor="text2" w:themeTint="BF"/>
          <w:kern w:val="0"/>
          <w:sz w:val="22"/>
          <w:szCs w:val="22"/>
          <w:lang w:eastAsia="en-GB"/>
          <w14:ligatures w14:val="none"/>
        </w:rPr>
        <w:t>.  Little more on this</w:t>
      </w:r>
    </w:p>
    <w:p w14:paraId="577524AF"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440D2431"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color w:val="000000"/>
          <w:kern w:val="0"/>
          <w:sz w:val="22"/>
          <w:szCs w:val="22"/>
          <w:lang w:val="en-US" w:eastAsia="en-GB"/>
          <w14:ligatures w14:val="none"/>
        </w:rPr>
        <w:t xml:space="preserve">Upon reviewing the findings from my interviews, it was clear that all six staff members I interviewed had a positive view on the use of peer assessment in the classroom. When asked, "In your experience, do you believe peer assessment helps students improve their learning? How so?" All responses were supportive, highlighting that peer assessment offers students a broader perspective on the subject, encourages meaningful discussions, and leads to more valuable learning outcomes. These insights align with the findings from my literature review, particularly the work of Black and Williams (1998), who noted that peer assessment allows students to engage more actively in the learning process. Instead of receiving a result from the teacher, students become more supportive of each other, which enhances their learning experience and deepens their understanding of the material. This also links to question 5 where I similarly asked ‘What benefits have you observed in students because of participating in peer assessments? How have they grown from the experience?’ Where I gained responses such as "I’ve seen an increase in student engagement. When students provide feedback, they become more involved in the learning process, as they are not only learning from the teacher but from their peers as well. (Teacher 3,2025). As well as an interesting response that states how they may have seen improvement in self-assessment due to peer assessment as after children highlight other strengths and weaknesses it then allows them to reflect more on their own. In turn creating a more motivated and positive pupil. Gaining these positive responses allowed me to support my literature review acknowledging that peer assessment can be effective when used around the classroom. However, based off question 4 when asked if peer assessment should be used more frequently, most staff said yes. These responses may contradict </w:t>
      </w:r>
      <w:r w:rsidRPr="002B38A4">
        <w:rPr>
          <w:rFonts w:ascii="Aptos" w:eastAsia="Times New Roman" w:hAnsi="Aptos" w:cs="Segoe UI"/>
          <w:color w:val="000000"/>
          <w:kern w:val="0"/>
          <w:sz w:val="22"/>
          <w:szCs w:val="22"/>
          <w:lang w:eastAsia="en-GB"/>
          <w14:ligatures w14:val="none"/>
        </w:rPr>
        <w:t>Dochy, Segers and Sluijsmans (1999)</w:t>
      </w:r>
      <w:r w:rsidRPr="002B38A4">
        <w:rPr>
          <w:rFonts w:ascii="Aptos" w:eastAsia="Times New Roman" w:hAnsi="Aptos" w:cs="Segoe UI"/>
          <w:color w:val="000000"/>
          <w:kern w:val="0"/>
          <w:sz w:val="22"/>
          <w:szCs w:val="22"/>
          <w:lang w:val="en-US" w:eastAsia="en-GB"/>
          <w14:ligatures w14:val="none"/>
        </w:rPr>
        <w:t xml:space="preserve"> in my literature review when they stated how peer assessment may be seen as a negative for children who don't feel confident providing or receiving criticism off other children. </w:t>
      </w:r>
      <w:r w:rsidRPr="002B38A4">
        <w:rPr>
          <w:rFonts w:ascii="Aptos" w:eastAsia="Times New Roman" w:hAnsi="Aptos" w:cs="Segoe UI"/>
          <w:color w:val="4C94D8"/>
          <w:kern w:val="0"/>
          <w:sz w:val="22"/>
          <w:szCs w:val="22"/>
          <w:lang w:val="en-US" w:eastAsia="en-GB"/>
          <w14:ligatures w14:val="none"/>
        </w:rPr>
        <w:t>MORE OUTSIDE LIT/?</w:t>
      </w:r>
      <w:r w:rsidRPr="002B38A4">
        <w:rPr>
          <w:rFonts w:ascii="Aptos" w:eastAsia="Times New Roman" w:hAnsi="Aptos" w:cs="Segoe UI"/>
          <w:color w:val="4C94D8"/>
          <w:kern w:val="0"/>
          <w:sz w:val="22"/>
          <w:szCs w:val="22"/>
          <w:lang w:eastAsia="en-GB"/>
          <w14:ligatures w14:val="none"/>
        </w:rPr>
        <w:t> </w:t>
      </w:r>
    </w:p>
    <w:p w14:paraId="473244BE"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color w:val="000000"/>
          <w:kern w:val="0"/>
          <w:sz w:val="22"/>
          <w:szCs w:val="22"/>
          <w:lang w:eastAsia="en-GB"/>
          <w14:ligatures w14:val="none"/>
        </w:rPr>
        <w:t> </w:t>
      </w:r>
    </w:p>
    <w:p w14:paraId="6E83F7CD" w14:textId="77777777" w:rsidR="00F2097C" w:rsidRDefault="00F2097C" w:rsidP="00F2097C">
      <w:pPr>
        <w:spacing w:after="0" w:line="240" w:lineRule="auto"/>
        <w:textAlignment w:val="baseline"/>
        <w:rPr>
          <w:rFonts w:ascii="Aptos" w:eastAsia="Times New Roman" w:hAnsi="Aptos" w:cs="Segoe UI"/>
          <w:kern w:val="0"/>
          <w:sz w:val="22"/>
          <w:szCs w:val="22"/>
          <w:lang w:eastAsia="en-GB"/>
          <w14:ligatures w14:val="none"/>
        </w:rPr>
      </w:pPr>
      <w:r w:rsidRPr="002B38A4">
        <w:rPr>
          <w:rFonts w:ascii="Aptos" w:eastAsia="Times New Roman" w:hAnsi="Aptos" w:cs="Segoe UI"/>
          <w:kern w:val="0"/>
          <w:sz w:val="22"/>
          <w:szCs w:val="22"/>
          <w:lang w:eastAsia="en-GB"/>
          <w14:ligatures w14:val="none"/>
        </w:rPr>
        <w:t>Conclusion  </w:t>
      </w:r>
    </w:p>
    <w:p w14:paraId="57C657F3"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6F28F571"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kern w:val="0"/>
          <w:sz w:val="22"/>
          <w:szCs w:val="22"/>
          <w:lang w:eastAsia="en-GB"/>
          <w14:ligatures w14:val="none"/>
        </w:rPr>
        <w:t>The primary aim of this research was to explore the effectiveness of peer assessment in the classroom and how it could be better utilized in the future. </w:t>
      </w:r>
    </w:p>
    <w:p w14:paraId="115CED09"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kern w:val="0"/>
          <w:sz w:val="22"/>
          <w:szCs w:val="22"/>
          <w:lang w:eastAsia="en-GB"/>
          <w14:ligatures w14:val="none"/>
        </w:rPr>
        <w:t> </w:t>
      </w:r>
      <w:r w:rsidRPr="002B38A4">
        <w:rPr>
          <w:rFonts w:ascii="Aptos" w:eastAsia="Times New Roman" w:hAnsi="Aptos" w:cs="Segoe UI"/>
          <w:color w:val="000000"/>
          <w:kern w:val="0"/>
          <w:sz w:val="22"/>
          <w:szCs w:val="22"/>
          <w:lang w:eastAsia="en-GB"/>
          <w14:ligatures w14:val="none"/>
        </w:rPr>
        <w:t>Interviews were initially seen as effective for gathering honest, private opinions on assessment for learning strategies (Mack, 2022). However, after reviewing my research, it’s clear that interviewing staff from the same school may not have been the most efficient method. Teachers from the same school can introduce bias, as they may share similar teaching styles or experiences, particularly if the school emphasizes strategies like peer assessment (Cohen, Manion, &amp; Morrison, 2018). Additionally, interviewing staff from a school focused on peer assessment could lead to biased or inaccurate data. Reflecting on the questionnaires, they offered limited insights, making it hard to see the bigger picture. Additionally, the lack of follow-up questions in the children's questionnaire may have hindered more detailed responses.  </w:t>
      </w:r>
    </w:p>
    <w:p w14:paraId="34FE24D9"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r w:rsidRPr="002B38A4">
        <w:rPr>
          <w:rFonts w:ascii="Aptos" w:eastAsia="Times New Roman" w:hAnsi="Aptos" w:cs="Segoe UI"/>
          <w:color w:val="000000"/>
          <w:kern w:val="0"/>
          <w:sz w:val="22"/>
          <w:szCs w:val="22"/>
          <w:lang w:eastAsia="en-GB"/>
          <w14:ligatures w14:val="none"/>
        </w:rPr>
        <w:t>However, I did experience some positive aspects of the research techniques. Firstly, the anonymity of the questionnaire was beneficial in encouraging honest feedback. Additionally, it was quick yet effective, allowing for widespread participation. Questionnaires proved to be flexible and adaptable, making them suitable for both formative and summative assessments. They can also be used in various settings, both inside and outside the classroom, which enhances their versatility (Jones, 2022). </w:t>
      </w:r>
    </w:p>
    <w:p w14:paraId="14D8639D" w14:textId="77777777" w:rsidR="00F2097C" w:rsidRDefault="00F2097C" w:rsidP="00F2097C">
      <w:pPr>
        <w:spacing w:after="0" w:line="240" w:lineRule="auto"/>
        <w:textAlignment w:val="baseline"/>
        <w:rPr>
          <w:rFonts w:ascii="Aptos" w:eastAsia="Times New Roman" w:hAnsi="Aptos" w:cs="Segoe UI"/>
          <w:color w:val="000000"/>
          <w:kern w:val="0"/>
          <w:sz w:val="22"/>
          <w:szCs w:val="22"/>
          <w:lang w:eastAsia="en-GB"/>
          <w14:ligatures w14:val="none"/>
        </w:rPr>
      </w:pPr>
      <w:r w:rsidRPr="002B38A4">
        <w:rPr>
          <w:rFonts w:ascii="Aptos" w:eastAsia="Times New Roman" w:hAnsi="Aptos" w:cs="Segoe UI"/>
          <w:color w:val="000000"/>
          <w:kern w:val="0"/>
          <w:sz w:val="22"/>
          <w:szCs w:val="22"/>
          <w:lang w:eastAsia="en-GB"/>
          <w14:ligatures w14:val="none"/>
        </w:rPr>
        <w:t xml:space="preserve">Conducting research at my school gave me useful insights, but I realized there were some limitations, like a small sample size and lack of variety in perspectives. Next time, I’d expand </w:t>
      </w:r>
      <w:r w:rsidRPr="002B38A4">
        <w:rPr>
          <w:rFonts w:ascii="Aptos" w:eastAsia="Times New Roman" w:hAnsi="Aptos" w:cs="Segoe UI"/>
          <w:color w:val="000000"/>
          <w:kern w:val="0"/>
          <w:sz w:val="22"/>
          <w:szCs w:val="22"/>
          <w:lang w:eastAsia="en-GB"/>
          <w14:ligatures w14:val="none"/>
        </w:rPr>
        <w:lastRenderedPageBreak/>
        <w:t>the participant group and allow more detailed responses. This research has deepened my understanding of assessment strategies and their impact on student learning. Moving forward, I’ll apply this knowledge by experimenting with different strategies, refining my approach to foster better student engagement and learning outcomes. </w:t>
      </w:r>
    </w:p>
    <w:p w14:paraId="4C723C26" w14:textId="77777777" w:rsidR="00F2097C" w:rsidRPr="002B38A4" w:rsidRDefault="00F2097C" w:rsidP="00F2097C">
      <w:pPr>
        <w:spacing w:after="0" w:line="240" w:lineRule="auto"/>
        <w:textAlignment w:val="baseline"/>
        <w:rPr>
          <w:rFonts w:ascii="Segoe UI" w:eastAsia="Times New Roman" w:hAnsi="Segoe UI" w:cs="Segoe UI"/>
          <w:kern w:val="0"/>
          <w:sz w:val="18"/>
          <w:szCs w:val="18"/>
          <w:lang w:eastAsia="en-GB"/>
          <w14:ligatures w14:val="none"/>
        </w:rPr>
      </w:pPr>
    </w:p>
    <w:p w14:paraId="557A6DE5" w14:textId="77777777" w:rsidR="00F2097C" w:rsidRDefault="00F2097C" w:rsidP="00F2097C">
      <w:pPr>
        <w:spacing w:after="0" w:line="240" w:lineRule="auto"/>
        <w:textAlignment w:val="baseline"/>
        <w:rPr>
          <w:rFonts w:ascii="Aptos" w:eastAsia="Times New Roman" w:hAnsi="Aptos" w:cs="Segoe UI"/>
          <w:color w:val="000000"/>
          <w:kern w:val="0"/>
          <w:sz w:val="22"/>
          <w:szCs w:val="22"/>
          <w:lang w:val="en-US" w:eastAsia="en-GB"/>
          <w14:ligatures w14:val="none"/>
        </w:rPr>
      </w:pPr>
      <w:r w:rsidRPr="002B38A4">
        <w:rPr>
          <w:rFonts w:ascii="Aptos" w:eastAsia="Times New Roman" w:hAnsi="Aptos" w:cs="Segoe UI"/>
          <w:color w:val="000000"/>
          <w:kern w:val="0"/>
          <w:sz w:val="22"/>
          <w:szCs w:val="22"/>
          <w:lang w:eastAsia="en-GB"/>
          <w14:ligatures w14:val="none"/>
        </w:rPr>
        <w:t>Reference list</w:t>
      </w:r>
      <w:r w:rsidRPr="002B38A4">
        <w:rPr>
          <w:rFonts w:ascii="Aptos" w:eastAsia="Times New Roman" w:hAnsi="Aptos" w:cs="Segoe UI"/>
          <w:color w:val="000000"/>
          <w:kern w:val="0"/>
          <w:sz w:val="22"/>
          <w:szCs w:val="22"/>
          <w:lang w:val="en-US" w:eastAsia="en-GB"/>
          <w14:ligatures w14:val="none"/>
        </w:rPr>
        <w:t> </w:t>
      </w:r>
    </w:p>
    <w:p w14:paraId="54D6E034" w14:textId="77777777" w:rsidR="00F2097C" w:rsidRPr="002B38A4" w:rsidRDefault="00F2097C" w:rsidP="00F2097C">
      <w:pPr>
        <w:spacing w:after="0" w:line="240" w:lineRule="auto"/>
        <w:textAlignment w:val="baseline"/>
        <w:rPr>
          <w:rFonts w:ascii="Segoe UI" w:eastAsia="Times New Roman" w:hAnsi="Segoe UI" w:cs="Segoe UI"/>
          <w:color w:val="0F4761"/>
          <w:kern w:val="0"/>
          <w:sz w:val="18"/>
          <w:szCs w:val="18"/>
          <w:lang w:val="en-US" w:eastAsia="en-GB"/>
          <w14:ligatures w14:val="none"/>
        </w:rPr>
      </w:pPr>
    </w:p>
    <w:p w14:paraId="526407F3"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Aldhaen, M. (2020). INTERVIEW VERSUS QUESTIONNAIRE FROM THE PERSPECTIVE OF CBE MEMBERS. </w:t>
      </w:r>
      <w:r w:rsidRPr="002B38A4">
        <w:rPr>
          <w:rFonts w:ascii="Times New Roman" w:eastAsia="Times New Roman" w:hAnsi="Times New Roman" w:cs="Times New Roman"/>
          <w:i/>
          <w:iCs/>
          <w:color w:val="000000"/>
          <w:kern w:val="0"/>
          <w:sz w:val="22"/>
          <w:szCs w:val="22"/>
          <w:lang w:eastAsia="en-GB"/>
          <w14:ligatures w14:val="none"/>
        </w:rPr>
        <w:t>International Journal of Education, Learning and Development</w:t>
      </w:r>
      <w:r w:rsidRPr="002B38A4">
        <w:rPr>
          <w:rFonts w:ascii="Times New Roman" w:eastAsia="Times New Roman" w:hAnsi="Times New Roman" w:cs="Times New Roman"/>
          <w:color w:val="000000"/>
          <w:kern w:val="0"/>
          <w:sz w:val="22"/>
          <w:szCs w:val="22"/>
          <w:lang w:eastAsia="en-GB"/>
          <w14:ligatures w14:val="none"/>
        </w:rPr>
        <w:t xml:space="preserve">, [online] 8(2), pp.71–94. Available at: </w:t>
      </w:r>
      <w:hyperlink r:id="rId4" w:tgtFrame="_blank" w:history="1">
        <w:r w:rsidRPr="002B38A4">
          <w:rPr>
            <w:rFonts w:ascii="Times New Roman" w:eastAsia="Times New Roman" w:hAnsi="Times New Roman" w:cs="Times New Roman"/>
            <w:color w:val="467886"/>
            <w:kern w:val="0"/>
            <w:sz w:val="22"/>
            <w:szCs w:val="22"/>
            <w:u w:val="single"/>
            <w:lang w:eastAsia="en-GB"/>
            <w14:ligatures w14:val="none"/>
          </w:rPr>
          <w:t>https://www.eajournals.org/wp-content/uploads/Interview-versus-Questionnaire-from-the-Perspective-of-CBE-Members-1.pdf</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6291E60B"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2331C00"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Alexandrou, A. and Swaffield, S. (2016). </w:t>
      </w:r>
      <w:r w:rsidRPr="002B38A4">
        <w:rPr>
          <w:rFonts w:ascii="Times New Roman" w:eastAsia="Times New Roman" w:hAnsi="Times New Roman" w:cs="Times New Roman"/>
          <w:i/>
          <w:iCs/>
          <w:color w:val="000000"/>
          <w:kern w:val="0"/>
          <w:sz w:val="22"/>
          <w:szCs w:val="22"/>
          <w:lang w:eastAsia="en-GB"/>
          <w14:ligatures w14:val="none"/>
        </w:rPr>
        <w:t>Teacher Leadership and Professional Development</w:t>
      </w:r>
      <w:r w:rsidRPr="002B38A4">
        <w:rPr>
          <w:rFonts w:ascii="Times New Roman" w:eastAsia="Times New Roman" w:hAnsi="Times New Roman" w:cs="Times New Roman"/>
          <w:color w:val="000000"/>
          <w:kern w:val="0"/>
          <w:sz w:val="22"/>
          <w:szCs w:val="22"/>
          <w:lang w:eastAsia="en-GB"/>
          <w14:ligatures w14:val="none"/>
        </w:rPr>
        <w:t>. Routledge.</w:t>
      </w:r>
      <w:r w:rsidRPr="002B38A4">
        <w:rPr>
          <w:rFonts w:ascii="Times New Roman" w:eastAsia="Times New Roman" w:hAnsi="Times New Roman" w:cs="Times New Roman"/>
          <w:color w:val="000000"/>
          <w:kern w:val="0"/>
          <w:sz w:val="22"/>
          <w:szCs w:val="22"/>
          <w:lang w:val="en-US" w:eastAsia="en-GB"/>
          <w14:ligatures w14:val="none"/>
        </w:rPr>
        <w:t> </w:t>
      </w:r>
    </w:p>
    <w:p w14:paraId="4DC5E3F9"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Applying Material from Item C and Your Knowledge of Research methods, Evaluate the Strengths and Limitations of Using Unstructured Interviews to Investigate streaming. (n.d.).</w:t>
      </w:r>
      <w:r w:rsidRPr="002B38A4">
        <w:rPr>
          <w:rFonts w:ascii="Times New Roman" w:eastAsia="Times New Roman" w:hAnsi="Times New Roman" w:cs="Times New Roman"/>
          <w:color w:val="000000"/>
          <w:kern w:val="0"/>
          <w:sz w:val="22"/>
          <w:szCs w:val="22"/>
          <w:lang w:val="en-US" w:eastAsia="en-GB"/>
          <w14:ligatures w14:val="none"/>
        </w:rPr>
        <w:t> </w:t>
      </w:r>
    </w:p>
    <w:p w14:paraId="3BC7953C"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72B4E71A"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BERA (2024a). </w:t>
      </w:r>
      <w:r w:rsidRPr="002B38A4">
        <w:rPr>
          <w:rFonts w:ascii="Times New Roman" w:eastAsia="Times New Roman" w:hAnsi="Times New Roman" w:cs="Times New Roman"/>
          <w:i/>
          <w:iCs/>
          <w:color w:val="000000"/>
          <w:kern w:val="0"/>
          <w:sz w:val="22"/>
          <w:szCs w:val="22"/>
          <w:lang w:eastAsia="en-GB"/>
          <w14:ligatures w14:val="none"/>
        </w:rPr>
        <w:t>Ethical Guidelines for Educational Research, fifth edition (2024)</w:t>
      </w:r>
      <w:r w:rsidRPr="002B38A4">
        <w:rPr>
          <w:rFonts w:ascii="Times New Roman" w:eastAsia="Times New Roman" w:hAnsi="Times New Roman" w:cs="Times New Roman"/>
          <w:color w:val="000000"/>
          <w:kern w:val="0"/>
          <w:sz w:val="22"/>
          <w:szCs w:val="22"/>
          <w:lang w:eastAsia="en-GB"/>
          <w14:ligatures w14:val="none"/>
        </w:rPr>
        <w:t xml:space="preserve">. [online] </w:t>
      </w:r>
      <w:hyperlink r:id="rId5" w:tgtFrame="_blank" w:history="1">
        <w:r w:rsidRPr="002B38A4">
          <w:rPr>
            <w:rFonts w:ascii="Times New Roman" w:eastAsia="Times New Roman" w:hAnsi="Times New Roman" w:cs="Times New Roman"/>
            <w:color w:val="467886"/>
            <w:kern w:val="0"/>
            <w:sz w:val="22"/>
            <w:szCs w:val="22"/>
            <w:u w:val="single"/>
            <w:lang w:eastAsia="en-GB"/>
            <w14:ligatures w14:val="none"/>
          </w:rPr>
          <w:t>www.bera.ac.uk</w:t>
        </w:r>
      </w:hyperlink>
      <w:r w:rsidRPr="002B38A4">
        <w:rPr>
          <w:rFonts w:ascii="Times New Roman" w:eastAsia="Times New Roman" w:hAnsi="Times New Roman" w:cs="Times New Roman"/>
          <w:color w:val="000000"/>
          <w:kern w:val="0"/>
          <w:sz w:val="22"/>
          <w:szCs w:val="22"/>
          <w:lang w:eastAsia="en-GB"/>
          <w14:ligatures w14:val="none"/>
        </w:rPr>
        <w:t xml:space="preserve">. Available at: </w:t>
      </w:r>
      <w:hyperlink r:id="rId6" w:anchor="privacy-data-storage" w:tgtFrame="_blank" w:history="1">
        <w:r w:rsidRPr="002B38A4">
          <w:rPr>
            <w:rFonts w:ascii="Times New Roman" w:eastAsia="Times New Roman" w:hAnsi="Times New Roman" w:cs="Times New Roman"/>
            <w:color w:val="467886"/>
            <w:kern w:val="0"/>
            <w:sz w:val="22"/>
            <w:szCs w:val="22"/>
            <w:u w:val="single"/>
            <w:lang w:eastAsia="en-GB"/>
            <w14:ligatures w14:val="none"/>
          </w:rPr>
          <w:t>https://www.bera.ac.uk/publication/ethical-guidelines-for-educational-research-fifth-edition-2024-online#privacy-data-storage</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2112B527"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65BC5170"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BERA (2024b). </w:t>
      </w:r>
      <w:r w:rsidRPr="002B38A4">
        <w:rPr>
          <w:rFonts w:ascii="Times New Roman" w:eastAsia="Times New Roman" w:hAnsi="Times New Roman" w:cs="Times New Roman"/>
          <w:i/>
          <w:iCs/>
          <w:color w:val="000000"/>
          <w:kern w:val="0"/>
          <w:sz w:val="22"/>
          <w:szCs w:val="22"/>
          <w:lang w:eastAsia="en-GB"/>
          <w14:ligatures w14:val="none"/>
        </w:rPr>
        <w:t>Ethical Guidelines for Educational Research, fifth edition (2024)</w:t>
      </w:r>
      <w:r w:rsidRPr="002B38A4">
        <w:rPr>
          <w:rFonts w:ascii="Times New Roman" w:eastAsia="Times New Roman" w:hAnsi="Times New Roman" w:cs="Times New Roman"/>
          <w:color w:val="000000"/>
          <w:kern w:val="0"/>
          <w:sz w:val="22"/>
          <w:szCs w:val="22"/>
          <w:lang w:eastAsia="en-GB"/>
          <w14:ligatures w14:val="none"/>
        </w:rPr>
        <w:t xml:space="preserve">. [online] </w:t>
      </w:r>
      <w:hyperlink r:id="rId7" w:tgtFrame="_blank" w:history="1">
        <w:r w:rsidRPr="002B38A4">
          <w:rPr>
            <w:rFonts w:ascii="Times New Roman" w:eastAsia="Times New Roman" w:hAnsi="Times New Roman" w:cs="Times New Roman"/>
            <w:color w:val="467886"/>
            <w:kern w:val="0"/>
            <w:sz w:val="22"/>
            <w:szCs w:val="22"/>
            <w:u w:val="single"/>
            <w:lang w:eastAsia="en-GB"/>
            <w14:ligatures w14:val="none"/>
          </w:rPr>
          <w:t>www.bera.ac.uk</w:t>
        </w:r>
      </w:hyperlink>
      <w:r w:rsidRPr="002B38A4">
        <w:rPr>
          <w:rFonts w:ascii="Times New Roman" w:eastAsia="Times New Roman" w:hAnsi="Times New Roman" w:cs="Times New Roman"/>
          <w:color w:val="000000"/>
          <w:kern w:val="0"/>
          <w:sz w:val="22"/>
          <w:szCs w:val="22"/>
          <w:lang w:eastAsia="en-GB"/>
          <w14:ligatures w14:val="none"/>
        </w:rPr>
        <w:t xml:space="preserve">. Available at: </w:t>
      </w:r>
      <w:hyperlink r:id="rId8" w:anchor="consent" w:tgtFrame="_blank" w:history="1">
        <w:r w:rsidRPr="002B38A4">
          <w:rPr>
            <w:rFonts w:ascii="Times New Roman" w:eastAsia="Times New Roman" w:hAnsi="Times New Roman" w:cs="Times New Roman"/>
            <w:color w:val="467886"/>
            <w:kern w:val="0"/>
            <w:sz w:val="22"/>
            <w:szCs w:val="22"/>
            <w:u w:val="single"/>
            <w:lang w:eastAsia="en-GB"/>
            <w14:ligatures w14:val="none"/>
          </w:rPr>
          <w:t>https://www.bera.ac.uk/publication/ethical-guidelines-for-educational-research-fifth-edition-2024-online#consent</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048D1F57"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34F8046E"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Berger, R. (2003). </w:t>
      </w:r>
      <w:r w:rsidRPr="002B38A4">
        <w:rPr>
          <w:rFonts w:ascii="Times New Roman" w:eastAsia="Times New Roman" w:hAnsi="Times New Roman" w:cs="Times New Roman"/>
          <w:i/>
          <w:iCs/>
          <w:color w:val="000000"/>
          <w:kern w:val="0"/>
          <w:sz w:val="22"/>
          <w:szCs w:val="22"/>
          <w:lang w:eastAsia="en-GB"/>
          <w14:ligatures w14:val="none"/>
        </w:rPr>
        <w:t>An Ethic of Excellence</w:t>
      </w:r>
      <w:r w:rsidRPr="002B38A4">
        <w:rPr>
          <w:rFonts w:ascii="Times New Roman" w:eastAsia="Times New Roman" w:hAnsi="Times New Roman" w:cs="Times New Roman"/>
          <w:color w:val="000000"/>
          <w:kern w:val="0"/>
          <w:sz w:val="22"/>
          <w:szCs w:val="22"/>
          <w:lang w:eastAsia="en-GB"/>
          <w14:ligatures w14:val="none"/>
        </w:rPr>
        <w:t>. Heinemann Educational Books.</w:t>
      </w:r>
      <w:r w:rsidRPr="002B38A4">
        <w:rPr>
          <w:rFonts w:ascii="Times New Roman" w:eastAsia="Times New Roman" w:hAnsi="Times New Roman" w:cs="Times New Roman"/>
          <w:color w:val="000000"/>
          <w:kern w:val="0"/>
          <w:sz w:val="22"/>
          <w:szCs w:val="22"/>
          <w:lang w:val="en-US" w:eastAsia="en-GB"/>
          <w14:ligatures w14:val="none"/>
        </w:rPr>
        <w:t> </w:t>
      </w:r>
    </w:p>
    <w:p w14:paraId="29CEAFCD"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793B1C04"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Black, P. and Williams, D. (1998). </w:t>
      </w:r>
      <w:r w:rsidRPr="002B38A4">
        <w:rPr>
          <w:rFonts w:ascii="Times New Roman" w:eastAsia="Times New Roman" w:hAnsi="Times New Roman" w:cs="Times New Roman"/>
          <w:i/>
          <w:iCs/>
          <w:color w:val="000000"/>
          <w:kern w:val="0"/>
          <w:sz w:val="22"/>
          <w:szCs w:val="22"/>
          <w:lang w:eastAsia="en-GB"/>
          <w14:ligatures w14:val="none"/>
        </w:rPr>
        <w:t>Inside the black box : raising standards through classroom assessment</w:t>
      </w:r>
      <w:r w:rsidRPr="002B38A4">
        <w:rPr>
          <w:rFonts w:ascii="Times New Roman" w:eastAsia="Times New Roman" w:hAnsi="Times New Roman" w:cs="Times New Roman"/>
          <w:color w:val="000000"/>
          <w:kern w:val="0"/>
          <w:sz w:val="22"/>
          <w:szCs w:val="22"/>
          <w:lang w:eastAsia="en-GB"/>
          <w14:ligatures w14:val="none"/>
        </w:rPr>
        <w:t>. Florida, U.S.A.: Gl Assessment.</w:t>
      </w:r>
      <w:r w:rsidRPr="002B38A4">
        <w:rPr>
          <w:rFonts w:ascii="Times New Roman" w:eastAsia="Times New Roman" w:hAnsi="Times New Roman" w:cs="Times New Roman"/>
          <w:color w:val="000000"/>
          <w:kern w:val="0"/>
          <w:sz w:val="22"/>
          <w:szCs w:val="22"/>
          <w:lang w:val="en-US" w:eastAsia="en-GB"/>
          <w14:ligatures w14:val="none"/>
        </w:rPr>
        <w:t> </w:t>
      </w:r>
    </w:p>
    <w:p w14:paraId="6BAECFC5"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2C659E3F"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Blackburn, S. (2021). </w:t>
      </w:r>
      <w:r w:rsidRPr="002B38A4">
        <w:rPr>
          <w:rFonts w:ascii="Times New Roman" w:eastAsia="Times New Roman" w:hAnsi="Times New Roman" w:cs="Times New Roman"/>
          <w:i/>
          <w:iCs/>
          <w:color w:val="000000"/>
          <w:kern w:val="0"/>
          <w:sz w:val="22"/>
          <w:szCs w:val="22"/>
          <w:lang w:eastAsia="en-GB"/>
          <w14:ligatures w14:val="none"/>
        </w:rPr>
        <w:t>ETHICS : a very short introduction.</w:t>
      </w:r>
      <w:r w:rsidRPr="002B38A4">
        <w:rPr>
          <w:rFonts w:ascii="Times New Roman" w:eastAsia="Times New Roman" w:hAnsi="Times New Roman" w:cs="Times New Roman"/>
          <w:color w:val="000000"/>
          <w:kern w:val="0"/>
          <w:sz w:val="22"/>
          <w:szCs w:val="22"/>
          <w:lang w:eastAsia="en-GB"/>
          <w14:ligatures w14:val="none"/>
        </w:rPr>
        <w:t> S.L.: Oxford Univ Press.</w:t>
      </w:r>
      <w:r w:rsidRPr="002B38A4">
        <w:rPr>
          <w:rFonts w:ascii="Times New Roman" w:eastAsia="Times New Roman" w:hAnsi="Times New Roman" w:cs="Times New Roman"/>
          <w:color w:val="000000"/>
          <w:kern w:val="0"/>
          <w:sz w:val="22"/>
          <w:szCs w:val="22"/>
          <w:lang w:val="en-US" w:eastAsia="en-GB"/>
          <w14:ligatures w14:val="none"/>
        </w:rPr>
        <w:t> </w:t>
      </w:r>
    </w:p>
    <w:p w14:paraId="51749D18"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01BB8321"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Cho, K. and Schunn, C.D. (2007). Scaffolded writing and rewriting in the discipline: A web-based reciprocal peer review system. </w:t>
      </w:r>
      <w:r w:rsidRPr="002B38A4">
        <w:rPr>
          <w:rFonts w:ascii="Times New Roman" w:eastAsia="Times New Roman" w:hAnsi="Times New Roman" w:cs="Times New Roman"/>
          <w:i/>
          <w:iCs/>
          <w:color w:val="000000"/>
          <w:kern w:val="0"/>
          <w:sz w:val="22"/>
          <w:szCs w:val="22"/>
          <w:lang w:eastAsia="en-GB"/>
          <w14:ligatures w14:val="none"/>
        </w:rPr>
        <w:t>Computers &amp; Education</w:t>
      </w:r>
      <w:r w:rsidRPr="002B38A4">
        <w:rPr>
          <w:rFonts w:ascii="Times New Roman" w:eastAsia="Times New Roman" w:hAnsi="Times New Roman" w:cs="Times New Roman"/>
          <w:color w:val="000000"/>
          <w:kern w:val="0"/>
          <w:sz w:val="22"/>
          <w:szCs w:val="22"/>
          <w:lang w:eastAsia="en-GB"/>
          <w14:ligatures w14:val="none"/>
        </w:rPr>
        <w:t>, 48(3), pp.409–426. doi:https://doi.org/10.1016/j.compedu.2005.02.004.</w:t>
      </w:r>
      <w:r w:rsidRPr="002B38A4">
        <w:rPr>
          <w:rFonts w:ascii="Times New Roman" w:eastAsia="Times New Roman" w:hAnsi="Times New Roman" w:cs="Times New Roman"/>
          <w:color w:val="000000"/>
          <w:kern w:val="0"/>
          <w:sz w:val="22"/>
          <w:szCs w:val="22"/>
          <w:lang w:val="en-US" w:eastAsia="en-GB"/>
          <w14:ligatures w14:val="none"/>
        </w:rPr>
        <w:t> </w:t>
      </w:r>
    </w:p>
    <w:p w14:paraId="11A24190"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eastAsia="en-GB"/>
          <w14:ligatures w14:val="none"/>
        </w:rPr>
      </w:pPr>
    </w:p>
    <w:p w14:paraId="18B9EA1D"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Clarke, M.C., Vincent, J. and Carusi, T. (2024). Re-engaging theory, rethinking policy, reanimating practice. </w:t>
      </w:r>
      <w:r w:rsidRPr="002B38A4">
        <w:rPr>
          <w:rFonts w:ascii="Times New Roman" w:eastAsia="Times New Roman" w:hAnsi="Times New Roman" w:cs="Times New Roman"/>
          <w:i/>
          <w:iCs/>
          <w:color w:val="000000"/>
          <w:kern w:val="0"/>
          <w:sz w:val="22"/>
          <w:szCs w:val="22"/>
          <w:lang w:eastAsia="en-GB"/>
          <w14:ligatures w14:val="none"/>
        </w:rPr>
        <w:t>Research in Education</w:t>
      </w:r>
      <w:r w:rsidRPr="002B38A4">
        <w:rPr>
          <w:rFonts w:ascii="Times New Roman" w:eastAsia="Times New Roman" w:hAnsi="Times New Roman" w:cs="Times New Roman"/>
          <w:color w:val="000000"/>
          <w:kern w:val="0"/>
          <w:sz w:val="22"/>
          <w:szCs w:val="22"/>
          <w:lang w:eastAsia="en-GB"/>
          <w14:ligatures w14:val="none"/>
        </w:rPr>
        <w:t>, 11.9(1). doi:https://doi.org/10.1177/00345237241266883.</w:t>
      </w:r>
      <w:r w:rsidRPr="002B38A4">
        <w:rPr>
          <w:rFonts w:ascii="Times New Roman" w:eastAsia="Times New Roman" w:hAnsi="Times New Roman" w:cs="Times New Roman"/>
          <w:color w:val="000000"/>
          <w:kern w:val="0"/>
          <w:sz w:val="22"/>
          <w:szCs w:val="22"/>
          <w:lang w:val="en-US" w:eastAsia="en-GB"/>
          <w14:ligatures w14:val="none"/>
        </w:rPr>
        <w:t> </w:t>
      </w:r>
    </w:p>
    <w:p w14:paraId="2F5718E0"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Cohen, L., Manion, L. and Morrison, K. (2017). </w:t>
      </w:r>
      <w:r w:rsidRPr="002B38A4">
        <w:rPr>
          <w:rFonts w:ascii="Times New Roman" w:eastAsia="Times New Roman" w:hAnsi="Times New Roman" w:cs="Times New Roman"/>
          <w:i/>
          <w:iCs/>
          <w:color w:val="000000"/>
          <w:kern w:val="0"/>
          <w:sz w:val="22"/>
          <w:szCs w:val="22"/>
          <w:lang w:eastAsia="en-GB"/>
          <w14:ligatures w14:val="none"/>
        </w:rPr>
        <w:t>Research Methods in Education</w:t>
      </w:r>
      <w:r w:rsidRPr="002B38A4">
        <w:rPr>
          <w:rFonts w:ascii="Times New Roman" w:eastAsia="Times New Roman" w:hAnsi="Times New Roman" w:cs="Times New Roman"/>
          <w:color w:val="000000"/>
          <w:kern w:val="0"/>
          <w:sz w:val="22"/>
          <w:szCs w:val="22"/>
          <w:lang w:eastAsia="en-GB"/>
          <w14:ligatures w14:val="none"/>
        </w:rPr>
        <w:t>. 8th ed. London: Routledge.</w:t>
      </w:r>
      <w:r w:rsidRPr="002B38A4">
        <w:rPr>
          <w:rFonts w:ascii="Times New Roman" w:eastAsia="Times New Roman" w:hAnsi="Times New Roman" w:cs="Times New Roman"/>
          <w:color w:val="000000"/>
          <w:kern w:val="0"/>
          <w:sz w:val="22"/>
          <w:szCs w:val="22"/>
          <w:lang w:val="en-US" w:eastAsia="en-GB"/>
          <w14:ligatures w14:val="none"/>
        </w:rPr>
        <w:t> </w:t>
      </w:r>
    </w:p>
    <w:p w14:paraId="3B622803"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3FA5BE60"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Cornell University (2025). </w:t>
      </w:r>
      <w:r w:rsidRPr="002B38A4">
        <w:rPr>
          <w:rFonts w:ascii="Times New Roman" w:eastAsia="Times New Roman" w:hAnsi="Times New Roman" w:cs="Times New Roman"/>
          <w:i/>
          <w:iCs/>
          <w:color w:val="000000"/>
          <w:kern w:val="0"/>
          <w:sz w:val="22"/>
          <w:szCs w:val="22"/>
          <w:lang w:eastAsia="en-GB"/>
          <w14:ligatures w14:val="none"/>
        </w:rPr>
        <w:t>Peer assessment | Center for Teaching Innovation</w:t>
      </w:r>
      <w:r w:rsidRPr="002B38A4">
        <w:rPr>
          <w:rFonts w:ascii="Times New Roman" w:eastAsia="Times New Roman" w:hAnsi="Times New Roman" w:cs="Times New Roman"/>
          <w:color w:val="000000"/>
          <w:kern w:val="0"/>
          <w:sz w:val="22"/>
          <w:szCs w:val="22"/>
          <w:lang w:eastAsia="en-GB"/>
          <w14:ligatures w14:val="none"/>
        </w:rPr>
        <w:t xml:space="preserve">. [online] Cornell.edu. Available at: </w:t>
      </w:r>
      <w:hyperlink r:id="rId9" w:tgtFrame="_blank" w:history="1">
        <w:r w:rsidRPr="002B38A4">
          <w:rPr>
            <w:rFonts w:ascii="Times New Roman" w:eastAsia="Times New Roman" w:hAnsi="Times New Roman" w:cs="Times New Roman"/>
            <w:color w:val="467886"/>
            <w:kern w:val="0"/>
            <w:sz w:val="22"/>
            <w:szCs w:val="22"/>
            <w:u w:val="single"/>
            <w:lang w:eastAsia="en-GB"/>
            <w14:ligatures w14:val="none"/>
          </w:rPr>
          <w:t>https://teaching.cornell.edu/teaching-resources/assessing-student-learning/peer-assessment</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5485470F"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803F0A7"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DeMarchi, J. (2025). </w:t>
      </w:r>
      <w:r w:rsidRPr="002B38A4">
        <w:rPr>
          <w:rFonts w:ascii="Times New Roman" w:eastAsia="Times New Roman" w:hAnsi="Times New Roman" w:cs="Times New Roman"/>
          <w:i/>
          <w:iCs/>
          <w:color w:val="000000"/>
          <w:kern w:val="0"/>
          <w:sz w:val="22"/>
          <w:szCs w:val="22"/>
          <w:lang w:eastAsia="en-GB"/>
          <w14:ligatures w14:val="none"/>
        </w:rPr>
        <w:t>Kritik - How to Facilitate Effective Peer Assessment</w:t>
      </w:r>
      <w:r w:rsidRPr="002B38A4">
        <w:rPr>
          <w:rFonts w:ascii="Times New Roman" w:eastAsia="Times New Roman" w:hAnsi="Times New Roman" w:cs="Times New Roman"/>
          <w:color w:val="000000"/>
          <w:kern w:val="0"/>
          <w:sz w:val="22"/>
          <w:szCs w:val="22"/>
          <w:lang w:eastAsia="en-GB"/>
          <w14:ligatures w14:val="none"/>
        </w:rPr>
        <w:t xml:space="preserve">. [online] </w:t>
      </w:r>
      <w:hyperlink r:id="rId10" w:tgtFrame="_blank" w:history="1">
        <w:r w:rsidRPr="002B38A4">
          <w:rPr>
            <w:rFonts w:ascii="Times New Roman" w:eastAsia="Times New Roman" w:hAnsi="Times New Roman" w:cs="Times New Roman"/>
            <w:color w:val="467886"/>
            <w:kern w:val="0"/>
            <w:sz w:val="22"/>
            <w:szCs w:val="22"/>
            <w:u w:val="single"/>
            <w:lang w:eastAsia="en-GB"/>
            <w14:ligatures w14:val="none"/>
          </w:rPr>
          <w:t>www.kritik.io</w:t>
        </w:r>
      </w:hyperlink>
      <w:r w:rsidRPr="002B38A4">
        <w:rPr>
          <w:rFonts w:ascii="Times New Roman" w:eastAsia="Times New Roman" w:hAnsi="Times New Roman" w:cs="Times New Roman"/>
          <w:color w:val="000000"/>
          <w:kern w:val="0"/>
          <w:sz w:val="22"/>
          <w:szCs w:val="22"/>
          <w:lang w:eastAsia="en-GB"/>
          <w14:ligatures w14:val="none"/>
        </w:rPr>
        <w:t xml:space="preserve">. Available at: </w:t>
      </w:r>
      <w:hyperlink r:id="rId11" w:tgtFrame="_blank" w:history="1">
        <w:r w:rsidRPr="002B38A4">
          <w:rPr>
            <w:rFonts w:ascii="Times New Roman" w:eastAsia="Times New Roman" w:hAnsi="Times New Roman" w:cs="Times New Roman"/>
            <w:color w:val="467886"/>
            <w:kern w:val="0"/>
            <w:sz w:val="22"/>
            <w:szCs w:val="22"/>
            <w:u w:val="single"/>
            <w:lang w:eastAsia="en-GB"/>
            <w14:ligatures w14:val="none"/>
          </w:rPr>
          <w:t>https://www.kritik.io/blog-post/5-criteria-to-facilitate-effective-peer-assessment</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6A340737"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Dochy, F., Segers, M. and Sluijsmans, D. (1999). The use of self-, peer and co-assessment in higher education: A review. </w:t>
      </w:r>
      <w:r w:rsidRPr="002B38A4">
        <w:rPr>
          <w:rFonts w:ascii="Times New Roman" w:eastAsia="Times New Roman" w:hAnsi="Times New Roman" w:cs="Times New Roman"/>
          <w:i/>
          <w:iCs/>
          <w:color w:val="000000"/>
          <w:kern w:val="0"/>
          <w:sz w:val="22"/>
          <w:szCs w:val="22"/>
          <w:lang w:eastAsia="en-GB"/>
          <w14:ligatures w14:val="none"/>
        </w:rPr>
        <w:t>Studies in Higher Education</w:t>
      </w:r>
      <w:r w:rsidRPr="002B38A4">
        <w:rPr>
          <w:rFonts w:ascii="Times New Roman" w:eastAsia="Times New Roman" w:hAnsi="Times New Roman" w:cs="Times New Roman"/>
          <w:color w:val="000000"/>
          <w:kern w:val="0"/>
          <w:sz w:val="22"/>
          <w:szCs w:val="22"/>
          <w:lang w:eastAsia="en-GB"/>
          <w14:ligatures w14:val="none"/>
        </w:rPr>
        <w:t>, 24(3), pp.331–350. doi:https://doi.org/10.1080/03075079912331379935.</w:t>
      </w:r>
      <w:r w:rsidRPr="002B38A4">
        <w:rPr>
          <w:rFonts w:ascii="Times New Roman" w:eastAsia="Times New Roman" w:hAnsi="Times New Roman" w:cs="Times New Roman"/>
          <w:color w:val="000000"/>
          <w:kern w:val="0"/>
          <w:sz w:val="22"/>
          <w:szCs w:val="22"/>
          <w:lang w:val="en-US" w:eastAsia="en-GB"/>
          <w14:ligatures w14:val="none"/>
        </w:rPr>
        <w:t> </w:t>
      </w:r>
    </w:p>
    <w:p w14:paraId="6905ACEF"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9C83281"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lastRenderedPageBreak/>
        <w:t>Donaldson, G. (2015). </w:t>
      </w:r>
      <w:r w:rsidRPr="002B38A4">
        <w:rPr>
          <w:rFonts w:ascii="Times New Roman" w:eastAsia="Times New Roman" w:hAnsi="Times New Roman" w:cs="Times New Roman"/>
          <w:i/>
          <w:iCs/>
          <w:color w:val="000000"/>
          <w:kern w:val="0"/>
          <w:sz w:val="22"/>
          <w:szCs w:val="22"/>
          <w:lang w:eastAsia="en-GB"/>
          <w14:ligatures w14:val="none"/>
        </w:rPr>
        <w:t>Successful Futures Independent Review of Curriculum and Assessment Arrangements in Wales</w:t>
      </w:r>
      <w:r w:rsidRPr="002B38A4">
        <w:rPr>
          <w:rFonts w:ascii="Times New Roman" w:eastAsia="Times New Roman" w:hAnsi="Times New Roman" w:cs="Times New Roman"/>
          <w:color w:val="000000"/>
          <w:kern w:val="0"/>
          <w:sz w:val="22"/>
          <w:szCs w:val="22"/>
          <w:lang w:eastAsia="en-GB"/>
          <w14:ligatures w14:val="none"/>
        </w:rPr>
        <w:t xml:space="preserve">. [online] Available at: </w:t>
      </w:r>
      <w:hyperlink r:id="rId12" w:tgtFrame="_blank" w:history="1">
        <w:r w:rsidRPr="002B38A4">
          <w:rPr>
            <w:rFonts w:ascii="Times New Roman" w:eastAsia="Times New Roman" w:hAnsi="Times New Roman" w:cs="Times New Roman"/>
            <w:color w:val="467886"/>
            <w:kern w:val="0"/>
            <w:sz w:val="22"/>
            <w:szCs w:val="22"/>
            <w:u w:val="single"/>
            <w:lang w:eastAsia="en-GB"/>
            <w14:ligatures w14:val="none"/>
          </w:rPr>
          <w:t>https://www.gov.wales/sites/default/files/publications/2018-03/successful-futures.pdf</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304644FF"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Education Endowment Foundation (2021). </w:t>
      </w:r>
      <w:r w:rsidRPr="002B38A4">
        <w:rPr>
          <w:rFonts w:ascii="Times New Roman" w:eastAsia="Times New Roman" w:hAnsi="Times New Roman" w:cs="Times New Roman"/>
          <w:i/>
          <w:iCs/>
          <w:color w:val="000000"/>
          <w:kern w:val="0"/>
          <w:sz w:val="22"/>
          <w:szCs w:val="22"/>
          <w:lang w:eastAsia="en-GB"/>
          <w14:ligatures w14:val="none"/>
        </w:rPr>
        <w:t>Peer Tutoring</w:t>
      </w:r>
      <w:r w:rsidRPr="002B38A4">
        <w:rPr>
          <w:rFonts w:ascii="Times New Roman" w:eastAsia="Times New Roman" w:hAnsi="Times New Roman" w:cs="Times New Roman"/>
          <w:color w:val="000000"/>
          <w:kern w:val="0"/>
          <w:sz w:val="22"/>
          <w:szCs w:val="22"/>
          <w:lang w:eastAsia="en-GB"/>
          <w14:ligatures w14:val="none"/>
        </w:rPr>
        <w:t xml:space="preserve">. [online] Education Endowment Foundation. Available at: </w:t>
      </w:r>
      <w:hyperlink r:id="rId13" w:tgtFrame="_blank" w:history="1">
        <w:r w:rsidRPr="002B38A4">
          <w:rPr>
            <w:rFonts w:ascii="Times New Roman" w:eastAsia="Times New Roman" w:hAnsi="Times New Roman" w:cs="Times New Roman"/>
            <w:color w:val="467886"/>
            <w:kern w:val="0"/>
            <w:sz w:val="22"/>
            <w:szCs w:val="22"/>
            <w:u w:val="single"/>
            <w:lang w:eastAsia="en-GB"/>
            <w14:ligatures w14:val="none"/>
          </w:rPr>
          <w:t>https://educationendowmentfoundation.org.uk/education-evidence/teaching-learning-toolkit/peer-tutoring</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12D1C514"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4824CF6"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Estyn (2022). </w:t>
      </w:r>
      <w:r w:rsidRPr="002B38A4">
        <w:rPr>
          <w:rFonts w:ascii="Times New Roman" w:eastAsia="Times New Roman" w:hAnsi="Times New Roman" w:cs="Times New Roman"/>
          <w:i/>
          <w:iCs/>
          <w:color w:val="000000"/>
          <w:kern w:val="0"/>
          <w:sz w:val="22"/>
          <w:szCs w:val="22"/>
          <w:lang w:eastAsia="en-GB"/>
          <w14:ligatures w14:val="none"/>
        </w:rPr>
        <w:t>Effective approaches to assessment that improve teaching and learning</w:t>
      </w:r>
      <w:r w:rsidRPr="002B38A4">
        <w:rPr>
          <w:rFonts w:ascii="Times New Roman" w:eastAsia="Times New Roman" w:hAnsi="Times New Roman" w:cs="Times New Roman"/>
          <w:color w:val="000000"/>
          <w:kern w:val="0"/>
          <w:sz w:val="22"/>
          <w:szCs w:val="22"/>
          <w:lang w:eastAsia="en-GB"/>
          <w14:ligatures w14:val="none"/>
        </w:rPr>
        <w:t xml:space="preserve">. [online] Available at: </w:t>
      </w:r>
      <w:hyperlink r:id="rId14" w:tgtFrame="_blank" w:history="1">
        <w:r w:rsidRPr="002B38A4">
          <w:rPr>
            <w:rFonts w:ascii="Times New Roman" w:eastAsia="Times New Roman" w:hAnsi="Times New Roman" w:cs="Times New Roman"/>
            <w:color w:val="467886"/>
            <w:kern w:val="0"/>
            <w:sz w:val="22"/>
            <w:szCs w:val="22"/>
            <w:u w:val="single"/>
            <w:lang w:eastAsia="en-GB"/>
            <w14:ligatures w14:val="none"/>
          </w:rPr>
          <w:t>https://www.estyn.gov.wales/system/files/2022-10/Effective%20approaches%20to%20assessment%20that%20improve%20teaching%20and%20learning.pdf</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65CF31C9"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58B5E39B"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Estyn (2024). </w:t>
      </w:r>
      <w:r w:rsidRPr="002B38A4">
        <w:rPr>
          <w:rFonts w:ascii="Times New Roman" w:eastAsia="Times New Roman" w:hAnsi="Times New Roman" w:cs="Times New Roman"/>
          <w:i/>
          <w:iCs/>
          <w:color w:val="000000"/>
          <w:kern w:val="0"/>
          <w:sz w:val="22"/>
          <w:szCs w:val="22"/>
          <w:lang w:eastAsia="en-GB"/>
          <w14:ligatures w14:val="none"/>
        </w:rPr>
        <w:t>Targeted research helps develop innovative teaching practices - Estyn</w:t>
      </w:r>
      <w:r w:rsidRPr="002B38A4">
        <w:rPr>
          <w:rFonts w:ascii="Times New Roman" w:eastAsia="Times New Roman" w:hAnsi="Times New Roman" w:cs="Times New Roman"/>
          <w:color w:val="000000"/>
          <w:kern w:val="0"/>
          <w:sz w:val="22"/>
          <w:szCs w:val="22"/>
          <w:lang w:eastAsia="en-GB"/>
          <w14:ligatures w14:val="none"/>
        </w:rPr>
        <w:t xml:space="preserve">. [online] Estyn. Available at: </w:t>
      </w:r>
      <w:hyperlink r:id="rId15" w:tgtFrame="_blank" w:history="1">
        <w:r w:rsidRPr="002B38A4">
          <w:rPr>
            <w:rFonts w:ascii="Times New Roman" w:eastAsia="Times New Roman" w:hAnsi="Times New Roman" w:cs="Times New Roman"/>
            <w:color w:val="467886"/>
            <w:kern w:val="0"/>
            <w:sz w:val="22"/>
            <w:szCs w:val="22"/>
            <w:u w:val="single"/>
            <w:lang w:eastAsia="en-GB"/>
            <w14:ligatures w14:val="none"/>
          </w:rPr>
          <w:t>https://estyn.gov.wales/improvement-resources/targeted-research-helps-develop-innovative-teaching-practices/</w:t>
        </w:r>
      </w:hyperlink>
      <w:r w:rsidRPr="002B38A4">
        <w:rPr>
          <w:rFonts w:ascii="Times New Roman" w:eastAsia="Times New Roman" w:hAnsi="Times New Roman" w:cs="Times New Roman"/>
          <w:color w:val="000000"/>
          <w:kern w:val="0"/>
          <w:sz w:val="22"/>
          <w:szCs w:val="22"/>
          <w:lang w:eastAsia="en-GB"/>
          <w14:ligatures w14:val="none"/>
        </w:rPr>
        <w:t xml:space="preserve"> [Accessed 27 Mar. 2025].</w:t>
      </w:r>
      <w:r w:rsidRPr="002B38A4">
        <w:rPr>
          <w:rFonts w:ascii="Times New Roman" w:eastAsia="Times New Roman" w:hAnsi="Times New Roman" w:cs="Times New Roman"/>
          <w:color w:val="000000"/>
          <w:kern w:val="0"/>
          <w:sz w:val="22"/>
          <w:szCs w:val="22"/>
          <w:lang w:val="en-US" w:eastAsia="en-GB"/>
          <w14:ligatures w14:val="none"/>
        </w:rPr>
        <w:t> </w:t>
      </w:r>
    </w:p>
    <w:p w14:paraId="54E98740"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DF68934"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Hattie, J. and Timperley, H. (2007). The Power of Feedback. </w:t>
      </w:r>
      <w:r w:rsidRPr="002B38A4">
        <w:rPr>
          <w:rFonts w:ascii="Times New Roman" w:eastAsia="Times New Roman" w:hAnsi="Times New Roman" w:cs="Times New Roman"/>
          <w:i/>
          <w:iCs/>
          <w:color w:val="000000"/>
          <w:kern w:val="0"/>
          <w:sz w:val="22"/>
          <w:szCs w:val="22"/>
          <w:lang w:eastAsia="en-GB"/>
          <w14:ligatures w14:val="none"/>
        </w:rPr>
        <w:t>Review of Educational Research</w:t>
      </w:r>
      <w:r w:rsidRPr="002B38A4">
        <w:rPr>
          <w:rFonts w:ascii="Times New Roman" w:eastAsia="Times New Roman" w:hAnsi="Times New Roman" w:cs="Times New Roman"/>
          <w:color w:val="000000"/>
          <w:kern w:val="0"/>
          <w:sz w:val="22"/>
          <w:szCs w:val="22"/>
          <w:lang w:eastAsia="en-GB"/>
          <w14:ligatures w14:val="none"/>
        </w:rPr>
        <w:t>, 77(1), pp.81–112. doi:https://doi.org/10.3102/003465430298487.</w:t>
      </w:r>
      <w:r w:rsidRPr="002B38A4">
        <w:rPr>
          <w:rFonts w:ascii="Times New Roman" w:eastAsia="Times New Roman" w:hAnsi="Times New Roman" w:cs="Times New Roman"/>
          <w:color w:val="000000"/>
          <w:kern w:val="0"/>
          <w:sz w:val="22"/>
          <w:szCs w:val="22"/>
          <w:lang w:val="en-US" w:eastAsia="en-GB"/>
          <w14:ligatures w14:val="none"/>
        </w:rPr>
        <w:t> </w:t>
      </w:r>
    </w:p>
    <w:p w14:paraId="15FA5966"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404458CC"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Hawthorne, H. (2022). </w:t>
      </w:r>
      <w:r w:rsidRPr="002B38A4">
        <w:rPr>
          <w:rFonts w:ascii="Times New Roman" w:eastAsia="Times New Roman" w:hAnsi="Times New Roman" w:cs="Times New Roman"/>
          <w:i/>
          <w:iCs/>
          <w:color w:val="000000"/>
          <w:kern w:val="0"/>
          <w:sz w:val="22"/>
          <w:szCs w:val="22"/>
          <w:lang w:eastAsia="en-GB"/>
          <w14:ligatures w14:val="none"/>
        </w:rPr>
        <w:t>What is Assessment for Learning? | Types, Benefits &amp; Strategies</w:t>
      </w:r>
      <w:r w:rsidRPr="002B38A4">
        <w:rPr>
          <w:rFonts w:ascii="Times New Roman" w:eastAsia="Times New Roman" w:hAnsi="Times New Roman" w:cs="Times New Roman"/>
          <w:color w:val="000000"/>
          <w:kern w:val="0"/>
          <w:sz w:val="22"/>
          <w:szCs w:val="22"/>
          <w:lang w:eastAsia="en-GB"/>
          <w14:ligatures w14:val="none"/>
        </w:rPr>
        <w:t xml:space="preserve">. [online] The Hub | High Speed Training. Available at: </w:t>
      </w:r>
      <w:hyperlink r:id="rId16" w:tgtFrame="_blank" w:history="1">
        <w:r w:rsidRPr="002B38A4">
          <w:rPr>
            <w:rFonts w:ascii="Times New Roman" w:eastAsia="Times New Roman" w:hAnsi="Times New Roman" w:cs="Times New Roman"/>
            <w:color w:val="467886"/>
            <w:kern w:val="0"/>
            <w:sz w:val="22"/>
            <w:szCs w:val="22"/>
            <w:u w:val="single"/>
            <w:lang w:eastAsia="en-GB"/>
            <w14:ligatures w14:val="none"/>
          </w:rPr>
          <w:t>https://www.highspeedtraining.co.uk/hub/how-to-use-assessment-for-learning-in-schools/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190F7389"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00D0180E"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Hecker, J. and Kalpokas, N. (2024). </w:t>
      </w:r>
      <w:r w:rsidRPr="002B38A4">
        <w:rPr>
          <w:rFonts w:ascii="Times New Roman" w:eastAsia="Times New Roman" w:hAnsi="Times New Roman" w:cs="Times New Roman"/>
          <w:i/>
          <w:iCs/>
          <w:color w:val="000000"/>
          <w:kern w:val="0"/>
          <w:sz w:val="22"/>
          <w:szCs w:val="22"/>
          <w:lang w:eastAsia="en-GB"/>
          <w14:ligatures w14:val="none"/>
        </w:rPr>
        <w:t>Research Interviews | Disadvantages &amp; Cautions</w:t>
      </w:r>
      <w:r w:rsidRPr="002B38A4">
        <w:rPr>
          <w:rFonts w:ascii="Times New Roman" w:eastAsia="Times New Roman" w:hAnsi="Times New Roman" w:cs="Times New Roman"/>
          <w:color w:val="000000"/>
          <w:kern w:val="0"/>
          <w:sz w:val="22"/>
          <w:szCs w:val="22"/>
          <w:lang w:eastAsia="en-GB"/>
          <w14:ligatures w14:val="none"/>
        </w:rPr>
        <w:t xml:space="preserve">. [online] ATLAS.ti. Available at: </w:t>
      </w:r>
      <w:hyperlink r:id="rId17" w:tgtFrame="_blank" w:history="1">
        <w:r w:rsidRPr="002B38A4">
          <w:rPr>
            <w:rFonts w:ascii="Times New Roman" w:eastAsia="Times New Roman" w:hAnsi="Times New Roman" w:cs="Times New Roman"/>
            <w:color w:val="467886"/>
            <w:kern w:val="0"/>
            <w:sz w:val="22"/>
            <w:szCs w:val="22"/>
            <w:u w:val="single"/>
            <w:lang w:eastAsia="en-GB"/>
            <w14:ligatures w14:val="none"/>
          </w:rPr>
          <w:t>https://atlasti.com/guides/interview-analysis-guide/disadvantages-of-research-interviews?utm_source=chatgpt.com</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4A3776ED"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4CDA3186"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Hüseyin, H., Üniversitesi, A. and Bilimler, S. (2009). </w:t>
      </w:r>
      <w:r w:rsidRPr="002B38A4">
        <w:rPr>
          <w:rFonts w:ascii="Times New Roman" w:eastAsia="Times New Roman" w:hAnsi="Times New Roman" w:cs="Times New Roman"/>
          <w:i/>
          <w:iCs/>
          <w:color w:val="000000"/>
          <w:kern w:val="0"/>
          <w:sz w:val="22"/>
          <w:szCs w:val="22"/>
          <w:lang w:eastAsia="en-GB"/>
          <w14:ligatures w14:val="none"/>
        </w:rPr>
        <w:t>Questionnaries and Interviews in Educational Researches</w:t>
      </w:r>
      <w:r w:rsidRPr="002B38A4">
        <w:rPr>
          <w:rFonts w:ascii="Times New Roman" w:eastAsia="Times New Roman" w:hAnsi="Times New Roman" w:cs="Times New Roman"/>
          <w:color w:val="000000"/>
          <w:kern w:val="0"/>
          <w:sz w:val="22"/>
          <w:szCs w:val="22"/>
          <w:lang w:eastAsia="en-GB"/>
          <w14:ligatures w14:val="none"/>
        </w:rPr>
        <w:t xml:space="preserve">. [online] Available at: </w:t>
      </w:r>
      <w:hyperlink r:id="rId18" w:tgtFrame="_blank" w:history="1">
        <w:r w:rsidRPr="002B38A4">
          <w:rPr>
            <w:rFonts w:ascii="Times New Roman" w:eastAsia="Times New Roman" w:hAnsi="Times New Roman" w:cs="Times New Roman"/>
            <w:color w:val="467886"/>
            <w:kern w:val="0"/>
            <w:sz w:val="22"/>
            <w:szCs w:val="22"/>
            <w:u w:val="single"/>
            <w:lang w:eastAsia="en-GB"/>
            <w14:ligatures w14:val="none"/>
          </w:rPr>
          <w:t>https://dergipark.org.tr/tr/download/article-file/32156</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69AAB54C"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54FA19B9"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Jones, K. (2022). </w:t>
      </w:r>
      <w:r w:rsidRPr="002B38A4">
        <w:rPr>
          <w:rFonts w:ascii="Times New Roman" w:eastAsia="Times New Roman" w:hAnsi="Times New Roman" w:cs="Times New Roman"/>
          <w:i/>
          <w:iCs/>
          <w:color w:val="000000"/>
          <w:kern w:val="0"/>
          <w:sz w:val="22"/>
          <w:szCs w:val="22"/>
          <w:lang w:eastAsia="en-GB"/>
          <w14:ligatures w14:val="none"/>
        </w:rPr>
        <w:t>Multiple-choice questions: pros and cons</w:t>
      </w:r>
      <w:r w:rsidRPr="002B38A4">
        <w:rPr>
          <w:rFonts w:ascii="Times New Roman" w:eastAsia="Times New Roman" w:hAnsi="Times New Roman" w:cs="Times New Roman"/>
          <w:color w:val="000000"/>
          <w:kern w:val="0"/>
          <w:sz w:val="22"/>
          <w:szCs w:val="22"/>
          <w:lang w:eastAsia="en-GB"/>
          <w14:ligatures w14:val="none"/>
        </w:rPr>
        <w:t xml:space="preserve">. [online] Evidence Based Education. Available at: </w:t>
      </w:r>
      <w:hyperlink r:id="rId19" w:tgtFrame="_blank" w:history="1">
        <w:r w:rsidRPr="002B38A4">
          <w:rPr>
            <w:rFonts w:ascii="Times New Roman" w:eastAsia="Times New Roman" w:hAnsi="Times New Roman" w:cs="Times New Roman"/>
            <w:color w:val="467886"/>
            <w:kern w:val="0"/>
            <w:sz w:val="22"/>
            <w:szCs w:val="22"/>
            <w:u w:val="single"/>
            <w:lang w:eastAsia="en-GB"/>
            <w14:ligatures w14:val="none"/>
          </w:rPr>
          <w:t>https://evidencebased.education/multiple-choice-questions-pros-and-cons/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19B9A461"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01E3CC5F"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Jones, K. (2023). </w:t>
      </w:r>
      <w:r w:rsidRPr="002B38A4">
        <w:rPr>
          <w:rFonts w:ascii="Times New Roman" w:eastAsia="Times New Roman" w:hAnsi="Times New Roman" w:cs="Times New Roman"/>
          <w:i/>
          <w:iCs/>
          <w:color w:val="000000"/>
          <w:kern w:val="0"/>
          <w:sz w:val="22"/>
          <w:szCs w:val="22"/>
          <w:lang w:eastAsia="en-GB"/>
          <w14:ligatures w14:val="none"/>
        </w:rPr>
        <w:t>Peer Collaboration in the Classroom</w:t>
      </w:r>
      <w:r w:rsidRPr="002B38A4">
        <w:rPr>
          <w:rFonts w:ascii="Times New Roman" w:eastAsia="Times New Roman" w:hAnsi="Times New Roman" w:cs="Times New Roman"/>
          <w:color w:val="000000"/>
          <w:kern w:val="0"/>
          <w:sz w:val="22"/>
          <w:szCs w:val="22"/>
          <w:lang w:eastAsia="en-GB"/>
          <w14:ligatures w14:val="none"/>
        </w:rPr>
        <w:t xml:space="preserve">. [online] Evidence Based Education. Available at: </w:t>
      </w:r>
      <w:hyperlink r:id="rId20" w:tgtFrame="_blank" w:history="1">
        <w:r w:rsidRPr="002B38A4">
          <w:rPr>
            <w:rFonts w:ascii="Times New Roman" w:eastAsia="Times New Roman" w:hAnsi="Times New Roman" w:cs="Times New Roman"/>
            <w:color w:val="467886"/>
            <w:kern w:val="0"/>
            <w:sz w:val="22"/>
            <w:szCs w:val="22"/>
            <w:u w:val="single"/>
            <w:lang w:eastAsia="en-GB"/>
            <w14:ligatures w14:val="none"/>
          </w:rPr>
          <w:t>https://evidencebased.education/peer-collaboration-in-the-classroom/</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1B2415A8"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525F89E7"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L. Alford, B. and Gardner, M. (2020). </w:t>
      </w:r>
      <w:r w:rsidRPr="002B38A4">
        <w:rPr>
          <w:rFonts w:ascii="Times New Roman" w:eastAsia="Times New Roman" w:hAnsi="Times New Roman" w:cs="Times New Roman"/>
          <w:i/>
          <w:iCs/>
          <w:color w:val="000000"/>
          <w:kern w:val="0"/>
          <w:sz w:val="22"/>
          <w:szCs w:val="22"/>
          <w:lang w:eastAsia="en-GB"/>
          <w14:ligatures w14:val="none"/>
        </w:rPr>
        <w:t>Using Interviews to Assess and Mentor Students | Faculty Focus</w:t>
      </w:r>
      <w:r w:rsidRPr="002B38A4">
        <w:rPr>
          <w:rFonts w:ascii="Times New Roman" w:eastAsia="Times New Roman" w:hAnsi="Times New Roman" w:cs="Times New Roman"/>
          <w:color w:val="000000"/>
          <w:kern w:val="0"/>
          <w:sz w:val="22"/>
          <w:szCs w:val="22"/>
          <w:lang w:eastAsia="en-GB"/>
          <w14:ligatures w14:val="none"/>
        </w:rPr>
        <w:t xml:space="preserve">. [online] Faculty Focus | Higher Ed Teaching &amp; Learning. Available at: </w:t>
      </w:r>
      <w:hyperlink r:id="rId21" w:tgtFrame="_blank" w:history="1">
        <w:r w:rsidRPr="002B38A4">
          <w:rPr>
            <w:rFonts w:ascii="Times New Roman" w:eastAsia="Times New Roman" w:hAnsi="Times New Roman" w:cs="Times New Roman"/>
            <w:color w:val="467886"/>
            <w:kern w:val="0"/>
            <w:sz w:val="22"/>
            <w:szCs w:val="22"/>
            <w:u w:val="single"/>
            <w:lang w:eastAsia="en-GB"/>
            <w14:ligatures w14:val="none"/>
          </w:rPr>
          <w:t>https://www.facultyfocus.com/articles/educational-assessment/using-student-interviews-to-assess-and-mentor-students/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363A326B"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71AD01FE"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Lindemann, N. (2023). 12 Advantages and Disadvantages of Questionnaires. </w:t>
      </w:r>
      <w:r w:rsidRPr="002B38A4">
        <w:rPr>
          <w:rFonts w:ascii="Times New Roman" w:eastAsia="Times New Roman" w:hAnsi="Times New Roman" w:cs="Times New Roman"/>
          <w:i/>
          <w:iCs/>
          <w:color w:val="000000"/>
          <w:kern w:val="0"/>
          <w:sz w:val="22"/>
          <w:szCs w:val="22"/>
          <w:lang w:eastAsia="en-GB"/>
          <w14:ligatures w14:val="none"/>
        </w:rPr>
        <w:t>Pointerpro</w:t>
      </w:r>
      <w:r w:rsidRPr="002B38A4">
        <w:rPr>
          <w:rFonts w:ascii="Times New Roman" w:eastAsia="Times New Roman" w:hAnsi="Times New Roman" w:cs="Times New Roman"/>
          <w:color w:val="000000"/>
          <w:kern w:val="0"/>
          <w:sz w:val="22"/>
          <w:szCs w:val="22"/>
          <w:lang w:eastAsia="en-GB"/>
          <w14:ligatures w14:val="none"/>
        </w:rPr>
        <w:t xml:space="preserve">. [online] 7 Jun. Available at: </w:t>
      </w:r>
      <w:hyperlink r:id="rId22" w:tgtFrame="_blank" w:history="1">
        <w:r w:rsidRPr="002B38A4">
          <w:rPr>
            <w:rFonts w:ascii="Times New Roman" w:eastAsia="Times New Roman" w:hAnsi="Times New Roman" w:cs="Times New Roman"/>
            <w:color w:val="467886"/>
            <w:kern w:val="0"/>
            <w:sz w:val="22"/>
            <w:szCs w:val="22"/>
            <w:u w:val="single"/>
            <w:lang w:eastAsia="en-GB"/>
            <w14:ligatures w14:val="none"/>
          </w:rPr>
          <w:t>https://pointerpro.com/blog/questionnaire-pros-and-cons/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15326649"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Macfarlan, A. (2022). </w:t>
      </w:r>
      <w:r w:rsidRPr="002B38A4">
        <w:rPr>
          <w:rFonts w:ascii="Times New Roman" w:eastAsia="Times New Roman" w:hAnsi="Times New Roman" w:cs="Times New Roman"/>
          <w:i/>
          <w:iCs/>
          <w:color w:val="000000"/>
          <w:kern w:val="0"/>
          <w:sz w:val="22"/>
          <w:szCs w:val="22"/>
          <w:lang w:eastAsia="en-GB"/>
          <w14:ligatures w14:val="none"/>
        </w:rPr>
        <w:t>Mail questionnaire</w:t>
      </w:r>
      <w:r w:rsidRPr="002B38A4">
        <w:rPr>
          <w:rFonts w:ascii="Times New Roman" w:eastAsia="Times New Roman" w:hAnsi="Times New Roman" w:cs="Times New Roman"/>
          <w:color w:val="000000"/>
          <w:kern w:val="0"/>
          <w:sz w:val="22"/>
          <w:szCs w:val="22"/>
          <w:lang w:eastAsia="en-GB"/>
          <w14:ligatures w14:val="none"/>
        </w:rPr>
        <w:t xml:space="preserve">. [online] BetterEvaluation. Available at: </w:t>
      </w:r>
      <w:hyperlink r:id="rId23" w:tgtFrame="_blank" w:history="1">
        <w:r w:rsidRPr="002B38A4">
          <w:rPr>
            <w:rFonts w:ascii="Times New Roman" w:eastAsia="Times New Roman" w:hAnsi="Times New Roman" w:cs="Times New Roman"/>
            <w:color w:val="467886"/>
            <w:kern w:val="0"/>
            <w:sz w:val="22"/>
            <w:szCs w:val="22"/>
            <w:u w:val="single"/>
            <w:lang w:eastAsia="en-GB"/>
            <w14:ligatures w14:val="none"/>
          </w:rPr>
          <w:t>https://www.betterevaluation.org/methods-approaches/methods/mail-questionnaire</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498ABF7B"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6AE0BE07"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Mack, C. (2022). </w:t>
      </w:r>
      <w:r w:rsidRPr="002B38A4">
        <w:rPr>
          <w:rFonts w:ascii="Times New Roman" w:eastAsia="Times New Roman" w:hAnsi="Times New Roman" w:cs="Times New Roman"/>
          <w:i/>
          <w:iCs/>
          <w:color w:val="000000"/>
          <w:kern w:val="0"/>
          <w:sz w:val="22"/>
          <w:szCs w:val="22"/>
          <w:lang w:eastAsia="en-GB"/>
          <w14:ligatures w14:val="none"/>
        </w:rPr>
        <w:t>How to conduct an interview: A guide for schools</w:t>
      </w:r>
      <w:r w:rsidRPr="002B38A4">
        <w:rPr>
          <w:rFonts w:ascii="Times New Roman" w:eastAsia="Times New Roman" w:hAnsi="Times New Roman" w:cs="Times New Roman"/>
          <w:color w:val="000000"/>
          <w:kern w:val="0"/>
          <w:sz w:val="22"/>
          <w:szCs w:val="22"/>
          <w:lang w:eastAsia="en-GB"/>
          <w14:ligatures w14:val="none"/>
        </w:rPr>
        <w:t xml:space="preserve">. [online] Juniper Education. Available at: </w:t>
      </w:r>
      <w:hyperlink r:id="rId24" w:tgtFrame="_blank" w:history="1">
        <w:r w:rsidRPr="002B38A4">
          <w:rPr>
            <w:rFonts w:ascii="Times New Roman" w:eastAsia="Times New Roman" w:hAnsi="Times New Roman" w:cs="Times New Roman"/>
            <w:color w:val="467886"/>
            <w:kern w:val="0"/>
            <w:sz w:val="22"/>
            <w:szCs w:val="22"/>
            <w:u w:val="single"/>
            <w:lang w:eastAsia="en-GB"/>
            <w14:ligatures w14:val="none"/>
          </w:rPr>
          <w:t>https://junipereducation.org/blog/recruitment-getting-the-best-out-of-interviews/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4AE70568"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BC75228"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eastAsia="en-GB"/>
          <w14:ligatures w14:val="none"/>
        </w:rPr>
      </w:pPr>
      <w:r w:rsidRPr="002B38A4">
        <w:rPr>
          <w:rFonts w:ascii="Times New Roman" w:eastAsia="Times New Roman" w:hAnsi="Times New Roman" w:cs="Times New Roman"/>
          <w:color w:val="000000"/>
          <w:kern w:val="0"/>
          <w:sz w:val="22"/>
          <w:szCs w:val="22"/>
          <w:lang w:eastAsia="en-GB"/>
          <w14:ligatures w14:val="none"/>
        </w:rPr>
        <w:t>Mazikana, A.T. (2023). </w:t>
      </w:r>
      <w:r w:rsidRPr="002B38A4">
        <w:rPr>
          <w:rFonts w:ascii="Times New Roman" w:eastAsia="Times New Roman" w:hAnsi="Times New Roman" w:cs="Times New Roman"/>
          <w:i/>
          <w:iCs/>
          <w:color w:val="000000"/>
          <w:kern w:val="0"/>
          <w:sz w:val="22"/>
          <w:szCs w:val="22"/>
          <w:lang w:eastAsia="en-GB"/>
          <w14:ligatures w14:val="none"/>
        </w:rPr>
        <w:t>The good part of using a questionnaire: Advantages and disadvantages</w:t>
      </w:r>
      <w:r w:rsidRPr="002B38A4">
        <w:rPr>
          <w:rFonts w:ascii="Times New Roman" w:eastAsia="Times New Roman" w:hAnsi="Times New Roman" w:cs="Times New Roman"/>
          <w:color w:val="000000"/>
          <w:kern w:val="0"/>
          <w:sz w:val="22"/>
          <w:szCs w:val="22"/>
          <w:lang w:eastAsia="en-GB"/>
          <w14:ligatures w14:val="none"/>
        </w:rPr>
        <w:t xml:space="preserve">. [online] papers.ssrn.com. Available at: </w:t>
      </w:r>
      <w:hyperlink r:id="rId25" w:tgtFrame="_blank" w:history="1">
        <w:r w:rsidRPr="002B38A4">
          <w:rPr>
            <w:rFonts w:ascii="Times New Roman" w:eastAsia="Times New Roman" w:hAnsi="Times New Roman" w:cs="Times New Roman"/>
            <w:color w:val="467886"/>
            <w:kern w:val="0"/>
            <w:sz w:val="22"/>
            <w:szCs w:val="22"/>
            <w:u w:val="single"/>
            <w:lang w:eastAsia="en-GB"/>
            <w14:ligatures w14:val="none"/>
          </w:rPr>
          <w:t>https://papers.ssrn.com/sol3/papers.cfm?abstract_id=4386399</w:t>
        </w:r>
      </w:hyperlink>
      <w:r w:rsidRPr="002B38A4">
        <w:rPr>
          <w:rFonts w:ascii="Times New Roman" w:eastAsia="Times New Roman" w:hAnsi="Times New Roman" w:cs="Times New Roman"/>
          <w:color w:val="000000"/>
          <w:kern w:val="0"/>
          <w:sz w:val="22"/>
          <w:szCs w:val="22"/>
          <w:lang w:eastAsia="en-GB"/>
          <w14:ligatures w14:val="none"/>
        </w:rPr>
        <w:t>.</w:t>
      </w:r>
    </w:p>
    <w:p w14:paraId="48A7872C"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val="en-US" w:eastAsia="en-GB"/>
          <w14:ligatures w14:val="none"/>
        </w:rPr>
        <w:t> </w:t>
      </w:r>
    </w:p>
    <w:p w14:paraId="5DF97721"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lastRenderedPageBreak/>
        <w:t>O’Leary , Z. (2014). </w:t>
      </w:r>
      <w:r w:rsidRPr="002B38A4">
        <w:rPr>
          <w:rFonts w:ascii="Times New Roman" w:eastAsia="Times New Roman" w:hAnsi="Times New Roman" w:cs="Times New Roman"/>
          <w:i/>
          <w:iCs/>
          <w:color w:val="000000"/>
          <w:kern w:val="0"/>
          <w:sz w:val="22"/>
          <w:szCs w:val="22"/>
          <w:lang w:eastAsia="en-GB"/>
          <w14:ligatures w14:val="none"/>
        </w:rPr>
        <w:t>O’Leary, Z. (2017) The Essential Guide to Doing Your Research Project. SAGE Publications Ltd., London. - References - Scientific Research Publishing</w:t>
      </w:r>
      <w:r w:rsidRPr="002B38A4">
        <w:rPr>
          <w:rFonts w:ascii="Times New Roman" w:eastAsia="Times New Roman" w:hAnsi="Times New Roman" w:cs="Times New Roman"/>
          <w:color w:val="000000"/>
          <w:kern w:val="0"/>
          <w:sz w:val="22"/>
          <w:szCs w:val="22"/>
          <w:lang w:eastAsia="en-GB"/>
          <w14:ligatures w14:val="none"/>
        </w:rPr>
        <w:t xml:space="preserve">. [online] </w:t>
      </w:r>
      <w:hyperlink r:id="rId26" w:tgtFrame="_blank" w:history="1">
        <w:r w:rsidRPr="002B38A4">
          <w:rPr>
            <w:rFonts w:ascii="Times New Roman" w:eastAsia="Times New Roman" w:hAnsi="Times New Roman" w:cs="Times New Roman"/>
            <w:color w:val="467886"/>
            <w:kern w:val="0"/>
            <w:sz w:val="22"/>
            <w:szCs w:val="22"/>
            <w:u w:val="single"/>
            <w:lang w:eastAsia="en-GB"/>
            <w14:ligatures w14:val="none"/>
          </w:rPr>
          <w:t>www.scirp.org</w:t>
        </w:r>
      </w:hyperlink>
      <w:r w:rsidRPr="002B38A4">
        <w:rPr>
          <w:rFonts w:ascii="Times New Roman" w:eastAsia="Times New Roman" w:hAnsi="Times New Roman" w:cs="Times New Roman"/>
          <w:color w:val="000000"/>
          <w:kern w:val="0"/>
          <w:sz w:val="22"/>
          <w:szCs w:val="22"/>
          <w:lang w:eastAsia="en-GB"/>
          <w14:ligatures w14:val="none"/>
        </w:rPr>
        <w:t xml:space="preserve">. Available at: </w:t>
      </w:r>
      <w:hyperlink r:id="rId27" w:tgtFrame="_blank" w:history="1">
        <w:r w:rsidRPr="002B38A4">
          <w:rPr>
            <w:rFonts w:ascii="Times New Roman" w:eastAsia="Times New Roman" w:hAnsi="Times New Roman" w:cs="Times New Roman"/>
            <w:color w:val="467886"/>
            <w:kern w:val="0"/>
            <w:sz w:val="22"/>
            <w:szCs w:val="22"/>
            <w:u w:val="single"/>
            <w:lang w:eastAsia="en-GB"/>
            <w14:ligatures w14:val="none"/>
          </w:rPr>
          <w:t>https://www.scirp.org/reference/referencespapers?referenceid=2525670</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465C0627"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5364E5DA"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Orsmond, P., Merry, S. and Reiling, K. (2000). The Use of Student Derived Marking Criteria in Peer and Self-assessment. </w:t>
      </w:r>
      <w:r w:rsidRPr="002B38A4">
        <w:rPr>
          <w:rFonts w:ascii="Times New Roman" w:eastAsia="Times New Roman" w:hAnsi="Times New Roman" w:cs="Times New Roman"/>
          <w:i/>
          <w:iCs/>
          <w:color w:val="000000"/>
          <w:kern w:val="0"/>
          <w:sz w:val="22"/>
          <w:szCs w:val="22"/>
          <w:lang w:eastAsia="en-GB"/>
          <w14:ligatures w14:val="none"/>
        </w:rPr>
        <w:t>Assessment &amp; Evaluation in Higher Education</w:t>
      </w:r>
      <w:r w:rsidRPr="002B38A4">
        <w:rPr>
          <w:rFonts w:ascii="Times New Roman" w:eastAsia="Times New Roman" w:hAnsi="Times New Roman" w:cs="Times New Roman"/>
          <w:color w:val="000000"/>
          <w:kern w:val="0"/>
          <w:sz w:val="22"/>
          <w:szCs w:val="22"/>
          <w:lang w:eastAsia="en-GB"/>
          <w14:ligatures w14:val="none"/>
        </w:rPr>
        <w:t>, 25(1), pp.23–38. doi:https://doi.org/10.1080/02602930050025006.</w:t>
      </w:r>
      <w:r w:rsidRPr="002B38A4">
        <w:rPr>
          <w:rFonts w:ascii="Times New Roman" w:eastAsia="Times New Roman" w:hAnsi="Times New Roman" w:cs="Times New Roman"/>
          <w:color w:val="000000"/>
          <w:kern w:val="0"/>
          <w:sz w:val="22"/>
          <w:szCs w:val="22"/>
          <w:lang w:val="en-US" w:eastAsia="en-GB"/>
          <w14:ligatures w14:val="none"/>
        </w:rPr>
        <w:t> </w:t>
      </w:r>
    </w:p>
    <w:p w14:paraId="60D2B44F"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0E5C2BEB"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Purdue (1926). </w:t>
      </w:r>
      <w:r w:rsidRPr="002B38A4">
        <w:rPr>
          <w:rFonts w:ascii="Times New Roman" w:eastAsia="Times New Roman" w:hAnsi="Times New Roman" w:cs="Times New Roman"/>
          <w:i/>
          <w:iCs/>
          <w:color w:val="000000"/>
          <w:kern w:val="0"/>
          <w:sz w:val="22"/>
          <w:szCs w:val="22"/>
          <w:lang w:eastAsia="en-GB"/>
          <w14:ligatures w14:val="none"/>
        </w:rPr>
        <w:t>Studies in Higher Education</w:t>
      </w:r>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010D9B76"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02119D1E"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Southern Methodist University. (2024). </w:t>
      </w:r>
      <w:r w:rsidRPr="002B38A4">
        <w:rPr>
          <w:rFonts w:ascii="Times New Roman" w:eastAsia="Times New Roman" w:hAnsi="Times New Roman" w:cs="Times New Roman"/>
          <w:i/>
          <w:iCs/>
          <w:color w:val="000000"/>
          <w:kern w:val="0"/>
          <w:sz w:val="22"/>
          <w:szCs w:val="22"/>
          <w:lang w:eastAsia="en-GB"/>
          <w14:ligatures w14:val="none"/>
        </w:rPr>
        <w:t>Qualitative vs. quantitative data analysis: How do they differ?</w:t>
      </w:r>
      <w:r w:rsidRPr="002B38A4">
        <w:rPr>
          <w:rFonts w:ascii="Times New Roman" w:eastAsia="Times New Roman" w:hAnsi="Times New Roman" w:cs="Times New Roman"/>
          <w:color w:val="000000"/>
          <w:kern w:val="0"/>
          <w:sz w:val="22"/>
          <w:szCs w:val="22"/>
          <w:lang w:eastAsia="en-GB"/>
          <w14:ligatures w14:val="none"/>
        </w:rPr>
        <w:t xml:space="preserve"> [online] Available at: </w:t>
      </w:r>
      <w:hyperlink r:id="rId28" w:tgtFrame="_blank" w:history="1">
        <w:r w:rsidRPr="002B38A4">
          <w:rPr>
            <w:rFonts w:ascii="Times New Roman" w:eastAsia="Times New Roman" w:hAnsi="Times New Roman" w:cs="Times New Roman"/>
            <w:color w:val="467886"/>
            <w:kern w:val="0"/>
            <w:sz w:val="22"/>
            <w:szCs w:val="22"/>
            <w:u w:val="single"/>
            <w:lang w:eastAsia="en-GB"/>
            <w14:ligatures w14:val="none"/>
          </w:rPr>
          <w:t>https://learningsciences.smu.edu/blog/qualitative-vs-quantitative-data-analysis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78C5318E"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400B1FFD"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Swaffield, S. (2011). Getting to the heart of authentic Assessment for Learning. </w:t>
      </w:r>
      <w:r w:rsidRPr="002B38A4">
        <w:rPr>
          <w:rFonts w:ascii="Times New Roman" w:eastAsia="Times New Roman" w:hAnsi="Times New Roman" w:cs="Times New Roman"/>
          <w:i/>
          <w:iCs/>
          <w:color w:val="000000"/>
          <w:kern w:val="0"/>
          <w:sz w:val="22"/>
          <w:szCs w:val="22"/>
          <w:lang w:eastAsia="en-GB"/>
          <w14:ligatures w14:val="none"/>
        </w:rPr>
        <w:t>Assessment in Education: Principles, Policy &amp; Practice</w:t>
      </w:r>
      <w:r w:rsidRPr="002B38A4">
        <w:rPr>
          <w:rFonts w:ascii="Times New Roman" w:eastAsia="Times New Roman" w:hAnsi="Times New Roman" w:cs="Times New Roman"/>
          <w:color w:val="000000"/>
          <w:kern w:val="0"/>
          <w:sz w:val="22"/>
          <w:szCs w:val="22"/>
          <w:lang w:eastAsia="en-GB"/>
          <w14:ligatures w14:val="none"/>
        </w:rPr>
        <w:t>, 18(4), pp.433–449.</w:t>
      </w:r>
      <w:r w:rsidRPr="002B38A4">
        <w:rPr>
          <w:rFonts w:ascii="Times New Roman" w:eastAsia="Times New Roman" w:hAnsi="Times New Roman" w:cs="Times New Roman"/>
          <w:color w:val="000000"/>
          <w:kern w:val="0"/>
          <w:sz w:val="22"/>
          <w:szCs w:val="22"/>
          <w:lang w:val="en-US" w:eastAsia="en-GB"/>
          <w14:ligatures w14:val="none"/>
        </w:rPr>
        <w:t> </w:t>
      </w:r>
    </w:p>
    <w:p w14:paraId="05D700C2"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2444CFC5"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Teachers Institute. (2023). </w:t>
      </w:r>
      <w:r w:rsidRPr="002B38A4">
        <w:rPr>
          <w:rFonts w:ascii="Times New Roman" w:eastAsia="Times New Roman" w:hAnsi="Times New Roman" w:cs="Times New Roman"/>
          <w:i/>
          <w:iCs/>
          <w:color w:val="000000"/>
          <w:kern w:val="0"/>
          <w:sz w:val="22"/>
          <w:szCs w:val="22"/>
          <w:lang w:eastAsia="en-GB"/>
          <w14:ligatures w14:val="none"/>
        </w:rPr>
        <w:t>The Role of Questionnaires in Educational Research • Teachers Institute</w:t>
      </w:r>
      <w:r w:rsidRPr="002B38A4">
        <w:rPr>
          <w:rFonts w:ascii="Times New Roman" w:eastAsia="Times New Roman" w:hAnsi="Times New Roman" w:cs="Times New Roman"/>
          <w:color w:val="000000"/>
          <w:kern w:val="0"/>
          <w:sz w:val="22"/>
          <w:szCs w:val="22"/>
          <w:lang w:eastAsia="en-GB"/>
          <w14:ligatures w14:val="none"/>
        </w:rPr>
        <w:t xml:space="preserve">. [online] Available at: </w:t>
      </w:r>
      <w:hyperlink r:id="rId29" w:anchor="the-impact-of-questionnaires-on-educational-research" w:tgtFrame="_blank" w:history="1">
        <w:r w:rsidRPr="002B38A4">
          <w:rPr>
            <w:rFonts w:ascii="Times New Roman" w:eastAsia="Times New Roman" w:hAnsi="Times New Roman" w:cs="Times New Roman"/>
            <w:color w:val="467886"/>
            <w:kern w:val="0"/>
            <w:sz w:val="22"/>
            <w:szCs w:val="22"/>
            <w:u w:val="single"/>
            <w:lang w:eastAsia="en-GB"/>
            <w14:ligatures w14:val="none"/>
          </w:rPr>
          <w:t>https://teachers.institute/assessment-for-learning/role-questionnaires-educational-research/#the-impact-of-questionnaires-on-educational-research</w:t>
        </w:r>
      </w:hyperlink>
      <w:r w:rsidRPr="002B38A4">
        <w:rPr>
          <w:rFonts w:ascii="Times New Roman" w:eastAsia="Times New Roman" w:hAnsi="Times New Roman" w:cs="Times New Roman"/>
          <w:color w:val="000000"/>
          <w:kern w:val="0"/>
          <w:sz w:val="22"/>
          <w:szCs w:val="22"/>
          <w:lang w:eastAsia="en-GB"/>
          <w14:ligatures w14:val="none"/>
        </w:rPr>
        <w:t xml:space="preserve"> [Accessed 27 Mar. 2025].</w:t>
      </w:r>
      <w:r w:rsidRPr="002B38A4">
        <w:rPr>
          <w:rFonts w:ascii="Times New Roman" w:eastAsia="Times New Roman" w:hAnsi="Times New Roman" w:cs="Times New Roman"/>
          <w:color w:val="000000"/>
          <w:kern w:val="0"/>
          <w:sz w:val="22"/>
          <w:szCs w:val="22"/>
          <w:lang w:val="en-US" w:eastAsia="en-GB"/>
          <w14:ligatures w14:val="none"/>
        </w:rPr>
        <w:t> </w:t>
      </w:r>
    </w:p>
    <w:p w14:paraId="7EE3825E"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790D4D20"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Thompson, A.K. (2019). </w:t>
      </w:r>
      <w:r w:rsidRPr="002B38A4">
        <w:rPr>
          <w:rFonts w:ascii="Times New Roman" w:eastAsia="Times New Roman" w:hAnsi="Times New Roman" w:cs="Times New Roman"/>
          <w:i/>
          <w:iCs/>
          <w:color w:val="000000"/>
          <w:kern w:val="0"/>
          <w:sz w:val="22"/>
          <w:szCs w:val="22"/>
          <w:lang w:eastAsia="en-GB"/>
          <w14:ligatures w14:val="none"/>
        </w:rPr>
        <w:t>Using interviews to research education</w:t>
      </w:r>
      <w:r w:rsidRPr="002B38A4">
        <w:rPr>
          <w:rFonts w:ascii="Times New Roman" w:eastAsia="Times New Roman" w:hAnsi="Times New Roman" w:cs="Times New Roman"/>
          <w:color w:val="000000"/>
          <w:kern w:val="0"/>
          <w:sz w:val="22"/>
          <w:szCs w:val="22"/>
          <w:lang w:eastAsia="en-GB"/>
          <w14:ligatures w14:val="none"/>
        </w:rPr>
        <w:t xml:space="preserve">. [online] ReviseSociology. Available at: </w:t>
      </w:r>
      <w:hyperlink r:id="rId30" w:tgtFrame="_blank" w:history="1">
        <w:r w:rsidRPr="002B38A4">
          <w:rPr>
            <w:rFonts w:ascii="Times New Roman" w:eastAsia="Times New Roman" w:hAnsi="Times New Roman" w:cs="Times New Roman"/>
            <w:color w:val="467886"/>
            <w:kern w:val="0"/>
            <w:sz w:val="22"/>
            <w:szCs w:val="22"/>
            <w:u w:val="single"/>
            <w:lang w:eastAsia="en-GB"/>
            <w14:ligatures w14:val="none"/>
          </w:rPr>
          <w:t>https://revisesociology.com/2019/03/27/interviews-education/</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0E54C3EE"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64ED4C50"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Topping, K.J. (2009). Peer Assessment. </w:t>
      </w:r>
      <w:r w:rsidRPr="002B38A4">
        <w:rPr>
          <w:rFonts w:ascii="Times New Roman" w:eastAsia="Times New Roman" w:hAnsi="Times New Roman" w:cs="Times New Roman"/>
          <w:i/>
          <w:iCs/>
          <w:color w:val="000000"/>
          <w:kern w:val="0"/>
          <w:sz w:val="22"/>
          <w:szCs w:val="22"/>
          <w:lang w:eastAsia="en-GB"/>
          <w14:ligatures w14:val="none"/>
        </w:rPr>
        <w:t>Theory Into Practice</w:t>
      </w:r>
      <w:r w:rsidRPr="002B38A4">
        <w:rPr>
          <w:rFonts w:ascii="Times New Roman" w:eastAsia="Times New Roman" w:hAnsi="Times New Roman" w:cs="Times New Roman"/>
          <w:color w:val="000000"/>
          <w:kern w:val="0"/>
          <w:sz w:val="22"/>
          <w:szCs w:val="22"/>
          <w:lang w:eastAsia="en-GB"/>
          <w14:ligatures w14:val="none"/>
        </w:rPr>
        <w:t>, 48(1), pp.20–27.</w:t>
      </w:r>
      <w:r w:rsidRPr="002B38A4">
        <w:rPr>
          <w:rFonts w:ascii="Times New Roman" w:eastAsia="Times New Roman" w:hAnsi="Times New Roman" w:cs="Times New Roman"/>
          <w:color w:val="000000"/>
          <w:kern w:val="0"/>
          <w:sz w:val="22"/>
          <w:szCs w:val="22"/>
          <w:lang w:val="en-US" w:eastAsia="en-GB"/>
          <w14:ligatures w14:val="none"/>
        </w:rPr>
        <w:t> </w:t>
      </w:r>
    </w:p>
    <w:p w14:paraId="7E958482"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49095B33"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eastAsia="en-GB"/>
          <w14:ligatures w14:val="none"/>
        </w:rPr>
      </w:pPr>
      <w:r w:rsidRPr="002B38A4">
        <w:rPr>
          <w:rFonts w:ascii="Times New Roman" w:eastAsia="Times New Roman" w:hAnsi="Times New Roman" w:cs="Times New Roman"/>
          <w:color w:val="000000"/>
          <w:kern w:val="0"/>
          <w:sz w:val="22"/>
          <w:szCs w:val="22"/>
          <w:lang w:eastAsia="en-GB"/>
          <w14:ligatures w14:val="none"/>
        </w:rPr>
        <w:t>UNICEF (2016). </w:t>
      </w:r>
      <w:r w:rsidRPr="002B38A4">
        <w:rPr>
          <w:rFonts w:ascii="Times New Roman" w:eastAsia="Times New Roman" w:hAnsi="Times New Roman" w:cs="Times New Roman"/>
          <w:i/>
          <w:iCs/>
          <w:color w:val="000000"/>
          <w:kern w:val="0"/>
          <w:sz w:val="22"/>
          <w:szCs w:val="22"/>
          <w:lang w:eastAsia="en-GB"/>
          <w14:ligatures w14:val="none"/>
        </w:rPr>
        <w:t>The Right to Participation for Rights Respecting Schools - Unicef UK</w:t>
      </w:r>
      <w:r w:rsidRPr="002B38A4">
        <w:rPr>
          <w:rFonts w:ascii="Times New Roman" w:eastAsia="Times New Roman" w:hAnsi="Times New Roman" w:cs="Times New Roman"/>
          <w:color w:val="000000"/>
          <w:kern w:val="0"/>
          <w:sz w:val="22"/>
          <w:szCs w:val="22"/>
          <w:lang w:eastAsia="en-GB"/>
          <w14:ligatures w14:val="none"/>
        </w:rPr>
        <w:t xml:space="preserve">. [online] </w:t>
      </w:r>
    </w:p>
    <w:p w14:paraId="06FC83A1"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 xml:space="preserve">Rights Respecting Schools Award. Available at: </w:t>
      </w:r>
      <w:hyperlink r:id="rId31" w:tgtFrame="_blank" w:history="1">
        <w:r w:rsidRPr="002B38A4">
          <w:rPr>
            <w:rFonts w:ascii="Times New Roman" w:eastAsia="Times New Roman" w:hAnsi="Times New Roman" w:cs="Times New Roman"/>
            <w:color w:val="467886"/>
            <w:kern w:val="0"/>
            <w:sz w:val="22"/>
            <w:szCs w:val="22"/>
            <w:u w:val="single"/>
            <w:lang w:eastAsia="en-GB"/>
            <w14:ligatures w14:val="none"/>
          </w:rPr>
          <w:t>https://www.unicef.org.uk/rights-respecting-schools/the-right-to-participation/</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205271A3"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5DE2BE5"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Waack, S. (2025). </w:t>
      </w:r>
      <w:r w:rsidRPr="002B38A4">
        <w:rPr>
          <w:rFonts w:ascii="Times New Roman" w:eastAsia="Times New Roman" w:hAnsi="Times New Roman" w:cs="Times New Roman"/>
          <w:i/>
          <w:iCs/>
          <w:color w:val="000000"/>
          <w:kern w:val="0"/>
          <w:sz w:val="22"/>
          <w:szCs w:val="22"/>
          <w:lang w:eastAsia="en-GB"/>
          <w14:ligatures w14:val="none"/>
        </w:rPr>
        <w:t>Visible Learning</w:t>
      </w:r>
      <w:r w:rsidRPr="002B38A4">
        <w:rPr>
          <w:rFonts w:ascii="Times New Roman" w:eastAsia="Times New Roman" w:hAnsi="Times New Roman" w:cs="Times New Roman"/>
          <w:color w:val="000000"/>
          <w:kern w:val="0"/>
          <w:sz w:val="22"/>
          <w:szCs w:val="22"/>
          <w:lang w:eastAsia="en-GB"/>
          <w14:ligatures w14:val="none"/>
        </w:rPr>
        <w:t xml:space="preserve">. [online] VISIBLE LEARNING. Available at: </w:t>
      </w:r>
      <w:hyperlink r:id="rId32" w:tgtFrame="_blank" w:history="1">
        <w:r w:rsidRPr="002B38A4">
          <w:rPr>
            <w:rFonts w:ascii="Times New Roman" w:eastAsia="Times New Roman" w:hAnsi="Times New Roman" w:cs="Times New Roman"/>
            <w:color w:val="467886"/>
            <w:kern w:val="0"/>
            <w:sz w:val="22"/>
            <w:szCs w:val="22"/>
            <w:u w:val="single"/>
            <w:lang w:eastAsia="en-GB"/>
            <w14:ligatures w14:val="none"/>
          </w:rPr>
          <w:t>https://visible-learning.org</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0746B415"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3E772C79"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Welsh Curriculum (2020). </w:t>
      </w:r>
      <w:r w:rsidRPr="002B38A4">
        <w:rPr>
          <w:rFonts w:ascii="Times New Roman" w:eastAsia="Times New Roman" w:hAnsi="Times New Roman" w:cs="Times New Roman"/>
          <w:i/>
          <w:iCs/>
          <w:color w:val="000000"/>
          <w:kern w:val="0"/>
          <w:sz w:val="22"/>
          <w:szCs w:val="22"/>
          <w:lang w:eastAsia="en-GB"/>
          <w14:ligatures w14:val="none"/>
        </w:rPr>
        <w:t>Introduction - Hwb</w:t>
      </w:r>
      <w:r w:rsidRPr="002B38A4">
        <w:rPr>
          <w:rFonts w:ascii="Times New Roman" w:eastAsia="Times New Roman" w:hAnsi="Times New Roman" w:cs="Times New Roman"/>
          <w:color w:val="000000"/>
          <w:kern w:val="0"/>
          <w:sz w:val="22"/>
          <w:szCs w:val="22"/>
          <w:lang w:eastAsia="en-GB"/>
          <w14:ligatures w14:val="none"/>
        </w:rPr>
        <w:t xml:space="preserve">. [online] hwb.gov.wales. Available at: </w:t>
      </w:r>
      <w:hyperlink r:id="rId33" w:tgtFrame="_blank" w:history="1">
        <w:r w:rsidRPr="002B38A4">
          <w:rPr>
            <w:rFonts w:ascii="Times New Roman" w:eastAsia="Times New Roman" w:hAnsi="Times New Roman" w:cs="Times New Roman"/>
            <w:color w:val="467886"/>
            <w:kern w:val="0"/>
            <w:sz w:val="22"/>
            <w:szCs w:val="22"/>
            <w:u w:val="single"/>
            <w:lang w:eastAsia="en-GB"/>
            <w14:ligatures w14:val="none"/>
          </w:rPr>
          <w:t>https://hwb.gov.wales/curriculum-for-wales/designing-your-curriculum/introduction/</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7CF1E330"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66A5A258"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Welsh Government (2020). </w:t>
      </w:r>
      <w:r w:rsidRPr="002B38A4">
        <w:rPr>
          <w:rFonts w:ascii="Times New Roman" w:eastAsia="Times New Roman" w:hAnsi="Times New Roman" w:cs="Times New Roman"/>
          <w:i/>
          <w:iCs/>
          <w:color w:val="000000"/>
          <w:kern w:val="0"/>
          <w:sz w:val="22"/>
          <w:szCs w:val="22"/>
          <w:lang w:eastAsia="en-GB"/>
          <w14:ligatures w14:val="none"/>
        </w:rPr>
        <w:t>Developing a vision for curriculum design - Hwb</w:t>
      </w:r>
      <w:r w:rsidRPr="002B38A4">
        <w:rPr>
          <w:rFonts w:ascii="Times New Roman" w:eastAsia="Times New Roman" w:hAnsi="Times New Roman" w:cs="Times New Roman"/>
          <w:color w:val="000000"/>
          <w:kern w:val="0"/>
          <w:sz w:val="22"/>
          <w:szCs w:val="22"/>
          <w:lang w:eastAsia="en-GB"/>
          <w14:ligatures w14:val="none"/>
        </w:rPr>
        <w:t xml:space="preserve">. [online] hwb.gov.wales. Available at: </w:t>
      </w:r>
      <w:hyperlink r:id="rId34" w:anchor="curriculum-design-and-the-four-purposes" w:tgtFrame="_blank" w:history="1">
        <w:r w:rsidRPr="002B38A4">
          <w:rPr>
            <w:rFonts w:ascii="Times New Roman" w:eastAsia="Times New Roman" w:hAnsi="Times New Roman" w:cs="Times New Roman"/>
            <w:color w:val="467886"/>
            <w:kern w:val="0"/>
            <w:sz w:val="22"/>
            <w:szCs w:val="22"/>
            <w:u w:val="single"/>
            <w:lang w:eastAsia="en-GB"/>
            <w14:ligatures w14:val="none"/>
          </w:rPr>
          <w:t>https://hwb.gov.wales/curriculum-for-wales/designing-your-curriculum/developing-a-vision-for-curriculum-design#curriculum-design-and-the-four-purposes</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7B51F82F"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12AB2AB3"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Welsh Government (2022). </w:t>
      </w:r>
      <w:r w:rsidRPr="002B38A4">
        <w:rPr>
          <w:rFonts w:ascii="Times New Roman" w:eastAsia="Times New Roman" w:hAnsi="Times New Roman" w:cs="Times New Roman"/>
          <w:i/>
          <w:iCs/>
          <w:color w:val="000000"/>
          <w:kern w:val="0"/>
          <w:sz w:val="22"/>
          <w:szCs w:val="22"/>
          <w:lang w:eastAsia="en-GB"/>
          <w14:ligatures w14:val="none"/>
        </w:rPr>
        <w:t>Supporting learner progression assessment guidance - Hwb</w:t>
      </w:r>
      <w:r w:rsidRPr="002B38A4">
        <w:rPr>
          <w:rFonts w:ascii="Times New Roman" w:eastAsia="Times New Roman" w:hAnsi="Times New Roman" w:cs="Times New Roman"/>
          <w:color w:val="000000"/>
          <w:kern w:val="0"/>
          <w:sz w:val="22"/>
          <w:szCs w:val="22"/>
          <w:lang w:eastAsia="en-GB"/>
          <w14:ligatures w14:val="none"/>
        </w:rPr>
        <w:t xml:space="preserve">. [online] hwb.gov.wales. Available at: </w:t>
      </w:r>
      <w:hyperlink r:id="rId35" w:tgtFrame="_blank" w:history="1">
        <w:r w:rsidRPr="002B38A4">
          <w:rPr>
            <w:rFonts w:ascii="Times New Roman" w:eastAsia="Times New Roman" w:hAnsi="Times New Roman" w:cs="Times New Roman"/>
            <w:color w:val="467886"/>
            <w:kern w:val="0"/>
            <w:sz w:val="22"/>
            <w:szCs w:val="22"/>
            <w:u w:val="single"/>
            <w:lang w:eastAsia="en-GB"/>
            <w14:ligatures w14:val="none"/>
          </w:rPr>
          <w:t>https://hwb.gov.wales/curriculum-for-wales/assessment-arrangements/supporting-learner-progression-assessment-guidance</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4B91BFA9"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31729DCC" w14:textId="77777777" w:rsidR="00F2097C" w:rsidRPr="002B38A4" w:rsidRDefault="00F2097C" w:rsidP="00F2097C">
      <w:pPr>
        <w:spacing w:after="0" w:line="240" w:lineRule="auto"/>
        <w:textAlignment w:val="baseline"/>
        <w:rPr>
          <w:rFonts w:ascii="Times New Roman" w:eastAsia="Times New Roman" w:hAnsi="Times New Roman" w:cs="Times New Roman"/>
          <w:color w:val="000000"/>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Welsh Government (2023). </w:t>
      </w:r>
      <w:r w:rsidRPr="002B38A4">
        <w:rPr>
          <w:rFonts w:ascii="Times New Roman" w:eastAsia="Times New Roman" w:hAnsi="Times New Roman" w:cs="Times New Roman"/>
          <w:i/>
          <w:iCs/>
          <w:color w:val="000000"/>
          <w:kern w:val="0"/>
          <w:sz w:val="22"/>
          <w:szCs w:val="22"/>
          <w:lang w:eastAsia="en-GB"/>
          <w14:ligatures w14:val="none"/>
        </w:rPr>
        <w:t>Pedagogy - Hwb</w:t>
      </w:r>
      <w:r w:rsidRPr="002B38A4">
        <w:rPr>
          <w:rFonts w:ascii="Times New Roman" w:eastAsia="Times New Roman" w:hAnsi="Times New Roman" w:cs="Times New Roman"/>
          <w:color w:val="000000"/>
          <w:kern w:val="0"/>
          <w:sz w:val="22"/>
          <w:szCs w:val="22"/>
          <w:lang w:eastAsia="en-GB"/>
          <w14:ligatures w14:val="none"/>
        </w:rPr>
        <w:t xml:space="preserve">. [online] hwb.gov.wales. Available at: </w:t>
      </w:r>
      <w:hyperlink r:id="rId36" w:tgtFrame="_blank" w:history="1">
        <w:r w:rsidRPr="002B38A4">
          <w:rPr>
            <w:rFonts w:ascii="Times New Roman" w:eastAsia="Times New Roman" w:hAnsi="Times New Roman" w:cs="Times New Roman"/>
            <w:color w:val="467886"/>
            <w:kern w:val="0"/>
            <w:sz w:val="22"/>
            <w:szCs w:val="22"/>
            <w:u w:val="single"/>
            <w:lang w:eastAsia="en-GB"/>
            <w14:ligatures w14:val="none"/>
          </w:rPr>
          <w:t>https://hwb.gov.wales/curriculum-for-wales/designing-your-curriculum/pedagogy</w:t>
        </w:r>
      </w:hyperlink>
      <w:r w:rsidRPr="002B38A4">
        <w:rPr>
          <w:rFonts w:ascii="Times New Roman" w:eastAsia="Times New Roman" w:hAnsi="Times New Roman" w:cs="Times New Roman"/>
          <w:color w:val="000000"/>
          <w:kern w:val="0"/>
          <w:sz w:val="22"/>
          <w:szCs w:val="22"/>
          <w:lang w:eastAsia="en-GB"/>
          <w14:ligatures w14:val="none"/>
        </w:rPr>
        <w:t>.</w:t>
      </w:r>
      <w:r w:rsidRPr="002B38A4">
        <w:rPr>
          <w:rFonts w:ascii="Times New Roman" w:eastAsia="Times New Roman" w:hAnsi="Times New Roman" w:cs="Times New Roman"/>
          <w:color w:val="000000"/>
          <w:kern w:val="0"/>
          <w:sz w:val="22"/>
          <w:szCs w:val="22"/>
          <w:lang w:val="en-US" w:eastAsia="en-GB"/>
          <w14:ligatures w14:val="none"/>
        </w:rPr>
        <w:t> </w:t>
      </w:r>
    </w:p>
    <w:p w14:paraId="151C6810"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p>
    <w:p w14:paraId="7DD0F631"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Wiliam, D. (2011). </w:t>
      </w:r>
      <w:r w:rsidRPr="002B38A4">
        <w:rPr>
          <w:rFonts w:ascii="Times New Roman" w:eastAsia="Times New Roman" w:hAnsi="Times New Roman" w:cs="Times New Roman"/>
          <w:i/>
          <w:iCs/>
          <w:color w:val="000000"/>
          <w:kern w:val="0"/>
          <w:sz w:val="22"/>
          <w:szCs w:val="22"/>
          <w:lang w:eastAsia="en-GB"/>
          <w14:ligatures w14:val="none"/>
        </w:rPr>
        <w:t>Embedded Formative Assessment</w:t>
      </w:r>
      <w:r w:rsidRPr="002B38A4">
        <w:rPr>
          <w:rFonts w:ascii="Times New Roman" w:eastAsia="Times New Roman" w:hAnsi="Times New Roman" w:cs="Times New Roman"/>
          <w:color w:val="000000"/>
          <w:kern w:val="0"/>
          <w:sz w:val="22"/>
          <w:szCs w:val="22"/>
          <w:lang w:eastAsia="en-GB"/>
          <w14:ligatures w14:val="none"/>
        </w:rPr>
        <w:t>. Bloomington: Solution Tree Press.</w:t>
      </w:r>
      <w:r w:rsidRPr="002B38A4">
        <w:rPr>
          <w:rFonts w:ascii="Times New Roman" w:eastAsia="Times New Roman" w:hAnsi="Times New Roman" w:cs="Times New Roman"/>
          <w:color w:val="000000"/>
          <w:kern w:val="0"/>
          <w:sz w:val="22"/>
          <w:szCs w:val="22"/>
          <w:lang w:val="en-US" w:eastAsia="en-GB"/>
          <w14:ligatures w14:val="none"/>
        </w:rPr>
        <w:t> </w:t>
      </w:r>
    </w:p>
    <w:p w14:paraId="5481A179" w14:textId="77777777" w:rsidR="00F2097C" w:rsidRPr="002B38A4"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Times New Roman" w:eastAsia="Times New Roman" w:hAnsi="Times New Roman" w:cs="Times New Roman"/>
          <w:color w:val="000000"/>
          <w:kern w:val="0"/>
          <w:sz w:val="22"/>
          <w:szCs w:val="22"/>
          <w:lang w:eastAsia="en-GB"/>
          <w14:ligatures w14:val="none"/>
        </w:rPr>
        <w:t>Winwood, J. (2019). Using interviews. </w:t>
      </w:r>
      <w:r w:rsidRPr="002B38A4">
        <w:rPr>
          <w:rFonts w:ascii="Times New Roman" w:eastAsia="Times New Roman" w:hAnsi="Times New Roman" w:cs="Times New Roman"/>
          <w:i/>
          <w:iCs/>
          <w:color w:val="000000"/>
          <w:kern w:val="0"/>
          <w:sz w:val="22"/>
          <w:szCs w:val="22"/>
          <w:lang w:eastAsia="en-GB"/>
          <w14:ligatures w14:val="none"/>
        </w:rPr>
        <w:t>Practical Research Methods in Education</w:t>
      </w:r>
      <w:r w:rsidRPr="002B38A4">
        <w:rPr>
          <w:rFonts w:ascii="Times New Roman" w:eastAsia="Times New Roman" w:hAnsi="Times New Roman" w:cs="Times New Roman"/>
          <w:color w:val="000000"/>
          <w:kern w:val="0"/>
          <w:sz w:val="22"/>
          <w:szCs w:val="22"/>
          <w:lang w:eastAsia="en-GB"/>
          <w14:ligatures w14:val="none"/>
        </w:rPr>
        <w:t>, 1, pp.12–22. doi:https://doi.org/10.4324/9781351188395-2.</w:t>
      </w:r>
      <w:r w:rsidRPr="002B38A4">
        <w:rPr>
          <w:rFonts w:ascii="Times New Roman" w:eastAsia="Times New Roman" w:hAnsi="Times New Roman" w:cs="Times New Roman"/>
          <w:color w:val="000000"/>
          <w:kern w:val="0"/>
          <w:sz w:val="22"/>
          <w:szCs w:val="22"/>
          <w:lang w:val="en-US" w:eastAsia="en-GB"/>
          <w14:ligatures w14:val="none"/>
        </w:rPr>
        <w:t> </w:t>
      </w:r>
    </w:p>
    <w:p w14:paraId="3D70F847" w14:textId="52C3D7D1" w:rsidR="00516216" w:rsidRPr="00F2097C" w:rsidRDefault="00F2097C" w:rsidP="00F2097C">
      <w:pPr>
        <w:spacing w:after="0" w:line="240" w:lineRule="auto"/>
        <w:textAlignment w:val="baseline"/>
        <w:rPr>
          <w:rFonts w:ascii="Segoe UI" w:eastAsia="Times New Roman" w:hAnsi="Segoe UI" w:cs="Segoe UI"/>
          <w:kern w:val="0"/>
          <w:sz w:val="22"/>
          <w:szCs w:val="22"/>
          <w:lang w:val="en-US" w:eastAsia="en-GB"/>
          <w14:ligatures w14:val="none"/>
        </w:rPr>
      </w:pPr>
      <w:r w:rsidRPr="002B38A4">
        <w:rPr>
          <w:rFonts w:ascii="Aptos" w:eastAsia="Times New Roman" w:hAnsi="Aptos" w:cs="Segoe UI"/>
          <w:color w:val="000000"/>
          <w:kern w:val="0"/>
          <w:sz w:val="22"/>
          <w:szCs w:val="22"/>
          <w:lang w:val="en-US" w:eastAsia="en-GB"/>
          <w14:ligatures w14:val="none"/>
        </w:rPr>
        <w:t> </w:t>
      </w:r>
    </w:p>
    <w:sectPr w:rsidR="00516216" w:rsidRPr="00F20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216"/>
    <w:rsid w:val="00455B28"/>
    <w:rsid w:val="00516216"/>
    <w:rsid w:val="00F20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2FA5F5"/>
  <w15:chartTrackingRefBased/>
  <w15:docId w15:val="{0BB646CD-18C3-7544-86B3-108ED2E57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97C"/>
  </w:style>
  <w:style w:type="paragraph" w:styleId="Heading1">
    <w:name w:val="heading 1"/>
    <w:basedOn w:val="Normal"/>
    <w:next w:val="Normal"/>
    <w:link w:val="Heading1Char"/>
    <w:uiPriority w:val="9"/>
    <w:qFormat/>
    <w:rsid w:val="00516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216"/>
    <w:rPr>
      <w:rFonts w:eastAsiaTheme="majorEastAsia" w:cstheme="majorBidi"/>
      <w:color w:val="272727" w:themeColor="text1" w:themeTint="D8"/>
    </w:rPr>
  </w:style>
  <w:style w:type="paragraph" w:styleId="Title">
    <w:name w:val="Title"/>
    <w:basedOn w:val="Normal"/>
    <w:next w:val="Normal"/>
    <w:link w:val="TitleChar"/>
    <w:uiPriority w:val="10"/>
    <w:qFormat/>
    <w:rsid w:val="00516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216"/>
    <w:pPr>
      <w:spacing w:before="160"/>
      <w:jc w:val="center"/>
    </w:pPr>
    <w:rPr>
      <w:i/>
      <w:iCs/>
      <w:color w:val="404040" w:themeColor="text1" w:themeTint="BF"/>
    </w:rPr>
  </w:style>
  <w:style w:type="character" w:customStyle="1" w:styleId="QuoteChar">
    <w:name w:val="Quote Char"/>
    <w:basedOn w:val="DefaultParagraphFont"/>
    <w:link w:val="Quote"/>
    <w:uiPriority w:val="29"/>
    <w:rsid w:val="00516216"/>
    <w:rPr>
      <w:i/>
      <w:iCs/>
      <w:color w:val="404040" w:themeColor="text1" w:themeTint="BF"/>
    </w:rPr>
  </w:style>
  <w:style w:type="paragraph" w:styleId="ListParagraph">
    <w:name w:val="List Paragraph"/>
    <w:basedOn w:val="Normal"/>
    <w:uiPriority w:val="34"/>
    <w:qFormat/>
    <w:rsid w:val="00516216"/>
    <w:pPr>
      <w:ind w:left="720"/>
      <w:contextualSpacing/>
    </w:pPr>
  </w:style>
  <w:style w:type="character" w:styleId="IntenseEmphasis">
    <w:name w:val="Intense Emphasis"/>
    <w:basedOn w:val="DefaultParagraphFont"/>
    <w:uiPriority w:val="21"/>
    <w:qFormat/>
    <w:rsid w:val="00516216"/>
    <w:rPr>
      <w:i/>
      <w:iCs/>
      <w:color w:val="0F4761" w:themeColor="accent1" w:themeShade="BF"/>
    </w:rPr>
  </w:style>
  <w:style w:type="paragraph" w:styleId="IntenseQuote">
    <w:name w:val="Intense Quote"/>
    <w:basedOn w:val="Normal"/>
    <w:next w:val="Normal"/>
    <w:link w:val="IntenseQuoteChar"/>
    <w:uiPriority w:val="30"/>
    <w:qFormat/>
    <w:rsid w:val="00516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216"/>
    <w:rPr>
      <w:i/>
      <w:iCs/>
      <w:color w:val="0F4761" w:themeColor="accent1" w:themeShade="BF"/>
    </w:rPr>
  </w:style>
  <w:style w:type="character" w:styleId="IntenseReference">
    <w:name w:val="Intense Reference"/>
    <w:basedOn w:val="DefaultParagraphFont"/>
    <w:uiPriority w:val="32"/>
    <w:qFormat/>
    <w:rsid w:val="005162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education-evidence/teaching-learning-toolkit/peer-tutoring" TargetMode="External"/><Relationship Id="rId18" Type="http://schemas.openxmlformats.org/officeDocument/2006/relationships/hyperlink" Target="https://dergipark.org.tr/tr/download/article-file/32156" TargetMode="External"/><Relationship Id="rId26" Type="http://schemas.openxmlformats.org/officeDocument/2006/relationships/hyperlink" Target="https://ukc-word-edit.officeapps.live.com/we/www.scirp.org" TargetMode="External"/><Relationship Id="rId21" Type="http://schemas.openxmlformats.org/officeDocument/2006/relationships/hyperlink" Target="https://www.facultyfocus.com/articles/educational-assessment/using-student-interviews-to-assess-and-mentor-students/" TargetMode="External"/><Relationship Id="rId34" Type="http://schemas.openxmlformats.org/officeDocument/2006/relationships/hyperlink" Target="https://hwb.gov.wales/curriculum-for-wales/designing-your-curriculum/developing-a-vision-for-curriculum-design" TargetMode="External"/><Relationship Id="rId7" Type="http://schemas.openxmlformats.org/officeDocument/2006/relationships/hyperlink" Target="https://ukc-word-edit.officeapps.live.com/we/www.bera.ac.uk" TargetMode="Externa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atlasti.com/guides/interview-analysis-guide/disadvantages-of-research-interviews?utm_source=chatgpt.com" TargetMode="External"/><Relationship Id="rId25" Type="http://schemas.openxmlformats.org/officeDocument/2006/relationships/hyperlink" Target="https://papers.ssrn.com/sol3/papers.cfm?abstract_id=4386399" TargetMode="External"/><Relationship Id="rId33" Type="http://schemas.openxmlformats.org/officeDocument/2006/relationships/hyperlink" Target="https://hwb.gov.wales/curriculum-for-wales/designing-your-curriculum/introduction/"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highspeedtraining.co.uk/hub/how-to-use-assessment-for-learning-in-schools/" TargetMode="External"/><Relationship Id="rId20" Type="http://schemas.openxmlformats.org/officeDocument/2006/relationships/hyperlink" Target="https://evidencebased.education/peer-collaboration-in-the-classroom/" TargetMode="External"/><Relationship Id="rId29" Type="http://schemas.openxmlformats.org/officeDocument/2006/relationships/hyperlink" Target="https://teachers.institute/assessment-for-learning/role-questionnaires-educational-research/"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www.kritik.io/blog-post/5-criteria-to-facilitate-effective-peer-assessment" TargetMode="External"/><Relationship Id="rId24" Type="http://schemas.openxmlformats.org/officeDocument/2006/relationships/hyperlink" Target="https://junipereducation.org/blog/recruitment-getting-the-best-out-of-interviews/" TargetMode="External"/><Relationship Id="rId32" Type="http://schemas.openxmlformats.org/officeDocument/2006/relationships/hyperlink" Target="https://visible-learning.org" TargetMode="External"/><Relationship Id="rId37" Type="http://schemas.openxmlformats.org/officeDocument/2006/relationships/fontTable" Target="fontTable.xml"/><Relationship Id="rId5" Type="http://schemas.openxmlformats.org/officeDocument/2006/relationships/hyperlink" Target="https://ukc-word-edit.officeapps.live.com/we/www.bera.ac.uk" TargetMode="External"/><Relationship Id="rId15" Type="http://schemas.openxmlformats.org/officeDocument/2006/relationships/hyperlink" Target="https://estyn.gov.wales/improvement-resources/targeted-research-helps-develop-innovative-teaching-practices/" TargetMode="External"/><Relationship Id="rId23" Type="http://schemas.openxmlformats.org/officeDocument/2006/relationships/hyperlink" Target="https://www.betterevaluation.org/methods-approaches/methods/mail-questionnaire" TargetMode="External"/><Relationship Id="rId28" Type="http://schemas.openxmlformats.org/officeDocument/2006/relationships/hyperlink" Target="https://learningsciences.smu.edu/blog/qualitative-vs-quantitative-data-analysis" TargetMode="External"/><Relationship Id="rId36" Type="http://schemas.openxmlformats.org/officeDocument/2006/relationships/hyperlink" Target="https://hwb.gov.wales/curriculum-for-wales/designing-your-curriculum/pedagogy" TargetMode="External"/><Relationship Id="rId10" Type="http://schemas.openxmlformats.org/officeDocument/2006/relationships/hyperlink" Target="https://ukc-word-edit.officeapps.live.com/we/www.kritik.io" TargetMode="External"/><Relationship Id="rId19" Type="http://schemas.openxmlformats.org/officeDocument/2006/relationships/hyperlink" Target="https://evidencebased.education/multiple-choice-questions-pros-and-cons/" TargetMode="External"/><Relationship Id="rId31" Type="http://schemas.openxmlformats.org/officeDocument/2006/relationships/hyperlink" Target="https://www.unicef.org.uk/rights-respecting-schools/the-right-to-participation/" TargetMode="External"/><Relationship Id="rId4" Type="http://schemas.openxmlformats.org/officeDocument/2006/relationships/hyperlink" Target="https://www.eajournals.org/wp-content/uploads/Interview-versus-Questionnaire-from-the-Perspective-of-CBE-Members-1.pdf" TargetMode="External"/><Relationship Id="rId9" Type="http://schemas.openxmlformats.org/officeDocument/2006/relationships/hyperlink" Target="https://teaching.cornell.edu/teaching-resources/assessing-student-learning/peer-assessment" TargetMode="External"/><Relationship Id="rId14" Type="http://schemas.openxmlformats.org/officeDocument/2006/relationships/hyperlink" Target="https://www.estyn.gov.wales/system/files/2022-10/Effective%20approaches%20to%20assessment%20that%20improve%20teaching%20and%20learning.pdf" TargetMode="External"/><Relationship Id="rId22" Type="http://schemas.openxmlformats.org/officeDocument/2006/relationships/hyperlink" Target="https://pointerpro.com/blog/questionnaire-pros-and-cons/" TargetMode="External"/><Relationship Id="rId27" Type="http://schemas.openxmlformats.org/officeDocument/2006/relationships/hyperlink" Target="https://www.scirp.org/reference/referencespapers?referenceid=2525670" TargetMode="External"/><Relationship Id="rId30" Type="http://schemas.openxmlformats.org/officeDocument/2006/relationships/hyperlink" Target="https://revisesociology.com/2019/03/27/interviews-education/" TargetMode="External"/><Relationship Id="rId35" Type="http://schemas.openxmlformats.org/officeDocument/2006/relationships/hyperlink" Target="https://hwb.gov.wales/curriculum-for-wales/assessment-arrangements/supporting-learner-progression-assessment-guidance" TargetMode="External"/><Relationship Id="rId8" Type="http://schemas.openxmlformats.org/officeDocument/2006/relationships/hyperlink" Target="https://www.bera.ac.uk/publication/ethical-guidelines-for-educational-research-fifth-edition-2024-onlin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4899</Words>
  <Characters>27925</Characters>
  <Application>Microsoft Office Word</Application>
  <DocSecurity>0</DocSecurity>
  <Lines>232</Lines>
  <Paragraphs>65</Paragraphs>
  <ScaleCrop>false</ScaleCrop>
  <Company/>
  <LinksUpToDate>false</LinksUpToDate>
  <CharactersWithSpaces>32759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Howard (2304259)</dc:creator>
  <cp:keywords/>
  <dc:description/>
  <cp:lastModifiedBy>Megan Howard (2304259)</cp:lastModifiedBy>
  <cp:revision>2</cp:revision>
  <dcterms:created xsi:type="dcterms:W3CDTF">2025-04-02T13:09:00Z</dcterms:created>
  <dcterms:modified xsi:type="dcterms:W3CDTF">2025-04-02T13:09:00Z</dcterms:modified>
</cp:coreProperties>
</file>