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D2E26" w14:textId="0D72F400" w:rsidR="00583594" w:rsidRDefault="0038314B" w:rsidP="0038314B">
      <w:pPr>
        <w:jc w:val="center"/>
        <w:rPr>
          <w:sz w:val="24"/>
          <w:szCs w:val="24"/>
          <w:u w:val="single"/>
        </w:rPr>
      </w:pPr>
      <w:r w:rsidRPr="0038314B">
        <w:rPr>
          <w:sz w:val="24"/>
          <w:szCs w:val="24"/>
          <w:u w:val="single"/>
        </w:rPr>
        <w:t>A critical reflection upon how attitudes, beliefs and perceptions of mental health may influence my professional practice with religi</w:t>
      </w:r>
      <w:r w:rsidR="00891EC3">
        <w:rPr>
          <w:sz w:val="24"/>
          <w:szCs w:val="24"/>
          <w:u w:val="single"/>
        </w:rPr>
        <w:t>onists</w:t>
      </w:r>
      <w:r w:rsidRPr="0038314B">
        <w:rPr>
          <w:sz w:val="24"/>
          <w:szCs w:val="24"/>
          <w:u w:val="single"/>
        </w:rPr>
        <w:t xml:space="preserve"> and refugees</w:t>
      </w:r>
    </w:p>
    <w:p w14:paraId="30ADF2BA" w14:textId="77777777" w:rsidR="0038314B" w:rsidRDefault="0038314B" w:rsidP="0038314B">
      <w:pPr>
        <w:jc w:val="center"/>
        <w:rPr>
          <w:sz w:val="24"/>
          <w:szCs w:val="24"/>
          <w:u w:val="single"/>
        </w:rPr>
      </w:pPr>
    </w:p>
    <w:p w14:paraId="2E10F3FE" w14:textId="023EEDC3" w:rsidR="003E3E2D" w:rsidRPr="003E3E2D" w:rsidRDefault="003E3E2D" w:rsidP="003E3E2D">
      <w:pPr>
        <w:rPr>
          <w:sz w:val="24"/>
          <w:szCs w:val="24"/>
        </w:rPr>
      </w:pPr>
      <w:r>
        <w:rPr>
          <w:sz w:val="24"/>
          <w:szCs w:val="24"/>
        </w:rPr>
        <w:t xml:space="preserve">I </w:t>
      </w:r>
      <w:r>
        <w:rPr>
          <w:sz w:val="24"/>
          <w:szCs w:val="24"/>
        </w:rPr>
        <w:t>am currently employed</w:t>
      </w:r>
      <w:r>
        <w:rPr>
          <w:sz w:val="24"/>
          <w:szCs w:val="24"/>
        </w:rPr>
        <w:t xml:space="preserve"> as a remote Wellbeing Mentor for a company who supports apprentices completing full and part-time studies in a variety of different courses. Prior to this role, I was working as a Wellbeing Mentor within Coleg Sir Gar whereby I had a large caseload of over </w:t>
      </w:r>
      <w:r w:rsidR="00056EB0">
        <w:rPr>
          <w:sz w:val="24"/>
          <w:szCs w:val="24"/>
        </w:rPr>
        <w:t>eighty</w:t>
      </w:r>
      <w:r>
        <w:rPr>
          <w:sz w:val="24"/>
          <w:szCs w:val="24"/>
        </w:rPr>
        <w:t xml:space="preserve"> students.</w:t>
      </w:r>
      <w:r>
        <w:rPr>
          <w:sz w:val="24"/>
          <w:szCs w:val="24"/>
        </w:rPr>
        <w:t xml:space="preserve"> My current caseload consists of </w:t>
      </w:r>
      <w:r w:rsidR="00056EB0">
        <w:rPr>
          <w:sz w:val="24"/>
          <w:szCs w:val="24"/>
        </w:rPr>
        <w:t>twenty</w:t>
      </w:r>
      <w:r>
        <w:rPr>
          <w:sz w:val="24"/>
          <w:szCs w:val="24"/>
        </w:rPr>
        <w:t xml:space="preserve"> </w:t>
      </w:r>
      <w:r w:rsidR="00AF00D8">
        <w:rPr>
          <w:sz w:val="24"/>
          <w:szCs w:val="24"/>
        </w:rPr>
        <w:t>students;</w:t>
      </w:r>
      <w:r>
        <w:rPr>
          <w:sz w:val="24"/>
          <w:szCs w:val="24"/>
        </w:rPr>
        <w:t xml:space="preserve"> however, this is rapidly increasing with time.</w:t>
      </w:r>
      <w:r w:rsidR="00AF00D8">
        <w:rPr>
          <w:sz w:val="24"/>
          <w:szCs w:val="24"/>
        </w:rPr>
        <w:t xml:space="preserve"> </w:t>
      </w:r>
      <w:r w:rsidR="00AF00D8">
        <w:rPr>
          <w:sz w:val="24"/>
          <w:szCs w:val="24"/>
        </w:rPr>
        <w:t xml:space="preserve">I currently work with learners who have diagnosed mental health or learning difficulties, have self-reported traits of specific diagnoses or have traits picked up by a screener. The majority of learners I work with are neurodivergent. </w:t>
      </w:r>
      <w:r w:rsidR="00AF00D8">
        <w:rPr>
          <w:sz w:val="24"/>
          <w:szCs w:val="24"/>
        </w:rPr>
        <w:t>I currently work with learners across England.</w:t>
      </w:r>
    </w:p>
    <w:p w14:paraId="0C49A739" w14:textId="0FD4CCA1" w:rsidR="006D4B64" w:rsidRDefault="006D4B64" w:rsidP="0038314B">
      <w:pPr>
        <w:rPr>
          <w:sz w:val="24"/>
          <w:szCs w:val="24"/>
        </w:rPr>
      </w:pPr>
      <w:r>
        <w:rPr>
          <w:sz w:val="24"/>
          <w:szCs w:val="24"/>
        </w:rPr>
        <w:t>The Equality Act 2010 was introduced to legally protect people from discrimination in not just the workplace but also wider society. The Equality Act 2010 replaced previous anti-discrimination laws</w:t>
      </w:r>
      <w:r w:rsidR="00F75013">
        <w:rPr>
          <w:sz w:val="24"/>
          <w:szCs w:val="24"/>
        </w:rPr>
        <w:t xml:space="preserve"> </w:t>
      </w:r>
      <w:r w:rsidR="007856EB">
        <w:rPr>
          <w:sz w:val="24"/>
          <w:szCs w:val="24"/>
        </w:rPr>
        <w:t>by</w:t>
      </w:r>
      <w:r w:rsidR="00F75013">
        <w:rPr>
          <w:sz w:val="24"/>
          <w:szCs w:val="24"/>
        </w:rPr>
        <w:t xml:space="preserve"> combining them into one Act,</w:t>
      </w:r>
      <w:r>
        <w:rPr>
          <w:sz w:val="24"/>
          <w:szCs w:val="24"/>
        </w:rPr>
        <w:t xml:space="preserve"> making the law easier to understand and strengthening the protection in certain situations (Gov.uk, 2013).</w:t>
      </w:r>
      <w:r w:rsidR="007D1E99">
        <w:rPr>
          <w:sz w:val="24"/>
          <w:szCs w:val="24"/>
        </w:rPr>
        <w:t xml:space="preserve"> The Mental Health Act 1983 (revised in 2007) was designed to give health professionals power in certain situations to detain, assess and treat individuals with mental health disorders deemed to be in the interest of their or the public’s health and safety.</w:t>
      </w:r>
      <w:r w:rsidR="00AF00D8">
        <w:rPr>
          <w:sz w:val="24"/>
          <w:szCs w:val="24"/>
        </w:rPr>
        <w:t xml:space="preserve"> As a mental health professional, I </w:t>
      </w:r>
      <w:proofErr w:type="gramStart"/>
      <w:r w:rsidR="00AF00D8">
        <w:rPr>
          <w:sz w:val="24"/>
          <w:szCs w:val="24"/>
        </w:rPr>
        <w:t>am required</w:t>
      </w:r>
      <w:proofErr w:type="gramEnd"/>
      <w:r w:rsidR="00AF00D8">
        <w:rPr>
          <w:sz w:val="24"/>
          <w:szCs w:val="24"/>
        </w:rPr>
        <w:t xml:space="preserve"> to have knowledge of the Code as it is beneficial for others when I </w:t>
      </w:r>
      <w:r w:rsidR="00056EB0">
        <w:rPr>
          <w:sz w:val="24"/>
          <w:szCs w:val="24"/>
        </w:rPr>
        <w:t>perform</w:t>
      </w:r>
      <w:r w:rsidR="00AF00D8">
        <w:rPr>
          <w:sz w:val="24"/>
          <w:szCs w:val="24"/>
        </w:rPr>
        <w:t xml:space="preserve"> my duties.</w:t>
      </w:r>
    </w:p>
    <w:p w14:paraId="320E9932" w14:textId="6CD9ACA3" w:rsidR="0038314B" w:rsidRDefault="006D4B64" w:rsidP="0038314B">
      <w:pPr>
        <w:rPr>
          <w:sz w:val="24"/>
          <w:szCs w:val="24"/>
        </w:rPr>
      </w:pPr>
      <w:r>
        <w:rPr>
          <w:sz w:val="24"/>
          <w:szCs w:val="24"/>
        </w:rPr>
        <w:t>As a professional practitioner</w:t>
      </w:r>
      <w:r w:rsidR="007D1E99">
        <w:rPr>
          <w:sz w:val="24"/>
          <w:szCs w:val="24"/>
        </w:rPr>
        <w:t xml:space="preserve">, I have a duty of care to my clients, in order to achieve this, I must abide by the Equality Act 2010 as well as the Mental Health Act 1983. The Mental Health Code of Practice (1983) was designed to ensure patients receive the best possible level of care, ensuring patients’ rights are protected, and to prevent injustices from occurring. </w:t>
      </w:r>
      <w:r w:rsidR="003E3E2D">
        <w:rPr>
          <w:sz w:val="24"/>
          <w:szCs w:val="24"/>
        </w:rPr>
        <w:t xml:space="preserve">Section 36 of the Mental Health Act relates to ‘allocating a responsible clinician’: I am currently allocated to support </w:t>
      </w:r>
      <w:r w:rsidR="00056EB0">
        <w:rPr>
          <w:sz w:val="24"/>
          <w:szCs w:val="24"/>
        </w:rPr>
        <w:t>twenty</w:t>
      </w:r>
      <w:r w:rsidR="003E3E2D">
        <w:rPr>
          <w:sz w:val="24"/>
          <w:szCs w:val="24"/>
        </w:rPr>
        <w:t xml:space="preserve"> students with their mental health and wellbeing. My manager has deemed me the most appropriate clinician for their </w:t>
      </w:r>
      <w:r w:rsidR="00446629">
        <w:rPr>
          <w:sz w:val="24"/>
          <w:szCs w:val="24"/>
        </w:rPr>
        <w:t>needs,</w:t>
      </w:r>
      <w:r w:rsidR="003E3E2D">
        <w:rPr>
          <w:sz w:val="24"/>
          <w:szCs w:val="24"/>
        </w:rPr>
        <w:t xml:space="preserve"> </w:t>
      </w:r>
      <w:r w:rsidR="00446629">
        <w:rPr>
          <w:sz w:val="24"/>
          <w:szCs w:val="24"/>
        </w:rPr>
        <w:t>as I have the most expertise to meet the patients’ main assessment and treatment needs. I</w:t>
      </w:r>
      <w:r w:rsidR="003E3E2D">
        <w:rPr>
          <w:sz w:val="24"/>
          <w:szCs w:val="24"/>
        </w:rPr>
        <w:t>t is my responsibility to ensure the</w:t>
      </w:r>
      <w:r w:rsidR="00446629">
        <w:rPr>
          <w:sz w:val="24"/>
          <w:szCs w:val="24"/>
        </w:rPr>
        <w:t xml:space="preserve"> clients’ </w:t>
      </w:r>
      <w:r w:rsidR="003E3E2D">
        <w:rPr>
          <w:sz w:val="24"/>
          <w:szCs w:val="24"/>
        </w:rPr>
        <w:t>needs are met and all my learners are supported in the most professional manner.</w:t>
      </w:r>
      <w:r w:rsidR="00446629">
        <w:rPr>
          <w:sz w:val="24"/>
          <w:szCs w:val="24"/>
        </w:rPr>
        <w:t xml:space="preserve"> </w:t>
      </w:r>
    </w:p>
    <w:p w14:paraId="7A8DA0CE" w14:textId="4A132910" w:rsidR="00ED5119" w:rsidRDefault="00891EC3" w:rsidP="0038314B">
      <w:pPr>
        <w:rPr>
          <w:sz w:val="24"/>
          <w:szCs w:val="24"/>
        </w:rPr>
      </w:pPr>
      <w:r>
        <w:rPr>
          <w:sz w:val="24"/>
          <w:szCs w:val="24"/>
        </w:rPr>
        <w:t xml:space="preserve">Since being a Wellbeing Mentor and working in the care sector, I have come across a wide variety of people, across different age groups and ethnicities. One group I do not have a lot of experience working with is religionists. </w:t>
      </w:r>
      <w:r w:rsidR="00CD643A">
        <w:rPr>
          <w:sz w:val="24"/>
          <w:szCs w:val="24"/>
        </w:rPr>
        <w:t xml:space="preserve">As an atheist myself, I feel I would find this </w:t>
      </w:r>
      <w:r w:rsidR="00066E58">
        <w:rPr>
          <w:sz w:val="24"/>
          <w:szCs w:val="24"/>
        </w:rPr>
        <w:t>challenging,</w:t>
      </w:r>
      <w:r w:rsidR="00CD643A">
        <w:rPr>
          <w:sz w:val="24"/>
          <w:szCs w:val="24"/>
        </w:rPr>
        <w:t xml:space="preserve"> and personal bias might contribute to the support I would be able to provide to the client. </w:t>
      </w:r>
      <w:r w:rsidR="00066E58">
        <w:rPr>
          <w:sz w:val="24"/>
          <w:szCs w:val="24"/>
        </w:rPr>
        <w:t xml:space="preserve">Good clinical practice is for me to recognise that religion is an important part of understanding certain people. </w:t>
      </w:r>
      <w:r w:rsidR="000D0DD4">
        <w:rPr>
          <w:sz w:val="24"/>
          <w:szCs w:val="24"/>
        </w:rPr>
        <w:t>A study by Cook (2020) found that prayer is a widely used method of religious coping and that a depressed person may stop attending church but may initially pray more to try and end suffering.</w:t>
      </w:r>
      <w:r w:rsidR="00835B81">
        <w:rPr>
          <w:sz w:val="24"/>
          <w:szCs w:val="24"/>
        </w:rPr>
        <w:t xml:space="preserve"> Cook continued stating “p</w:t>
      </w:r>
      <w:r w:rsidR="00835B81" w:rsidRPr="00835B81">
        <w:rPr>
          <w:sz w:val="24"/>
          <w:szCs w:val="24"/>
        </w:rPr>
        <w:t>erson-centred care explores the impact that illness has upon faith, and the impact that faith has – for good or ill – upon the illness.</w:t>
      </w:r>
      <w:r w:rsidR="00835B81">
        <w:rPr>
          <w:sz w:val="24"/>
          <w:szCs w:val="24"/>
        </w:rPr>
        <w:t xml:space="preserve">” This is a factor that I would find incredibly challenging as I do not have a personal interest in any religious faith, nor do I have </w:t>
      </w:r>
      <w:r w:rsidR="00ED5119">
        <w:rPr>
          <w:sz w:val="24"/>
          <w:szCs w:val="24"/>
        </w:rPr>
        <w:t>first-hand</w:t>
      </w:r>
      <w:r w:rsidR="00835B81">
        <w:rPr>
          <w:sz w:val="24"/>
          <w:szCs w:val="24"/>
        </w:rPr>
        <w:t xml:space="preserve"> experience of the positive </w:t>
      </w:r>
      <w:r w:rsidR="00835B81">
        <w:rPr>
          <w:sz w:val="24"/>
          <w:szCs w:val="24"/>
        </w:rPr>
        <w:lastRenderedPageBreak/>
        <w:t>impact of praying and the effect it has on wellbeing. However, in order to reduce such issues, I could attend a training course on understanding religion and mental health or speak to people from a local church or religious friends to gain an insight into how they feel religion helps their mental health and overall wellbeing</w:t>
      </w:r>
      <w:r w:rsidR="007856EB">
        <w:rPr>
          <w:sz w:val="24"/>
          <w:szCs w:val="24"/>
        </w:rPr>
        <w:t xml:space="preserve"> and incorporate this into my delivery model.</w:t>
      </w:r>
    </w:p>
    <w:p w14:paraId="0424EE6B" w14:textId="4D5E8DD3" w:rsidR="00706297" w:rsidRDefault="0068121B" w:rsidP="0038314B">
      <w:pPr>
        <w:rPr>
          <w:sz w:val="24"/>
          <w:szCs w:val="24"/>
        </w:rPr>
      </w:pPr>
      <w:r>
        <w:rPr>
          <w:sz w:val="24"/>
          <w:szCs w:val="24"/>
        </w:rPr>
        <w:t xml:space="preserve">Different religions have different cultural values, to </w:t>
      </w:r>
      <w:proofErr w:type="gramStart"/>
      <w:r>
        <w:rPr>
          <w:sz w:val="24"/>
          <w:szCs w:val="24"/>
        </w:rPr>
        <w:t>many</w:t>
      </w:r>
      <w:proofErr w:type="gramEnd"/>
      <w:r>
        <w:rPr>
          <w:sz w:val="24"/>
          <w:szCs w:val="24"/>
        </w:rPr>
        <w:t xml:space="preserve"> religions, it provides much-needed guidelines for mental health which can help individuals to heal. Behere</w:t>
      </w:r>
      <w:r w:rsidR="00460B22">
        <w:rPr>
          <w:sz w:val="24"/>
          <w:szCs w:val="24"/>
        </w:rPr>
        <w:t xml:space="preserve"> et al.</w:t>
      </w:r>
      <w:r>
        <w:rPr>
          <w:sz w:val="24"/>
          <w:szCs w:val="24"/>
        </w:rPr>
        <w:t xml:space="preserve"> (2013) stated </w:t>
      </w:r>
      <w:r w:rsidR="00C1618B">
        <w:rPr>
          <w:sz w:val="24"/>
          <w:szCs w:val="24"/>
        </w:rPr>
        <w:t xml:space="preserve">stresses, strains and uncertainties can be tolerated more easily by believers. </w:t>
      </w:r>
      <w:r w:rsidR="00AE588C">
        <w:rPr>
          <w:sz w:val="24"/>
          <w:szCs w:val="24"/>
        </w:rPr>
        <w:t xml:space="preserve">Behere et al. also noted some outdated rituals and beliefs of certain religions might inhibit positive growth and may cause ill-health. </w:t>
      </w:r>
      <w:r w:rsidR="00DF073D">
        <w:rPr>
          <w:sz w:val="24"/>
          <w:szCs w:val="24"/>
        </w:rPr>
        <w:t xml:space="preserve">A violation of religious rituals may generate </w:t>
      </w:r>
      <w:r w:rsidR="00056EB0">
        <w:rPr>
          <w:sz w:val="24"/>
          <w:szCs w:val="24"/>
        </w:rPr>
        <w:t>elevated levels</w:t>
      </w:r>
      <w:r w:rsidR="00DF073D">
        <w:rPr>
          <w:sz w:val="24"/>
          <w:szCs w:val="24"/>
        </w:rPr>
        <w:t xml:space="preserve"> of anxiety amongst individuals.</w:t>
      </w:r>
      <w:r w:rsidR="00ED5119">
        <w:rPr>
          <w:sz w:val="24"/>
          <w:szCs w:val="24"/>
        </w:rPr>
        <w:t xml:space="preserve"> Managing a clients’ anxiety around religion is not something I would feel comfortable supporting them with, with my current lack of knowledge and understanding of the topic.</w:t>
      </w:r>
    </w:p>
    <w:p w14:paraId="7615E34A" w14:textId="28966D92" w:rsidR="00BD57B0" w:rsidRDefault="00BD57B0" w:rsidP="0038314B">
      <w:pPr>
        <w:rPr>
          <w:sz w:val="24"/>
          <w:szCs w:val="24"/>
        </w:rPr>
      </w:pPr>
      <w:r w:rsidRPr="00ED5119">
        <w:rPr>
          <w:sz w:val="24"/>
          <w:szCs w:val="24"/>
        </w:rPr>
        <w:t xml:space="preserve">Lukoff et al. </w:t>
      </w:r>
      <w:r w:rsidRPr="00BD57B0">
        <w:rPr>
          <w:sz w:val="24"/>
          <w:szCs w:val="24"/>
        </w:rPr>
        <w:t>(</w:t>
      </w:r>
      <w:r w:rsidR="00340515">
        <w:rPr>
          <w:sz w:val="24"/>
          <w:szCs w:val="24"/>
        </w:rPr>
        <w:t>1992</w:t>
      </w:r>
      <w:r w:rsidRPr="00BD57B0">
        <w:rPr>
          <w:sz w:val="24"/>
          <w:szCs w:val="24"/>
        </w:rPr>
        <w:t>) noted a ‘religiosity gap’</w:t>
      </w:r>
      <w:r>
        <w:rPr>
          <w:sz w:val="24"/>
          <w:szCs w:val="24"/>
        </w:rPr>
        <w:t xml:space="preserve"> between mental health professionals and patients. </w:t>
      </w:r>
      <w:r w:rsidR="00FF447D">
        <w:rPr>
          <w:sz w:val="24"/>
          <w:szCs w:val="24"/>
        </w:rPr>
        <w:t>According to Lukoff et al. m</w:t>
      </w:r>
      <w:r>
        <w:rPr>
          <w:sz w:val="24"/>
          <w:szCs w:val="24"/>
        </w:rPr>
        <w:t>ental health professionals tend to be less religious than the general population and as noted by Behere et al. (2006)</w:t>
      </w:r>
      <w:r w:rsidR="00FF447D">
        <w:rPr>
          <w:sz w:val="24"/>
          <w:szCs w:val="24"/>
        </w:rPr>
        <w:t xml:space="preserve">, </w:t>
      </w:r>
      <w:r>
        <w:rPr>
          <w:sz w:val="24"/>
          <w:szCs w:val="24"/>
        </w:rPr>
        <w:t xml:space="preserve">do not receive adequate training to deal with religious questions in clinical practice. </w:t>
      </w:r>
      <w:r w:rsidR="00FF447D">
        <w:rPr>
          <w:sz w:val="24"/>
          <w:szCs w:val="24"/>
        </w:rPr>
        <w:t>Lukoff</w:t>
      </w:r>
      <w:r w:rsidR="00A5290B">
        <w:rPr>
          <w:sz w:val="24"/>
          <w:szCs w:val="24"/>
        </w:rPr>
        <w:t xml:space="preserve"> et al.</w:t>
      </w:r>
      <w:r w:rsidR="00FF447D">
        <w:rPr>
          <w:sz w:val="24"/>
          <w:szCs w:val="24"/>
        </w:rPr>
        <w:t xml:space="preserve"> (1992) stated mental health professionals have tended to ignore the religious and spiritual elements of life. I d</w:t>
      </w:r>
      <w:r w:rsidR="00ED5119">
        <w:rPr>
          <w:sz w:val="24"/>
          <w:szCs w:val="24"/>
        </w:rPr>
        <w:t>isagree</w:t>
      </w:r>
      <w:r w:rsidR="00FF447D">
        <w:rPr>
          <w:sz w:val="24"/>
          <w:szCs w:val="24"/>
        </w:rPr>
        <w:t xml:space="preserve"> with</w:t>
      </w:r>
      <w:r w:rsidR="00ED5119">
        <w:rPr>
          <w:sz w:val="24"/>
          <w:szCs w:val="24"/>
        </w:rPr>
        <w:t xml:space="preserve"> this statement</w:t>
      </w:r>
      <w:r w:rsidR="00FF447D">
        <w:rPr>
          <w:sz w:val="24"/>
          <w:szCs w:val="24"/>
        </w:rPr>
        <w:t>, I do not feel clinicians and professionals have ‘ignored’ the religious aspect of life, rather I feel in other societies and generations, like my own, religion has not played an integral part in my life and therefore does not influence how I structure my sessions nor deliver any support or guidance to clients.</w:t>
      </w:r>
      <w:r w:rsidR="00A5290B">
        <w:rPr>
          <w:sz w:val="24"/>
          <w:szCs w:val="24"/>
        </w:rPr>
        <w:t xml:space="preserve"> However, this statement by Lukoff et al. (1992) is potentially now quite outdated as society and the world has moved forward and is more inclusive now than it was back in 1992.</w:t>
      </w:r>
    </w:p>
    <w:p w14:paraId="6F8565C1" w14:textId="54E2DB24" w:rsidR="00ED5119" w:rsidRDefault="00E97C71" w:rsidP="0038314B">
      <w:pPr>
        <w:rPr>
          <w:sz w:val="24"/>
          <w:szCs w:val="24"/>
        </w:rPr>
      </w:pPr>
      <w:r>
        <w:rPr>
          <w:sz w:val="24"/>
          <w:szCs w:val="24"/>
        </w:rPr>
        <w:t xml:space="preserve">Upon reflection there are </w:t>
      </w:r>
      <w:proofErr w:type="gramStart"/>
      <w:r w:rsidR="00056EB0">
        <w:rPr>
          <w:sz w:val="24"/>
          <w:szCs w:val="24"/>
        </w:rPr>
        <w:t>several</w:t>
      </w:r>
      <w:proofErr w:type="gramEnd"/>
      <w:r w:rsidR="00056EB0">
        <w:rPr>
          <w:sz w:val="24"/>
          <w:szCs w:val="24"/>
        </w:rPr>
        <w:t xml:space="preserve"> ways</w:t>
      </w:r>
      <w:r>
        <w:rPr>
          <w:sz w:val="24"/>
          <w:szCs w:val="24"/>
        </w:rPr>
        <w:t xml:space="preserve"> in which I could enhance my knowledge, skills, and understandings which in turn would adapt my behaviour towards clients in order to meet their needs when it comes to religion and mental health. This includes thorough research and speaking to people who are religionists as well as attending training courses. Additionally, I could watch videos of real case studies to gain an insight into how religion impacts their wellbeing. Furthermore, I could speak with clients during the session and not be afraid to learn from them. As a clinician, </w:t>
      </w:r>
      <w:r w:rsidR="00056EB0">
        <w:rPr>
          <w:sz w:val="24"/>
          <w:szCs w:val="24"/>
        </w:rPr>
        <w:t>I</w:t>
      </w:r>
      <w:r>
        <w:rPr>
          <w:sz w:val="24"/>
          <w:szCs w:val="24"/>
        </w:rPr>
        <w:t xml:space="preserve"> have to have all the answers to everyone’s problems which I need to learn to disregard as</w:t>
      </w:r>
      <w:r w:rsidR="007A392A">
        <w:rPr>
          <w:sz w:val="24"/>
          <w:szCs w:val="24"/>
        </w:rPr>
        <w:t xml:space="preserve"> </w:t>
      </w:r>
      <w:r w:rsidR="00056EB0">
        <w:rPr>
          <w:sz w:val="24"/>
          <w:szCs w:val="24"/>
        </w:rPr>
        <w:t>it is</w:t>
      </w:r>
      <w:r>
        <w:rPr>
          <w:sz w:val="24"/>
          <w:szCs w:val="24"/>
        </w:rPr>
        <w:t xml:space="preserve"> impossible. </w:t>
      </w:r>
      <w:r w:rsidR="001850DC">
        <w:rPr>
          <w:sz w:val="24"/>
          <w:szCs w:val="24"/>
        </w:rPr>
        <w:t xml:space="preserve">I was brought up primarily by my grandmother who is atheist and at times, prejudiced; as a professional, I must not let her opinions and views influence mine and the work I do. </w:t>
      </w:r>
      <w:r w:rsidR="007A392A">
        <w:rPr>
          <w:sz w:val="24"/>
          <w:szCs w:val="24"/>
        </w:rPr>
        <w:t xml:space="preserve">In order to be professional, I try and refrain from personal bias having an influence on my sessions and instead I </w:t>
      </w:r>
      <w:r w:rsidR="00F32F9E">
        <w:rPr>
          <w:sz w:val="24"/>
          <w:szCs w:val="24"/>
        </w:rPr>
        <w:t>adopt a positive outlook</w:t>
      </w:r>
      <w:r w:rsidR="00540CC5">
        <w:rPr>
          <w:sz w:val="24"/>
          <w:szCs w:val="24"/>
        </w:rPr>
        <w:t xml:space="preserve"> and call upon my knowledge from previous trainings.</w:t>
      </w:r>
    </w:p>
    <w:p w14:paraId="46290F80" w14:textId="0F845BB9" w:rsidR="0016258D" w:rsidRDefault="0016258D" w:rsidP="0038314B">
      <w:pPr>
        <w:rPr>
          <w:sz w:val="24"/>
          <w:szCs w:val="24"/>
        </w:rPr>
      </w:pPr>
      <w:r>
        <w:rPr>
          <w:sz w:val="24"/>
          <w:szCs w:val="24"/>
        </w:rPr>
        <w:t>A societal group I do have experience of working with</w:t>
      </w:r>
      <w:r w:rsidR="005B5EE8">
        <w:rPr>
          <w:sz w:val="24"/>
          <w:szCs w:val="24"/>
        </w:rPr>
        <w:t>, although fairly limited,</w:t>
      </w:r>
      <w:r>
        <w:rPr>
          <w:sz w:val="24"/>
          <w:szCs w:val="24"/>
        </w:rPr>
        <w:t xml:space="preserve"> is refugees. According to the United Nations High Commissioner for Refugees (UNHCR), as of November 2022 there were reportedly over 231,500 refugees living in the UK. When I worked in Coleg Sir Gar, back in 2019, I worked for a project which supported over 2</w:t>
      </w:r>
      <w:r w:rsidR="00D3303B">
        <w:rPr>
          <w:sz w:val="24"/>
          <w:szCs w:val="24"/>
        </w:rPr>
        <w:t>5</w:t>
      </w:r>
      <w:r>
        <w:rPr>
          <w:sz w:val="24"/>
          <w:szCs w:val="24"/>
        </w:rPr>
        <w:t xml:space="preserve"> Syrian refugees. I found this incredibly challenging at times due to a variety of factors i.e. language barriers, accents, funding allocations for their education, and not having lived experience the same as they </w:t>
      </w:r>
      <w:r>
        <w:rPr>
          <w:sz w:val="24"/>
          <w:szCs w:val="24"/>
        </w:rPr>
        <w:lastRenderedPageBreak/>
        <w:t xml:space="preserve">have. Majority of the refugees had fled from Syria either alone or with limited family members and some lived with host families or in temporary accommodation. </w:t>
      </w:r>
    </w:p>
    <w:p w14:paraId="0E2809CE" w14:textId="6BE85A63" w:rsidR="0016258D" w:rsidRDefault="0016258D" w:rsidP="0038314B">
      <w:pPr>
        <w:rPr>
          <w:sz w:val="24"/>
          <w:szCs w:val="24"/>
        </w:rPr>
      </w:pPr>
      <w:r>
        <w:rPr>
          <w:sz w:val="24"/>
          <w:szCs w:val="24"/>
        </w:rPr>
        <w:t xml:space="preserve">The language barrier for me </w:t>
      </w:r>
      <w:r w:rsidR="005F54A1">
        <w:rPr>
          <w:sz w:val="24"/>
          <w:szCs w:val="24"/>
        </w:rPr>
        <w:t xml:space="preserve">was </w:t>
      </w:r>
      <w:r>
        <w:rPr>
          <w:sz w:val="24"/>
          <w:szCs w:val="24"/>
        </w:rPr>
        <w:t>at times quite difficult, however, I d</w:t>
      </w:r>
      <w:r w:rsidR="005F54A1">
        <w:rPr>
          <w:sz w:val="24"/>
          <w:szCs w:val="24"/>
        </w:rPr>
        <w:t>id</w:t>
      </w:r>
      <w:r>
        <w:rPr>
          <w:sz w:val="24"/>
          <w:szCs w:val="24"/>
        </w:rPr>
        <w:t xml:space="preserve"> make every effort to listen attentively and </w:t>
      </w:r>
      <w:r w:rsidR="0013478D">
        <w:rPr>
          <w:sz w:val="24"/>
          <w:szCs w:val="24"/>
        </w:rPr>
        <w:t xml:space="preserve">try to communicate in a way they understood. My Welsh accent proved to be challenging for the learners to understand so I would often have to talk slower and clearer. </w:t>
      </w:r>
      <w:r w:rsidR="004A451F">
        <w:rPr>
          <w:sz w:val="24"/>
          <w:szCs w:val="24"/>
        </w:rPr>
        <w:t xml:space="preserve">An additional barrier which </w:t>
      </w:r>
      <w:proofErr w:type="gramStart"/>
      <w:r w:rsidR="004A451F">
        <w:rPr>
          <w:sz w:val="24"/>
          <w:szCs w:val="24"/>
        </w:rPr>
        <w:t>is often overlooked</w:t>
      </w:r>
      <w:proofErr w:type="gramEnd"/>
      <w:r w:rsidR="004A451F">
        <w:rPr>
          <w:sz w:val="24"/>
          <w:szCs w:val="24"/>
        </w:rPr>
        <w:t xml:space="preserve"> is handwriting – my particular style of writing is cursive, which </w:t>
      </w:r>
      <w:r w:rsidR="00056EB0">
        <w:rPr>
          <w:sz w:val="24"/>
          <w:szCs w:val="24"/>
        </w:rPr>
        <w:t>was</w:t>
      </w:r>
      <w:r w:rsidR="004A451F">
        <w:rPr>
          <w:sz w:val="24"/>
          <w:szCs w:val="24"/>
        </w:rPr>
        <w:t xml:space="preserve"> difficult for Syrian learners to read and interpret. In order to overcome this issue, I would space letters out and use simple non-cursive handwriting</w:t>
      </w:r>
      <w:r w:rsidR="00D3303B">
        <w:rPr>
          <w:sz w:val="24"/>
          <w:szCs w:val="24"/>
        </w:rPr>
        <w:t xml:space="preserve"> and use a computer to type out chunks of information</w:t>
      </w:r>
      <w:r w:rsidR="004A451F">
        <w:rPr>
          <w:sz w:val="24"/>
          <w:szCs w:val="24"/>
        </w:rPr>
        <w:t>. The refugees often spoke Arabic and were learning English through the help of our project officers. One of my colleagues was a trained ESOL tutor so I would utilise her skills to learn about their Syrian culture and language</w:t>
      </w:r>
      <w:r w:rsidR="005F54A1">
        <w:rPr>
          <w:sz w:val="24"/>
          <w:szCs w:val="24"/>
        </w:rPr>
        <w:t xml:space="preserve"> in order to provide the learners with a better care plan and to tailor it to their needs.</w:t>
      </w:r>
    </w:p>
    <w:p w14:paraId="24BB548A" w14:textId="32B1CC5C" w:rsidR="00FB7D3C" w:rsidRDefault="005F54A1" w:rsidP="0038314B">
      <w:pPr>
        <w:rPr>
          <w:sz w:val="24"/>
          <w:szCs w:val="24"/>
        </w:rPr>
      </w:pPr>
      <w:r>
        <w:rPr>
          <w:sz w:val="24"/>
          <w:szCs w:val="24"/>
        </w:rPr>
        <w:t xml:space="preserve">The Syrian refugees were fleeing from war, something I have zero life experience of and </w:t>
      </w:r>
      <w:r w:rsidR="00D3303B">
        <w:rPr>
          <w:sz w:val="24"/>
          <w:szCs w:val="24"/>
        </w:rPr>
        <w:t xml:space="preserve">is </w:t>
      </w:r>
      <w:r>
        <w:rPr>
          <w:sz w:val="24"/>
          <w:szCs w:val="24"/>
        </w:rPr>
        <w:t xml:space="preserve">what I could only comprehend to be unimaginable sights. </w:t>
      </w:r>
      <w:r w:rsidR="002E6C8A">
        <w:rPr>
          <w:sz w:val="24"/>
          <w:szCs w:val="24"/>
        </w:rPr>
        <w:t xml:space="preserve">These refugees were as young as </w:t>
      </w:r>
      <w:r w:rsidR="00056EB0">
        <w:rPr>
          <w:sz w:val="24"/>
          <w:szCs w:val="24"/>
        </w:rPr>
        <w:t>sixteen</w:t>
      </w:r>
      <w:r w:rsidR="002E6C8A">
        <w:rPr>
          <w:sz w:val="24"/>
          <w:szCs w:val="24"/>
        </w:rPr>
        <w:t xml:space="preserve"> and were alone in a country they </w:t>
      </w:r>
      <w:r w:rsidR="00056EB0">
        <w:rPr>
          <w:sz w:val="24"/>
          <w:szCs w:val="24"/>
        </w:rPr>
        <w:t>did not</w:t>
      </w:r>
      <w:r w:rsidR="002E6C8A">
        <w:rPr>
          <w:sz w:val="24"/>
          <w:szCs w:val="24"/>
        </w:rPr>
        <w:t xml:space="preserve"> know. With this in mind, it made me want to help them </w:t>
      </w:r>
      <w:r w:rsidR="00FB7D3C">
        <w:rPr>
          <w:sz w:val="24"/>
          <w:szCs w:val="24"/>
        </w:rPr>
        <w:t xml:space="preserve">even </w:t>
      </w:r>
      <w:r w:rsidR="002E6C8A">
        <w:rPr>
          <w:sz w:val="24"/>
          <w:szCs w:val="24"/>
        </w:rPr>
        <w:t xml:space="preserve">more and </w:t>
      </w:r>
      <w:r w:rsidR="00056EB0">
        <w:rPr>
          <w:sz w:val="24"/>
          <w:szCs w:val="24"/>
        </w:rPr>
        <w:t>it</w:t>
      </w:r>
      <w:r w:rsidR="002E6C8A">
        <w:rPr>
          <w:sz w:val="24"/>
          <w:szCs w:val="24"/>
        </w:rPr>
        <w:t xml:space="preserve"> had a positive impact on the way in which I looked at the sessions from then on.</w:t>
      </w:r>
    </w:p>
    <w:p w14:paraId="27552CE4" w14:textId="7B81A41A" w:rsidR="001D77E1" w:rsidRDefault="00C461B7" w:rsidP="0038314B">
      <w:pPr>
        <w:rPr>
          <w:sz w:val="24"/>
          <w:szCs w:val="24"/>
        </w:rPr>
      </w:pPr>
      <w:r>
        <w:rPr>
          <w:sz w:val="24"/>
          <w:szCs w:val="24"/>
        </w:rPr>
        <w:t>As a team, we</w:t>
      </w:r>
      <w:r w:rsidR="00BA43D2">
        <w:rPr>
          <w:sz w:val="24"/>
          <w:szCs w:val="24"/>
        </w:rPr>
        <w:t xml:space="preserve"> had training sessions with external agencies in order for us as staff to be prepared for the influx of new refugee learners including those from Ukraine. </w:t>
      </w:r>
      <w:r w:rsidR="009339F0">
        <w:rPr>
          <w:sz w:val="24"/>
          <w:szCs w:val="24"/>
        </w:rPr>
        <w:t>We also had training on Prevent and how to deal with trauma and adverse childhood experiences (ACE’s)</w:t>
      </w:r>
      <w:r>
        <w:rPr>
          <w:sz w:val="24"/>
          <w:szCs w:val="24"/>
        </w:rPr>
        <w:t xml:space="preserve"> which all helped me to deliver better wellbeing sessions and to improve the lives of the refugees. </w:t>
      </w:r>
      <w:r w:rsidR="001D77E1">
        <w:rPr>
          <w:sz w:val="24"/>
          <w:szCs w:val="24"/>
        </w:rPr>
        <w:t xml:space="preserve">During this time, I made it my priority to </w:t>
      </w:r>
      <w:r w:rsidR="00FB7D3C">
        <w:rPr>
          <w:sz w:val="24"/>
          <w:szCs w:val="24"/>
        </w:rPr>
        <w:t>learn</w:t>
      </w:r>
      <w:r w:rsidR="001D77E1">
        <w:rPr>
          <w:sz w:val="24"/>
          <w:szCs w:val="24"/>
        </w:rPr>
        <w:t xml:space="preserve"> from the students about their different circumstances so I could gain some insight into their lives.</w:t>
      </w:r>
    </w:p>
    <w:p w14:paraId="6E2CB921" w14:textId="7A01C135" w:rsidR="00D3303B" w:rsidRDefault="00D3303B" w:rsidP="0038314B">
      <w:pPr>
        <w:rPr>
          <w:rFonts w:cstheme="minorHAnsi"/>
          <w:color w:val="000000"/>
          <w:sz w:val="24"/>
          <w:szCs w:val="24"/>
        </w:rPr>
      </w:pPr>
      <w:r w:rsidRPr="00D3303B">
        <w:rPr>
          <w:sz w:val="24"/>
          <w:szCs w:val="24"/>
          <w:lang w:val="it-IT"/>
        </w:rPr>
        <w:t xml:space="preserve">DiComo et al. </w:t>
      </w:r>
      <w:r w:rsidRPr="00D3303B">
        <w:rPr>
          <w:sz w:val="24"/>
          <w:szCs w:val="24"/>
        </w:rPr>
        <w:t>(2021) stated refugees face stigmatisation ov</w:t>
      </w:r>
      <w:r>
        <w:rPr>
          <w:sz w:val="24"/>
          <w:szCs w:val="24"/>
        </w:rPr>
        <w:t xml:space="preserve">er help-seeking behaviour. </w:t>
      </w:r>
      <w:r w:rsidR="00FB7D3C">
        <w:rPr>
          <w:sz w:val="24"/>
          <w:szCs w:val="24"/>
        </w:rPr>
        <w:t>Many of our Syrian refugees were reluctant to accept wellbeing support due to public stigma in their culture and potential backlash they would face if their family found out they were receiving support. Many of their reasonings for declining wellbeing support was related to the belief that people with mental illnesses were weak, this is also highlighted by DiComo et al. (202</w:t>
      </w:r>
      <w:r w:rsidR="00530886">
        <w:rPr>
          <w:sz w:val="24"/>
          <w:szCs w:val="24"/>
        </w:rPr>
        <w:t>1) by saying “</w:t>
      </w:r>
      <w:r w:rsidR="00530886" w:rsidRPr="00530886">
        <w:rPr>
          <w:rFonts w:cstheme="minorHAnsi"/>
          <w:color w:val="000000"/>
          <w:sz w:val="24"/>
          <w:szCs w:val="24"/>
        </w:rPr>
        <w:t>mental illness stigma, a form of public stigma, carries with it the assumptions that those who are mentally ill are risky, erratic, defective, and/or inherently weak by allowing themselves to be mentally ill</w:t>
      </w:r>
      <w:r w:rsidR="00530886" w:rsidRPr="00530886">
        <w:rPr>
          <w:rFonts w:cstheme="minorHAnsi"/>
          <w:color w:val="000000"/>
          <w:sz w:val="24"/>
          <w:szCs w:val="24"/>
        </w:rPr>
        <w:t>”.</w:t>
      </w:r>
    </w:p>
    <w:p w14:paraId="515E828E" w14:textId="2B371584" w:rsidR="00D3303B" w:rsidRDefault="00FD1A70" w:rsidP="0038314B">
      <w:pPr>
        <w:rPr>
          <w:sz w:val="24"/>
          <w:szCs w:val="24"/>
        </w:rPr>
      </w:pPr>
      <w:r>
        <w:rPr>
          <w:sz w:val="24"/>
          <w:szCs w:val="24"/>
        </w:rPr>
        <w:t xml:space="preserve">A study </w:t>
      </w:r>
      <w:r w:rsidR="00056EB0">
        <w:rPr>
          <w:sz w:val="24"/>
          <w:szCs w:val="24"/>
        </w:rPr>
        <w:t>conducted</w:t>
      </w:r>
      <w:r>
        <w:rPr>
          <w:sz w:val="24"/>
          <w:szCs w:val="24"/>
        </w:rPr>
        <w:t xml:space="preserve"> by Vogel et al. (2013) found public stigma internalised as self-stigma, over time potentially leads </w:t>
      </w:r>
      <w:proofErr w:type="gramStart"/>
      <w:r>
        <w:rPr>
          <w:sz w:val="24"/>
          <w:szCs w:val="24"/>
        </w:rPr>
        <w:t>some</w:t>
      </w:r>
      <w:proofErr w:type="gramEnd"/>
      <w:r>
        <w:rPr>
          <w:sz w:val="24"/>
          <w:szCs w:val="24"/>
        </w:rPr>
        <w:t xml:space="preserve"> people to avoid seeking treatment in order to avoid any discrimination that comes from labelling with a mental health disorder. Stigmatisation affects an individual’s ability to seek help, even if they would </w:t>
      </w:r>
      <w:r w:rsidR="00056EB0">
        <w:rPr>
          <w:sz w:val="24"/>
          <w:szCs w:val="24"/>
        </w:rPr>
        <w:t>benefit</w:t>
      </w:r>
      <w:r>
        <w:rPr>
          <w:sz w:val="24"/>
          <w:szCs w:val="24"/>
        </w:rPr>
        <w:t xml:space="preserve"> from it. Self-stigma is associated with avoiding treatment because the internalisation of public stigma </w:t>
      </w:r>
      <w:r w:rsidR="00517151">
        <w:rPr>
          <w:sz w:val="24"/>
          <w:szCs w:val="24"/>
        </w:rPr>
        <w:t>leads to the perception that to receive psychological treatment equates to personal weakness. The person will avoid treatment as the desire to maintain a positive self-image is more powerful than the need to seek psychological services (Vogel et al. 2013).</w:t>
      </w:r>
    </w:p>
    <w:p w14:paraId="5A3B2B08" w14:textId="4371E742" w:rsidR="004976F9" w:rsidRDefault="004976F9" w:rsidP="0038314B">
      <w:pPr>
        <w:rPr>
          <w:sz w:val="24"/>
          <w:szCs w:val="24"/>
        </w:rPr>
      </w:pPr>
      <w:r>
        <w:rPr>
          <w:sz w:val="24"/>
          <w:szCs w:val="24"/>
        </w:rPr>
        <w:lastRenderedPageBreak/>
        <w:t xml:space="preserve">As a practitioner, it is my responsibility to be culturally competent. After reflecting upon my current stance on cultural diversity across my line of work, I must improve my ability to understand, communicate with and effectively interact with people of </w:t>
      </w:r>
      <w:r w:rsidR="00056EB0">
        <w:rPr>
          <w:sz w:val="24"/>
          <w:szCs w:val="24"/>
        </w:rPr>
        <w:t>unfamiliar cultures</w:t>
      </w:r>
      <w:r>
        <w:rPr>
          <w:sz w:val="24"/>
          <w:szCs w:val="24"/>
        </w:rPr>
        <w:t>. Cultural competence includes being aware of my own worldview and not letting this impact my work, developing positive attitudes towards cultural differences, gaining knowledge of different worldviews and cultural practices</w:t>
      </w:r>
      <w:r w:rsidR="003928E5">
        <w:rPr>
          <w:sz w:val="24"/>
          <w:szCs w:val="24"/>
        </w:rPr>
        <w:t xml:space="preserve">, and to develop my skills for interaction and communication across </w:t>
      </w:r>
      <w:r w:rsidR="00056EB0">
        <w:rPr>
          <w:sz w:val="24"/>
          <w:szCs w:val="24"/>
        </w:rPr>
        <w:t>diverse cultures</w:t>
      </w:r>
      <w:r w:rsidR="0075369A">
        <w:rPr>
          <w:sz w:val="24"/>
          <w:szCs w:val="24"/>
        </w:rPr>
        <w:t xml:space="preserve"> (Rodriguez, 2023)</w:t>
      </w:r>
      <w:r w:rsidR="003928E5">
        <w:rPr>
          <w:sz w:val="24"/>
          <w:szCs w:val="24"/>
        </w:rPr>
        <w:t>. Furthermore, as a practitioner, I must value cultural diversity in order to meet the needs of my clients and offer them professional, inclusive support.</w:t>
      </w:r>
      <w:r w:rsidR="005E100F">
        <w:rPr>
          <w:sz w:val="24"/>
          <w:szCs w:val="24"/>
        </w:rPr>
        <w:t xml:space="preserve"> Cultural competence is key to high-quality care.</w:t>
      </w:r>
    </w:p>
    <w:p w14:paraId="63B82537" w14:textId="62DCD5E5" w:rsidR="003928E5" w:rsidRDefault="00C06088" w:rsidP="0038314B">
      <w:pPr>
        <w:rPr>
          <w:sz w:val="24"/>
          <w:szCs w:val="24"/>
        </w:rPr>
      </w:pPr>
      <w:r>
        <w:rPr>
          <w:sz w:val="24"/>
          <w:szCs w:val="24"/>
        </w:rPr>
        <w:t xml:space="preserve">Intersectionality is common amongst the clients I work with. Majority of my learners have more than one identity which puts them at a disadvantage. An example of this is a learner who is </w:t>
      </w:r>
      <w:proofErr w:type="gramStart"/>
      <w:r>
        <w:rPr>
          <w:sz w:val="24"/>
          <w:szCs w:val="24"/>
        </w:rPr>
        <w:t>homosexual</w:t>
      </w:r>
      <w:proofErr w:type="gramEnd"/>
      <w:r>
        <w:rPr>
          <w:sz w:val="24"/>
          <w:szCs w:val="24"/>
        </w:rPr>
        <w:t xml:space="preserve"> and has a physical or learning disability, another example is a black male with an immigration status. </w:t>
      </w:r>
      <w:r w:rsidR="006C6063">
        <w:rPr>
          <w:sz w:val="24"/>
          <w:szCs w:val="24"/>
        </w:rPr>
        <w:t>The way in which I support these students is the same way in which I support anybody else; by being fluid and professional.</w:t>
      </w:r>
    </w:p>
    <w:p w14:paraId="2E81281E" w14:textId="35D7D2DC" w:rsidR="00A83C61" w:rsidRDefault="00A83C61" w:rsidP="0038314B">
      <w:pPr>
        <w:rPr>
          <w:sz w:val="24"/>
          <w:szCs w:val="24"/>
        </w:rPr>
      </w:pPr>
      <w:r>
        <w:rPr>
          <w:sz w:val="24"/>
          <w:szCs w:val="24"/>
        </w:rPr>
        <w:t xml:space="preserve">As a practitioner working with apprentices, part of my role is to ensure my clients are not subject to institutional discrimination, either from their own workplace or my workplace through the support I provide to them or any documentation that comes with being associated with the organisation I work for. In order to ensure institutional discrimination does not occur, I meticulously keep notes and records of what </w:t>
      </w:r>
      <w:proofErr w:type="gramStart"/>
      <w:r>
        <w:rPr>
          <w:sz w:val="24"/>
          <w:szCs w:val="24"/>
        </w:rPr>
        <w:t>is discussed</w:t>
      </w:r>
      <w:proofErr w:type="gramEnd"/>
      <w:r>
        <w:rPr>
          <w:sz w:val="24"/>
          <w:szCs w:val="24"/>
        </w:rPr>
        <w:t xml:space="preserve"> word-for-word during each session and thoroughly read them through prior to submission. The client must then sign off on this documentation, too. </w:t>
      </w:r>
      <w:r w:rsidR="00BB3BD1">
        <w:rPr>
          <w:sz w:val="24"/>
          <w:szCs w:val="24"/>
        </w:rPr>
        <w:t xml:space="preserve">However, the company I work for is evolving and growing and we currently do not have a specific policy for prejudicial practice, however, we do follow the laws and codes of practice. </w:t>
      </w:r>
    </w:p>
    <w:p w14:paraId="61D336D1" w14:textId="37EEE62B" w:rsidR="00A4239B" w:rsidRDefault="005E100F" w:rsidP="00A008F8">
      <w:pPr>
        <w:rPr>
          <w:sz w:val="24"/>
          <w:szCs w:val="24"/>
        </w:rPr>
      </w:pPr>
      <w:r>
        <w:rPr>
          <w:sz w:val="24"/>
          <w:szCs w:val="24"/>
        </w:rPr>
        <w:t>In</w:t>
      </w:r>
      <w:r w:rsidR="00D22D25">
        <w:rPr>
          <w:sz w:val="24"/>
          <w:szCs w:val="24"/>
        </w:rPr>
        <w:t xml:space="preserve"> </w:t>
      </w:r>
      <w:r>
        <w:rPr>
          <w:sz w:val="24"/>
          <w:szCs w:val="24"/>
        </w:rPr>
        <w:t>order to be culturally competent, there are training courses I could attend, such as, ‘sensitising mental health professionals to Islam’ and ‘cultural competence in action for CAMHS</w:t>
      </w:r>
      <w:proofErr w:type="gramStart"/>
      <w:r>
        <w:rPr>
          <w:sz w:val="24"/>
          <w:szCs w:val="24"/>
        </w:rPr>
        <w:t>’.</w:t>
      </w:r>
      <w:proofErr w:type="gramEnd"/>
      <w:r>
        <w:rPr>
          <w:sz w:val="24"/>
          <w:szCs w:val="24"/>
        </w:rPr>
        <w:t xml:space="preserve"> In a study by Clegg et al. (2016), </w:t>
      </w:r>
      <w:r w:rsidR="000D4E6A">
        <w:rPr>
          <w:sz w:val="24"/>
          <w:szCs w:val="24"/>
        </w:rPr>
        <w:t xml:space="preserve">they found further research </w:t>
      </w:r>
      <w:proofErr w:type="gramStart"/>
      <w:r w:rsidR="000D4E6A">
        <w:rPr>
          <w:sz w:val="24"/>
          <w:szCs w:val="24"/>
        </w:rPr>
        <w:t>is needed</w:t>
      </w:r>
      <w:proofErr w:type="gramEnd"/>
      <w:r w:rsidR="000D4E6A">
        <w:rPr>
          <w:sz w:val="24"/>
          <w:szCs w:val="24"/>
        </w:rPr>
        <w:t xml:space="preserve"> to develop theory-based training packages specifically around cultural competence with predefined definitions and models and found an agreement upon such models and definitions across all training packages would help develop consistency for practitioners. Clegg et al. found there are </w:t>
      </w:r>
      <w:r w:rsidR="00056EB0">
        <w:rPr>
          <w:sz w:val="24"/>
          <w:szCs w:val="24"/>
        </w:rPr>
        <w:t>limited</w:t>
      </w:r>
      <w:r w:rsidR="000D4E6A">
        <w:rPr>
          <w:sz w:val="24"/>
          <w:szCs w:val="24"/>
        </w:rPr>
        <w:t xml:space="preserve"> training packages in the UK for mental health professionals around cultural competence. </w:t>
      </w:r>
    </w:p>
    <w:p w14:paraId="1F27E212" w14:textId="1A6DF5D7" w:rsidR="00A4239B" w:rsidRDefault="00CF573E" w:rsidP="006D0010">
      <w:pPr>
        <w:rPr>
          <w:sz w:val="24"/>
          <w:szCs w:val="24"/>
          <w:u w:val="single"/>
        </w:rPr>
      </w:pPr>
      <w:r>
        <w:rPr>
          <w:sz w:val="24"/>
          <w:szCs w:val="24"/>
        </w:rPr>
        <w:t xml:space="preserve">To conclude, personal bias does not influence my work and I have highlighted areas for improvement such as training for cultural competence and speaking to religionists about their experiences. By carrying these out, I will be enhancing my </w:t>
      </w:r>
      <w:r w:rsidR="006D0010">
        <w:rPr>
          <w:sz w:val="24"/>
          <w:szCs w:val="24"/>
        </w:rPr>
        <w:t>position as a professional and will be able to provide better rounded support to those who need it. Additionally, it will make me stand out as a candidate for future employment opportunities.</w:t>
      </w:r>
    </w:p>
    <w:p w14:paraId="41D989C2" w14:textId="77777777" w:rsidR="00A4239B" w:rsidRDefault="00A4239B" w:rsidP="00460B22">
      <w:pPr>
        <w:jc w:val="center"/>
        <w:rPr>
          <w:sz w:val="24"/>
          <w:szCs w:val="24"/>
          <w:u w:val="single"/>
        </w:rPr>
      </w:pPr>
    </w:p>
    <w:p w14:paraId="38DFAFFE" w14:textId="77777777" w:rsidR="00A4239B" w:rsidRDefault="00A4239B" w:rsidP="00460B22">
      <w:pPr>
        <w:jc w:val="center"/>
        <w:rPr>
          <w:sz w:val="24"/>
          <w:szCs w:val="24"/>
          <w:u w:val="single"/>
        </w:rPr>
      </w:pPr>
    </w:p>
    <w:p w14:paraId="67D4D691" w14:textId="77777777" w:rsidR="00A4239B" w:rsidRDefault="00A4239B" w:rsidP="00460B22">
      <w:pPr>
        <w:jc w:val="center"/>
        <w:rPr>
          <w:sz w:val="24"/>
          <w:szCs w:val="24"/>
          <w:u w:val="single"/>
        </w:rPr>
      </w:pPr>
    </w:p>
    <w:p w14:paraId="6F402FE4" w14:textId="77777777" w:rsidR="00A4239B" w:rsidRDefault="00A4239B" w:rsidP="00460B22">
      <w:pPr>
        <w:jc w:val="center"/>
        <w:rPr>
          <w:sz w:val="24"/>
          <w:szCs w:val="24"/>
          <w:u w:val="single"/>
        </w:rPr>
      </w:pPr>
    </w:p>
    <w:p w14:paraId="74B24011" w14:textId="6B38707C" w:rsidR="00460B22" w:rsidRPr="00460B22" w:rsidRDefault="006D4B64" w:rsidP="00460B22">
      <w:pPr>
        <w:jc w:val="center"/>
        <w:rPr>
          <w:sz w:val="24"/>
          <w:szCs w:val="24"/>
          <w:u w:val="single"/>
        </w:rPr>
      </w:pPr>
      <w:r w:rsidRPr="006D4B64">
        <w:rPr>
          <w:sz w:val="24"/>
          <w:szCs w:val="24"/>
          <w:u w:val="single"/>
        </w:rPr>
        <w:lastRenderedPageBreak/>
        <w:t>References</w:t>
      </w:r>
    </w:p>
    <w:p w14:paraId="355EF233" w14:textId="1EA8AE32" w:rsidR="00460B22" w:rsidRDefault="00460B22" w:rsidP="006D4B64">
      <w:pPr>
        <w:rPr>
          <w:rFonts w:cstheme="minorHAnsi"/>
          <w:color w:val="212121"/>
          <w:sz w:val="24"/>
          <w:szCs w:val="24"/>
          <w:shd w:val="clear" w:color="auto" w:fill="FFFFFF"/>
        </w:rPr>
      </w:pPr>
      <w:r w:rsidRPr="00460B22">
        <w:rPr>
          <w:rFonts w:cstheme="minorHAnsi"/>
          <w:color w:val="212121"/>
          <w:sz w:val="24"/>
          <w:szCs w:val="24"/>
          <w:shd w:val="clear" w:color="auto" w:fill="FFFFFF"/>
          <w:lang w:val="de-DE"/>
        </w:rPr>
        <w:t xml:space="preserve">Behere, P. B., Das, A., Yadav, R., &amp; Behere, A. P. (2013). </w:t>
      </w:r>
      <w:r w:rsidRPr="00460B22">
        <w:rPr>
          <w:rFonts w:cstheme="minorHAnsi"/>
          <w:color w:val="212121"/>
          <w:sz w:val="24"/>
          <w:szCs w:val="24"/>
          <w:shd w:val="clear" w:color="auto" w:fill="FFFFFF"/>
        </w:rPr>
        <w:t>Religion and mental health. </w:t>
      </w:r>
      <w:r w:rsidRPr="00460B22">
        <w:rPr>
          <w:rFonts w:cstheme="minorHAnsi"/>
          <w:i/>
          <w:iCs/>
          <w:color w:val="212121"/>
          <w:sz w:val="24"/>
          <w:szCs w:val="24"/>
          <w:shd w:val="clear" w:color="auto" w:fill="FFFFFF"/>
        </w:rPr>
        <w:t>Indian journal of psychiatry</w:t>
      </w:r>
      <w:r w:rsidRPr="00460B22">
        <w:rPr>
          <w:rFonts w:cstheme="minorHAnsi"/>
          <w:color w:val="212121"/>
          <w:sz w:val="24"/>
          <w:szCs w:val="24"/>
          <w:shd w:val="clear" w:color="auto" w:fill="FFFFFF"/>
        </w:rPr>
        <w:t>, </w:t>
      </w:r>
      <w:r w:rsidRPr="00460B22">
        <w:rPr>
          <w:rFonts w:cstheme="minorHAnsi"/>
          <w:i/>
          <w:iCs/>
          <w:color w:val="212121"/>
          <w:sz w:val="24"/>
          <w:szCs w:val="24"/>
          <w:shd w:val="clear" w:color="auto" w:fill="FFFFFF"/>
        </w:rPr>
        <w:t>55</w:t>
      </w:r>
      <w:r w:rsidRPr="00460B22">
        <w:rPr>
          <w:rFonts w:cstheme="minorHAnsi"/>
          <w:color w:val="212121"/>
          <w:sz w:val="24"/>
          <w:szCs w:val="24"/>
          <w:shd w:val="clear" w:color="auto" w:fill="FFFFFF"/>
        </w:rPr>
        <w:t xml:space="preserve">(2), S187–S194. </w:t>
      </w:r>
      <w:hyperlink r:id="rId4" w:history="1">
        <w:r w:rsidRPr="008633A5">
          <w:rPr>
            <w:rStyle w:val="Hyperlink"/>
            <w:rFonts w:cstheme="minorHAnsi"/>
            <w:sz w:val="24"/>
            <w:szCs w:val="24"/>
            <w:shd w:val="clear" w:color="auto" w:fill="FFFFFF"/>
          </w:rPr>
          <w:t>https://doi.org/10.4103/0019-5545.105526</w:t>
        </w:r>
      </w:hyperlink>
      <w:r>
        <w:rPr>
          <w:rFonts w:cstheme="minorHAnsi"/>
          <w:color w:val="212121"/>
          <w:sz w:val="24"/>
          <w:szCs w:val="24"/>
          <w:shd w:val="clear" w:color="auto" w:fill="FFFFFF"/>
        </w:rPr>
        <w:t xml:space="preserve"> </w:t>
      </w:r>
    </w:p>
    <w:p w14:paraId="5D1E4544" w14:textId="48F2318F" w:rsidR="00A008F8" w:rsidRPr="00A008F8" w:rsidRDefault="00A008F8" w:rsidP="006D4B64">
      <w:pPr>
        <w:rPr>
          <w:rFonts w:cstheme="minorHAnsi"/>
        </w:rPr>
      </w:pPr>
      <w:r>
        <w:rPr>
          <w:rFonts w:cstheme="minorHAnsi"/>
          <w:color w:val="212121"/>
          <w:sz w:val="24"/>
          <w:szCs w:val="24"/>
          <w:shd w:val="clear" w:color="auto" w:fill="FFFFFF"/>
        </w:rPr>
        <w:t xml:space="preserve">Clegg, S., Haywood-Everett, S., Siddiqi, N. (2016). A review of cultural competence training in UK mental health settings. </w:t>
      </w:r>
      <w:r>
        <w:rPr>
          <w:rFonts w:cstheme="minorHAnsi"/>
          <w:i/>
          <w:iCs/>
          <w:color w:val="212121"/>
          <w:sz w:val="24"/>
          <w:szCs w:val="24"/>
          <w:shd w:val="clear" w:color="auto" w:fill="FFFFFF"/>
        </w:rPr>
        <w:t>British Journal of Mental Health Nursing, 5</w:t>
      </w:r>
      <w:r>
        <w:rPr>
          <w:rFonts w:cstheme="minorHAnsi"/>
          <w:color w:val="212121"/>
          <w:sz w:val="24"/>
          <w:szCs w:val="24"/>
          <w:shd w:val="clear" w:color="auto" w:fill="FFFFFF"/>
        </w:rPr>
        <w:t xml:space="preserve">(4). DOI: </w:t>
      </w:r>
      <w:hyperlink r:id="rId5" w:history="1">
        <w:r w:rsidRPr="008633A5">
          <w:rPr>
            <w:rStyle w:val="Hyperlink"/>
            <w:rFonts w:cstheme="minorHAnsi"/>
            <w:sz w:val="24"/>
            <w:szCs w:val="24"/>
            <w:shd w:val="clear" w:color="auto" w:fill="FFFFFF"/>
          </w:rPr>
          <w:t>https://doi-org.ezproxy.uwtsd.ac.uk/10.12968/bjmh.2016.5.4.176</w:t>
        </w:r>
      </w:hyperlink>
      <w:r>
        <w:rPr>
          <w:rFonts w:cstheme="minorHAnsi"/>
          <w:color w:val="212121"/>
          <w:sz w:val="24"/>
          <w:szCs w:val="24"/>
          <w:shd w:val="clear" w:color="auto" w:fill="FFFFFF"/>
        </w:rPr>
        <w:t xml:space="preserve"> </w:t>
      </w:r>
    </w:p>
    <w:p w14:paraId="511824A2" w14:textId="67B1B679" w:rsidR="000D0DD4" w:rsidRDefault="000D0DD4" w:rsidP="006D4B64">
      <w:pPr>
        <w:rPr>
          <w:sz w:val="24"/>
          <w:szCs w:val="24"/>
        </w:rPr>
      </w:pPr>
      <w:r w:rsidRPr="000D0DD4">
        <w:rPr>
          <w:sz w:val="24"/>
          <w:szCs w:val="24"/>
        </w:rPr>
        <w:t>Cook</w:t>
      </w:r>
      <w:r w:rsidRPr="000D0DD4">
        <w:rPr>
          <w:sz w:val="24"/>
          <w:szCs w:val="24"/>
        </w:rPr>
        <w:t>, C.</w:t>
      </w:r>
      <w:r w:rsidRPr="000D0DD4">
        <w:rPr>
          <w:sz w:val="24"/>
          <w:szCs w:val="24"/>
        </w:rPr>
        <w:t xml:space="preserve"> (2020)</w:t>
      </w:r>
      <w:r w:rsidRPr="000D0DD4">
        <w:rPr>
          <w:sz w:val="24"/>
          <w:szCs w:val="24"/>
        </w:rPr>
        <w:t>.</w:t>
      </w:r>
      <w:r w:rsidRPr="000D0DD4">
        <w:rPr>
          <w:sz w:val="24"/>
          <w:szCs w:val="24"/>
        </w:rPr>
        <w:t xml:space="preserve"> Spirituality, religion &amp; mental health: exploring the boundaries</w:t>
      </w:r>
      <w:r w:rsidRPr="000D0DD4">
        <w:rPr>
          <w:sz w:val="24"/>
          <w:szCs w:val="24"/>
        </w:rPr>
        <w:t xml:space="preserve">. </w:t>
      </w:r>
      <w:r w:rsidRPr="000D0DD4">
        <w:rPr>
          <w:i/>
          <w:iCs/>
          <w:sz w:val="24"/>
          <w:szCs w:val="24"/>
        </w:rPr>
        <w:t>Mental Health, Religion &amp; Culture, 23</w:t>
      </w:r>
      <w:r w:rsidRPr="000D0DD4">
        <w:rPr>
          <w:sz w:val="24"/>
          <w:szCs w:val="24"/>
        </w:rPr>
        <w:t>(5)</w:t>
      </w:r>
      <w:r w:rsidRPr="000D0DD4">
        <w:rPr>
          <w:sz w:val="24"/>
          <w:szCs w:val="24"/>
        </w:rPr>
        <w:t>, 363-374</w:t>
      </w:r>
      <w:r w:rsidR="00460B22">
        <w:rPr>
          <w:sz w:val="24"/>
          <w:szCs w:val="24"/>
        </w:rPr>
        <w:t>.</w:t>
      </w:r>
      <w:r w:rsidRPr="000D0DD4">
        <w:rPr>
          <w:sz w:val="24"/>
          <w:szCs w:val="24"/>
        </w:rPr>
        <w:t xml:space="preserve"> DOI: </w:t>
      </w:r>
      <w:hyperlink r:id="rId6" w:history="1">
        <w:r w:rsidR="00C71EAA" w:rsidRPr="008633A5">
          <w:rPr>
            <w:rStyle w:val="Hyperlink"/>
            <w:sz w:val="24"/>
            <w:szCs w:val="24"/>
          </w:rPr>
          <w:t>https://doi.org/</w:t>
        </w:r>
        <w:r w:rsidR="00C71EAA" w:rsidRPr="008633A5">
          <w:rPr>
            <w:rStyle w:val="Hyperlink"/>
            <w:sz w:val="24"/>
            <w:szCs w:val="24"/>
          </w:rPr>
          <w:t>10.1080/13674676.2020.1774525</w:t>
        </w:r>
      </w:hyperlink>
      <w:r w:rsidR="00C71EAA">
        <w:rPr>
          <w:sz w:val="24"/>
          <w:szCs w:val="24"/>
        </w:rPr>
        <w:t xml:space="preserve"> </w:t>
      </w:r>
    </w:p>
    <w:p w14:paraId="5AF1BCCF" w14:textId="2D3E710E" w:rsidR="00D3303B" w:rsidRPr="00D3303B" w:rsidRDefault="00D3303B" w:rsidP="006D4B64">
      <w:pPr>
        <w:rPr>
          <w:rFonts w:cstheme="minorHAnsi"/>
          <w:sz w:val="24"/>
          <w:szCs w:val="24"/>
        </w:rPr>
      </w:pPr>
      <w:r w:rsidRPr="00D3303B">
        <w:rPr>
          <w:rFonts w:cstheme="minorHAnsi"/>
          <w:color w:val="000000"/>
          <w:sz w:val="24"/>
          <w:szCs w:val="24"/>
        </w:rPr>
        <w:t>DiComo, R. A. &amp; Mychailyszyn, M. (2021)</w:t>
      </w:r>
      <w:r>
        <w:rPr>
          <w:rFonts w:cstheme="minorHAnsi"/>
          <w:color w:val="000000"/>
          <w:sz w:val="24"/>
          <w:szCs w:val="24"/>
        </w:rPr>
        <w:t xml:space="preserve">. </w:t>
      </w:r>
      <w:r w:rsidRPr="00D3303B">
        <w:rPr>
          <w:rFonts w:cstheme="minorHAnsi"/>
          <w:color w:val="000000"/>
          <w:sz w:val="24"/>
          <w:szCs w:val="24"/>
        </w:rPr>
        <w:t>The Relationship Between Stigma and Helping-Seeking Behaviors Among Refugee, Asylum Seeker, Immigrant (RASI) Populations Specifically of Muslim Origin</w:t>
      </w:r>
      <w:r>
        <w:rPr>
          <w:rFonts w:cstheme="minorHAnsi"/>
          <w:color w:val="000000"/>
          <w:sz w:val="24"/>
          <w:szCs w:val="24"/>
        </w:rPr>
        <w:t>.</w:t>
      </w:r>
      <w:r w:rsidRPr="00D3303B">
        <w:rPr>
          <w:rFonts w:cstheme="minorHAnsi"/>
          <w:color w:val="000000"/>
          <w:sz w:val="24"/>
          <w:szCs w:val="24"/>
        </w:rPr>
        <w:t> </w:t>
      </w:r>
      <w:r w:rsidRPr="00D3303B">
        <w:rPr>
          <w:rStyle w:val="Emphasis"/>
          <w:rFonts w:cstheme="minorHAnsi"/>
          <w:color w:val="000000"/>
          <w:sz w:val="24"/>
          <w:szCs w:val="24"/>
        </w:rPr>
        <w:t>Journal of Muslim Mental Health</w:t>
      </w:r>
      <w:r w:rsidR="00A008F8">
        <w:rPr>
          <w:rFonts w:cstheme="minorHAnsi"/>
          <w:color w:val="000000"/>
          <w:sz w:val="24"/>
          <w:szCs w:val="24"/>
        </w:rPr>
        <w:t>,</w:t>
      </w:r>
      <w:r w:rsidRPr="00D3303B">
        <w:rPr>
          <w:rFonts w:cstheme="minorHAnsi"/>
          <w:color w:val="000000"/>
          <w:sz w:val="24"/>
          <w:szCs w:val="24"/>
        </w:rPr>
        <w:t xml:space="preserve"> 15(2)</w:t>
      </w:r>
      <w:r>
        <w:rPr>
          <w:rFonts w:cstheme="minorHAnsi"/>
          <w:color w:val="000000"/>
          <w:sz w:val="24"/>
          <w:szCs w:val="24"/>
        </w:rPr>
        <w:t xml:space="preserve">, 1-5. </w:t>
      </w:r>
      <w:r w:rsidRPr="00D3303B">
        <w:rPr>
          <w:rFonts w:cstheme="minorHAnsi"/>
          <w:color w:val="000000"/>
          <w:sz w:val="24"/>
          <w:szCs w:val="24"/>
        </w:rPr>
        <w:t>D</w:t>
      </w:r>
      <w:r>
        <w:rPr>
          <w:rFonts w:cstheme="minorHAnsi"/>
          <w:color w:val="000000"/>
          <w:sz w:val="24"/>
          <w:szCs w:val="24"/>
        </w:rPr>
        <w:t>OI</w:t>
      </w:r>
      <w:r w:rsidRPr="00D3303B">
        <w:rPr>
          <w:rFonts w:cstheme="minorHAnsi"/>
          <w:color w:val="000000"/>
          <w:sz w:val="24"/>
          <w:szCs w:val="24"/>
        </w:rPr>
        <w:t>: </w:t>
      </w:r>
      <w:hyperlink r:id="rId7" w:history="1">
        <w:r w:rsidRPr="00D3303B">
          <w:rPr>
            <w:rStyle w:val="Hyperlink"/>
            <w:rFonts w:cstheme="minorHAnsi"/>
            <w:sz w:val="24"/>
            <w:szCs w:val="24"/>
          </w:rPr>
          <w:t>https://doi.org/10.3998/jmmh.130</w:t>
        </w:r>
      </w:hyperlink>
    </w:p>
    <w:p w14:paraId="320AF67C" w14:textId="473D28D1" w:rsidR="006D4B64" w:rsidRPr="000D0DD4" w:rsidRDefault="00F75013" w:rsidP="006D4B64">
      <w:pPr>
        <w:rPr>
          <w:sz w:val="24"/>
          <w:szCs w:val="24"/>
        </w:rPr>
      </w:pPr>
      <w:r w:rsidRPr="000D0DD4">
        <w:rPr>
          <w:sz w:val="24"/>
          <w:szCs w:val="24"/>
        </w:rPr>
        <w:t xml:space="preserve">Gov.uk. (2013). </w:t>
      </w:r>
      <w:r w:rsidRPr="000D0DD4">
        <w:rPr>
          <w:i/>
          <w:iCs/>
          <w:sz w:val="24"/>
          <w:szCs w:val="24"/>
        </w:rPr>
        <w:t>Equality Act 2010: Guidance.</w:t>
      </w:r>
      <w:r w:rsidRPr="000D0DD4">
        <w:rPr>
          <w:sz w:val="24"/>
          <w:szCs w:val="24"/>
        </w:rPr>
        <w:t xml:space="preserve"> </w:t>
      </w:r>
      <w:hyperlink r:id="rId8" w:history="1">
        <w:r w:rsidRPr="000D0DD4">
          <w:rPr>
            <w:rStyle w:val="Hyperlink"/>
            <w:sz w:val="24"/>
            <w:szCs w:val="24"/>
          </w:rPr>
          <w:t>https://www.gov.uk/guidance/equality-act-2010-guidance#:~:text=the%20Equality%20Act-,Overview,strengthening%20protection%20in%20some%20situations</w:t>
        </w:r>
      </w:hyperlink>
    </w:p>
    <w:p w14:paraId="40B6FE0E" w14:textId="1B73F836" w:rsidR="000D0DD4" w:rsidRDefault="00340515" w:rsidP="006D4B64">
      <w:pPr>
        <w:rPr>
          <w:sz w:val="24"/>
          <w:szCs w:val="24"/>
        </w:rPr>
      </w:pPr>
      <w:r w:rsidRPr="00340515">
        <w:rPr>
          <w:sz w:val="24"/>
          <w:szCs w:val="24"/>
          <w:lang w:val="de-DE"/>
        </w:rPr>
        <w:t xml:space="preserve">Lukoff, D., &amp; Lu, F. (1992). </w:t>
      </w:r>
      <w:r w:rsidRPr="00340515">
        <w:rPr>
          <w:sz w:val="24"/>
          <w:szCs w:val="24"/>
        </w:rPr>
        <w:t>Toward a more culturally s</w:t>
      </w:r>
      <w:r>
        <w:rPr>
          <w:sz w:val="24"/>
          <w:szCs w:val="24"/>
        </w:rPr>
        <w:t xml:space="preserve">ensitive DSM-IV. </w:t>
      </w:r>
      <w:r>
        <w:rPr>
          <w:i/>
          <w:iCs/>
          <w:sz w:val="24"/>
          <w:szCs w:val="24"/>
        </w:rPr>
        <w:t>The journal of nervous and mental disease, 180</w:t>
      </w:r>
      <w:r>
        <w:rPr>
          <w:sz w:val="24"/>
          <w:szCs w:val="24"/>
        </w:rPr>
        <w:t xml:space="preserve">(11), 673-82. DOI: </w:t>
      </w:r>
      <w:hyperlink r:id="rId9" w:history="1">
        <w:r w:rsidRPr="008633A5">
          <w:rPr>
            <w:rStyle w:val="Hyperlink"/>
            <w:sz w:val="24"/>
            <w:szCs w:val="24"/>
          </w:rPr>
          <w:t>http://dx.doi.org/10.1097/00005053-199211000-00001</w:t>
        </w:r>
      </w:hyperlink>
      <w:r>
        <w:rPr>
          <w:sz w:val="24"/>
          <w:szCs w:val="24"/>
        </w:rPr>
        <w:t xml:space="preserve"> </w:t>
      </w:r>
    </w:p>
    <w:p w14:paraId="64913ED3" w14:textId="3DDB0592" w:rsidR="0075369A" w:rsidRPr="0075369A" w:rsidRDefault="0075369A" w:rsidP="006D4B64">
      <w:pPr>
        <w:rPr>
          <w:sz w:val="24"/>
          <w:szCs w:val="24"/>
        </w:rPr>
      </w:pPr>
      <w:r>
        <w:rPr>
          <w:sz w:val="24"/>
          <w:szCs w:val="24"/>
        </w:rPr>
        <w:t xml:space="preserve">Rodriguez, L. (2023, November). </w:t>
      </w:r>
      <w:r>
        <w:rPr>
          <w:i/>
          <w:iCs/>
          <w:sz w:val="24"/>
          <w:szCs w:val="24"/>
        </w:rPr>
        <w:t xml:space="preserve">Culture &amp; Community: session </w:t>
      </w:r>
      <w:r w:rsidR="00056EB0">
        <w:rPr>
          <w:i/>
          <w:iCs/>
          <w:sz w:val="24"/>
          <w:szCs w:val="24"/>
        </w:rPr>
        <w:t>two</w:t>
      </w:r>
      <w:r>
        <w:rPr>
          <w:i/>
          <w:iCs/>
          <w:sz w:val="24"/>
          <w:szCs w:val="24"/>
        </w:rPr>
        <w:t xml:space="preserve"> </w:t>
      </w:r>
      <w:r>
        <w:rPr>
          <w:sz w:val="24"/>
          <w:szCs w:val="24"/>
        </w:rPr>
        <w:t xml:space="preserve">[PowerPoint slides]. Department of Psychology &amp; Counselling, University of Wales Trinity Saint David. </w:t>
      </w:r>
    </w:p>
    <w:p w14:paraId="520D56A1" w14:textId="6F821A19" w:rsidR="00645F80" w:rsidRPr="00645F80" w:rsidRDefault="00645F80" w:rsidP="006D4B64">
      <w:pPr>
        <w:rPr>
          <w:rFonts w:cstheme="minorHAnsi"/>
          <w:sz w:val="24"/>
          <w:szCs w:val="24"/>
        </w:rPr>
      </w:pPr>
      <w:r w:rsidRPr="0075369A">
        <w:rPr>
          <w:rFonts w:cstheme="minorHAnsi"/>
          <w:color w:val="000000"/>
          <w:sz w:val="24"/>
          <w:szCs w:val="24"/>
          <w:lang w:val="de-DE"/>
        </w:rPr>
        <w:t xml:space="preserve">Vogel, D. L., Bitman, R. L., Hammer, J. H., &amp; Wade, N. G. (2013). </w:t>
      </w:r>
      <w:r w:rsidRPr="00645F80">
        <w:rPr>
          <w:rFonts w:cstheme="minorHAnsi"/>
          <w:color w:val="000000"/>
          <w:sz w:val="24"/>
          <w:szCs w:val="24"/>
        </w:rPr>
        <w:t>Is stigma internalized? The longitudinal impact of public stigma on self-stigma. </w:t>
      </w:r>
      <w:r w:rsidRPr="00645F80">
        <w:rPr>
          <w:rStyle w:val="Emphasis"/>
          <w:rFonts w:cstheme="minorHAnsi"/>
          <w:color w:val="000000"/>
          <w:sz w:val="24"/>
          <w:szCs w:val="24"/>
        </w:rPr>
        <w:t xml:space="preserve">Journal of </w:t>
      </w:r>
      <w:r w:rsidR="00056EB0" w:rsidRPr="00645F80">
        <w:rPr>
          <w:rStyle w:val="Emphasis"/>
          <w:rFonts w:cstheme="minorHAnsi"/>
          <w:color w:val="000000"/>
          <w:sz w:val="24"/>
          <w:szCs w:val="24"/>
        </w:rPr>
        <w:t>Counselling</w:t>
      </w:r>
      <w:r w:rsidRPr="00645F80">
        <w:rPr>
          <w:rStyle w:val="Emphasis"/>
          <w:rFonts w:cstheme="minorHAnsi"/>
          <w:color w:val="000000"/>
          <w:sz w:val="24"/>
          <w:szCs w:val="24"/>
        </w:rPr>
        <w:t xml:space="preserve"> Psychology</w:t>
      </w:r>
      <w:r w:rsidRPr="00645F80">
        <w:rPr>
          <w:rFonts w:cstheme="minorHAnsi"/>
          <w:color w:val="000000"/>
          <w:sz w:val="24"/>
          <w:szCs w:val="24"/>
        </w:rPr>
        <w:t>, 60(2), 311–316. </w:t>
      </w:r>
      <w:hyperlink r:id="rId10" w:tgtFrame="_blank" w:history="1">
        <w:r w:rsidRPr="00645F80">
          <w:rPr>
            <w:rStyle w:val="Hyperlink"/>
            <w:rFonts w:cstheme="minorHAnsi"/>
            <w:sz w:val="24"/>
            <w:szCs w:val="24"/>
          </w:rPr>
          <w:t>https://doi.org/10.1037/a0031889</w:t>
        </w:r>
      </w:hyperlink>
    </w:p>
    <w:p w14:paraId="5BDD54FB" w14:textId="77777777" w:rsidR="006D4B64" w:rsidRPr="00340515" w:rsidRDefault="006D4B64" w:rsidP="0038314B">
      <w:pPr>
        <w:rPr>
          <w:sz w:val="24"/>
          <w:szCs w:val="24"/>
        </w:rPr>
      </w:pPr>
    </w:p>
    <w:sectPr w:rsidR="006D4B64" w:rsidRPr="00340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44C"/>
    <w:rsid w:val="00056EB0"/>
    <w:rsid w:val="00066E58"/>
    <w:rsid w:val="000D0DD4"/>
    <w:rsid w:val="000D4E6A"/>
    <w:rsid w:val="0013478D"/>
    <w:rsid w:val="0016258D"/>
    <w:rsid w:val="001850DC"/>
    <w:rsid w:val="001D77E1"/>
    <w:rsid w:val="002E6C8A"/>
    <w:rsid w:val="00340515"/>
    <w:rsid w:val="0038314B"/>
    <w:rsid w:val="003928E5"/>
    <w:rsid w:val="003E3E2D"/>
    <w:rsid w:val="00446629"/>
    <w:rsid w:val="00460B22"/>
    <w:rsid w:val="004976F9"/>
    <w:rsid w:val="004A451F"/>
    <w:rsid w:val="004D4045"/>
    <w:rsid w:val="00517151"/>
    <w:rsid w:val="00530886"/>
    <w:rsid w:val="00540CC5"/>
    <w:rsid w:val="00571359"/>
    <w:rsid w:val="00583594"/>
    <w:rsid w:val="005B5EE8"/>
    <w:rsid w:val="005D2F0B"/>
    <w:rsid w:val="005E100F"/>
    <w:rsid w:val="005F54A1"/>
    <w:rsid w:val="00645F80"/>
    <w:rsid w:val="0068121B"/>
    <w:rsid w:val="006C6063"/>
    <w:rsid w:val="006D0010"/>
    <w:rsid w:val="006D4B64"/>
    <w:rsid w:val="00706297"/>
    <w:rsid w:val="0075369A"/>
    <w:rsid w:val="007856EB"/>
    <w:rsid w:val="007A392A"/>
    <w:rsid w:val="007D1E99"/>
    <w:rsid w:val="00835B81"/>
    <w:rsid w:val="00891EC3"/>
    <w:rsid w:val="009339F0"/>
    <w:rsid w:val="00A008F8"/>
    <w:rsid w:val="00A4239B"/>
    <w:rsid w:val="00A5290B"/>
    <w:rsid w:val="00A83C61"/>
    <w:rsid w:val="00AE588C"/>
    <w:rsid w:val="00AF00D8"/>
    <w:rsid w:val="00BA43D2"/>
    <w:rsid w:val="00BB3BD1"/>
    <w:rsid w:val="00BD57B0"/>
    <w:rsid w:val="00C06088"/>
    <w:rsid w:val="00C14235"/>
    <w:rsid w:val="00C1618B"/>
    <w:rsid w:val="00C461B7"/>
    <w:rsid w:val="00C52AC0"/>
    <w:rsid w:val="00C71EAA"/>
    <w:rsid w:val="00CD643A"/>
    <w:rsid w:val="00CF573E"/>
    <w:rsid w:val="00D22D25"/>
    <w:rsid w:val="00D3303B"/>
    <w:rsid w:val="00DF073D"/>
    <w:rsid w:val="00E1144C"/>
    <w:rsid w:val="00E97C71"/>
    <w:rsid w:val="00ED5119"/>
    <w:rsid w:val="00F32F9E"/>
    <w:rsid w:val="00F75013"/>
    <w:rsid w:val="00FB7D3C"/>
    <w:rsid w:val="00FD1A70"/>
    <w:rsid w:val="00FF4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F6F6D"/>
  <w15:chartTrackingRefBased/>
  <w15:docId w15:val="{4307E73F-D6AE-46A4-B39E-3AAE34C1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5013"/>
    <w:rPr>
      <w:color w:val="0563C1" w:themeColor="hyperlink"/>
      <w:u w:val="single"/>
    </w:rPr>
  </w:style>
  <w:style w:type="character" w:styleId="UnresolvedMention">
    <w:name w:val="Unresolved Mention"/>
    <w:basedOn w:val="DefaultParagraphFont"/>
    <w:uiPriority w:val="99"/>
    <w:semiHidden/>
    <w:unhideWhenUsed/>
    <w:rsid w:val="00F75013"/>
    <w:rPr>
      <w:color w:val="605E5C"/>
      <w:shd w:val="clear" w:color="auto" w:fill="E1DFDD"/>
    </w:rPr>
  </w:style>
  <w:style w:type="character" w:styleId="Emphasis">
    <w:name w:val="Emphasis"/>
    <w:basedOn w:val="DefaultParagraphFont"/>
    <w:uiPriority w:val="20"/>
    <w:qFormat/>
    <w:rsid w:val="00D330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ality-act-2010-guidance#:~:text=the%20Equality%20Act-,Overview,strengthening%20protection%20in%20some%20situations" TargetMode="External"/><Relationship Id="rId3" Type="http://schemas.openxmlformats.org/officeDocument/2006/relationships/webSettings" Target="webSettings.xml"/><Relationship Id="rId7" Type="http://schemas.openxmlformats.org/officeDocument/2006/relationships/hyperlink" Target="https://doi.org/10.3998/jmmh.13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3674676.2020.1774525" TargetMode="External"/><Relationship Id="rId11" Type="http://schemas.openxmlformats.org/officeDocument/2006/relationships/fontTable" Target="fontTable.xml"/><Relationship Id="rId5" Type="http://schemas.openxmlformats.org/officeDocument/2006/relationships/hyperlink" Target="https://doi-org.ezproxy.uwtsd.ac.uk/10.12968/bjmh.2016.5.4.176" TargetMode="External"/><Relationship Id="rId10" Type="http://schemas.openxmlformats.org/officeDocument/2006/relationships/hyperlink" Target="https://doi.org/10.1037/a0031889" TargetMode="External"/><Relationship Id="rId4" Type="http://schemas.openxmlformats.org/officeDocument/2006/relationships/hyperlink" Target="https://doi.org/10.4103/0019-5545.105526" TargetMode="External"/><Relationship Id="rId9" Type="http://schemas.openxmlformats.org/officeDocument/2006/relationships/hyperlink" Target="http://dx.doi.org/10.1097/00005053-199211000-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Taylor</dc:creator>
  <cp:keywords/>
  <dc:description/>
  <cp:lastModifiedBy>Elle Taylor</cp:lastModifiedBy>
  <cp:revision>57</cp:revision>
  <dcterms:created xsi:type="dcterms:W3CDTF">2024-01-04T12:51:00Z</dcterms:created>
  <dcterms:modified xsi:type="dcterms:W3CDTF">2024-01-06T12:28:00Z</dcterms:modified>
</cp:coreProperties>
</file>