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932EF" w14:textId="77777777" w:rsidR="00702B9B" w:rsidRPr="006F7D01" w:rsidRDefault="00702B9B" w:rsidP="00702B9B">
      <w:pPr>
        <w:rPr>
          <w:rFonts w:ascii="Arial" w:hAnsi="Arial" w:cs="Arial"/>
          <w:sz w:val="22"/>
        </w:rPr>
      </w:pPr>
    </w:p>
    <w:p w14:paraId="71F3DB2E" w14:textId="77777777" w:rsidR="00702B9B" w:rsidRPr="002872DD" w:rsidRDefault="00702B9B" w:rsidP="00702B9B">
      <w:pPr>
        <w:jc w:val="center"/>
        <w:rPr>
          <w:rFonts w:ascii="Arial" w:hAnsi="Arial" w:cs="Arial"/>
          <w:b/>
          <w:sz w:val="36"/>
          <w:szCs w:val="36"/>
        </w:rPr>
      </w:pPr>
      <w:r w:rsidRPr="002872DD">
        <w:rPr>
          <w:rFonts w:ascii="Arial" w:hAnsi="Arial" w:cs="Arial"/>
          <w:b/>
          <w:sz w:val="36"/>
          <w:szCs w:val="36"/>
        </w:rPr>
        <w:t>Managing Projects in the Organisation</w:t>
      </w:r>
    </w:p>
    <w:p w14:paraId="332C6454" w14:textId="5F15DB71" w:rsidR="00702B9B" w:rsidRPr="006F7D01" w:rsidRDefault="000F59FB" w:rsidP="00702B9B">
      <w:pPr>
        <w:jc w:val="center"/>
        <w:rPr>
          <w:rFonts w:ascii="Arial" w:hAnsi="Arial" w:cs="Arial"/>
          <w:b/>
          <w:sz w:val="22"/>
        </w:rPr>
      </w:pPr>
      <w:r w:rsidRPr="006F7D01">
        <w:rPr>
          <w:rFonts w:ascii="Arial" w:hAnsi="Arial" w:cs="Arial"/>
          <w:b/>
          <w:sz w:val="22"/>
        </w:rPr>
        <w:t>BMSW5104</w:t>
      </w:r>
    </w:p>
    <w:p w14:paraId="4911C4A7" w14:textId="21BEC048" w:rsidR="00702B9B" w:rsidRPr="006F7D01" w:rsidRDefault="00702B9B" w:rsidP="00702B9B">
      <w:pPr>
        <w:jc w:val="center"/>
        <w:rPr>
          <w:rFonts w:ascii="Arial" w:hAnsi="Arial" w:cs="Arial"/>
          <w:i/>
          <w:sz w:val="22"/>
        </w:rPr>
      </w:pPr>
      <w:r w:rsidRPr="006F7D01">
        <w:rPr>
          <w:rFonts w:ascii="Arial" w:hAnsi="Arial" w:cs="Arial"/>
          <w:i/>
          <w:sz w:val="22"/>
        </w:rPr>
        <w:t xml:space="preserve">Name </w:t>
      </w:r>
      <w:r w:rsidR="000F59FB" w:rsidRPr="006F7D01">
        <w:rPr>
          <w:rFonts w:ascii="Arial" w:hAnsi="Arial" w:cs="Arial"/>
          <w:i/>
          <w:sz w:val="22"/>
        </w:rPr>
        <w:t>-MIRELA MIHAELA URZICA</w:t>
      </w:r>
    </w:p>
    <w:p w14:paraId="49B22836" w14:textId="64905C3C" w:rsidR="00702B9B" w:rsidRPr="006F7D01" w:rsidRDefault="00702B9B" w:rsidP="00702B9B">
      <w:pPr>
        <w:jc w:val="center"/>
        <w:rPr>
          <w:rFonts w:ascii="Arial" w:hAnsi="Arial" w:cs="Arial"/>
          <w:i/>
          <w:sz w:val="22"/>
        </w:rPr>
      </w:pPr>
      <w:r w:rsidRPr="006F7D01">
        <w:rPr>
          <w:rFonts w:ascii="Arial" w:hAnsi="Arial" w:cs="Arial"/>
          <w:i/>
          <w:sz w:val="22"/>
        </w:rPr>
        <w:t>ID</w:t>
      </w:r>
      <w:r w:rsidR="000F59FB" w:rsidRPr="006F7D01">
        <w:rPr>
          <w:rFonts w:ascii="Arial" w:hAnsi="Arial" w:cs="Arial"/>
          <w:i/>
          <w:sz w:val="22"/>
        </w:rPr>
        <w:t>-1922003</w:t>
      </w:r>
    </w:p>
    <w:p w14:paraId="112F5001" w14:textId="3476213F" w:rsidR="000F59FB" w:rsidRPr="006F7D01" w:rsidRDefault="000F59FB" w:rsidP="00702B9B">
      <w:pPr>
        <w:jc w:val="center"/>
        <w:rPr>
          <w:rFonts w:ascii="Arial" w:hAnsi="Arial" w:cs="Arial"/>
          <w:i/>
          <w:sz w:val="22"/>
        </w:rPr>
      </w:pPr>
      <w:r w:rsidRPr="006F7D01">
        <w:rPr>
          <w:rFonts w:ascii="Arial" w:hAnsi="Arial" w:cs="Arial"/>
          <w:i/>
          <w:sz w:val="22"/>
        </w:rPr>
        <w:t xml:space="preserve">Lecturer Name- </w:t>
      </w:r>
      <w:proofErr w:type="spellStart"/>
      <w:r w:rsidRPr="006F7D01">
        <w:rPr>
          <w:rFonts w:ascii="Arial" w:hAnsi="Arial" w:cs="Arial"/>
          <w:i/>
          <w:sz w:val="22"/>
        </w:rPr>
        <w:t>Yajesh</w:t>
      </w:r>
      <w:proofErr w:type="spellEnd"/>
      <w:r w:rsidRPr="006F7D01">
        <w:rPr>
          <w:rFonts w:ascii="Arial" w:hAnsi="Arial" w:cs="Arial"/>
          <w:i/>
          <w:sz w:val="22"/>
        </w:rPr>
        <w:t xml:space="preserve"> Kumar</w:t>
      </w:r>
    </w:p>
    <w:p w14:paraId="15CEC1F5" w14:textId="34AE4C2E" w:rsidR="00702B9B" w:rsidRPr="006F7D01" w:rsidRDefault="00702B9B">
      <w:pPr>
        <w:rPr>
          <w:rFonts w:ascii="Arial" w:hAnsi="Arial" w:cs="Arial"/>
          <w:sz w:val="22"/>
        </w:rPr>
      </w:pPr>
    </w:p>
    <w:p w14:paraId="1DAD41FA" w14:textId="1AC8CF51" w:rsidR="000F59FB" w:rsidRPr="006F7D01" w:rsidRDefault="000F59FB">
      <w:pPr>
        <w:rPr>
          <w:rFonts w:ascii="Arial" w:hAnsi="Arial" w:cs="Arial"/>
          <w:sz w:val="22"/>
        </w:rPr>
      </w:pPr>
    </w:p>
    <w:p w14:paraId="24C61272" w14:textId="5DBE65D8" w:rsidR="000F59FB" w:rsidRPr="006F7D01" w:rsidRDefault="000F59FB">
      <w:pPr>
        <w:rPr>
          <w:rFonts w:ascii="Arial" w:hAnsi="Arial" w:cs="Arial"/>
          <w:sz w:val="22"/>
        </w:rPr>
      </w:pPr>
    </w:p>
    <w:p w14:paraId="6C5605C7" w14:textId="3B289C3A" w:rsidR="000F59FB" w:rsidRPr="006F7D01" w:rsidRDefault="000F59FB">
      <w:pPr>
        <w:rPr>
          <w:rFonts w:ascii="Arial" w:hAnsi="Arial" w:cs="Arial"/>
          <w:sz w:val="22"/>
        </w:rPr>
      </w:pPr>
    </w:p>
    <w:p w14:paraId="1FFE3D81" w14:textId="778A4EEF" w:rsidR="000F59FB" w:rsidRPr="006F7D01" w:rsidRDefault="000F59FB">
      <w:pPr>
        <w:rPr>
          <w:rFonts w:ascii="Arial" w:hAnsi="Arial" w:cs="Arial"/>
          <w:sz w:val="22"/>
        </w:rPr>
      </w:pPr>
    </w:p>
    <w:p w14:paraId="10031532" w14:textId="6150E811" w:rsidR="000F59FB" w:rsidRPr="006F7D01" w:rsidRDefault="000F59FB">
      <w:pPr>
        <w:rPr>
          <w:rFonts w:ascii="Arial" w:hAnsi="Arial" w:cs="Arial"/>
          <w:sz w:val="22"/>
        </w:rPr>
      </w:pPr>
    </w:p>
    <w:p w14:paraId="77E3CA42" w14:textId="672E7A09" w:rsidR="000F59FB" w:rsidRPr="00B60060" w:rsidRDefault="00A91FA2">
      <w:pPr>
        <w:rPr>
          <w:rFonts w:ascii="Arial" w:hAnsi="Arial" w:cs="Arial"/>
          <w:b/>
          <w:bCs/>
          <w:sz w:val="22"/>
          <w:u w:val="single"/>
        </w:rPr>
      </w:pPr>
      <w:r w:rsidRPr="00B60060">
        <w:rPr>
          <w:rFonts w:ascii="Arial" w:hAnsi="Arial" w:cs="Arial"/>
          <w:b/>
          <w:bCs/>
          <w:sz w:val="22"/>
          <w:u w:val="single"/>
        </w:rPr>
        <w:t xml:space="preserve">PROJECT MANAGEMENT PLAN </w:t>
      </w:r>
    </w:p>
    <w:p w14:paraId="5DBF12DE" w14:textId="0643BE12" w:rsidR="000F59FB" w:rsidRPr="006F7D01" w:rsidRDefault="000F59FB">
      <w:pPr>
        <w:rPr>
          <w:rFonts w:ascii="Arial" w:hAnsi="Arial" w:cs="Arial"/>
          <w:sz w:val="22"/>
        </w:rPr>
      </w:pPr>
    </w:p>
    <w:p w14:paraId="6FDF6FD5" w14:textId="77777777" w:rsidR="000F59FB" w:rsidRPr="006F7D01" w:rsidRDefault="000F59FB">
      <w:pPr>
        <w:rPr>
          <w:rFonts w:ascii="Arial" w:hAnsi="Arial" w:cs="Arial"/>
          <w:sz w:val="22"/>
        </w:rPr>
      </w:pPr>
    </w:p>
    <w:p w14:paraId="4D1F6A30" w14:textId="49399777" w:rsidR="00702B9B" w:rsidRPr="006F7D01" w:rsidRDefault="00702B9B">
      <w:pPr>
        <w:rPr>
          <w:rFonts w:ascii="Arial" w:hAnsi="Arial" w:cs="Arial"/>
          <w:sz w:val="22"/>
        </w:rPr>
      </w:pPr>
    </w:p>
    <w:p w14:paraId="41749CE0" w14:textId="05CD6BD4" w:rsidR="00702B9B" w:rsidRPr="006F7D01" w:rsidRDefault="000F59FB">
      <w:pPr>
        <w:rPr>
          <w:rFonts w:ascii="Arial" w:hAnsi="Arial" w:cs="Arial"/>
          <w:b/>
          <w:bCs/>
          <w:sz w:val="22"/>
        </w:rPr>
      </w:pPr>
      <w:r w:rsidRPr="006F7D01">
        <w:rPr>
          <w:rFonts w:ascii="Arial" w:hAnsi="Arial" w:cs="Arial"/>
          <w:b/>
          <w:bCs/>
          <w:sz w:val="22"/>
        </w:rPr>
        <w:t>INTRODUCTION</w:t>
      </w:r>
    </w:p>
    <w:p w14:paraId="5CC8CA08" w14:textId="77777777" w:rsidR="00702B9B" w:rsidRPr="00702B9B" w:rsidRDefault="00702B9B" w:rsidP="00702B9B">
      <w:pPr>
        <w:keepNext/>
        <w:keepLines/>
        <w:spacing w:before="240" w:after="0"/>
        <w:outlineLvl w:val="0"/>
        <w:rPr>
          <w:rFonts w:ascii="Arial" w:eastAsiaTheme="majorEastAsia" w:hAnsi="Arial" w:cs="Arial"/>
          <w:b/>
          <w:sz w:val="22"/>
        </w:rPr>
      </w:pPr>
      <w:r w:rsidRPr="00702B9B">
        <w:rPr>
          <w:rFonts w:ascii="Arial" w:eastAsiaTheme="majorEastAsia" w:hAnsi="Arial" w:cs="Arial"/>
          <w:b/>
          <w:sz w:val="22"/>
        </w:rPr>
        <w:t xml:space="preserve">Project outline </w:t>
      </w:r>
    </w:p>
    <w:p w14:paraId="1DFB6A2D" w14:textId="77777777" w:rsidR="00702B9B" w:rsidRPr="00702B9B" w:rsidRDefault="00702B9B" w:rsidP="00702B9B">
      <w:pPr>
        <w:rPr>
          <w:rFonts w:ascii="Arial" w:hAnsi="Arial" w:cs="Arial"/>
          <w:sz w:val="22"/>
        </w:rPr>
      </w:pPr>
      <w:r w:rsidRPr="00702B9B">
        <w:rPr>
          <w:rFonts w:ascii="Arial" w:hAnsi="Arial" w:cs="Arial"/>
          <w:sz w:val="22"/>
        </w:rPr>
        <w:t>The existing Grade-An office space in Wellington Place in the centre of Leeds has developed into an urban quarter and unique business location. The project aims to offer multipurpose retail and commercial space in the heart of Leeds City Centre (Wates, 2021). The proposal comprises of developing six units by collaborating with SES Engineering services amidst the advent of covid-19which have radically shifted the operation approach the project will pave the way to progress development by utilising multiple construction techniques.</w:t>
      </w:r>
    </w:p>
    <w:p w14:paraId="51250EF2" w14:textId="77777777" w:rsidR="00702B9B" w:rsidRPr="00702B9B" w:rsidRDefault="00702B9B" w:rsidP="00702B9B">
      <w:pPr>
        <w:keepNext/>
        <w:keepLines/>
        <w:spacing w:before="240" w:after="0"/>
        <w:outlineLvl w:val="0"/>
        <w:rPr>
          <w:rFonts w:ascii="Arial" w:eastAsiaTheme="majorEastAsia" w:hAnsi="Arial" w:cs="Arial"/>
          <w:b/>
          <w:sz w:val="22"/>
        </w:rPr>
      </w:pPr>
      <w:bookmarkStart w:id="0" w:name="_Toc87462619"/>
      <w:r w:rsidRPr="00702B9B">
        <w:rPr>
          <w:rFonts w:ascii="Arial" w:eastAsiaTheme="majorEastAsia" w:hAnsi="Arial" w:cs="Arial"/>
          <w:b/>
          <w:sz w:val="22"/>
        </w:rPr>
        <w:t>Project planning ph</w:t>
      </w:r>
      <w:r w:rsidRPr="00702B9B">
        <w:rPr>
          <w:rFonts w:ascii="Arial" w:eastAsiaTheme="majorEastAsia" w:hAnsi="Arial" w:cs="Arial"/>
          <w:sz w:val="22"/>
        </w:rPr>
        <w:t>a</w:t>
      </w:r>
      <w:r w:rsidRPr="00702B9B">
        <w:rPr>
          <w:rFonts w:ascii="Arial" w:eastAsiaTheme="majorEastAsia" w:hAnsi="Arial" w:cs="Arial"/>
          <w:b/>
          <w:sz w:val="22"/>
        </w:rPr>
        <w:t>ses</w:t>
      </w:r>
      <w:bookmarkEnd w:id="0"/>
      <w:r w:rsidRPr="00702B9B">
        <w:rPr>
          <w:rFonts w:ascii="Arial" w:eastAsiaTheme="majorEastAsia" w:hAnsi="Arial" w:cs="Arial"/>
          <w:b/>
          <w:sz w:val="22"/>
        </w:rPr>
        <w:t xml:space="preserve"> </w:t>
      </w:r>
    </w:p>
    <w:p w14:paraId="15BB4883" w14:textId="77777777" w:rsidR="00702B9B" w:rsidRPr="00702B9B" w:rsidRDefault="00702B9B" w:rsidP="00702B9B">
      <w:pPr>
        <w:rPr>
          <w:rFonts w:ascii="Arial" w:hAnsi="Arial" w:cs="Arial"/>
          <w:sz w:val="22"/>
        </w:rPr>
      </w:pPr>
      <w:r w:rsidRPr="00702B9B">
        <w:rPr>
          <w:rFonts w:ascii="Arial" w:hAnsi="Arial" w:cs="Arial"/>
          <w:sz w:val="22"/>
        </w:rPr>
        <w:t>The project is segregated into different process groups, which include the activities required in navigating the entire project towards completion.</w:t>
      </w:r>
    </w:p>
    <w:p w14:paraId="4CD980F6" w14:textId="77777777" w:rsidR="00702B9B" w:rsidRPr="00702B9B" w:rsidRDefault="00702B9B" w:rsidP="00702B9B">
      <w:pPr>
        <w:keepNext/>
        <w:keepLines/>
        <w:spacing w:before="40" w:after="0"/>
        <w:outlineLvl w:val="1"/>
        <w:rPr>
          <w:rFonts w:ascii="Arial" w:eastAsiaTheme="majorEastAsia" w:hAnsi="Arial" w:cs="Arial"/>
          <w:b/>
          <w:sz w:val="22"/>
        </w:rPr>
      </w:pPr>
      <w:bookmarkStart w:id="1" w:name="_Toc87462620"/>
      <w:r w:rsidRPr="00702B9B">
        <w:rPr>
          <w:rFonts w:ascii="Arial" w:eastAsiaTheme="majorEastAsia" w:hAnsi="Arial" w:cs="Arial"/>
          <w:b/>
          <w:sz w:val="22"/>
        </w:rPr>
        <w:lastRenderedPageBreak/>
        <w:t>Initiation</w:t>
      </w:r>
      <w:bookmarkEnd w:id="1"/>
    </w:p>
    <w:p w14:paraId="4F35401F" w14:textId="77777777" w:rsidR="00702B9B" w:rsidRPr="00702B9B" w:rsidRDefault="00702B9B" w:rsidP="00702B9B">
      <w:pPr>
        <w:keepNext/>
        <w:keepLines/>
        <w:spacing w:before="40" w:after="0"/>
        <w:outlineLvl w:val="1"/>
        <w:rPr>
          <w:rFonts w:ascii="Arial" w:eastAsiaTheme="majorEastAsia" w:hAnsi="Arial" w:cs="Arial"/>
          <w:b/>
          <w:sz w:val="22"/>
        </w:rPr>
      </w:pPr>
      <w:bookmarkStart w:id="2" w:name="_Toc87462621"/>
      <w:r w:rsidRPr="00702B9B">
        <w:rPr>
          <w:rFonts w:ascii="Arial" w:eastAsiaTheme="majorEastAsia" w:hAnsi="Arial" w:cs="Arial"/>
          <w:b/>
          <w:sz w:val="22"/>
        </w:rPr>
        <w:t>Scope of the project</w:t>
      </w:r>
      <w:bookmarkEnd w:id="2"/>
      <w:r w:rsidRPr="00702B9B">
        <w:rPr>
          <w:rFonts w:ascii="Arial" w:eastAsiaTheme="majorEastAsia" w:hAnsi="Arial" w:cs="Arial"/>
          <w:b/>
          <w:sz w:val="22"/>
        </w:rPr>
        <w:t xml:space="preserve"> </w:t>
      </w:r>
    </w:p>
    <w:p w14:paraId="48E9CE89" w14:textId="55EAD3B1" w:rsidR="00702B9B" w:rsidRPr="00702B9B" w:rsidRDefault="00702B9B" w:rsidP="00702B9B">
      <w:pPr>
        <w:rPr>
          <w:rFonts w:ascii="Arial" w:hAnsi="Arial" w:cs="Arial"/>
          <w:sz w:val="22"/>
        </w:rPr>
      </w:pPr>
      <w:r w:rsidRPr="00702B9B">
        <w:rPr>
          <w:rFonts w:ascii="Arial" w:hAnsi="Arial" w:cs="Arial"/>
          <w:sz w:val="22"/>
        </w:rPr>
        <w:t xml:space="preserve">The project is focused on the Railway Lifting Tower with pedestrian-friendly boulevards and avenues. The Wellington Place project will feature a vibrant mixed utility community with 12000 people living and working (RBC, 2021). The project wills include1.5 million square feet of space including offices, retail, </w:t>
      </w:r>
      <w:r w:rsidR="000E126C" w:rsidRPr="00702B9B">
        <w:rPr>
          <w:rFonts w:ascii="Arial" w:hAnsi="Arial" w:cs="Arial"/>
          <w:sz w:val="22"/>
        </w:rPr>
        <w:t>leisure,</w:t>
      </w:r>
      <w:r w:rsidRPr="00702B9B">
        <w:rPr>
          <w:rFonts w:ascii="Arial" w:hAnsi="Arial" w:cs="Arial"/>
          <w:sz w:val="22"/>
        </w:rPr>
        <w:t xml:space="preserve"> and residential spaces. The project will widen the scope of feasibly operating and help to grow by leveraging the transition after the global pandemic.</w:t>
      </w:r>
    </w:p>
    <w:p w14:paraId="40BC1190" w14:textId="09FAA0DA" w:rsidR="00702B9B" w:rsidRPr="006F7D01" w:rsidRDefault="00702B9B">
      <w:pPr>
        <w:rPr>
          <w:rFonts w:ascii="Arial" w:hAnsi="Arial" w:cs="Arial"/>
          <w:sz w:val="22"/>
        </w:rPr>
      </w:pPr>
    </w:p>
    <w:p w14:paraId="6EF96F02" w14:textId="7224992F" w:rsidR="00702B9B" w:rsidRPr="006F7D01" w:rsidRDefault="00702B9B">
      <w:pPr>
        <w:rPr>
          <w:rFonts w:ascii="Arial" w:hAnsi="Arial" w:cs="Arial"/>
          <w:sz w:val="22"/>
        </w:rPr>
      </w:pPr>
    </w:p>
    <w:p w14:paraId="01158ADA" w14:textId="68BA1716" w:rsidR="00702B9B" w:rsidRPr="006F7D01" w:rsidRDefault="00702B9B">
      <w:pPr>
        <w:rPr>
          <w:rFonts w:ascii="Arial" w:hAnsi="Arial" w:cs="Arial"/>
          <w:sz w:val="22"/>
        </w:rPr>
      </w:pPr>
      <w:r w:rsidRPr="006F7D01">
        <w:rPr>
          <w:rFonts w:ascii="Arial" w:hAnsi="Arial" w:cs="Arial"/>
          <w:noProof/>
          <w:sz w:val="22"/>
          <w:lang w:val="en-US"/>
        </w:rPr>
        <w:drawing>
          <wp:inline distT="0" distB="0" distL="0" distR="0" wp14:anchorId="46148E8B" wp14:editId="1DAD4563">
            <wp:extent cx="5148808" cy="2743200"/>
            <wp:effectExtent l="38100" t="57150" r="108992" b="9525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4"/>
                    <a:srcRect l="26652" t="17343" b="12546"/>
                    <a:stretch>
                      <a:fillRect/>
                    </a:stretch>
                  </pic:blipFill>
                  <pic:spPr bwMode="auto">
                    <a:xfrm>
                      <a:off x="0" y="0"/>
                      <a:ext cx="5148808" cy="2743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7562C2" w14:textId="6E5AB063" w:rsidR="00702B9B" w:rsidRPr="006F7D01" w:rsidRDefault="00702B9B">
      <w:pPr>
        <w:rPr>
          <w:rFonts w:ascii="Arial" w:hAnsi="Arial" w:cs="Arial"/>
          <w:sz w:val="22"/>
        </w:rPr>
      </w:pPr>
    </w:p>
    <w:p w14:paraId="1D1516CF" w14:textId="77777777" w:rsidR="00702B9B" w:rsidRPr="006F7D01" w:rsidRDefault="00702B9B" w:rsidP="00702B9B">
      <w:pPr>
        <w:pStyle w:val="Caption"/>
        <w:jc w:val="center"/>
        <w:rPr>
          <w:rFonts w:ascii="Arial" w:hAnsi="Arial" w:cs="Arial"/>
          <w:b/>
          <w:i w:val="0"/>
          <w:color w:val="auto"/>
          <w:sz w:val="22"/>
          <w:szCs w:val="22"/>
        </w:rPr>
      </w:pPr>
      <w:r w:rsidRPr="006F7D01">
        <w:rPr>
          <w:rFonts w:ascii="Arial" w:hAnsi="Arial" w:cs="Arial"/>
          <w:b/>
          <w:i w:val="0"/>
          <w:color w:val="auto"/>
          <w:sz w:val="22"/>
          <w:szCs w:val="22"/>
        </w:rPr>
        <w:t xml:space="preserve">Figure 1: Wellington Place Project </w:t>
      </w:r>
    </w:p>
    <w:p w14:paraId="4D18C762" w14:textId="77777777" w:rsidR="00702B9B" w:rsidRPr="006F7D01" w:rsidRDefault="00702B9B" w:rsidP="00702B9B">
      <w:pPr>
        <w:jc w:val="center"/>
        <w:rPr>
          <w:rFonts w:ascii="Arial" w:hAnsi="Arial" w:cs="Arial"/>
          <w:sz w:val="22"/>
        </w:rPr>
      </w:pPr>
      <w:r w:rsidRPr="006F7D01">
        <w:rPr>
          <w:rFonts w:ascii="Arial" w:hAnsi="Arial" w:cs="Arial"/>
          <w:sz w:val="22"/>
        </w:rPr>
        <w:t>(Source: Wates, 2021)</w:t>
      </w:r>
    </w:p>
    <w:p w14:paraId="282DAA98" w14:textId="7AF660F5" w:rsidR="00702B9B" w:rsidRPr="006F7D01" w:rsidRDefault="00702B9B">
      <w:pPr>
        <w:rPr>
          <w:rFonts w:ascii="Arial" w:hAnsi="Arial" w:cs="Arial"/>
          <w:sz w:val="22"/>
        </w:rPr>
      </w:pPr>
    </w:p>
    <w:p w14:paraId="58F28BBE" w14:textId="6BE7D1DC" w:rsidR="00702B9B" w:rsidRPr="006F7D01" w:rsidRDefault="00702B9B">
      <w:pPr>
        <w:rPr>
          <w:rFonts w:ascii="Arial" w:hAnsi="Arial" w:cs="Arial"/>
          <w:sz w:val="22"/>
        </w:rPr>
      </w:pPr>
    </w:p>
    <w:p w14:paraId="3270D232" w14:textId="77777777" w:rsidR="00702B9B" w:rsidRPr="00702B9B" w:rsidRDefault="00702B9B" w:rsidP="00702B9B">
      <w:pPr>
        <w:keepNext/>
        <w:keepLines/>
        <w:spacing w:before="40" w:after="0"/>
        <w:outlineLvl w:val="1"/>
        <w:rPr>
          <w:rFonts w:ascii="Arial" w:eastAsiaTheme="majorEastAsia" w:hAnsi="Arial" w:cs="Arial"/>
          <w:b/>
          <w:sz w:val="22"/>
        </w:rPr>
      </w:pPr>
      <w:bookmarkStart w:id="3" w:name="_Toc87462622"/>
      <w:r w:rsidRPr="00702B9B">
        <w:rPr>
          <w:rFonts w:ascii="Arial" w:eastAsiaTheme="majorEastAsia" w:hAnsi="Arial" w:cs="Arial"/>
          <w:b/>
          <w:sz w:val="22"/>
        </w:rPr>
        <w:t>Description</w:t>
      </w:r>
      <w:bookmarkEnd w:id="3"/>
    </w:p>
    <w:p w14:paraId="2D3CA839" w14:textId="77777777" w:rsidR="00702B9B" w:rsidRPr="00702B9B" w:rsidRDefault="00702B9B" w:rsidP="00702B9B">
      <w:pPr>
        <w:rPr>
          <w:rFonts w:ascii="Arial" w:hAnsi="Arial" w:cs="Arial"/>
          <w:sz w:val="22"/>
        </w:rPr>
      </w:pPr>
      <w:r w:rsidRPr="00702B9B">
        <w:rPr>
          <w:rFonts w:ascii="Arial" w:hAnsi="Arial" w:cs="Arial"/>
          <w:sz w:val="22"/>
        </w:rPr>
        <w:t xml:space="preserve">The global pandemic has affected the construction sector drastically. The organisation in the construction sector is continuing to transform the operation approach by bringing changes in the workplace helping in planning projects and supporting decision- making. Changes related to site constraints, material supply and collaborating with contractors remain challenges for which safeguarding actions are adopted by focusing on digital technology integration and </w:t>
      </w:r>
      <w:r w:rsidRPr="00702B9B">
        <w:rPr>
          <w:rFonts w:ascii="Arial" w:hAnsi="Arial" w:cs="Arial"/>
          <w:sz w:val="22"/>
        </w:rPr>
        <w:lastRenderedPageBreak/>
        <w:t>relying more on front-end services (Banaszak, Charron, Guevara and Stokvis, 2021). The Wellington Place project will develop as one of the most comprehensive residential spaces facilitated by modern technology to cooperate with the external vulnerabilities faced due to covid-19. The space will be equipped with infrastructure supporting the virtual operation and a hybrid model of work to conduct business without facing disruption.</w:t>
      </w:r>
    </w:p>
    <w:p w14:paraId="376ADCF5" w14:textId="1C4C5D2B" w:rsidR="00702B9B" w:rsidRPr="006F7D01" w:rsidRDefault="00702B9B">
      <w:pPr>
        <w:rPr>
          <w:rFonts w:ascii="Arial" w:hAnsi="Arial" w:cs="Arial"/>
          <w:sz w:val="22"/>
        </w:rPr>
      </w:pPr>
    </w:p>
    <w:p w14:paraId="389EF73D" w14:textId="03AB8366" w:rsidR="007D72C7" w:rsidRPr="006F7D01" w:rsidRDefault="007D72C7">
      <w:pPr>
        <w:rPr>
          <w:rFonts w:ascii="Arial" w:hAnsi="Arial" w:cs="Arial"/>
          <w:sz w:val="22"/>
        </w:rPr>
      </w:pPr>
      <w:r w:rsidRPr="006F7D01">
        <w:rPr>
          <w:rFonts w:ascii="Arial" w:hAnsi="Arial" w:cs="Arial"/>
          <w:sz w:val="22"/>
        </w:rPr>
        <w:t>The following things to write is:</w:t>
      </w:r>
    </w:p>
    <w:p w14:paraId="65DC95ED" w14:textId="262F2598" w:rsidR="007D72C7" w:rsidRPr="006F7D01" w:rsidRDefault="007D72C7">
      <w:pPr>
        <w:rPr>
          <w:rFonts w:ascii="Arial" w:hAnsi="Arial" w:cs="Arial"/>
          <w:sz w:val="22"/>
        </w:rPr>
      </w:pPr>
      <w:r w:rsidRPr="006F7D01">
        <w:rPr>
          <w:rFonts w:ascii="Arial" w:hAnsi="Arial" w:cs="Arial"/>
          <w:sz w:val="22"/>
        </w:rPr>
        <w:t>Planning</w:t>
      </w:r>
    </w:p>
    <w:p w14:paraId="79C2023F" w14:textId="17FCC2F2" w:rsidR="007D72C7" w:rsidRPr="006F7D01" w:rsidRDefault="007D72C7">
      <w:pPr>
        <w:rPr>
          <w:rFonts w:ascii="Arial" w:hAnsi="Arial" w:cs="Arial"/>
          <w:sz w:val="22"/>
        </w:rPr>
      </w:pPr>
      <w:r w:rsidRPr="006F7D01">
        <w:rPr>
          <w:rFonts w:ascii="Arial" w:hAnsi="Arial" w:cs="Arial"/>
          <w:sz w:val="22"/>
        </w:rPr>
        <w:t>Stakeholder analysis</w:t>
      </w:r>
    </w:p>
    <w:p w14:paraId="56CF7A3B" w14:textId="3977DB5D" w:rsidR="007D72C7" w:rsidRPr="006F7D01" w:rsidRDefault="007D72C7">
      <w:pPr>
        <w:rPr>
          <w:rFonts w:ascii="Arial" w:hAnsi="Arial" w:cs="Arial"/>
          <w:sz w:val="22"/>
        </w:rPr>
      </w:pPr>
      <w:r w:rsidRPr="006F7D01">
        <w:rPr>
          <w:rFonts w:ascii="Arial" w:hAnsi="Arial" w:cs="Arial"/>
          <w:sz w:val="22"/>
        </w:rPr>
        <w:t>Stakeholder analysis of the project</w:t>
      </w:r>
    </w:p>
    <w:p w14:paraId="462750E8" w14:textId="284A7C5C" w:rsidR="007D72C7" w:rsidRPr="006F7D01" w:rsidRDefault="007D72C7">
      <w:pPr>
        <w:rPr>
          <w:rFonts w:ascii="Arial" w:hAnsi="Arial" w:cs="Arial"/>
          <w:sz w:val="22"/>
        </w:rPr>
      </w:pPr>
      <w:r w:rsidRPr="006F7D01">
        <w:rPr>
          <w:rFonts w:ascii="Arial" w:hAnsi="Arial" w:cs="Arial"/>
          <w:sz w:val="22"/>
        </w:rPr>
        <w:t>Stakeholder interest and impact table</w:t>
      </w:r>
    </w:p>
    <w:p w14:paraId="4C919D81" w14:textId="3B5BB235" w:rsidR="007D72C7" w:rsidRPr="006F7D01" w:rsidRDefault="007D72C7">
      <w:pPr>
        <w:rPr>
          <w:rFonts w:ascii="Arial" w:hAnsi="Arial" w:cs="Arial"/>
          <w:sz w:val="22"/>
        </w:rPr>
      </w:pPr>
      <w:r w:rsidRPr="006F7D01">
        <w:rPr>
          <w:rFonts w:ascii="Arial" w:hAnsi="Arial" w:cs="Arial"/>
          <w:sz w:val="22"/>
        </w:rPr>
        <w:t>Project budget</w:t>
      </w:r>
    </w:p>
    <w:p w14:paraId="47D06F9F" w14:textId="70195BAC" w:rsidR="007D72C7" w:rsidRPr="006F7D01" w:rsidRDefault="007D72C7">
      <w:pPr>
        <w:rPr>
          <w:rFonts w:ascii="Arial" w:hAnsi="Arial" w:cs="Arial"/>
          <w:sz w:val="22"/>
        </w:rPr>
      </w:pPr>
      <w:r w:rsidRPr="006F7D01">
        <w:rPr>
          <w:rFonts w:ascii="Arial" w:hAnsi="Arial" w:cs="Arial"/>
          <w:sz w:val="22"/>
        </w:rPr>
        <w:t>Cost Breakdown and Budget</w:t>
      </w:r>
    </w:p>
    <w:p w14:paraId="17DEC295" w14:textId="450421B6" w:rsidR="007D72C7" w:rsidRPr="006F7D01" w:rsidRDefault="007D72C7">
      <w:pPr>
        <w:rPr>
          <w:rFonts w:ascii="Arial" w:hAnsi="Arial" w:cs="Arial"/>
          <w:sz w:val="22"/>
        </w:rPr>
      </w:pPr>
      <w:r w:rsidRPr="006F7D01">
        <w:rPr>
          <w:rFonts w:ascii="Arial" w:hAnsi="Arial" w:cs="Arial"/>
          <w:sz w:val="22"/>
        </w:rPr>
        <w:t>Execution</w:t>
      </w:r>
    </w:p>
    <w:p w14:paraId="4A8E16D0" w14:textId="7F010A21" w:rsidR="007D72C7" w:rsidRPr="006F7D01" w:rsidRDefault="007D72C7">
      <w:pPr>
        <w:rPr>
          <w:rFonts w:ascii="Arial" w:hAnsi="Arial" w:cs="Arial"/>
          <w:sz w:val="22"/>
        </w:rPr>
      </w:pPr>
      <w:r w:rsidRPr="006F7D01">
        <w:rPr>
          <w:rFonts w:ascii="Arial" w:hAnsi="Arial" w:cs="Arial"/>
          <w:sz w:val="22"/>
        </w:rPr>
        <w:t>Communication strategies and planning</w:t>
      </w:r>
    </w:p>
    <w:p w14:paraId="65EE905E" w14:textId="3E443AEF" w:rsidR="007D72C7" w:rsidRPr="006F7D01" w:rsidRDefault="007D72C7">
      <w:pPr>
        <w:rPr>
          <w:rFonts w:ascii="Arial" w:hAnsi="Arial" w:cs="Arial"/>
          <w:sz w:val="22"/>
        </w:rPr>
      </w:pPr>
      <w:r w:rsidRPr="006F7D01">
        <w:rPr>
          <w:rFonts w:ascii="Arial" w:hAnsi="Arial" w:cs="Arial"/>
          <w:sz w:val="22"/>
        </w:rPr>
        <w:t>Project schedule- Gantt chart</w:t>
      </w:r>
    </w:p>
    <w:p w14:paraId="5A95B2B2" w14:textId="042857B9" w:rsidR="007D72C7" w:rsidRPr="006F7D01" w:rsidRDefault="007D72C7">
      <w:pPr>
        <w:rPr>
          <w:rFonts w:ascii="Arial" w:hAnsi="Arial" w:cs="Arial"/>
          <w:sz w:val="22"/>
        </w:rPr>
      </w:pPr>
      <w:r w:rsidRPr="006F7D01">
        <w:rPr>
          <w:rFonts w:ascii="Arial" w:hAnsi="Arial" w:cs="Arial"/>
          <w:sz w:val="22"/>
        </w:rPr>
        <w:t>Controlling</w:t>
      </w:r>
    </w:p>
    <w:p w14:paraId="34A5B9DD" w14:textId="6A9BB2DF" w:rsidR="007D72C7" w:rsidRDefault="000F59FB">
      <w:pPr>
        <w:rPr>
          <w:rFonts w:ascii="Arial" w:hAnsi="Arial" w:cs="Arial"/>
          <w:sz w:val="22"/>
        </w:rPr>
      </w:pPr>
      <w:r w:rsidRPr="006F7D01">
        <w:rPr>
          <w:rFonts w:ascii="Arial" w:hAnsi="Arial" w:cs="Arial"/>
          <w:sz w:val="22"/>
        </w:rPr>
        <w:t>Risk identification and action plan, Closing</w:t>
      </w:r>
    </w:p>
    <w:p w14:paraId="0BB77A17" w14:textId="5E8527C7" w:rsidR="008E15CF" w:rsidRPr="00D41635" w:rsidRDefault="008E15CF">
      <w:pPr>
        <w:rPr>
          <w:rFonts w:ascii="Arial" w:hAnsi="Arial" w:cs="Arial"/>
          <w:b/>
          <w:bCs/>
          <w:sz w:val="22"/>
        </w:rPr>
      </w:pPr>
      <w:r w:rsidRPr="00D41635">
        <w:rPr>
          <w:rFonts w:ascii="Arial" w:hAnsi="Arial" w:cs="Arial"/>
          <w:b/>
          <w:bCs/>
          <w:sz w:val="22"/>
        </w:rPr>
        <w:t>Referenc</w:t>
      </w:r>
      <w:r w:rsidR="00400D4E">
        <w:rPr>
          <w:rFonts w:ascii="Arial" w:hAnsi="Arial" w:cs="Arial"/>
          <w:b/>
          <w:bCs/>
          <w:sz w:val="22"/>
        </w:rPr>
        <w:t>es</w:t>
      </w:r>
    </w:p>
    <w:p w14:paraId="003C84E3" w14:textId="77777777" w:rsidR="00702B9B" w:rsidRDefault="00702B9B">
      <w:pPr>
        <w:rPr>
          <w:rFonts w:ascii="Arial" w:hAnsi="Arial" w:cs="Arial"/>
          <w:sz w:val="22"/>
        </w:rPr>
      </w:pPr>
    </w:p>
    <w:p w14:paraId="75F5181B" w14:textId="2F6A9D3B" w:rsidR="002B66D4" w:rsidRPr="00CF002A" w:rsidRDefault="002B66D4">
      <w:r w:rsidRPr="002B66D4">
        <w:t xml:space="preserve"> </w:t>
      </w:r>
      <w:r w:rsidRPr="002571C5">
        <w:t xml:space="preserve">Banaszak, J., Charron, R., Guevara, J. and Stokvis, K., </w:t>
      </w:r>
      <w:r>
        <w:t>(</w:t>
      </w:r>
      <w:r w:rsidRPr="002571C5">
        <w:t>2021</w:t>
      </w:r>
      <w:r>
        <w:t>)</w:t>
      </w:r>
      <w:r w:rsidRPr="002571C5">
        <w:t>. [online] Available at: &lt;https://www.mckinsey.com/business-functions/operations/our-insights/preserving-project-continuity-in-the-face-of-covid-19&gt; [Accessed 10 November 2021].</w:t>
      </w:r>
    </w:p>
    <w:p w14:paraId="2470B0E3" w14:textId="70895133" w:rsidR="00DD0BB9" w:rsidRDefault="00DD0BB9" w:rsidP="00DD0BB9">
      <w:r w:rsidRPr="002571C5">
        <w:t xml:space="preserve">RBC, </w:t>
      </w:r>
      <w:r>
        <w:t>(</w:t>
      </w:r>
      <w:r w:rsidRPr="002571C5">
        <w:t>2021</w:t>
      </w:r>
      <w:r>
        <w:t>)</w:t>
      </w:r>
      <w:r w:rsidRPr="002571C5">
        <w:t>. </w:t>
      </w:r>
      <w:r w:rsidRPr="001965CA">
        <w:rPr>
          <w:i/>
          <w:iCs/>
        </w:rPr>
        <w:t>Construction Management Plan</w:t>
      </w:r>
      <w:r w:rsidRPr="002571C5">
        <w:t>. [online] Rbkc.gov.uk. Available at:&lt;https://www.rbkc.gov.uk/idoxWAM/doc/Other-1863823.pdf?extension=.pdf&amp;id=1863823&amp;location=Volume2&amp;contentType=application/pdf&amp;pageCount=1&gt; [Accessed 10 November 2021].</w:t>
      </w:r>
    </w:p>
    <w:p w14:paraId="6C9C434E" w14:textId="77777777" w:rsidR="00073BDA" w:rsidRDefault="00073BDA" w:rsidP="00073BDA">
      <w:r w:rsidRPr="002571C5">
        <w:lastRenderedPageBreak/>
        <w:t xml:space="preserve">Wates, </w:t>
      </w:r>
      <w:r>
        <w:t>(</w:t>
      </w:r>
      <w:r w:rsidRPr="002571C5">
        <w:t>2021</w:t>
      </w:r>
      <w:r>
        <w:t>)</w:t>
      </w:r>
      <w:r w:rsidRPr="002571C5">
        <w:t>. </w:t>
      </w:r>
      <w:r w:rsidRPr="001965CA">
        <w:rPr>
          <w:i/>
          <w:iCs/>
        </w:rPr>
        <w:t>Wellington Place | Wates</w:t>
      </w:r>
      <w:r w:rsidRPr="002571C5">
        <w:t xml:space="preserve">. [online] Wates. Available at: &lt;https://www.wates.co.uk/articles/case-study/wellington-place/&gt; </w:t>
      </w:r>
    </w:p>
    <w:p w14:paraId="14BC1C37" w14:textId="77777777" w:rsidR="000C3E87" w:rsidRPr="006F7D01" w:rsidRDefault="000C3E87">
      <w:pPr>
        <w:rPr>
          <w:rFonts w:ascii="Arial" w:hAnsi="Arial" w:cs="Arial"/>
          <w:sz w:val="22"/>
        </w:rPr>
      </w:pPr>
    </w:p>
    <w:sectPr w:rsidR="000C3E87" w:rsidRPr="006F7D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B9B"/>
    <w:rsid w:val="00073BDA"/>
    <w:rsid w:val="000C3E87"/>
    <w:rsid w:val="000E126C"/>
    <w:rsid w:val="000F59FB"/>
    <w:rsid w:val="002872DD"/>
    <w:rsid w:val="002B66D4"/>
    <w:rsid w:val="00400D4E"/>
    <w:rsid w:val="00591276"/>
    <w:rsid w:val="006F7D01"/>
    <w:rsid w:val="00702B9B"/>
    <w:rsid w:val="007D72C7"/>
    <w:rsid w:val="008E15CF"/>
    <w:rsid w:val="00A91FA2"/>
    <w:rsid w:val="00B60060"/>
    <w:rsid w:val="00CF002A"/>
    <w:rsid w:val="00D41635"/>
    <w:rsid w:val="00DD0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5136F"/>
  <w15:chartTrackingRefBased/>
  <w15:docId w15:val="{4CCE410D-59D4-4225-BD33-0DBA64C9A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B9B"/>
    <w:pPr>
      <w:spacing w:line="360" w:lineRule="auto"/>
      <w:jc w:val="both"/>
    </w:pPr>
    <w:rPr>
      <w:rFonts w:ascii="Times New Roman" w:hAnsi="Times New Roman"/>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02B9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495</Words>
  <Characters>2823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Urzica</dc:creator>
  <cp:keywords/>
  <dc:description/>
  <cp:lastModifiedBy>Mirela Urzica</cp:lastModifiedBy>
  <cp:revision>15</cp:revision>
  <dcterms:created xsi:type="dcterms:W3CDTF">2021-11-12T10:45:00Z</dcterms:created>
  <dcterms:modified xsi:type="dcterms:W3CDTF">2021-11-19T09:57:00Z</dcterms:modified>
</cp:coreProperties>
</file>