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9AF03D" w14:textId="104BDD11" w:rsidR="005D4D3D" w:rsidRDefault="0014371D">
      <w:r>
        <w:rPr>
          <w:noProof/>
        </w:rPr>
        <w:drawing>
          <wp:inline distT="0" distB="0" distL="0" distR="0" wp14:anchorId="496C8248" wp14:editId="62CEEB55">
            <wp:extent cx="2868930" cy="1593850"/>
            <wp:effectExtent l="0" t="0" r="7620" b="6350"/>
            <wp:docPr id="185182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9060" cy="1593922"/>
                    </a:xfrm>
                    <a:prstGeom prst="rect">
                      <a:avLst/>
                    </a:prstGeom>
                    <a:noFill/>
                    <a:ln>
                      <a:noFill/>
                    </a:ln>
                  </pic:spPr>
                </pic:pic>
              </a:graphicData>
            </a:graphic>
          </wp:inline>
        </w:drawing>
      </w:r>
    </w:p>
    <w:p w14:paraId="69D3A6FF" w14:textId="77777777" w:rsidR="002C1711" w:rsidRDefault="002C1711" w:rsidP="002C1711">
      <w:pPr>
        <w:rPr>
          <w:rFonts w:ascii="Times New Roman" w:hAnsi="Times New Roman" w:cs="Times New Roman"/>
          <w:sz w:val="32"/>
          <w:szCs w:val="32"/>
        </w:rPr>
      </w:pPr>
    </w:p>
    <w:p w14:paraId="1F5B4041" w14:textId="6066FBB8" w:rsidR="002C1711" w:rsidRPr="002C1711" w:rsidRDefault="002C1711" w:rsidP="0014371D">
      <w:pPr>
        <w:jc w:val="center"/>
        <w:rPr>
          <w:rFonts w:ascii="Times New Roman" w:hAnsi="Times New Roman" w:cs="Times New Roman"/>
          <w:sz w:val="32"/>
          <w:szCs w:val="32"/>
        </w:rPr>
      </w:pPr>
      <w:proofErr w:type="spellStart"/>
      <w:r w:rsidRPr="0014371D">
        <w:rPr>
          <w:rFonts w:ascii="Times New Roman" w:hAnsi="Times New Roman" w:cs="Times New Roman"/>
          <w:b/>
          <w:bCs/>
          <w:sz w:val="32"/>
          <w:szCs w:val="32"/>
        </w:rPr>
        <w:t>Programme</w:t>
      </w:r>
      <w:proofErr w:type="spellEnd"/>
      <w:r w:rsidRPr="0014371D">
        <w:rPr>
          <w:rFonts w:ascii="Times New Roman" w:hAnsi="Times New Roman" w:cs="Times New Roman"/>
          <w:b/>
          <w:bCs/>
          <w:sz w:val="32"/>
          <w:szCs w:val="32"/>
        </w:rPr>
        <w:t>:</w:t>
      </w:r>
      <w:r w:rsidRPr="002C1711">
        <w:rPr>
          <w:rFonts w:ascii="Times New Roman" w:hAnsi="Times New Roman" w:cs="Times New Roman"/>
          <w:sz w:val="32"/>
          <w:szCs w:val="32"/>
        </w:rPr>
        <w:t xml:space="preserve"> MBA - Master of Business Administration</w:t>
      </w:r>
    </w:p>
    <w:p w14:paraId="0ABCBC7B" w14:textId="73F247FF" w:rsidR="002C1711" w:rsidRPr="002C1711" w:rsidRDefault="002C1711" w:rsidP="0014371D">
      <w:pPr>
        <w:jc w:val="center"/>
        <w:rPr>
          <w:rFonts w:ascii="Times New Roman" w:hAnsi="Times New Roman" w:cs="Times New Roman"/>
          <w:sz w:val="32"/>
          <w:szCs w:val="32"/>
        </w:rPr>
      </w:pPr>
      <w:r w:rsidRPr="0014371D">
        <w:rPr>
          <w:rFonts w:ascii="Times New Roman" w:hAnsi="Times New Roman" w:cs="Times New Roman"/>
          <w:b/>
          <w:bCs/>
          <w:sz w:val="32"/>
          <w:szCs w:val="32"/>
        </w:rPr>
        <w:t>Module:</w:t>
      </w:r>
      <w:r w:rsidRPr="002C1711">
        <w:rPr>
          <w:rFonts w:ascii="Times New Roman" w:hAnsi="Times New Roman" w:cs="Times New Roman"/>
          <w:sz w:val="32"/>
          <w:szCs w:val="32"/>
        </w:rPr>
        <w:t xml:space="preserve"> Financial Management</w:t>
      </w:r>
    </w:p>
    <w:p w14:paraId="05977D60" w14:textId="3B59032B" w:rsidR="002C1711" w:rsidRPr="002C1711" w:rsidRDefault="002C1711" w:rsidP="0014371D">
      <w:pPr>
        <w:jc w:val="center"/>
        <w:rPr>
          <w:rFonts w:ascii="Times New Roman" w:hAnsi="Times New Roman" w:cs="Times New Roman"/>
          <w:sz w:val="32"/>
          <w:szCs w:val="32"/>
        </w:rPr>
      </w:pPr>
      <w:r w:rsidRPr="0014371D">
        <w:rPr>
          <w:rFonts w:ascii="Times New Roman" w:hAnsi="Times New Roman" w:cs="Times New Roman"/>
          <w:b/>
          <w:bCs/>
          <w:sz w:val="32"/>
          <w:szCs w:val="32"/>
        </w:rPr>
        <w:t>Module code:</w:t>
      </w:r>
      <w:r w:rsidRPr="002C1711">
        <w:rPr>
          <w:rFonts w:ascii="Times New Roman" w:hAnsi="Times New Roman" w:cs="Times New Roman"/>
          <w:sz w:val="32"/>
          <w:szCs w:val="32"/>
        </w:rPr>
        <w:t xml:space="preserve"> LCMB7002</w:t>
      </w:r>
    </w:p>
    <w:p w14:paraId="1FB17251" w14:textId="60DB556C" w:rsidR="002C1711" w:rsidRPr="002C1711" w:rsidRDefault="002C1711" w:rsidP="0014371D">
      <w:pPr>
        <w:jc w:val="center"/>
        <w:rPr>
          <w:rFonts w:ascii="Times New Roman" w:hAnsi="Times New Roman" w:cs="Times New Roman"/>
          <w:sz w:val="32"/>
          <w:szCs w:val="32"/>
        </w:rPr>
      </w:pPr>
      <w:r w:rsidRPr="0014371D">
        <w:rPr>
          <w:rFonts w:ascii="Times New Roman" w:hAnsi="Times New Roman" w:cs="Times New Roman"/>
          <w:b/>
          <w:bCs/>
          <w:sz w:val="32"/>
          <w:szCs w:val="32"/>
        </w:rPr>
        <w:t>Lecturer:</w:t>
      </w:r>
      <w:r w:rsidR="0014371D">
        <w:rPr>
          <w:rFonts w:ascii="Times New Roman" w:hAnsi="Times New Roman" w:cs="Times New Roman"/>
          <w:sz w:val="32"/>
          <w:szCs w:val="32"/>
        </w:rPr>
        <w:t xml:space="preserve"> </w:t>
      </w:r>
      <w:r w:rsidRPr="002C1711">
        <w:rPr>
          <w:rFonts w:ascii="Times New Roman" w:hAnsi="Times New Roman" w:cs="Times New Roman"/>
          <w:sz w:val="32"/>
          <w:szCs w:val="32"/>
        </w:rPr>
        <w:t>Jia Miao</w:t>
      </w:r>
    </w:p>
    <w:p w14:paraId="757B47DE" w14:textId="19E38DAD" w:rsidR="002C1711" w:rsidRPr="002C1711" w:rsidRDefault="002C1711" w:rsidP="0014371D">
      <w:pPr>
        <w:jc w:val="center"/>
        <w:rPr>
          <w:rFonts w:ascii="Times New Roman" w:hAnsi="Times New Roman" w:cs="Times New Roman"/>
          <w:sz w:val="32"/>
          <w:szCs w:val="32"/>
        </w:rPr>
      </w:pPr>
      <w:r w:rsidRPr="0014371D">
        <w:rPr>
          <w:rFonts w:ascii="Times New Roman" w:hAnsi="Times New Roman" w:cs="Times New Roman"/>
          <w:b/>
          <w:bCs/>
          <w:sz w:val="32"/>
          <w:szCs w:val="32"/>
        </w:rPr>
        <w:t>Internal Verifier:</w:t>
      </w:r>
      <w:r w:rsidR="0014371D">
        <w:rPr>
          <w:rFonts w:ascii="Times New Roman" w:hAnsi="Times New Roman" w:cs="Times New Roman"/>
          <w:b/>
          <w:bCs/>
          <w:sz w:val="32"/>
          <w:szCs w:val="32"/>
        </w:rPr>
        <w:t xml:space="preserve"> </w:t>
      </w:r>
      <w:r w:rsidRPr="002C1711">
        <w:rPr>
          <w:rFonts w:ascii="Times New Roman" w:hAnsi="Times New Roman" w:cs="Times New Roman"/>
          <w:sz w:val="32"/>
          <w:szCs w:val="32"/>
        </w:rPr>
        <w:t>Hoang Nguyen</w:t>
      </w:r>
    </w:p>
    <w:p w14:paraId="15810391" w14:textId="49BEE4B6" w:rsidR="002C1711" w:rsidRPr="002C1711" w:rsidRDefault="002C1711" w:rsidP="0014371D">
      <w:pPr>
        <w:jc w:val="center"/>
        <w:rPr>
          <w:rFonts w:ascii="Times New Roman" w:hAnsi="Times New Roman" w:cs="Times New Roman"/>
          <w:sz w:val="32"/>
          <w:szCs w:val="32"/>
        </w:rPr>
      </w:pPr>
      <w:bookmarkStart w:id="0" w:name="_Hlk174208583"/>
      <w:r w:rsidRPr="0014371D">
        <w:rPr>
          <w:rFonts w:ascii="Times New Roman" w:hAnsi="Times New Roman" w:cs="Times New Roman"/>
          <w:b/>
          <w:bCs/>
          <w:sz w:val="32"/>
          <w:szCs w:val="32"/>
        </w:rPr>
        <w:t>Assignment Title</w:t>
      </w:r>
      <w:bookmarkEnd w:id="0"/>
      <w:r w:rsidRPr="0014371D">
        <w:rPr>
          <w:rFonts w:ascii="Times New Roman" w:hAnsi="Times New Roman" w:cs="Times New Roman"/>
          <w:b/>
          <w:bCs/>
          <w:sz w:val="32"/>
          <w:szCs w:val="32"/>
        </w:rPr>
        <w:t>:</w:t>
      </w:r>
      <w:r w:rsidR="0014371D">
        <w:rPr>
          <w:rFonts w:ascii="Times New Roman" w:hAnsi="Times New Roman" w:cs="Times New Roman"/>
          <w:b/>
          <w:bCs/>
          <w:sz w:val="32"/>
          <w:szCs w:val="32"/>
        </w:rPr>
        <w:t xml:space="preserve"> </w:t>
      </w:r>
      <w:r w:rsidRPr="002C1711">
        <w:rPr>
          <w:rFonts w:ascii="Times New Roman" w:hAnsi="Times New Roman" w:cs="Times New Roman"/>
          <w:sz w:val="32"/>
          <w:szCs w:val="32"/>
        </w:rPr>
        <w:t>Financial Management</w:t>
      </w:r>
    </w:p>
    <w:p w14:paraId="11728528" w14:textId="0D32C138" w:rsidR="002C1711" w:rsidRPr="0014371D" w:rsidRDefault="002C1711" w:rsidP="0014371D">
      <w:pPr>
        <w:jc w:val="center"/>
        <w:rPr>
          <w:rFonts w:ascii="Times New Roman" w:hAnsi="Times New Roman" w:cs="Times New Roman"/>
          <w:b/>
          <w:bCs/>
          <w:sz w:val="32"/>
          <w:szCs w:val="32"/>
        </w:rPr>
      </w:pPr>
      <w:r w:rsidRPr="0014371D">
        <w:rPr>
          <w:rFonts w:ascii="Times New Roman" w:hAnsi="Times New Roman" w:cs="Times New Roman"/>
          <w:b/>
          <w:bCs/>
          <w:sz w:val="32"/>
          <w:szCs w:val="32"/>
        </w:rPr>
        <w:t>Student Name:</w:t>
      </w:r>
      <w:r w:rsidR="00BB78CB">
        <w:rPr>
          <w:rFonts w:ascii="Times New Roman" w:hAnsi="Times New Roman" w:cs="Times New Roman"/>
          <w:b/>
          <w:bCs/>
          <w:sz w:val="32"/>
          <w:szCs w:val="32"/>
        </w:rPr>
        <w:t xml:space="preserve"> </w:t>
      </w:r>
      <w:r w:rsidR="00BB78CB" w:rsidRPr="00BB78CB">
        <w:rPr>
          <w:rFonts w:ascii="Times New Roman" w:hAnsi="Times New Roman" w:cs="Times New Roman"/>
          <w:sz w:val="32"/>
          <w:szCs w:val="32"/>
        </w:rPr>
        <w:t xml:space="preserve">Abhishek </w:t>
      </w:r>
      <w:proofErr w:type="spellStart"/>
      <w:r w:rsidR="00BB78CB" w:rsidRPr="00BB78CB">
        <w:rPr>
          <w:rFonts w:ascii="Times New Roman" w:hAnsi="Times New Roman" w:cs="Times New Roman"/>
          <w:sz w:val="32"/>
          <w:szCs w:val="32"/>
        </w:rPr>
        <w:t>Ashokbhai</w:t>
      </w:r>
      <w:proofErr w:type="spellEnd"/>
      <w:r w:rsidR="00BB78CB" w:rsidRPr="00BB78CB">
        <w:rPr>
          <w:rFonts w:ascii="Times New Roman" w:hAnsi="Times New Roman" w:cs="Times New Roman"/>
          <w:sz w:val="32"/>
          <w:szCs w:val="32"/>
        </w:rPr>
        <w:t xml:space="preserve"> Davra</w:t>
      </w:r>
    </w:p>
    <w:p w14:paraId="12F90496" w14:textId="003656CB" w:rsidR="002C1711" w:rsidRDefault="002C1711" w:rsidP="0014371D">
      <w:pPr>
        <w:jc w:val="center"/>
        <w:rPr>
          <w:rFonts w:ascii="Times New Roman" w:hAnsi="Times New Roman" w:cs="Times New Roman"/>
          <w:b/>
          <w:bCs/>
          <w:sz w:val="32"/>
          <w:szCs w:val="32"/>
        </w:rPr>
      </w:pPr>
      <w:r w:rsidRPr="0014371D">
        <w:rPr>
          <w:rFonts w:ascii="Times New Roman" w:hAnsi="Times New Roman" w:cs="Times New Roman"/>
          <w:b/>
          <w:bCs/>
          <w:sz w:val="32"/>
          <w:szCs w:val="32"/>
        </w:rPr>
        <w:t>Student ID:</w:t>
      </w:r>
      <w:r w:rsidR="00BB78CB">
        <w:rPr>
          <w:rFonts w:ascii="Times New Roman" w:hAnsi="Times New Roman" w:cs="Times New Roman"/>
          <w:b/>
          <w:bCs/>
          <w:sz w:val="32"/>
          <w:szCs w:val="32"/>
        </w:rPr>
        <w:t xml:space="preserve"> </w:t>
      </w:r>
      <w:r w:rsidR="00BB78CB" w:rsidRPr="00BB78CB">
        <w:rPr>
          <w:rFonts w:ascii="Times New Roman" w:hAnsi="Times New Roman" w:cs="Times New Roman"/>
          <w:sz w:val="32"/>
          <w:szCs w:val="32"/>
        </w:rPr>
        <w:t>2331617</w:t>
      </w:r>
    </w:p>
    <w:p w14:paraId="107AC8D5" w14:textId="77777777" w:rsidR="0014371D" w:rsidRDefault="0014371D" w:rsidP="0014371D">
      <w:pPr>
        <w:jc w:val="center"/>
        <w:rPr>
          <w:rFonts w:ascii="Times New Roman" w:hAnsi="Times New Roman" w:cs="Times New Roman"/>
          <w:b/>
          <w:bCs/>
          <w:sz w:val="32"/>
          <w:szCs w:val="32"/>
        </w:rPr>
      </w:pPr>
    </w:p>
    <w:p w14:paraId="6872EAE4" w14:textId="77777777" w:rsidR="0014371D" w:rsidRDefault="0014371D" w:rsidP="0014371D">
      <w:pPr>
        <w:jc w:val="center"/>
        <w:rPr>
          <w:rFonts w:ascii="Times New Roman" w:hAnsi="Times New Roman" w:cs="Times New Roman"/>
          <w:b/>
          <w:bCs/>
          <w:sz w:val="32"/>
          <w:szCs w:val="32"/>
        </w:rPr>
      </w:pPr>
    </w:p>
    <w:p w14:paraId="68F90FD0" w14:textId="77777777" w:rsidR="0014371D" w:rsidRDefault="0014371D" w:rsidP="0014371D">
      <w:pPr>
        <w:jc w:val="center"/>
        <w:rPr>
          <w:rFonts w:ascii="Times New Roman" w:hAnsi="Times New Roman" w:cs="Times New Roman"/>
          <w:b/>
          <w:bCs/>
          <w:sz w:val="32"/>
          <w:szCs w:val="32"/>
        </w:rPr>
      </w:pPr>
    </w:p>
    <w:p w14:paraId="003E302C" w14:textId="77777777" w:rsidR="0014371D" w:rsidRDefault="0014371D" w:rsidP="0014371D">
      <w:pPr>
        <w:jc w:val="center"/>
        <w:rPr>
          <w:rFonts w:ascii="Times New Roman" w:hAnsi="Times New Roman" w:cs="Times New Roman"/>
          <w:b/>
          <w:bCs/>
          <w:sz w:val="32"/>
          <w:szCs w:val="32"/>
        </w:rPr>
      </w:pPr>
    </w:p>
    <w:p w14:paraId="3616AB9B" w14:textId="77777777" w:rsidR="0014371D" w:rsidRDefault="0014371D" w:rsidP="0014371D">
      <w:pPr>
        <w:jc w:val="center"/>
        <w:rPr>
          <w:rFonts w:ascii="Times New Roman" w:hAnsi="Times New Roman" w:cs="Times New Roman"/>
          <w:b/>
          <w:bCs/>
          <w:sz w:val="32"/>
          <w:szCs w:val="32"/>
        </w:rPr>
      </w:pPr>
    </w:p>
    <w:p w14:paraId="1953DFF3" w14:textId="77777777" w:rsidR="0014371D" w:rsidRDefault="0014371D" w:rsidP="0014371D">
      <w:pPr>
        <w:jc w:val="center"/>
        <w:rPr>
          <w:rFonts w:ascii="Times New Roman" w:hAnsi="Times New Roman" w:cs="Times New Roman"/>
          <w:b/>
          <w:bCs/>
          <w:sz w:val="32"/>
          <w:szCs w:val="32"/>
        </w:rPr>
      </w:pPr>
    </w:p>
    <w:p w14:paraId="74C3E9AE" w14:textId="77777777" w:rsidR="0014371D" w:rsidRDefault="0014371D" w:rsidP="0014371D">
      <w:pPr>
        <w:jc w:val="center"/>
        <w:rPr>
          <w:rFonts w:ascii="Times New Roman" w:hAnsi="Times New Roman" w:cs="Times New Roman"/>
          <w:b/>
          <w:bCs/>
          <w:sz w:val="32"/>
          <w:szCs w:val="32"/>
        </w:rPr>
      </w:pPr>
    </w:p>
    <w:p w14:paraId="6C39D4CA" w14:textId="77777777" w:rsidR="0014371D" w:rsidRDefault="0014371D" w:rsidP="0014371D">
      <w:pPr>
        <w:jc w:val="center"/>
        <w:rPr>
          <w:rFonts w:ascii="Times New Roman" w:hAnsi="Times New Roman" w:cs="Times New Roman"/>
          <w:b/>
          <w:bCs/>
          <w:sz w:val="32"/>
          <w:szCs w:val="32"/>
        </w:rPr>
      </w:pPr>
    </w:p>
    <w:p w14:paraId="38C3622E" w14:textId="77777777" w:rsidR="0014371D" w:rsidRDefault="0014371D" w:rsidP="0014371D">
      <w:pPr>
        <w:jc w:val="center"/>
        <w:rPr>
          <w:rFonts w:ascii="Times New Roman" w:hAnsi="Times New Roman" w:cs="Times New Roman"/>
          <w:b/>
          <w:bCs/>
          <w:sz w:val="32"/>
          <w:szCs w:val="32"/>
        </w:rPr>
      </w:pPr>
    </w:p>
    <w:sdt>
      <w:sdtPr>
        <w:rPr>
          <w:rFonts w:asciiTheme="minorHAnsi" w:eastAsiaTheme="minorHAnsi" w:hAnsiTheme="minorHAnsi" w:cstheme="minorBidi"/>
          <w:color w:val="auto"/>
          <w:kern w:val="2"/>
          <w:sz w:val="22"/>
          <w:szCs w:val="22"/>
          <w14:ligatures w14:val="standardContextual"/>
        </w:rPr>
        <w:id w:val="-1386019744"/>
        <w:docPartObj>
          <w:docPartGallery w:val="Table of Contents"/>
          <w:docPartUnique/>
        </w:docPartObj>
      </w:sdtPr>
      <w:sdtEndPr>
        <w:rPr>
          <w:b/>
          <w:bCs/>
          <w:noProof/>
        </w:rPr>
      </w:sdtEndPr>
      <w:sdtContent>
        <w:p w14:paraId="1E0A36A3" w14:textId="05B39D9B" w:rsidR="000529AB" w:rsidRPr="000529AB" w:rsidRDefault="000529AB">
          <w:pPr>
            <w:pStyle w:val="TOCHeading"/>
            <w:rPr>
              <w:b/>
              <w:bCs/>
              <w:color w:val="auto"/>
            </w:rPr>
          </w:pPr>
          <w:r w:rsidRPr="000529AB">
            <w:rPr>
              <w:b/>
              <w:bCs/>
              <w:color w:val="auto"/>
            </w:rPr>
            <w:t>Contents</w:t>
          </w:r>
        </w:p>
        <w:p w14:paraId="7D1B2DD7" w14:textId="22D010E4" w:rsidR="00387372" w:rsidRDefault="000529AB">
          <w:pPr>
            <w:pStyle w:val="TOC1"/>
            <w:tabs>
              <w:tab w:val="right" w:leader="dot" w:pos="9350"/>
            </w:tabs>
            <w:rPr>
              <w:rFonts w:eastAsiaTheme="minorEastAsia"/>
              <w:noProof/>
            </w:rPr>
          </w:pPr>
          <w:r w:rsidRPr="000529AB">
            <w:fldChar w:fldCharType="begin"/>
          </w:r>
          <w:r w:rsidRPr="000529AB">
            <w:instrText xml:space="preserve"> TOC \o "1-3" \h \z \u </w:instrText>
          </w:r>
          <w:r w:rsidRPr="000529AB">
            <w:fldChar w:fldCharType="separate"/>
          </w:r>
          <w:hyperlink w:anchor="_Toc173937138" w:history="1">
            <w:r w:rsidR="00387372" w:rsidRPr="009A101B">
              <w:rPr>
                <w:rStyle w:val="Hyperlink"/>
                <w:b/>
                <w:bCs/>
                <w:noProof/>
              </w:rPr>
              <w:t>Part A). Introduction</w:t>
            </w:r>
            <w:r w:rsidR="00387372">
              <w:rPr>
                <w:noProof/>
                <w:webHidden/>
              </w:rPr>
              <w:tab/>
            </w:r>
            <w:r w:rsidR="00387372">
              <w:rPr>
                <w:noProof/>
                <w:webHidden/>
              </w:rPr>
              <w:fldChar w:fldCharType="begin"/>
            </w:r>
            <w:r w:rsidR="00387372">
              <w:rPr>
                <w:noProof/>
                <w:webHidden/>
              </w:rPr>
              <w:instrText xml:space="preserve"> PAGEREF _Toc173937138 \h </w:instrText>
            </w:r>
            <w:r w:rsidR="00387372">
              <w:rPr>
                <w:noProof/>
                <w:webHidden/>
              </w:rPr>
            </w:r>
            <w:r w:rsidR="00387372">
              <w:rPr>
                <w:noProof/>
                <w:webHidden/>
              </w:rPr>
              <w:fldChar w:fldCharType="separate"/>
            </w:r>
            <w:r w:rsidR="00387372">
              <w:rPr>
                <w:noProof/>
                <w:webHidden/>
              </w:rPr>
              <w:t>3</w:t>
            </w:r>
            <w:r w:rsidR="00387372">
              <w:rPr>
                <w:noProof/>
                <w:webHidden/>
              </w:rPr>
              <w:fldChar w:fldCharType="end"/>
            </w:r>
          </w:hyperlink>
        </w:p>
        <w:p w14:paraId="16BA792F" w14:textId="08BC4E6A" w:rsidR="00387372" w:rsidRDefault="00000000">
          <w:pPr>
            <w:pStyle w:val="TOC1"/>
            <w:tabs>
              <w:tab w:val="right" w:leader="dot" w:pos="9350"/>
            </w:tabs>
            <w:rPr>
              <w:rFonts w:eastAsiaTheme="minorEastAsia"/>
              <w:noProof/>
            </w:rPr>
          </w:pPr>
          <w:hyperlink w:anchor="_Toc173937139" w:history="1">
            <w:r w:rsidR="00387372" w:rsidRPr="009A101B">
              <w:rPr>
                <w:rStyle w:val="Hyperlink"/>
                <w:b/>
                <w:bCs/>
                <w:noProof/>
              </w:rPr>
              <w:t>Part B). Financial performance review</w:t>
            </w:r>
            <w:r w:rsidR="00387372">
              <w:rPr>
                <w:noProof/>
                <w:webHidden/>
              </w:rPr>
              <w:tab/>
            </w:r>
            <w:r w:rsidR="00387372">
              <w:rPr>
                <w:noProof/>
                <w:webHidden/>
              </w:rPr>
              <w:fldChar w:fldCharType="begin"/>
            </w:r>
            <w:r w:rsidR="00387372">
              <w:rPr>
                <w:noProof/>
                <w:webHidden/>
              </w:rPr>
              <w:instrText xml:space="preserve"> PAGEREF _Toc173937139 \h </w:instrText>
            </w:r>
            <w:r w:rsidR="00387372">
              <w:rPr>
                <w:noProof/>
                <w:webHidden/>
              </w:rPr>
            </w:r>
            <w:r w:rsidR="00387372">
              <w:rPr>
                <w:noProof/>
                <w:webHidden/>
              </w:rPr>
              <w:fldChar w:fldCharType="separate"/>
            </w:r>
            <w:r w:rsidR="00387372">
              <w:rPr>
                <w:noProof/>
                <w:webHidden/>
              </w:rPr>
              <w:t>4</w:t>
            </w:r>
            <w:r w:rsidR="00387372">
              <w:rPr>
                <w:noProof/>
                <w:webHidden/>
              </w:rPr>
              <w:fldChar w:fldCharType="end"/>
            </w:r>
          </w:hyperlink>
        </w:p>
        <w:p w14:paraId="0AC7BF18" w14:textId="2CF31E2F" w:rsidR="00387372" w:rsidRDefault="00000000">
          <w:pPr>
            <w:pStyle w:val="TOC2"/>
            <w:tabs>
              <w:tab w:val="left" w:pos="880"/>
              <w:tab w:val="right" w:leader="dot" w:pos="9350"/>
            </w:tabs>
            <w:rPr>
              <w:rFonts w:eastAsiaTheme="minorEastAsia"/>
              <w:noProof/>
            </w:rPr>
          </w:pPr>
          <w:hyperlink w:anchor="_Toc173937140" w:history="1">
            <w:r w:rsidR="00387372" w:rsidRPr="009A101B">
              <w:rPr>
                <w:rStyle w:val="Hyperlink"/>
                <w:b/>
                <w:bCs/>
                <w:noProof/>
              </w:rPr>
              <w:t>2.1.</w:t>
            </w:r>
            <w:r w:rsidR="00387372">
              <w:rPr>
                <w:rFonts w:eastAsiaTheme="minorEastAsia"/>
                <w:noProof/>
              </w:rPr>
              <w:tab/>
            </w:r>
            <w:r w:rsidR="00387372" w:rsidRPr="009A101B">
              <w:rPr>
                <w:rStyle w:val="Hyperlink"/>
                <w:b/>
                <w:bCs/>
                <w:noProof/>
              </w:rPr>
              <w:t>Profitability Ratios</w:t>
            </w:r>
            <w:r w:rsidR="00387372">
              <w:rPr>
                <w:noProof/>
                <w:webHidden/>
              </w:rPr>
              <w:tab/>
            </w:r>
            <w:r w:rsidR="00387372">
              <w:rPr>
                <w:noProof/>
                <w:webHidden/>
              </w:rPr>
              <w:fldChar w:fldCharType="begin"/>
            </w:r>
            <w:r w:rsidR="00387372">
              <w:rPr>
                <w:noProof/>
                <w:webHidden/>
              </w:rPr>
              <w:instrText xml:space="preserve"> PAGEREF _Toc173937140 \h </w:instrText>
            </w:r>
            <w:r w:rsidR="00387372">
              <w:rPr>
                <w:noProof/>
                <w:webHidden/>
              </w:rPr>
            </w:r>
            <w:r w:rsidR="00387372">
              <w:rPr>
                <w:noProof/>
                <w:webHidden/>
              </w:rPr>
              <w:fldChar w:fldCharType="separate"/>
            </w:r>
            <w:r w:rsidR="00387372">
              <w:rPr>
                <w:noProof/>
                <w:webHidden/>
              </w:rPr>
              <w:t>4</w:t>
            </w:r>
            <w:r w:rsidR="00387372">
              <w:rPr>
                <w:noProof/>
                <w:webHidden/>
              </w:rPr>
              <w:fldChar w:fldCharType="end"/>
            </w:r>
          </w:hyperlink>
        </w:p>
        <w:p w14:paraId="2BFAA5FB" w14:textId="06AD59BA" w:rsidR="00387372" w:rsidRDefault="00000000">
          <w:pPr>
            <w:pStyle w:val="TOC2"/>
            <w:tabs>
              <w:tab w:val="left" w:pos="880"/>
              <w:tab w:val="right" w:leader="dot" w:pos="9350"/>
            </w:tabs>
            <w:rPr>
              <w:rFonts w:eastAsiaTheme="minorEastAsia"/>
              <w:noProof/>
            </w:rPr>
          </w:pPr>
          <w:hyperlink w:anchor="_Toc173937141" w:history="1">
            <w:r w:rsidR="00387372" w:rsidRPr="009A101B">
              <w:rPr>
                <w:rStyle w:val="Hyperlink"/>
                <w:b/>
                <w:bCs/>
                <w:noProof/>
              </w:rPr>
              <w:t>2.2.</w:t>
            </w:r>
            <w:r w:rsidR="00387372">
              <w:rPr>
                <w:rFonts w:eastAsiaTheme="minorEastAsia"/>
                <w:noProof/>
              </w:rPr>
              <w:tab/>
            </w:r>
            <w:r w:rsidR="00387372" w:rsidRPr="009A101B">
              <w:rPr>
                <w:rStyle w:val="Hyperlink"/>
                <w:b/>
                <w:bCs/>
                <w:noProof/>
              </w:rPr>
              <w:t>Efficiency Ratios</w:t>
            </w:r>
            <w:r w:rsidR="00387372">
              <w:rPr>
                <w:noProof/>
                <w:webHidden/>
              </w:rPr>
              <w:tab/>
            </w:r>
            <w:r w:rsidR="00387372">
              <w:rPr>
                <w:noProof/>
                <w:webHidden/>
              </w:rPr>
              <w:fldChar w:fldCharType="begin"/>
            </w:r>
            <w:r w:rsidR="00387372">
              <w:rPr>
                <w:noProof/>
                <w:webHidden/>
              </w:rPr>
              <w:instrText xml:space="preserve"> PAGEREF _Toc173937141 \h </w:instrText>
            </w:r>
            <w:r w:rsidR="00387372">
              <w:rPr>
                <w:noProof/>
                <w:webHidden/>
              </w:rPr>
            </w:r>
            <w:r w:rsidR="00387372">
              <w:rPr>
                <w:noProof/>
                <w:webHidden/>
              </w:rPr>
              <w:fldChar w:fldCharType="separate"/>
            </w:r>
            <w:r w:rsidR="00387372">
              <w:rPr>
                <w:noProof/>
                <w:webHidden/>
              </w:rPr>
              <w:t>9</w:t>
            </w:r>
            <w:r w:rsidR="00387372">
              <w:rPr>
                <w:noProof/>
                <w:webHidden/>
              </w:rPr>
              <w:fldChar w:fldCharType="end"/>
            </w:r>
          </w:hyperlink>
        </w:p>
        <w:p w14:paraId="49BE52BE" w14:textId="29E202F7" w:rsidR="00387372" w:rsidRDefault="00000000">
          <w:pPr>
            <w:pStyle w:val="TOC2"/>
            <w:tabs>
              <w:tab w:val="left" w:pos="880"/>
              <w:tab w:val="right" w:leader="dot" w:pos="9350"/>
            </w:tabs>
            <w:rPr>
              <w:rFonts w:eastAsiaTheme="minorEastAsia"/>
              <w:noProof/>
            </w:rPr>
          </w:pPr>
          <w:hyperlink w:anchor="_Toc173937142" w:history="1">
            <w:r w:rsidR="00387372" w:rsidRPr="009A101B">
              <w:rPr>
                <w:rStyle w:val="Hyperlink"/>
                <w:b/>
                <w:bCs/>
                <w:noProof/>
              </w:rPr>
              <w:t>2.3.</w:t>
            </w:r>
            <w:r w:rsidR="00387372">
              <w:rPr>
                <w:rFonts w:eastAsiaTheme="minorEastAsia"/>
                <w:noProof/>
              </w:rPr>
              <w:tab/>
            </w:r>
            <w:r w:rsidR="00387372" w:rsidRPr="009A101B">
              <w:rPr>
                <w:rStyle w:val="Hyperlink"/>
                <w:b/>
                <w:bCs/>
                <w:noProof/>
              </w:rPr>
              <w:t>Gearing Ratios</w:t>
            </w:r>
            <w:r w:rsidR="00387372">
              <w:rPr>
                <w:noProof/>
                <w:webHidden/>
              </w:rPr>
              <w:tab/>
            </w:r>
            <w:r w:rsidR="00387372">
              <w:rPr>
                <w:noProof/>
                <w:webHidden/>
              </w:rPr>
              <w:fldChar w:fldCharType="begin"/>
            </w:r>
            <w:r w:rsidR="00387372">
              <w:rPr>
                <w:noProof/>
                <w:webHidden/>
              </w:rPr>
              <w:instrText xml:space="preserve"> PAGEREF _Toc173937142 \h </w:instrText>
            </w:r>
            <w:r w:rsidR="00387372">
              <w:rPr>
                <w:noProof/>
                <w:webHidden/>
              </w:rPr>
            </w:r>
            <w:r w:rsidR="00387372">
              <w:rPr>
                <w:noProof/>
                <w:webHidden/>
              </w:rPr>
              <w:fldChar w:fldCharType="separate"/>
            </w:r>
            <w:r w:rsidR="00387372">
              <w:rPr>
                <w:noProof/>
                <w:webHidden/>
              </w:rPr>
              <w:t>11</w:t>
            </w:r>
            <w:r w:rsidR="00387372">
              <w:rPr>
                <w:noProof/>
                <w:webHidden/>
              </w:rPr>
              <w:fldChar w:fldCharType="end"/>
            </w:r>
          </w:hyperlink>
        </w:p>
        <w:p w14:paraId="25792495" w14:textId="3C2BEEBA" w:rsidR="00387372" w:rsidRDefault="00000000">
          <w:pPr>
            <w:pStyle w:val="TOC2"/>
            <w:tabs>
              <w:tab w:val="left" w:pos="880"/>
              <w:tab w:val="right" w:leader="dot" w:pos="9350"/>
            </w:tabs>
            <w:rPr>
              <w:rFonts w:eastAsiaTheme="minorEastAsia"/>
              <w:noProof/>
            </w:rPr>
          </w:pPr>
          <w:hyperlink w:anchor="_Toc173937143" w:history="1">
            <w:r w:rsidR="00387372" w:rsidRPr="009A101B">
              <w:rPr>
                <w:rStyle w:val="Hyperlink"/>
                <w:b/>
                <w:bCs/>
                <w:noProof/>
              </w:rPr>
              <w:t>2.4.</w:t>
            </w:r>
            <w:r w:rsidR="00387372">
              <w:rPr>
                <w:rFonts w:eastAsiaTheme="minorEastAsia"/>
                <w:noProof/>
              </w:rPr>
              <w:tab/>
            </w:r>
            <w:r w:rsidR="00387372" w:rsidRPr="009A101B">
              <w:rPr>
                <w:rStyle w:val="Hyperlink"/>
                <w:b/>
                <w:bCs/>
                <w:noProof/>
              </w:rPr>
              <w:t>Liquidity Ratios</w:t>
            </w:r>
            <w:r w:rsidR="00387372">
              <w:rPr>
                <w:noProof/>
                <w:webHidden/>
              </w:rPr>
              <w:tab/>
            </w:r>
            <w:r w:rsidR="00387372">
              <w:rPr>
                <w:noProof/>
                <w:webHidden/>
              </w:rPr>
              <w:fldChar w:fldCharType="begin"/>
            </w:r>
            <w:r w:rsidR="00387372">
              <w:rPr>
                <w:noProof/>
                <w:webHidden/>
              </w:rPr>
              <w:instrText xml:space="preserve"> PAGEREF _Toc173937143 \h </w:instrText>
            </w:r>
            <w:r w:rsidR="00387372">
              <w:rPr>
                <w:noProof/>
                <w:webHidden/>
              </w:rPr>
            </w:r>
            <w:r w:rsidR="00387372">
              <w:rPr>
                <w:noProof/>
                <w:webHidden/>
              </w:rPr>
              <w:fldChar w:fldCharType="separate"/>
            </w:r>
            <w:r w:rsidR="00387372">
              <w:rPr>
                <w:noProof/>
                <w:webHidden/>
              </w:rPr>
              <w:t>13</w:t>
            </w:r>
            <w:r w:rsidR="00387372">
              <w:rPr>
                <w:noProof/>
                <w:webHidden/>
              </w:rPr>
              <w:fldChar w:fldCharType="end"/>
            </w:r>
          </w:hyperlink>
        </w:p>
        <w:p w14:paraId="337D2EA3" w14:textId="5F023D94" w:rsidR="00387372" w:rsidRDefault="00000000">
          <w:pPr>
            <w:pStyle w:val="TOC1"/>
            <w:tabs>
              <w:tab w:val="right" w:leader="dot" w:pos="9350"/>
            </w:tabs>
            <w:rPr>
              <w:rFonts w:eastAsiaTheme="minorEastAsia"/>
              <w:noProof/>
            </w:rPr>
          </w:pPr>
          <w:hyperlink w:anchor="_Toc173937144" w:history="1">
            <w:r w:rsidR="00387372" w:rsidRPr="009A101B">
              <w:rPr>
                <w:rStyle w:val="Hyperlink"/>
                <w:b/>
                <w:bCs/>
                <w:noProof/>
              </w:rPr>
              <w:t>Part C). Investment appraisal</w:t>
            </w:r>
            <w:r w:rsidR="00387372">
              <w:rPr>
                <w:noProof/>
                <w:webHidden/>
              </w:rPr>
              <w:tab/>
            </w:r>
            <w:r w:rsidR="00387372">
              <w:rPr>
                <w:noProof/>
                <w:webHidden/>
              </w:rPr>
              <w:fldChar w:fldCharType="begin"/>
            </w:r>
            <w:r w:rsidR="00387372">
              <w:rPr>
                <w:noProof/>
                <w:webHidden/>
              </w:rPr>
              <w:instrText xml:space="preserve"> PAGEREF _Toc173937144 \h </w:instrText>
            </w:r>
            <w:r w:rsidR="00387372">
              <w:rPr>
                <w:noProof/>
                <w:webHidden/>
              </w:rPr>
            </w:r>
            <w:r w:rsidR="00387372">
              <w:rPr>
                <w:noProof/>
                <w:webHidden/>
              </w:rPr>
              <w:fldChar w:fldCharType="separate"/>
            </w:r>
            <w:r w:rsidR="00387372">
              <w:rPr>
                <w:noProof/>
                <w:webHidden/>
              </w:rPr>
              <w:t>15</w:t>
            </w:r>
            <w:r w:rsidR="00387372">
              <w:rPr>
                <w:noProof/>
                <w:webHidden/>
              </w:rPr>
              <w:fldChar w:fldCharType="end"/>
            </w:r>
          </w:hyperlink>
        </w:p>
        <w:p w14:paraId="6472FA21" w14:textId="1A380AE3" w:rsidR="00387372" w:rsidRDefault="00000000">
          <w:pPr>
            <w:pStyle w:val="TOC2"/>
            <w:tabs>
              <w:tab w:val="left" w:pos="880"/>
              <w:tab w:val="right" w:leader="dot" w:pos="9350"/>
            </w:tabs>
            <w:rPr>
              <w:rFonts w:eastAsiaTheme="minorEastAsia"/>
              <w:noProof/>
            </w:rPr>
          </w:pPr>
          <w:hyperlink w:anchor="_Toc173937145" w:history="1">
            <w:r w:rsidR="00387372" w:rsidRPr="009A101B">
              <w:rPr>
                <w:rStyle w:val="Hyperlink"/>
                <w:b/>
                <w:bCs/>
                <w:noProof/>
              </w:rPr>
              <w:t>2.1.</w:t>
            </w:r>
            <w:r w:rsidR="00387372">
              <w:rPr>
                <w:rFonts w:eastAsiaTheme="minorEastAsia"/>
                <w:noProof/>
              </w:rPr>
              <w:tab/>
            </w:r>
            <w:r w:rsidR="00387372" w:rsidRPr="009A101B">
              <w:rPr>
                <w:rStyle w:val="Hyperlink"/>
                <w:b/>
                <w:bCs/>
                <w:noProof/>
              </w:rPr>
              <w:t>Evaluation and Recommendation for Sainsbury's Investment Projects A and B</w:t>
            </w:r>
            <w:r w:rsidR="00387372">
              <w:rPr>
                <w:noProof/>
                <w:webHidden/>
              </w:rPr>
              <w:tab/>
            </w:r>
            <w:r w:rsidR="00387372">
              <w:rPr>
                <w:noProof/>
                <w:webHidden/>
              </w:rPr>
              <w:fldChar w:fldCharType="begin"/>
            </w:r>
            <w:r w:rsidR="00387372">
              <w:rPr>
                <w:noProof/>
                <w:webHidden/>
              </w:rPr>
              <w:instrText xml:space="preserve"> PAGEREF _Toc173937145 \h </w:instrText>
            </w:r>
            <w:r w:rsidR="00387372">
              <w:rPr>
                <w:noProof/>
                <w:webHidden/>
              </w:rPr>
            </w:r>
            <w:r w:rsidR="00387372">
              <w:rPr>
                <w:noProof/>
                <w:webHidden/>
              </w:rPr>
              <w:fldChar w:fldCharType="separate"/>
            </w:r>
            <w:r w:rsidR="00387372">
              <w:rPr>
                <w:noProof/>
                <w:webHidden/>
              </w:rPr>
              <w:t>15</w:t>
            </w:r>
            <w:r w:rsidR="00387372">
              <w:rPr>
                <w:noProof/>
                <w:webHidden/>
              </w:rPr>
              <w:fldChar w:fldCharType="end"/>
            </w:r>
          </w:hyperlink>
        </w:p>
        <w:p w14:paraId="29F2B8CE" w14:textId="72E056F0" w:rsidR="00387372" w:rsidRDefault="00000000">
          <w:pPr>
            <w:pStyle w:val="TOC2"/>
            <w:tabs>
              <w:tab w:val="left" w:pos="880"/>
              <w:tab w:val="right" w:leader="dot" w:pos="9350"/>
            </w:tabs>
            <w:rPr>
              <w:rFonts w:eastAsiaTheme="minorEastAsia"/>
              <w:noProof/>
            </w:rPr>
          </w:pPr>
          <w:hyperlink w:anchor="_Toc173937146" w:history="1">
            <w:r w:rsidR="00387372" w:rsidRPr="009A101B">
              <w:rPr>
                <w:rStyle w:val="Hyperlink"/>
                <w:b/>
                <w:bCs/>
                <w:noProof/>
              </w:rPr>
              <w:t>2.1.</w:t>
            </w:r>
            <w:r w:rsidR="00387372">
              <w:rPr>
                <w:rFonts w:eastAsiaTheme="minorEastAsia"/>
                <w:noProof/>
              </w:rPr>
              <w:tab/>
            </w:r>
            <w:r w:rsidR="00387372" w:rsidRPr="009A101B">
              <w:rPr>
                <w:rStyle w:val="Hyperlink"/>
                <w:b/>
                <w:bCs/>
                <w:noProof/>
              </w:rPr>
              <w:t>Risk Considerations</w:t>
            </w:r>
            <w:r w:rsidR="00387372">
              <w:rPr>
                <w:noProof/>
                <w:webHidden/>
              </w:rPr>
              <w:tab/>
            </w:r>
            <w:r w:rsidR="00387372">
              <w:rPr>
                <w:noProof/>
                <w:webHidden/>
              </w:rPr>
              <w:fldChar w:fldCharType="begin"/>
            </w:r>
            <w:r w:rsidR="00387372">
              <w:rPr>
                <w:noProof/>
                <w:webHidden/>
              </w:rPr>
              <w:instrText xml:space="preserve"> PAGEREF _Toc173937146 \h </w:instrText>
            </w:r>
            <w:r w:rsidR="00387372">
              <w:rPr>
                <w:noProof/>
                <w:webHidden/>
              </w:rPr>
            </w:r>
            <w:r w:rsidR="00387372">
              <w:rPr>
                <w:noProof/>
                <w:webHidden/>
              </w:rPr>
              <w:fldChar w:fldCharType="separate"/>
            </w:r>
            <w:r w:rsidR="00387372">
              <w:rPr>
                <w:noProof/>
                <w:webHidden/>
              </w:rPr>
              <w:t>17</w:t>
            </w:r>
            <w:r w:rsidR="00387372">
              <w:rPr>
                <w:noProof/>
                <w:webHidden/>
              </w:rPr>
              <w:fldChar w:fldCharType="end"/>
            </w:r>
          </w:hyperlink>
        </w:p>
        <w:p w14:paraId="5FA87121" w14:textId="7CBB294A" w:rsidR="00387372" w:rsidRDefault="00000000">
          <w:pPr>
            <w:pStyle w:val="TOC2"/>
            <w:tabs>
              <w:tab w:val="left" w:pos="880"/>
              <w:tab w:val="right" w:leader="dot" w:pos="9350"/>
            </w:tabs>
            <w:rPr>
              <w:rFonts w:eastAsiaTheme="minorEastAsia"/>
              <w:noProof/>
            </w:rPr>
          </w:pPr>
          <w:hyperlink w:anchor="_Toc173937147" w:history="1">
            <w:r w:rsidR="00387372" w:rsidRPr="009A101B">
              <w:rPr>
                <w:rStyle w:val="Hyperlink"/>
                <w:b/>
                <w:bCs/>
                <w:noProof/>
              </w:rPr>
              <w:t>3.3.</w:t>
            </w:r>
            <w:r w:rsidR="00387372">
              <w:rPr>
                <w:rFonts w:eastAsiaTheme="minorEastAsia"/>
                <w:noProof/>
              </w:rPr>
              <w:tab/>
            </w:r>
            <w:r w:rsidR="00387372" w:rsidRPr="009A101B">
              <w:rPr>
                <w:rStyle w:val="Hyperlink"/>
                <w:b/>
                <w:bCs/>
                <w:noProof/>
              </w:rPr>
              <w:t>An evaluation of PBP, ARR and NPV</w:t>
            </w:r>
            <w:r w:rsidR="00387372">
              <w:rPr>
                <w:noProof/>
                <w:webHidden/>
              </w:rPr>
              <w:tab/>
            </w:r>
            <w:r w:rsidR="00387372">
              <w:rPr>
                <w:noProof/>
                <w:webHidden/>
              </w:rPr>
              <w:fldChar w:fldCharType="begin"/>
            </w:r>
            <w:r w:rsidR="00387372">
              <w:rPr>
                <w:noProof/>
                <w:webHidden/>
              </w:rPr>
              <w:instrText xml:space="preserve"> PAGEREF _Toc173937147 \h </w:instrText>
            </w:r>
            <w:r w:rsidR="00387372">
              <w:rPr>
                <w:noProof/>
                <w:webHidden/>
              </w:rPr>
            </w:r>
            <w:r w:rsidR="00387372">
              <w:rPr>
                <w:noProof/>
                <w:webHidden/>
              </w:rPr>
              <w:fldChar w:fldCharType="separate"/>
            </w:r>
            <w:r w:rsidR="00387372">
              <w:rPr>
                <w:noProof/>
                <w:webHidden/>
              </w:rPr>
              <w:t>18</w:t>
            </w:r>
            <w:r w:rsidR="00387372">
              <w:rPr>
                <w:noProof/>
                <w:webHidden/>
              </w:rPr>
              <w:fldChar w:fldCharType="end"/>
            </w:r>
          </w:hyperlink>
        </w:p>
        <w:p w14:paraId="5C08E4F7" w14:textId="288AE4DC" w:rsidR="00387372" w:rsidRDefault="00000000">
          <w:pPr>
            <w:pStyle w:val="TOC2"/>
            <w:tabs>
              <w:tab w:val="left" w:pos="880"/>
              <w:tab w:val="right" w:leader="dot" w:pos="9350"/>
            </w:tabs>
            <w:rPr>
              <w:rFonts w:eastAsiaTheme="minorEastAsia"/>
              <w:noProof/>
            </w:rPr>
          </w:pPr>
          <w:hyperlink w:anchor="_Toc173937148" w:history="1">
            <w:r w:rsidR="00387372" w:rsidRPr="009A101B">
              <w:rPr>
                <w:rStyle w:val="Hyperlink"/>
                <w:b/>
                <w:bCs/>
                <w:noProof/>
              </w:rPr>
              <w:t>3.4.</w:t>
            </w:r>
            <w:r w:rsidR="00387372">
              <w:rPr>
                <w:rFonts w:eastAsiaTheme="minorEastAsia"/>
                <w:noProof/>
              </w:rPr>
              <w:tab/>
            </w:r>
            <w:r w:rsidR="00387372" w:rsidRPr="009A101B">
              <w:rPr>
                <w:rStyle w:val="Hyperlink"/>
                <w:b/>
                <w:bCs/>
                <w:noProof/>
              </w:rPr>
              <w:t>Non-Financial Factors</w:t>
            </w:r>
            <w:r w:rsidR="00387372">
              <w:rPr>
                <w:noProof/>
                <w:webHidden/>
              </w:rPr>
              <w:tab/>
            </w:r>
            <w:r w:rsidR="00387372">
              <w:rPr>
                <w:noProof/>
                <w:webHidden/>
              </w:rPr>
              <w:fldChar w:fldCharType="begin"/>
            </w:r>
            <w:r w:rsidR="00387372">
              <w:rPr>
                <w:noProof/>
                <w:webHidden/>
              </w:rPr>
              <w:instrText xml:space="preserve"> PAGEREF _Toc173937148 \h </w:instrText>
            </w:r>
            <w:r w:rsidR="00387372">
              <w:rPr>
                <w:noProof/>
                <w:webHidden/>
              </w:rPr>
            </w:r>
            <w:r w:rsidR="00387372">
              <w:rPr>
                <w:noProof/>
                <w:webHidden/>
              </w:rPr>
              <w:fldChar w:fldCharType="separate"/>
            </w:r>
            <w:r w:rsidR="00387372">
              <w:rPr>
                <w:noProof/>
                <w:webHidden/>
              </w:rPr>
              <w:t>20</w:t>
            </w:r>
            <w:r w:rsidR="00387372">
              <w:rPr>
                <w:noProof/>
                <w:webHidden/>
              </w:rPr>
              <w:fldChar w:fldCharType="end"/>
            </w:r>
          </w:hyperlink>
        </w:p>
        <w:p w14:paraId="5C44B9BC" w14:textId="7045154C" w:rsidR="00387372" w:rsidRDefault="00000000">
          <w:pPr>
            <w:pStyle w:val="TOC1"/>
            <w:tabs>
              <w:tab w:val="right" w:leader="dot" w:pos="9350"/>
            </w:tabs>
            <w:rPr>
              <w:rFonts w:eastAsiaTheme="minorEastAsia"/>
              <w:noProof/>
            </w:rPr>
          </w:pPr>
          <w:hyperlink w:anchor="_Toc173937149" w:history="1">
            <w:r w:rsidR="00387372" w:rsidRPr="009A101B">
              <w:rPr>
                <w:rStyle w:val="Hyperlink"/>
                <w:b/>
                <w:bCs/>
                <w:noProof/>
              </w:rPr>
              <w:t>Conclusion</w:t>
            </w:r>
            <w:r w:rsidR="00387372">
              <w:rPr>
                <w:noProof/>
                <w:webHidden/>
              </w:rPr>
              <w:tab/>
            </w:r>
            <w:r w:rsidR="00387372">
              <w:rPr>
                <w:noProof/>
                <w:webHidden/>
              </w:rPr>
              <w:fldChar w:fldCharType="begin"/>
            </w:r>
            <w:r w:rsidR="00387372">
              <w:rPr>
                <w:noProof/>
                <w:webHidden/>
              </w:rPr>
              <w:instrText xml:space="preserve"> PAGEREF _Toc173937149 \h </w:instrText>
            </w:r>
            <w:r w:rsidR="00387372">
              <w:rPr>
                <w:noProof/>
                <w:webHidden/>
              </w:rPr>
            </w:r>
            <w:r w:rsidR="00387372">
              <w:rPr>
                <w:noProof/>
                <w:webHidden/>
              </w:rPr>
              <w:fldChar w:fldCharType="separate"/>
            </w:r>
            <w:r w:rsidR="00387372">
              <w:rPr>
                <w:noProof/>
                <w:webHidden/>
              </w:rPr>
              <w:t>21</w:t>
            </w:r>
            <w:r w:rsidR="00387372">
              <w:rPr>
                <w:noProof/>
                <w:webHidden/>
              </w:rPr>
              <w:fldChar w:fldCharType="end"/>
            </w:r>
          </w:hyperlink>
        </w:p>
        <w:p w14:paraId="5396519D" w14:textId="30D8AE77" w:rsidR="00387372" w:rsidRDefault="00000000">
          <w:pPr>
            <w:pStyle w:val="TOC1"/>
            <w:tabs>
              <w:tab w:val="right" w:leader="dot" w:pos="9350"/>
            </w:tabs>
            <w:rPr>
              <w:rFonts w:eastAsiaTheme="minorEastAsia"/>
              <w:noProof/>
            </w:rPr>
          </w:pPr>
          <w:hyperlink w:anchor="_Toc173937150" w:history="1">
            <w:r w:rsidR="00387372" w:rsidRPr="009A101B">
              <w:rPr>
                <w:rStyle w:val="Hyperlink"/>
                <w:b/>
                <w:bCs/>
                <w:noProof/>
              </w:rPr>
              <w:t>References</w:t>
            </w:r>
            <w:r w:rsidR="00387372">
              <w:rPr>
                <w:noProof/>
                <w:webHidden/>
              </w:rPr>
              <w:tab/>
            </w:r>
            <w:r w:rsidR="00387372">
              <w:rPr>
                <w:noProof/>
                <w:webHidden/>
              </w:rPr>
              <w:fldChar w:fldCharType="begin"/>
            </w:r>
            <w:r w:rsidR="00387372">
              <w:rPr>
                <w:noProof/>
                <w:webHidden/>
              </w:rPr>
              <w:instrText xml:space="preserve"> PAGEREF _Toc173937150 \h </w:instrText>
            </w:r>
            <w:r w:rsidR="00387372">
              <w:rPr>
                <w:noProof/>
                <w:webHidden/>
              </w:rPr>
            </w:r>
            <w:r w:rsidR="00387372">
              <w:rPr>
                <w:noProof/>
                <w:webHidden/>
              </w:rPr>
              <w:fldChar w:fldCharType="separate"/>
            </w:r>
            <w:r w:rsidR="00387372">
              <w:rPr>
                <w:noProof/>
                <w:webHidden/>
              </w:rPr>
              <w:t>22</w:t>
            </w:r>
            <w:r w:rsidR="00387372">
              <w:rPr>
                <w:noProof/>
                <w:webHidden/>
              </w:rPr>
              <w:fldChar w:fldCharType="end"/>
            </w:r>
          </w:hyperlink>
        </w:p>
        <w:p w14:paraId="48C5D897" w14:textId="416BA1B9" w:rsidR="00387372" w:rsidRDefault="00000000">
          <w:pPr>
            <w:pStyle w:val="TOC1"/>
            <w:tabs>
              <w:tab w:val="right" w:leader="dot" w:pos="9350"/>
            </w:tabs>
            <w:rPr>
              <w:rFonts w:eastAsiaTheme="minorEastAsia"/>
              <w:noProof/>
            </w:rPr>
          </w:pPr>
          <w:hyperlink w:anchor="_Toc173937151" w:history="1">
            <w:r w:rsidR="00387372" w:rsidRPr="009A101B">
              <w:rPr>
                <w:rStyle w:val="Hyperlink"/>
                <w:b/>
                <w:bCs/>
                <w:noProof/>
              </w:rPr>
              <w:t>Appendix A: Financial Ratios Calculations</w:t>
            </w:r>
            <w:r w:rsidR="00387372">
              <w:rPr>
                <w:noProof/>
                <w:webHidden/>
              </w:rPr>
              <w:tab/>
            </w:r>
            <w:r w:rsidR="00387372">
              <w:rPr>
                <w:noProof/>
                <w:webHidden/>
              </w:rPr>
              <w:fldChar w:fldCharType="begin"/>
            </w:r>
            <w:r w:rsidR="00387372">
              <w:rPr>
                <w:noProof/>
                <w:webHidden/>
              </w:rPr>
              <w:instrText xml:space="preserve"> PAGEREF _Toc173937151 \h </w:instrText>
            </w:r>
            <w:r w:rsidR="00387372">
              <w:rPr>
                <w:noProof/>
                <w:webHidden/>
              </w:rPr>
            </w:r>
            <w:r w:rsidR="00387372">
              <w:rPr>
                <w:noProof/>
                <w:webHidden/>
              </w:rPr>
              <w:fldChar w:fldCharType="separate"/>
            </w:r>
            <w:r w:rsidR="00387372">
              <w:rPr>
                <w:noProof/>
                <w:webHidden/>
              </w:rPr>
              <w:t>32</w:t>
            </w:r>
            <w:r w:rsidR="00387372">
              <w:rPr>
                <w:noProof/>
                <w:webHidden/>
              </w:rPr>
              <w:fldChar w:fldCharType="end"/>
            </w:r>
          </w:hyperlink>
        </w:p>
        <w:p w14:paraId="6912E98D" w14:textId="2C855BDA" w:rsidR="00387372" w:rsidRDefault="00000000">
          <w:pPr>
            <w:pStyle w:val="TOC1"/>
            <w:tabs>
              <w:tab w:val="right" w:leader="dot" w:pos="9350"/>
            </w:tabs>
            <w:rPr>
              <w:rFonts w:eastAsiaTheme="minorEastAsia"/>
              <w:noProof/>
            </w:rPr>
          </w:pPr>
          <w:hyperlink w:anchor="_Toc173937152" w:history="1">
            <w:r w:rsidR="00387372" w:rsidRPr="009A101B">
              <w:rPr>
                <w:rStyle w:val="Hyperlink"/>
                <w:b/>
                <w:bCs/>
                <w:noProof/>
              </w:rPr>
              <w:t>Appendix B: Financial Statements Sainsburry</w:t>
            </w:r>
            <w:r w:rsidR="00387372">
              <w:rPr>
                <w:noProof/>
                <w:webHidden/>
              </w:rPr>
              <w:tab/>
            </w:r>
            <w:r w:rsidR="00387372">
              <w:rPr>
                <w:noProof/>
                <w:webHidden/>
              </w:rPr>
              <w:fldChar w:fldCharType="begin"/>
            </w:r>
            <w:r w:rsidR="00387372">
              <w:rPr>
                <w:noProof/>
                <w:webHidden/>
              </w:rPr>
              <w:instrText xml:space="preserve"> PAGEREF _Toc173937152 \h </w:instrText>
            </w:r>
            <w:r w:rsidR="00387372">
              <w:rPr>
                <w:noProof/>
                <w:webHidden/>
              </w:rPr>
            </w:r>
            <w:r w:rsidR="00387372">
              <w:rPr>
                <w:noProof/>
                <w:webHidden/>
              </w:rPr>
              <w:fldChar w:fldCharType="separate"/>
            </w:r>
            <w:r w:rsidR="00387372">
              <w:rPr>
                <w:noProof/>
                <w:webHidden/>
              </w:rPr>
              <w:t>33</w:t>
            </w:r>
            <w:r w:rsidR="00387372">
              <w:rPr>
                <w:noProof/>
                <w:webHidden/>
              </w:rPr>
              <w:fldChar w:fldCharType="end"/>
            </w:r>
          </w:hyperlink>
        </w:p>
        <w:p w14:paraId="1596B81E" w14:textId="2A167F9F" w:rsidR="00387372" w:rsidRDefault="00000000">
          <w:pPr>
            <w:pStyle w:val="TOC1"/>
            <w:tabs>
              <w:tab w:val="right" w:leader="dot" w:pos="9350"/>
            </w:tabs>
            <w:rPr>
              <w:rFonts w:eastAsiaTheme="minorEastAsia"/>
              <w:noProof/>
            </w:rPr>
          </w:pPr>
          <w:hyperlink w:anchor="_Toc173937153" w:history="1">
            <w:r w:rsidR="00387372" w:rsidRPr="009A101B">
              <w:rPr>
                <w:rStyle w:val="Hyperlink"/>
                <w:b/>
                <w:bCs/>
                <w:noProof/>
              </w:rPr>
              <w:t>Appendix C: Financial Statements Tesco</w:t>
            </w:r>
            <w:r w:rsidR="00387372">
              <w:rPr>
                <w:noProof/>
                <w:webHidden/>
              </w:rPr>
              <w:tab/>
            </w:r>
            <w:r w:rsidR="00387372">
              <w:rPr>
                <w:noProof/>
                <w:webHidden/>
              </w:rPr>
              <w:fldChar w:fldCharType="begin"/>
            </w:r>
            <w:r w:rsidR="00387372">
              <w:rPr>
                <w:noProof/>
                <w:webHidden/>
              </w:rPr>
              <w:instrText xml:space="preserve"> PAGEREF _Toc173937153 \h </w:instrText>
            </w:r>
            <w:r w:rsidR="00387372">
              <w:rPr>
                <w:noProof/>
                <w:webHidden/>
              </w:rPr>
            </w:r>
            <w:r w:rsidR="00387372">
              <w:rPr>
                <w:noProof/>
                <w:webHidden/>
              </w:rPr>
              <w:fldChar w:fldCharType="separate"/>
            </w:r>
            <w:r w:rsidR="00387372">
              <w:rPr>
                <w:noProof/>
                <w:webHidden/>
              </w:rPr>
              <w:t>39</w:t>
            </w:r>
            <w:r w:rsidR="00387372">
              <w:rPr>
                <w:noProof/>
                <w:webHidden/>
              </w:rPr>
              <w:fldChar w:fldCharType="end"/>
            </w:r>
          </w:hyperlink>
        </w:p>
        <w:p w14:paraId="08DED27A" w14:textId="52220DF8" w:rsidR="000529AB" w:rsidRPr="000529AB" w:rsidRDefault="000529AB">
          <w:r w:rsidRPr="000529AB">
            <w:rPr>
              <w:b/>
              <w:bCs/>
              <w:noProof/>
            </w:rPr>
            <w:fldChar w:fldCharType="end"/>
          </w:r>
        </w:p>
      </w:sdtContent>
    </w:sdt>
    <w:p w14:paraId="35E0FD86" w14:textId="77777777" w:rsidR="00201C4E" w:rsidRPr="000529AB" w:rsidRDefault="00201C4E" w:rsidP="0014371D">
      <w:pPr>
        <w:jc w:val="center"/>
        <w:rPr>
          <w:rFonts w:ascii="Times New Roman" w:hAnsi="Times New Roman" w:cs="Times New Roman"/>
          <w:b/>
          <w:bCs/>
          <w:sz w:val="32"/>
          <w:szCs w:val="32"/>
        </w:rPr>
      </w:pPr>
    </w:p>
    <w:p w14:paraId="05173847" w14:textId="77777777" w:rsidR="00201C4E" w:rsidRPr="000529AB" w:rsidRDefault="00201C4E" w:rsidP="0014371D">
      <w:pPr>
        <w:jc w:val="center"/>
        <w:rPr>
          <w:rFonts w:ascii="Times New Roman" w:hAnsi="Times New Roman" w:cs="Times New Roman"/>
          <w:b/>
          <w:bCs/>
          <w:sz w:val="32"/>
          <w:szCs w:val="32"/>
        </w:rPr>
      </w:pPr>
    </w:p>
    <w:p w14:paraId="5384ED74" w14:textId="77777777" w:rsidR="00201C4E" w:rsidRPr="000529AB" w:rsidRDefault="00201C4E" w:rsidP="0014371D">
      <w:pPr>
        <w:jc w:val="center"/>
        <w:rPr>
          <w:rFonts w:ascii="Times New Roman" w:hAnsi="Times New Roman" w:cs="Times New Roman"/>
          <w:b/>
          <w:bCs/>
          <w:sz w:val="32"/>
          <w:szCs w:val="32"/>
        </w:rPr>
      </w:pPr>
    </w:p>
    <w:p w14:paraId="7F54A42A" w14:textId="77777777" w:rsidR="00201C4E" w:rsidRPr="000529AB" w:rsidRDefault="00201C4E" w:rsidP="0014371D">
      <w:pPr>
        <w:jc w:val="center"/>
        <w:rPr>
          <w:rFonts w:ascii="Times New Roman" w:hAnsi="Times New Roman" w:cs="Times New Roman"/>
          <w:b/>
          <w:bCs/>
          <w:sz w:val="32"/>
          <w:szCs w:val="32"/>
        </w:rPr>
      </w:pPr>
    </w:p>
    <w:p w14:paraId="21FF15DA" w14:textId="77777777" w:rsidR="00201C4E" w:rsidRPr="000529AB" w:rsidRDefault="00201C4E" w:rsidP="0014371D">
      <w:pPr>
        <w:jc w:val="center"/>
        <w:rPr>
          <w:rFonts w:ascii="Times New Roman" w:hAnsi="Times New Roman" w:cs="Times New Roman"/>
          <w:b/>
          <w:bCs/>
          <w:sz w:val="32"/>
          <w:szCs w:val="32"/>
        </w:rPr>
      </w:pPr>
    </w:p>
    <w:p w14:paraId="6A4F0240" w14:textId="77777777" w:rsidR="00201C4E" w:rsidRPr="000529AB" w:rsidRDefault="00201C4E" w:rsidP="0014371D">
      <w:pPr>
        <w:jc w:val="center"/>
        <w:rPr>
          <w:rFonts w:ascii="Times New Roman" w:hAnsi="Times New Roman" w:cs="Times New Roman"/>
          <w:b/>
          <w:bCs/>
          <w:sz w:val="32"/>
          <w:szCs w:val="32"/>
        </w:rPr>
      </w:pPr>
    </w:p>
    <w:p w14:paraId="15A7732E" w14:textId="77777777" w:rsidR="00201C4E" w:rsidRPr="000529AB" w:rsidRDefault="00201C4E" w:rsidP="0014371D">
      <w:pPr>
        <w:jc w:val="center"/>
        <w:rPr>
          <w:rFonts w:ascii="Times New Roman" w:hAnsi="Times New Roman" w:cs="Times New Roman"/>
          <w:b/>
          <w:bCs/>
          <w:sz w:val="32"/>
          <w:szCs w:val="32"/>
        </w:rPr>
      </w:pPr>
    </w:p>
    <w:p w14:paraId="4886F613" w14:textId="77777777" w:rsidR="00201C4E" w:rsidRPr="000529AB" w:rsidRDefault="00201C4E" w:rsidP="0014371D">
      <w:pPr>
        <w:jc w:val="center"/>
        <w:rPr>
          <w:rFonts w:ascii="Times New Roman" w:hAnsi="Times New Roman" w:cs="Times New Roman"/>
          <w:b/>
          <w:bCs/>
          <w:sz w:val="32"/>
          <w:szCs w:val="32"/>
        </w:rPr>
      </w:pPr>
    </w:p>
    <w:p w14:paraId="61F570AE" w14:textId="77777777" w:rsidR="00201C4E" w:rsidRPr="000529AB" w:rsidRDefault="00201C4E" w:rsidP="0014371D">
      <w:pPr>
        <w:jc w:val="center"/>
        <w:rPr>
          <w:rFonts w:ascii="Times New Roman" w:hAnsi="Times New Roman" w:cs="Times New Roman"/>
          <w:b/>
          <w:bCs/>
          <w:sz w:val="32"/>
          <w:szCs w:val="32"/>
        </w:rPr>
      </w:pPr>
    </w:p>
    <w:p w14:paraId="25416D7D" w14:textId="77777777" w:rsidR="00201C4E" w:rsidRPr="000529AB" w:rsidRDefault="00201C4E" w:rsidP="00DA3D9D">
      <w:pPr>
        <w:rPr>
          <w:rFonts w:ascii="Times New Roman" w:hAnsi="Times New Roman" w:cs="Times New Roman"/>
          <w:b/>
          <w:bCs/>
          <w:sz w:val="32"/>
          <w:szCs w:val="32"/>
        </w:rPr>
      </w:pPr>
    </w:p>
    <w:p w14:paraId="2E066BDB" w14:textId="77777777" w:rsidR="001F5FCF" w:rsidRPr="000529AB" w:rsidRDefault="001F5FCF" w:rsidP="00201C4E">
      <w:pPr>
        <w:pStyle w:val="Heading1"/>
        <w:spacing w:line="360" w:lineRule="auto"/>
        <w:rPr>
          <w:b/>
          <w:bCs/>
          <w:color w:val="auto"/>
        </w:rPr>
      </w:pPr>
      <w:bookmarkStart w:id="1" w:name="_Toc173937138"/>
      <w:r w:rsidRPr="000529AB">
        <w:rPr>
          <w:b/>
          <w:bCs/>
          <w:color w:val="auto"/>
        </w:rPr>
        <w:lastRenderedPageBreak/>
        <w:t>Part A). Introduction</w:t>
      </w:r>
      <w:bookmarkEnd w:id="1"/>
    </w:p>
    <w:p w14:paraId="13D1404F" w14:textId="5458902C" w:rsidR="00542500" w:rsidRPr="000529AB" w:rsidRDefault="00542500" w:rsidP="00201C4E">
      <w:pPr>
        <w:spacing w:line="360" w:lineRule="auto"/>
        <w:jc w:val="both"/>
        <w:rPr>
          <w:rFonts w:ascii="Arial" w:hAnsi="Arial" w:cs="Arial"/>
          <w:sz w:val="24"/>
          <w:szCs w:val="24"/>
        </w:rPr>
      </w:pPr>
      <w:r w:rsidRPr="000529AB">
        <w:rPr>
          <w:rFonts w:ascii="Arial" w:hAnsi="Arial" w:cs="Arial"/>
          <w:sz w:val="24"/>
          <w:szCs w:val="24"/>
        </w:rPr>
        <w:t>Sainsbury’s was established in 1869, by John James Sainsbury along with his wife Mary Ann and initially started from a dairy shop. Over the years, it grew to be one of the biggest supermarket chains in UK famous for its quality products offered at reasonable prices</w:t>
      </w:r>
      <w:r w:rsidR="00AB6A37">
        <w:rPr>
          <w:rFonts w:ascii="Arial" w:hAnsi="Arial" w:cs="Arial"/>
          <w:sz w:val="24"/>
          <w:szCs w:val="24"/>
        </w:rPr>
        <w:t xml:space="preserve"> (</w:t>
      </w:r>
      <w:r w:rsidR="00BB78CB" w:rsidRPr="00AB6A37">
        <w:rPr>
          <w:rFonts w:ascii="Arial" w:hAnsi="Arial" w:cs="Arial"/>
          <w:sz w:val="24"/>
          <w:szCs w:val="24"/>
        </w:rPr>
        <w:t>Sainsbury</w:t>
      </w:r>
      <w:r w:rsidR="00AB6A37">
        <w:rPr>
          <w:rFonts w:ascii="Arial" w:hAnsi="Arial" w:cs="Arial"/>
          <w:sz w:val="24"/>
          <w:szCs w:val="24"/>
        </w:rPr>
        <w:t xml:space="preserve">, </w:t>
      </w:r>
      <w:r w:rsidR="00AB6A37" w:rsidRPr="00AB6A37">
        <w:rPr>
          <w:rFonts w:ascii="Arial" w:hAnsi="Arial" w:cs="Arial"/>
          <w:sz w:val="24"/>
          <w:szCs w:val="24"/>
        </w:rPr>
        <w:t>2024</w:t>
      </w:r>
      <w:r w:rsidR="00AB6A37">
        <w:rPr>
          <w:rFonts w:ascii="Arial" w:hAnsi="Arial" w:cs="Arial"/>
          <w:sz w:val="24"/>
          <w:szCs w:val="24"/>
        </w:rPr>
        <w:t>)</w:t>
      </w:r>
      <w:r w:rsidRPr="000529AB">
        <w:rPr>
          <w:rFonts w:ascii="Arial" w:hAnsi="Arial" w:cs="Arial"/>
          <w:sz w:val="24"/>
          <w:szCs w:val="24"/>
        </w:rPr>
        <w:t>. The core strategy that guides Sainsbury’s operation is to sell affordable and quality foods and other products such as clothing, home products through supermarkets, convenience stores, and online stores. The marketplace strategy of the company is customer focused, affordable prices and a wide variety of products.</w:t>
      </w:r>
    </w:p>
    <w:p w14:paraId="2FA1F79B" w14:textId="70A629DE" w:rsidR="00542500" w:rsidRPr="000529AB" w:rsidRDefault="00542500" w:rsidP="00201C4E">
      <w:pPr>
        <w:spacing w:line="360" w:lineRule="auto"/>
        <w:jc w:val="both"/>
        <w:rPr>
          <w:rFonts w:ascii="Arial" w:hAnsi="Arial" w:cs="Arial"/>
          <w:sz w:val="24"/>
          <w:szCs w:val="24"/>
        </w:rPr>
      </w:pPr>
      <w:r w:rsidRPr="000529AB">
        <w:rPr>
          <w:rFonts w:ascii="Arial" w:hAnsi="Arial" w:cs="Arial"/>
          <w:sz w:val="24"/>
          <w:szCs w:val="24"/>
        </w:rPr>
        <w:t>The main rivals of Sainsbury’s are Tesco, Asda and Morrisons all operating in the strongly competitive environment of the UK grocery retailing market. Nevertheless, Sainsbury has remained one of the key market players due to various strategic actions and constant innovation</w:t>
      </w:r>
      <w:r w:rsidR="00AB6A37">
        <w:rPr>
          <w:rFonts w:ascii="Arial" w:hAnsi="Arial" w:cs="Arial"/>
          <w:sz w:val="24"/>
          <w:szCs w:val="24"/>
        </w:rPr>
        <w:t xml:space="preserve"> (</w:t>
      </w:r>
      <w:r w:rsidR="00AB6A37" w:rsidRPr="00AB6A37">
        <w:rPr>
          <w:rFonts w:ascii="Arial" w:hAnsi="Arial" w:cs="Arial"/>
          <w:sz w:val="24"/>
          <w:szCs w:val="24"/>
        </w:rPr>
        <w:t>Davey, 2024</w:t>
      </w:r>
      <w:r w:rsidR="00AB6A37">
        <w:rPr>
          <w:rFonts w:ascii="Arial" w:hAnsi="Arial" w:cs="Arial"/>
          <w:sz w:val="24"/>
          <w:szCs w:val="24"/>
        </w:rPr>
        <w:t>)</w:t>
      </w:r>
      <w:r w:rsidRPr="000529AB">
        <w:rPr>
          <w:rFonts w:ascii="Arial" w:hAnsi="Arial" w:cs="Arial"/>
          <w:sz w:val="24"/>
          <w:szCs w:val="24"/>
        </w:rPr>
        <w:t>.</w:t>
      </w:r>
    </w:p>
    <w:p w14:paraId="0B327DE0" w14:textId="5FD150A8" w:rsidR="00542500" w:rsidRPr="000529AB" w:rsidRDefault="00542500" w:rsidP="00201C4E">
      <w:pPr>
        <w:spacing w:line="360" w:lineRule="auto"/>
        <w:jc w:val="both"/>
        <w:rPr>
          <w:rFonts w:ascii="Arial" w:hAnsi="Arial" w:cs="Arial"/>
          <w:sz w:val="24"/>
          <w:szCs w:val="24"/>
        </w:rPr>
      </w:pPr>
      <w:r w:rsidRPr="000529AB">
        <w:rPr>
          <w:rFonts w:ascii="Arial" w:hAnsi="Arial" w:cs="Arial"/>
          <w:sz w:val="24"/>
          <w:szCs w:val="24"/>
        </w:rPr>
        <w:t>Over the years, Sainsbury has experienced some events that have affected it in one way or the other in the recent past. There were significant leadership changes between the period of 2019 and 2023 in the company. May 2020 saw Simon Roberts take over from Mike Coupe as the CEO, who is more inclined to customer management tactics</w:t>
      </w:r>
      <w:r w:rsidR="000352B2">
        <w:rPr>
          <w:rFonts w:ascii="Arial" w:hAnsi="Arial" w:cs="Arial"/>
          <w:sz w:val="24"/>
          <w:szCs w:val="24"/>
        </w:rPr>
        <w:t xml:space="preserve"> (</w:t>
      </w:r>
      <w:r w:rsidR="000352B2" w:rsidRPr="000352B2">
        <w:rPr>
          <w:rFonts w:ascii="Arial" w:hAnsi="Arial" w:cs="Arial"/>
          <w:sz w:val="24"/>
          <w:szCs w:val="24"/>
        </w:rPr>
        <w:t>Singh, 2021</w:t>
      </w:r>
      <w:r w:rsidR="000352B2">
        <w:rPr>
          <w:rFonts w:ascii="Arial" w:hAnsi="Arial" w:cs="Arial"/>
          <w:sz w:val="24"/>
          <w:szCs w:val="24"/>
        </w:rPr>
        <w:t>)</w:t>
      </w:r>
      <w:r w:rsidRPr="000529AB">
        <w:rPr>
          <w:rFonts w:ascii="Arial" w:hAnsi="Arial" w:cs="Arial"/>
          <w:sz w:val="24"/>
          <w:szCs w:val="24"/>
        </w:rPr>
        <w:t>. The objective of this change in its leadership was to steer the firm through the evolving retail environment, especially during the COVID-19 outbreak.</w:t>
      </w:r>
    </w:p>
    <w:p w14:paraId="235B3C0F" w14:textId="442029D6" w:rsidR="00542500" w:rsidRPr="000529AB" w:rsidRDefault="00542500" w:rsidP="00201C4E">
      <w:pPr>
        <w:spacing w:line="360" w:lineRule="auto"/>
        <w:jc w:val="both"/>
        <w:rPr>
          <w:rFonts w:ascii="Arial" w:hAnsi="Arial" w:cs="Arial"/>
          <w:sz w:val="24"/>
          <w:szCs w:val="24"/>
        </w:rPr>
      </w:pPr>
      <w:r w:rsidRPr="000529AB">
        <w:rPr>
          <w:rFonts w:ascii="Arial" w:hAnsi="Arial" w:cs="Arial"/>
          <w:sz w:val="24"/>
          <w:szCs w:val="24"/>
        </w:rPr>
        <w:t>Covid-19 pandemic was the main factor that greatly impacted Sainsbury’s in the period under analysis. Another challenge meant that the company had to follow the changes in the consumer behavior: there was a significant increase in the internet purchases. Sainsbury’s focused on building up the online capabilities of the company and effectively increasing the delivery capacity for online orders</w:t>
      </w:r>
      <w:r w:rsidR="008E26A6">
        <w:rPr>
          <w:rFonts w:ascii="Arial" w:hAnsi="Arial" w:cs="Arial"/>
          <w:sz w:val="24"/>
          <w:szCs w:val="24"/>
        </w:rPr>
        <w:t xml:space="preserve"> (</w:t>
      </w:r>
      <w:r w:rsidR="008E26A6" w:rsidRPr="008E26A6">
        <w:rPr>
          <w:rFonts w:ascii="Arial" w:hAnsi="Arial" w:cs="Arial"/>
          <w:sz w:val="24"/>
          <w:szCs w:val="24"/>
        </w:rPr>
        <w:t>GOV.UK</w:t>
      </w:r>
      <w:r w:rsidR="008E26A6">
        <w:rPr>
          <w:rFonts w:ascii="Arial" w:hAnsi="Arial" w:cs="Arial"/>
          <w:sz w:val="24"/>
          <w:szCs w:val="24"/>
        </w:rPr>
        <w:t xml:space="preserve">, </w:t>
      </w:r>
      <w:r w:rsidR="008E26A6" w:rsidRPr="008E26A6">
        <w:rPr>
          <w:rFonts w:ascii="Arial" w:hAnsi="Arial" w:cs="Arial"/>
          <w:sz w:val="24"/>
          <w:szCs w:val="24"/>
        </w:rPr>
        <w:t>2023</w:t>
      </w:r>
      <w:r w:rsidR="008E26A6">
        <w:rPr>
          <w:rFonts w:ascii="Arial" w:hAnsi="Arial" w:cs="Arial"/>
          <w:sz w:val="24"/>
          <w:szCs w:val="24"/>
        </w:rPr>
        <w:t>)</w:t>
      </w:r>
      <w:r w:rsidRPr="000529AB">
        <w:rPr>
          <w:rFonts w:ascii="Arial" w:hAnsi="Arial" w:cs="Arial"/>
          <w:sz w:val="24"/>
          <w:szCs w:val="24"/>
        </w:rPr>
        <w:t>. This change of strategy was vital in sustaining sales and customers’ retention during the lockdown phases.</w:t>
      </w:r>
    </w:p>
    <w:p w14:paraId="0052DBC9" w14:textId="18800123" w:rsidR="00542500" w:rsidRPr="000529AB" w:rsidRDefault="00542500" w:rsidP="00201C4E">
      <w:pPr>
        <w:spacing w:line="360" w:lineRule="auto"/>
        <w:jc w:val="both"/>
        <w:rPr>
          <w:rFonts w:ascii="Arial" w:hAnsi="Arial" w:cs="Arial"/>
          <w:sz w:val="24"/>
          <w:szCs w:val="24"/>
        </w:rPr>
      </w:pPr>
      <w:r w:rsidRPr="000529AB">
        <w:rPr>
          <w:rFonts w:ascii="Arial" w:hAnsi="Arial" w:cs="Arial"/>
          <w:sz w:val="24"/>
          <w:szCs w:val="24"/>
        </w:rPr>
        <w:t>In 2019, Sainsbury’s tried to merge with Asda, but the UK Competition and Markets Authority (CMA) refused this merge because it would decrease competition and increase the prices for customers</w:t>
      </w:r>
      <w:r w:rsidR="002143FA">
        <w:rPr>
          <w:rFonts w:ascii="Arial" w:hAnsi="Arial" w:cs="Arial"/>
          <w:sz w:val="24"/>
          <w:szCs w:val="24"/>
        </w:rPr>
        <w:t xml:space="preserve"> (</w:t>
      </w:r>
      <w:r w:rsidR="002143FA" w:rsidRPr="002143FA">
        <w:rPr>
          <w:rFonts w:ascii="Arial" w:hAnsi="Arial" w:cs="Arial"/>
          <w:sz w:val="24"/>
          <w:szCs w:val="24"/>
        </w:rPr>
        <w:t>Wood, 2019</w:t>
      </w:r>
      <w:r w:rsidR="002143FA">
        <w:rPr>
          <w:rFonts w:ascii="Arial" w:hAnsi="Arial" w:cs="Arial"/>
          <w:sz w:val="24"/>
          <w:szCs w:val="24"/>
        </w:rPr>
        <w:t>)</w:t>
      </w:r>
      <w:r w:rsidRPr="000529AB">
        <w:rPr>
          <w:rFonts w:ascii="Arial" w:hAnsi="Arial" w:cs="Arial"/>
          <w:sz w:val="24"/>
          <w:szCs w:val="24"/>
        </w:rPr>
        <w:t>. This was a blow, and to compound the problem, Sainsbury’s was obliged to reconsider its development options.</w:t>
      </w:r>
    </w:p>
    <w:p w14:paraId="3648AD3B" w14:textId="0507BCC2" w:rsidR="00542500" w:rsidRPr="000529AB" w:rsidRDefault="00542500" w:rsidP="00201C4E">
      <w:pPr>
        <w:spacing w:line="360" w:lineRule="auto"/>
        <w:jc w:val="both"/>
        <w:rPr>
          <w:rFonts w:ascii="Arial" w:hAnsi="Arial" w:cs="Arial"/>
          <w:sz w:val="24"/>
          <w:szCs w:val="24"/>
        </w:rPr>
      </w:pPr>
      <w:r w:rsidRPr="000529AB">
        <w:rPr>
          <w:rFonts w:ascii="Arial" w:hAnsi="Arial" w:cs="Arial"/>
          <w:sz w:val="24"/>
          <w:szCs w:val="24"/>
        </w:rPr>
        <w:lastRenderedPageBreak/>
        <w:t xml:space="preserve">Over the past decade, Sainsbury’s has experienced conditions such as profit warnings since the economic environment affects the company in aspects such as cost and demand. In order to counter these </w:t>
      </w:r>
      <w:r w:rsidR="00BB78CB" w:rsidRPr="000529AB">
        <w:rPr>
          <w:rFonts w:ascii="Arial" w:hAnsi="Arial" w:cs="Arial"/>
          <w:sz w:val="24"/>
          <w:szCs w:val="24"/>
        </w:rPr>
        <w:t>threats,</w:t>
      </w:r>
      <w:r w:rsidRPr="000529AB">
        <w:rPr>
          <w:rFonts w:ascii="Arial" w:hAnsi="Arial" w:cs="Arial"/>
          <w:sz w:val="24"/>
          <w:szCs w:val="24"/>
        </w:rPr>
        <w:t xml:space="preserve"> the company declared cost reduction measures, closing of stores and better operational efficiency</w:t>
      </w:r>
      <w:r w:rsidR="0015549F">
        <w:rPr>
          <w:rFonts w:ascii="Arial" w:hAnsi="Arial" w:cs="Arial"/>
          <w:sz w:val="24"/>
          <w:szCs w:val="24"/>
        </w:rPr>
        <w:t xml:space="preserve"> (</w:t>
      </w:r>
      <w:r w:rsidR="0015549F" w:rsidRPr="0015549F">
        <w:rPr>
          <w:rFonts w:ascii="Arial" w:hAnsi="Arial" w:cs="Arial"/>
          <w:sz w:val="24"/>
          <w:szCs w:val="24"/>
        </w:rPr>
        <w:t>Jefferson, 2022</w:t>
      </w:r>
      <w:r w:rsidR="0015549F">
        <w:rPr>
          <w:rFonts w:ascii="Arial" w:hAnsi="Arial" w:cs="Arial"/>
          <w:sz w:val="24"/>
          <w:szCs w:val="24"/>
        </w:rPr>
        <w:t>)</w:t>
      </w:r>
      <w:r w:rsidRPr="000529AB">
        <w:rPr>
          <w:rFonts w:ascii="Arial" w:hAnsi="Arial" w:cs="Arial"/>
          <w:sz w:val="24"/>
          <w:szCs w:val="24"/>
        </w:rPr>
        <w:t>. Also, there are legal factors such as business rates legal cases and legal actions of employment relations issues that have affected the company’s financial and reputation aspects.</w:t>
      </w:r>
    </w:p>
    <w:p w14:paraId="0DB7820E" w14:textId="14E341BC" w:rsidR="00542500" w:rsidRPr="000529AB" w:rsidRDefault="00542500" w:rsidP="00201C4E">
      <w:pPr>
        <w:spacing w:line="360" w:lineRule="auto"/>
        <w:jc w:val="both"/>
        <w:rPr>
          <w:rFonts w:ascii="Arial" w:hAnsi="Arial" w:cs="Arial"/>
          <w:sz w:val="24"/>
          <w:szCs w:val="24"/>
        </w:rPr>
      </w:pPr>
      <w:r w:rsidRPr="000529AB">
        <w:rPr>
          <w:rFonts w:ascii="Arial" w:hAnsi="Arial" w:cs="Arial"/>
          <w:sz w:val="24"/>
          <w:szCs w:val="24"/>
        </w:rPr>
        <w:t>Nevertheless, Sainsbury’s has not being left behind in making some strategic moves in an effort to improve on its market standing. In 2021, it opened a strategic tie-up with the Ocado, the online grocery company to fortify its e-commerce and delivery services</w:t>
      </w:r>
      <w:r w:rsidR="00CC51EF">
        <w:rPr>
          <w:rFonts w:ascii="Arial" w:hAnsi="Arial" w:cs="Arial"/>
          <w:sz w:val="24"/>
          <w:szCs w:val="24"/>
        </w:rPr>
        <w:t xml:space="preserve"> (</w:t>
      </w:r>
      <w:r w:rsidR="00CC51EF" w:rsidRPr="00CC51EF">
        <w:rPr>
          <w:rFonts w:ascii="Arial" w:hAnsi="Arial" w:cs="Arial"/>
          <w:sz w:val="24"/>
          <w:szCs w:val="24"/>
        </w:rPr>
        <w:t>Amin,</w:t>
      </w:r>
      <w:r w:rsidR="00CC51EF">
        <w:rPr>
          <w:rFonts w:ascii="Arial" w:hAnsi="Arial" w:cs="Arial"/>
          <w:sz w:val="24"/>
          <w:szCs w:val="24"/>
        </w:rPr>
        <w:t xml:space="preserve"> </w:t>
      </w:r>
      <w:r w:rsidR="00CC51EF" w:rsidRPr="00CC51EF">
        <w:rPr>
          <w:rFonts w:ascii="Arial" w:hAnsi="Arial" w:cs="Arial"/>
          <w:sz w:val="24"/>
          <w:szCs w:val="24"/>
        </w:rPr>
        <w:t>2022</w:t>
      </w:r>
      <w:r w:rsidR="00CC51EF">
        <w:rPr>
          <w:rFonts w:ascii="Arial" w:hAnsi="Arial" w:cs="Arial"/>
          <w:sz w:val="24"/>
          <w:szCs w:val="24"/>
        </w:rPr>
        <w:t>)</w:t>
      </w:r>
      <w:r w:rsidRPr="000529AB">
        <w:rPr>
          <w:rFonts w:ascii="Arial" w:hAnsi="Arial" w:cs="Arial"/>
          <w:sz w:val="24"/>
          <w:szCs w:val="24"/>
        </w:rPr>
        <w:t>. These changes are expected to help create long-term growth and better operations of the collaboration.</w:t>
      </w:r>
    </w:p>
    <w:p w14:paraId="340A49BC" w14:textId="753502C0" w:rsidR="001F5FCF" w:rsidRPr="000529AB" w:rsidRDefault="00542500" w:rsidP="00201C4E">
      <w:pPr>
        <w:spacing w:line="360" w:lineRule="auto"/>
        <w:jc w:val="both"/>
        <w:rPr>
          <w:rFonts w:ascii="Arial" w:hAnsi="Arial" w:cs="Arial"/>
          <w:sz w:val="24"/>
          <w:szCs w:val="24"/>
        </w:rPr>
      </w:pPr>
      <w:r w:rsidRPr="000529AB">
        <w:rPr>
          <w:rFonts w:ascii="Arial" w:hAnsi="Arial" w:cs="Arial"/>
          <w:sz w:val="24"/>
          <w:szCs w:val="24"/>
        </w:rPr>
        <w:t>Altogether, Sainsbury’s has been facing a very active and rather unfavorable environment during the last five years by changing a leader and adjusting to the market and investing in digitalization. Despite the competition, legal challenges, and economical restraints, the company is still working for the creation of value for customers and shareholders.</w:t>
      </w:r>
    </w:p>
    <w:p w14:paraId="47FD2DE1" w14:textId="5C868247" w:rsidR="00542500" w:rsidRPr="000529AB" w:rsidRDefault="002B1C97" w:rsidP="00201C4E">
      <w:pPr>
        <w:spacing w:line="360" w:lineRule="auto"/>
        <w:jc w:val="both"/>
        <w:rPr>
          <w:rFonts w:ascii="Arial" w:hAnsi="Arial" w:cs="Arial"/>
          <w:sz w:val="24"/>
          <w:szCs w:val="24"/>
        </w:rPr>
      </w:pPr>
      <w:r w:rsidRPr="000529AB">
        <w:rPr>
          <w:rFonts w:ascii="Arial" w:hAnsi="Arial" w:cs="Arial"/>
          <w:sz w:val="24"/>
          <w:szCs w:val="24"/>
        </w:rPr>
        <w:t>This report looks at the company’s revenue, market share and key business strategies from the year 2019 to 2023, management changes, effect of COVID-19, competition in the grocery retail industry in the UK.</w:t>
      </w:r>
    </w:p>
    <w:p w14:paraId="4D3C2B99" w14:textId="77777777" w:rsidR="001F5FCF" w:rsidRPr="000529AB" w:rsidRDefault="001F5FCF" w:rsidP="00201C4E">
      <w:pPr>
        <w:pStyle w:val="Heading1"/>
        <w:spacing w:line="360" w:lineRule="auto"/>
        <w:rPr>
          <w:b/>
          <w:bCs/>
          <w:color w:val="auto"/>
        </w:rPr>
      </w:pPr>
      <w:bookmarkStart w:id="2" w:name="_Toc173937139"/>
      <w:r w:rsidRPr="000529AB">
        <w:rPr>
          <w:b/>
          <w:bCs/>
          <w:color w:val="auto"/>
        </w:rPr>
        <w:t>Part B). Financial performance review</w:t>
      </w:r>
      <w:bookmarkEnd w:id="2"/>
    </w:p>
    <w:p w14:paraId="45799E4E" w14:textId="306E6777" w:rsidR="00E8028B" w:rsidRDefault="00E8028B" w:rsidP="00201C4E">
      <w:pPr>
        <w:pStyle w:val="Heading2"/>
        <w:numPr>
          <w:ilvl w:val="1"/>
          <w:numId w:val="4"/>
        </w:numPr>
        <w:spacing w:line="360" w:lineRule="auto"/>
        <w:rPr>
          <w:b/>
          <w:bCs/>
          <w:color w:val="auto"/>
        </w:rPr>
      </w:pPr>
      <w:bookmarkStart w:id="3" w:name="_Toc173937140"/>
      <w:r w:rsidRPr="000529AB">
        <w:rPr>
          <w:b/>
          <w:bCs/>
          <w:color w:val="auto"/>
        </w:rPr>
        <w:t>Profitability Ratios</w:t>
      </w:r>
      <w:bookmarkEnd w:id="3"/>
    </w:p>
    <w:p w14:paraId="130B929C" w14:textId="4A67639F" w:rsidR="00AE4E8D" w:rsidRPr="00AE4E8D" w:rsidRDefault="00DF1153" w:rsidP="00AE4E8D">
      <w:r w:rsidRPr="00DF1153">
        <w:rPr>
          <w:noProof/>
        </w:rPr>
        <w:drawing>
          <wp:inline distT="0" distB="0" distL="0" distR="0" wp14:anchorId="244E909E" wp14:editId="6DB4A426">
            <wp:extent cx="6582383" cy="2204720"/>
            <wp:effectExtent l="0" t="0" r="9525" b="5080"/>
            <wp:docPr id="6136726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88819" cy="2206876"/>
                    </a:xfrm>
                    <a:prstGeom prst="rect">
                      <a:avLst/>
                    </a:prstGeom>
                    <a:noFill/>
                    <a:ln>
                      <a:noFill/>
                    </a:ln>
                  </pic:spPr>
                </pic:pic>
              </a:graphicData>
            </a:graphic>
          </wp:inline>
        </w:drawing>
      </w:r>
    </w:p>
    <w:p w14:paraId="61336065" w14:textId="77777777" w:rsidR="00E8028B" w:rsidRPr="000529AB" w:rsidRDefault="00E8028B" w:rsidP="00201C4E">
      <w:pPr>
        <w:spacing w:line="360" w:lineRule="auto"/>
        <w:jc w:val="both"/>
        <w:rPr>
          <w:rFonts w:ascii="Arial" w:hAnsi="Arial" w:cs="Arial"/>
          <w:b/>
          <w:bCs/>
          <w:sz w:val="24"/>
          <w:szCs w:val="24"/>
        </w:rPr>
      </w:pPr>
      <w:r w:rsidRPr="000529AB">
        <w:rPr>
          <w:rFonts w:ascii="Arial" w:hAnsi="Arial" w:cs="Arial"/>
          <w:b/>
          <w:bCs/>
          <w:sz w:val="24"/>
          <w:szCs w:val="24"/>
        </w:rPr>
        <w:lastRenderedPageBreak/>
        <w:t>Gross Profit Margin</w:t>
      </w:r>
    </w:p>
    <w:p w14:paraId="7613FEE8" w14:textId="0DD241A0"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The Gross Profit Margin is the ratio of the revenue to the cost of goods sold or COGS and depicts the efficiency of a firm in producing its goods</w:t>
      </w:r>
      <w:r w:rsidR="00391BF7">
        <w:rPr>
          <w:rFonts w:ascii="Arial" w:hAnsi="Arial" w:cs="Arial"/>
          <w:sz w:val="24"/>
          <w:szCs w:val="24"/>
        </w:rPr>
        <w:t xml:space="preserve"> (</w:t>
      </w:r>
      <w:r w:rsidR="00391BF7" w:rsidRPr="00391BF7">
        <w:rPr>
          <w:rFonts w:ascii="Arial" w:hAnsi="Arial" w:cs="Arial"/>
          <w:sz w:val="24"/>
          <w:szCs w:val="24"/>
        </w:rPr>
        <w:t>Onyebuchi, 2022</w:t>
      </w:r>
      <w:r w:rsidR="00391BF7">
        <w:rPr>
          <w:rFonts w:ascii="Arial" w:hAnsi="Arial" w:cs="Arial"/>
          <w:sz w:val="24"/>
          <w:szCs w:val="24"/>
        </w:rPr>
        <w:t>, p.9)</w:t>
      </w:r>
      <w:r w:rsidRPr="000529AB">
        <w:rPr>
          <w:rFonts w:ascii="Arial" w:hAnsi="Arial" w:cs="Arial"/>
          <w:sz w:val="24"/>
          <w:szCs w:val="24"/>
        </w:rPr>
        <w:t xml:space="preserve">. For Sainsbury’s the Gross profit margin has been ranging between 6% and 8% in the last five years. This implies that during the period under review Sainsbury’s has maintained a </w:t>
      </w:r>
      <w:proofErr w:type="gramStart"/>
      <w:r w:rsidRPr="000529AB">
        <w:rPr>
          <w:rFonts w:ascii="Arial" w:hAnsi="Arial" w:cs="Arial"/>
          <w:sz w:val="24"/>
          <w:szCs w:val="24"/>
        </w:rPr>
        <w:t>stable measurements</w:t>
      </w:r>
      <w:proofErr w:type="gramEnd"/>
      <w:r w:rsidRPr="000529AB">
        <w:rPr>
          <w:rFonts w:ascii="Arial" w:hAnsi="Arial" w:cs="Arial"/>
          <w:sz w:val="24"/>
          <w:szCs w:val="24"/>
        </w:rPr>
        <w:t xml:space="preserve"> on controlling manufacturing costs.</w:t>
      </w:r>
    </w:p>
    <w:p w14:paraId="3365C6C2" w14:textId="78270A55"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Sainsbury’s gross profit margin is fairly constant as opposed to Tesco that has fluctuations in its margins; however, there is a slight decline in the year 2023. The level of operating margin was kept constant implying that Sainsbury has applied good measures in managing costs and setting the right prices. Thus, while Tesco’s and Sainsbury’s margins appear quite similar, the fact that Sainsbury’s margins have remained fairly stable even as Tesco’s margins have followed a similar pattern indicates that Sainsbury has been more effective in controlling its production costs and pricing strategies.</w:t>
      </w:r>
    </w:p>
    <w:p w14:paraId="314F861E" w14:textId="6286BDEA"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The group’s gross profit margins of 6% to 8% make it almost comparable to Sainsbury. Nevertheless, Tesco’s margins remain more fluctuating and were down in 2023. Thus, in relation to cost management, both companies are equally efficient, while Sainsbury’s has a somewhat more stable gross profit margin.</w:t>
      </w:r>
    </w:p>
    <w:p w14:paraId="3F2EC3FE" w14:textId="430B8EB2" w:rsidR="00E8028B" w:rsidRDefault="00E8028B" w:rsidP="00201C4E">
      <w:pPr>
        <w:spacing w:line="360" w:lineRule="auto"/>
        <w:jc w:val="both"/>
        <w:rPr>
          <w:rFonts w:ascii="Arial" w:hAnsi="Arial" w:cs="Arial"/>
          <w:sz w:val="24"/>
          <w:szCs w:val="24"/>
        </w:rPr>
      </w:pPr>
      <w:r w:rsidRPr="000529AB">
        <w:rPr>
          <w:rFonts w:ascii="Arial" w:hAnsi="Arial" w:cs="Arial"/>
          <w:sz w:val="24"/>
          <w:szCs w:val="24"/>
        </w:rPr>
        <w:t>In order to improve the gross profit margin, Sainsbury’s should aim to manage the suppliers better and cope with supply chain management efficiently; and, use proper technology for the proper management of inventory</w:t>
      </w:r>
      <w:r w:rsidR="004432CC">
        <w:rPr>
          <w:rFonts w:ascii="Arial" w:hAnsi="Arial" w:cs="Arial"/>
          <w:sz w:val="24"/>
          <w:szCs w:val="24"/>
        </w:rPr>
        <w:t xml:space="preserve"> (</w:t>
      </w:r>
      <w:proofErr w:type="spellStart"/>
      <w:r w:rsidR="004432CC" w:rsidRPr="004432CC">
        <w:rPr>
          <w:rFonts w:ascii="Arial" w:hAnsi="Arial" w:cs="Arial"/>
          <w:sz w:val="24"/>
          <w:szCs w:val="24"/>
        </w:rPr>
        <w:t>Fernie</w:t>
      </w:r>
      <w:proofErr w:type="spellEnd"/>
      <w:r w:rsidR="004432CC" w:rsidRPr="004432CC">
        <w:rPr>
          <w:rFonts w:ascii="Arial" w:hAnsi="Arial" w:cs="Arial"/>
          <w:sz w:val="24"/>
          <w:szCs w:val="24"/>
        </w:rPr>
        <w:t>, 2023</w:t>
      </w:r>
      <w:r w:rsidR="004432CC">
        <w:rPr>
          <w:rFonts w:ascii="Arial" w:hAnsi="Arial" w:cs="Arial"/>
          <w:sz w:val="24"/>
          <w:szCs w:val="24"/>
        </w:rPr>
        <w:t>, p.23-46)</w:t>
      </w:r>
      <w:r w:rsidRPr="000529AB">
        <w:rPr>
          <w:rFonts w:ascii="Arial" w:hAnsi="Arial" w:cs="Arial"/>
          <w:sz w:val="24"/>
          <w:szCs w:val="24"/>
        </w:rPr>
        <w:t>. Another advantage is that proper application of the new sophisticated demand forecasting methods can minimize overstock and markdowns, which can impact the profit.</w:t>
      </w:r>
    </w:p>
    <w:p w14:paraId="17B84C07" w14:textId="3C611C5A" w:rsidR="006109FE" w:rsidRPr="000529AB" w:rsidRDefault="00ED3256" w:rsidP="00ED3256">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3445BD26" wp14:editId="5D08F9B9">
            <wp:extent cx="4572635" cy="2743200"/>
            <wp:effectExtent l="0" t="0" r="0" b="0"/>
            <wp:docPr id="20521026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6A79AAAA" w14:textId="77777777" w:rsidR="00E8028B" w:rsidRPr="000529AB" w:rsidRDefault="00E8028B" w:rsidP="00201C4E">
      <w:pPr>
        <w:spacing w:line="360" w:lineRule="auto"/>
        <w:jc w:val="both"/>
        <w:rPr>
          <w:rFonts w:ascii="Arial" w:hAnsi="Arial" w:cs="Arial"/>
          <w:b/>
          <w:bCs/>
          <w:sz w:val="24"/>
          <w:szCs w:val="24"/>
        </w:rPr>
      </w:pPr>
      <w:r w:rsidRPr="000529AB">
        <w:rPr>
          <w:rFonts w:ascii="Arial" w:hAnsi="Arial" w:cs="Arial"/>
          <w:b/>
          <w:bCs/>
          <w:sz w:val="24"/>
          <w:szCs w:val="24"/>
        </w:rPr>
        <w:t>Net Profit Margin</w:t>
      </w:r>
    </w:p>
    <w:p w14:paraId="40002342" w14:textId="15E97B66"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The Net Profit Margin shows the amount of operating profit that is obtained for every dollar of sales revenue after accounting for the operating expenses, taxes, and COGS</w:t>
      </w:r>
      <w:r w:rsidR="00C52C44">
        <w:rPr>
          <w:rFonts w:ascii="Arial" w:hAnsi="Arial" w:cs="Arial"/>
          <w:sz w:val="24"/>
          <w:szCs w:val="24"/>
        </w:rPr>
        <w:t xml:space="preserve"> (</w:t>
      </w:r>
      <w:r w:rsidR="00C52C44" w:rsidRPr="00C52C44">
        <w:rPr>
          <w:rFonts w:ascii="Arial" w:hAnsi="Arial" w:cs="Arial"/>
          <w:sz w:val="24"/>
          <w:szCs w:val="24"/>
        </w:rPr>
        <w:t>Mahdi</w:t>
      </w:r>
      <w:r w:rsidR="00C52C44">
        <w:rPr>
          <w:rFonts w:ascii="Arial" w:hAnsi="Arial" w:cs="Arial"/>
          <w:sz w:val="24"/>
          <w:szCs w:val="24"/>
        </w:rPr>
        <w:t xml:space="preserve"> </w:t>
      </w:r>
      <w:r w:rsidR="00C52C44" w:rsidRPr="00C52C44">
        <w:rPr>
          <w:rFonts w:ascii="Arial" w:hAnsi="Arial" w:cs="Arial"/>
          <w:sz w:val="24"/>
          <w:szCs w:val="24"/>
        </w:rPr>
        <w:t>and Khaddafi, 2020</w:t>
      </w:r>
      <w:r w:rsidR="00C52C44">
        <w:rPr>
          <w:rFonts w:ascii="Arial" w:hAnsi="Arial" w:cs="Arial"/>
          <w:sz w:val="24"/>
          <w:szCs w:val="24"/>
        </w:rPr>
        <w:t>, p.153-163)</w:t>
      </w:r>
      <w:r w:rsidRPr="000529AB">
        <w:rPr>
          <w:rFonts w:ascii="Arial" w:hAnsi="Arial" w:cs="Arial"/>
          <w:sz w:val="24"/>
          <w:szCs w:val="24"/>
        </w:rPr>
        <w:t>. Sainsbury’s net profit margin has been within a range of 1% and 2%; there has been some fluctuation and a negative value in 2021.</w:t>
      </w:r>
    </w:p>
    <w:p w14:paraId="4CAFA85A" w14:textId="60557A49"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Net profit margin of Sainsbury’s is less and fluctuating than Tesco which varies from 1% to 11%. Thus, the increase in Tesco’s margins in 2021 may be due to some extraordinary profits or some extra-ordinary performance. Sainsbury has more stable but lower margins, which signal operational problems or higher costs per sale.</w:t>
      </w:r>
    </w:p>
    <w:p w14:paraId="291CE39C" w14:textId="064FEE7F"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 xml:space="preserve">The net profit margin of Tesco is relatively higher and fluctuates more compared to Sainsbury’s. </w:t>
      </w:r>
      <w:r w:rsidR="00BB78CB" w:rsidRPr="000529AB">
        <w:rPr>
          <w:rFonts w:ascii="Arial" w:hAnsi="Arial" w:cs="Arial"/>
          <w:sz w:val="24"/>
          <w:szCs w:val="24"/>
        </w:rPr>
        <w:t>Thus,</w:t>
      </w:r>
      <w:r w:rsidRPr="000529AB">
        <w:rPr>
          <w:rFonts w:ascii="Arial" w:hAnsi="Arial" w:cs="Arial"/>
          <w:sz w:val="24"/>
          <w:szCs w:val="24"/>
        </w:rPr>
        <w:t xml:space="preserve"> Tesco has greater overall margins, although the fact that they fluctuate points at non-sustainable results influenced by one-off factors. Sainsbury’s lower but less volatile margins reflect consistent operational issues or inferior cost management.</w:t>
      </w:r>
      <w:r w:rsidRPr="000529AB">
        <w:rPr>
          <w:rFonts w:ascii="Arial" w:hAnsi="Arial" w:cs="Arial"/>
          <w:sz w:val="24"/>
          <w:szCs w:val="24"/>
        </w:rPr>
        <w:br/>
        <w:t>Thus, to increase its net profit margin, Sainsbury’s should tackle the problem of operational efficiency and administrative/operating expenses</w:t>
      </w:r>
      <w:r w:rsidR="007D5612">
        <w:rPr>
          <w:rFonts w:ascii="Arial" w:hAnsi="Arial" w:cs="Arial"/>
          <w:sz w:val="24"/>
          <w:szCs w:val="24"/>
        </w:rPr>
        <w:t xml:space="preserve"> (</w:t>
      </w:r>
      <w:proofErr w:type="spellStart"/>
      <w:r w:rsidR="007D5612" w:rsidRPr="007D5612">
        <w:rPr>
          <w:rFonts w:ascii="Arial" w:hAnsi="Arial" w:cs="Arial"/>
          <w:sz w:val="24"/>
          <w:szCs w:val="24"/>
        </w:rPr>
        <w:t>Stühlinger</w:t>
      </w:r>
      <w:proofErr w:type="spellEnd"/>
      <w:r w:rsidR="007D5612" w:rsidRPr="007D5612">
        <w:rPr>
          <w:rFonts w:ascii="Arial" w:hAnsi="Arial" w:cs="Arial"/>
          <w:sz w:val="24"/>
          <w:szCs w:val="24"/>
        </w:rPr>
        <w:t>, 2022</w:t>
      </w:r>
      <w:r w:rsidR="007D5612">
        <w:rPr>
          <w:rFonts w:ascii="Arial" w:hAnsi="Arial" w:cs="Arial"/>
          <w:sz w:val="24"/>
          <w:szCs w:val="24"/>
        </w:rPr>
        <w:t>, p.211-237)</w:t>
      </w:r>
      <w:r w:rsidRPr="000529AB">
        <w:rPr>
          <w:rFonts w:ascii="Arial" w:hAnsi="Arial" w:cs="Arial"/>
          <w:sz w:val="24"/>
          <w:szCs w:val="24"/>
        </w:rPr>
        <w:t>. Economies of scale, outsourcing activities that are not central to the organization’s core competence, and focusing on more profitable product or service lines could increase the profit margin.</w:t>
      </w:r>
    </w:p>
    <w:p w14:paraId="06306B2B" w14:textId="77777777" w:rsidR="00E8028B" w:rsidRPr="000529AB" w:rsidRDefault="00E8028B" w:rsidP="00201C4E">
      <w:pPr>
        <w:spacing w:line="360" w:lineRule="auto"/>
        <w:jc w:val="both"/>
        <w:rPr>
          <w:rFonts w:ascii="Arial" w:hAnsi="Arial" w:cs="Arial"/>
          <w:b/>
          <w:bCs/>
          <w:sz w:val="24"/>
          <w:szCs w:val="24"/>
        </w:rPr>
      </w:pPr>
      <w:r w:rsidRPr="000529AB">
        <w:rPr>
          <w:rFonts w:ascii="Arial" w:hAnsi="Arial" w:cs="Arial"/>
          <w:b/>
          <w:bCs/>
          <w:sz w:val="24"/>
          <w:szCs w:val="24"/>
        </w:rPr>
        <w:lastRenderedPageBreak/>
        <w:t>Return on Assets (ROA)</w:t>
      </w:r>
    </w:p>
    <w:p w14:paraId="35073DE1" w14:textId="20D57215"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One of the financial ratios commonly used to assess a firm’s performance is Return on Assets (ROA), which compares the income generated on assets with the total amount of assets held by the firm</w:t>
      </w:r>
      <w:r w:rsidR="000A4499">
        <w:rPr>
          <w:rFonts w:ascii="Arial" w:hAnsi="Arial" w:cs="Arial"/>
          <w:sz w:val="24"/>
          <w:szCs w:val="24"/>
        </w:rPr>
        <w:t xml:space="preserve"> (</w:t>
      </w:r>
      <w:r w:rsidR="000A4499" w:rsidRPr="000A4499">
        <w:rPr>
          <w:rFonts w:ascii="Arial" w:hAnsi="Arial" w:cs="Arial"/>
          <w:sz w:val="24"/>
          <w:szCs w:val="24"/>
        </w:rPr>
        <w:t>Usmonov, 2022</w:t>
      </w:r>
      <w:r w:rsidR="000A4499">
        <w:rPr>
          <w:rFonts w:ascii="Arial" w:hAnsi="Arial" w:cs="Arial"/>
          <w:sz w:val="24"/>
          <w:szCs w:val="24"/>
        </w:rPr>
        <w:t>, p.333-344)</w:t>
      </w:r>
      <w:r w:rsidRPr="000529AB">
        <w:rPr>
          <w:rFonts w:ascii="Arial" w:hAnsi="Arial" w:cs="Arial"/>
          <w:sz w:val="24"/>
          <w:szCs w:val="24"/>
        </w:rPr>
        <w:t>. Over the past years, the Sainsbury’s reached and sometimes even negative ROA which means that the company faced difficulties in turning its assets into income.</w:t>
      </w:r>
    </w:p>
    <w:p w14:paraId="72772B16" w14:textId="77777777"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Sainsbury’s low and negative ROA indicates problems with the efficient use of assets and generation of profits. This is contrary to the Tesco Company that has displayed higher and fluctuations in the ROA meaning the company has used its assets better and in a more erratic manner. A lower ROA is evident with Sainsbury’s, showing that the company has poor efficiency in terms of turning its assets into profitable results.</w:t>
      </w:r>
    </w:p>
    <w:p w14:paraId="798C91A4" w14:textId="3A733902"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The analysis of assets utilization reveals that Tesco’s ROA is better than that of Sainsbury thus showing that Tesco uses assets more efficiently. Extraordinary income and/or operational fluctuations might be the reason for Tesco’s fluctuations in ROA, while Sainsbury’s persistently low ROA shows it has not adequately managed its assets.</w:t>
      </w:r>
      <w:r w:rsidRPr="000529AB">
        <w:rPr>
          <w:rFonts w:ascii="Arial" w:hAnsi="Arial" w:cs="Arial"/>
          <w:sz w:val="24"/>
          <w:szCs w:val="24"/>
        </w:rPr>
        <w:br/>
        <w:t>In relation to the asset management, Sainsbury’s should consider completing and maintaining the right mix of assets through increased investment in higher return projects, disposal of non-profitable assets and increasing operational efficiency</w:t>
      </w:r>
      <w:r w:rsidR="004F3FF5">
        <w:rPr>
          <w:rFonts w:ascii="Arial" w:hAnsi="Arial" w:cs="Arial"/>
          <w:sz w:val="24"/>
          <w:szCs w:val="24"/>
        </w:rPr>
        <w:t xml:space="preserve"> (</w:t>
      </w:r>
      <w:r w:rsidR="004F3FF5" w:rsidRPr="004F3FF5">
        <w:rPr>
          <w:rFonts w:ascii="Arial" w:hAnsi="Arial" w:cs="Arial"/>
          <w:sz w:val="24"/>
          <w:szCs w:val="24"/>
        </w:rPr>
        <w:t>Ikhsan</w:t>
      </w:r>
      <w:r w:rsidR="004F3FF5">
        <w:rPr>
          <w:rFonts w:ascii="Arial" w:hAnsi="Arial" w:cs="Arial"/>
          <w:sz w:val="24"/>
          <w:szCs w:val="24"/>
        </w:rPr>
        <w:t xml:space="preserve"> et al. </w:t>
      </w:r>
      <w:r w:rsidR="004F3FF5" w:rsidRPr="004F3FF5">
        <w:rPr>
          <w:rFonts w:ascii="Arial" w:hAnsi="Arial" w:cs="Arial"/>
          <w:sz w:val="24"/>
          <w:szCs w:val="24"/>
        </w:rPr>
        <w:t>2022</w:t>
      </w:r>
      <w:r w:rsidR="004F3FF5">
        <w:rPr>
          <w:rFonts w:ascii="Arial" w:hAnsi="Arial" w:cs="Arial"/>
          <w:sz w:val="24"/>
          <w:szCs w:val="24"/>
        </w:rPr>
        <w:t>, p.810-824)</w:t>
      </w:r>
      <w:r w:rsidRPr="000529AB">
        <w:rPr>
          <w:rFonts w:ascii="Arial" w:hAnsi="Arial" w:cs="Arial"/>
          <w:sz w:val="24"/>
          <w:szCs w:val="24"/>
        </w:rPr>
        <w:t>. Flows and the implementation of technology could enhance ROA through better asset usage, while frequent appraisals might help in this regard as well.</w:t>
      </w:r>
    </w:p>
    <w:p w14:paraId="0EDE26AA" w14:textId="20BC3C83" w:rsidR="00E8028B" w:rsidRPr="000529AB" w:rsidRDefault="00E8028B" w:rsidP="00201C4E">
      <w:pPr>
        <w:spacing w:line="360" w:lineRule="auto"/>
        <w:jc w:val="both"/>
        <w:rPr>
          <w:rFonts w:ascii="Arial" w:hAnsi="Arial" w:cs="Arial"/>
          <w:b/>
          <w:bCs/>
          <w:sz w:val="24"/>
          <w:szCs w:val="24"/>
        </w:rPr>
      </w:pPr>
      <w:r w:rsidRPr="000529AB">
        <w:rPr>
          <w:rFonts w:ascii="Arial" w:hAnsi="Arial" w:cs="Arial"/>
          <w:b/>
          <w:bCs/>
          <w:sz w:val="24"/>
          <w:szCs w:val="24"/>
        </w:rPr>
        <w:t>The Return on Capital Employed (ROCE)</w:t>
      </w:r>
    </w:p>
    <w:p w14:paraId="6ACE892A" w14:textId="0D98FCB4"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ROCE focuses on the effectiveness of the business in generating profits from capital investments</w:t>
      </w:r>
      <w:r w:rsidR="00094E05">
        <w:rPr>
          <w:rFonts w:ascii="Arial" w:hAnsi="Arial" w:cs="Arial"/>
          <w:sz w:val="24"/>
          <w:szCs w:val="24"/>
        </w:rPr>
        <w:t xml:space="preserve"> (</w:t>
      </w:r>
      <w:proofErr w:type="spellStart"/>
      <w:r w:rsidR="00094E05" w:rsidRPr="00094E05">
        <w:rPr>
          <w:rFonts w:ascii="Arial" w:hAnsi="Arial" w:cs="Arial"/>
          <w:sz w:val="24"/>
          <w:szCs w:val="24"/>
        </w:rPr>
        <w:t>Aldubhani</w:t>
      </w:r>
      <w:proofErr w:type="spellEnd"/>
      <w:r w:rsidR="00094E05">
        <w:rPr>
          <w:rFonts w:ascii="Arial" w:hAnsi="Arial" w:cs="Arial"/>
          <w:sz w:val="24"/>
          <w:szCs w:val="24"/>
        </w:rPr>
        <w:t xml:space="preserve"> et al. </w:t>
      </w:r>
      <w:r w:rsidR="00094E05" w:rsidRPr="00094E05">
        <w:rPr>
          <w:rFonts w:ascii="Arial" w:hAnsi="Arial" w:cs="Arial"/>
          <w:sz w:val="24"/>
          <w:szCs w:val="24"/>
        </w:rPr>
        <w:t>2022</w:t>
      </w:r>
      <w:r w:rsidR="00094E05">
        <w:rPr>
          <w:rFonts w:ascii="Arial" w:hAnsi="Arial" w:cs="Arial"/>
          <w:sz w:val="24"/>
          <w:szCs w:val="24"/>
        </w:rPr>
        <w:t>, p.70-81)</w:t>
      </w:r>
      <w:r w:rsidRPr="000529AB">
        <w:rPr>
          <w:rFonts w:ascii="Arial" w:hAnsi="Arial" w:cs="Arial"/>
          <w:sz w:val="24"/>
          <w:szCs w:val="24"/>
        </w:rPr>
        <w:t>. Sainsbury’s ROCE has been as low as 0% and as high as 7% that depicts a steady but comparatively lower returns than Tesco.</w:t>
      </w:r>
    </w:p>
    <w:p w14:paraId="1623B05A" w14:textId="10710CF1"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Thus, Sainsbury’s ROCE is relatively stable but below Tesco’s average of 5% to 8%. It can also be seen that Tesco’s ROCE is decreasing, which signifies that the management is not utilizing capital as efficiently as before; however, Sainsbury’s ROCE is less volatile though lower than before.</w:t>
      </w:r>
    </w:p>
    <w:p w14:paraId="6B59C377" w14:textId="72312065"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lastRenderedPageBreak/>
        <w:t>Tesco’s higher average ROCE signify better capital management though it is decreasing. The closer to 1, but lower ROCE of Sainsbury indicates better, although less efficient management of capital compared to Tesco’s fluctuating performance.</w:t>
      </w:r>
    </w:p>
    <w:p w14:paraId="1D400043" w14:textId="6C77A62F"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Thus, in order to improve ROCE for Sainsbury’s, the company should concentrate on capital projects with higher returns on capital, decrease capital expenses as well as improve its capital structure</w:t>
      </w:r>
      <w:r w:rsidR="00F546A2">
        <w:rPr>
          <w:rFonts w:ascii="Arial" w:hAnsi="Arial" w:cs="Arial"/>
          <w:sz w:val="24"/>
          <w:szCs w:val="24"/>
        </w:rPr>
        <w:t xml:space="preserve"> (</w:t>
      </w:r>
      <w:r w:rsidR="00F546A2" w:rsidRPr="00F546A2">
        <w:rPr>
          <w:rFonts w:ascii="Arial" w:hAnsi="Arial" w:cs="Arial"/>
          <w:sz w:val="24"/>
          <w:szCs w:val="24"/>
        </w:rPr>
        <w:t>Jelassi</w:t>
      </w:r>
      <w:r w:rsidR="00F546A2">
        <w:rPr>
          <w:rFonts w:ascii="Arial" w:hAnsi="Arial" w:cs="Arial"/>
          <w:sz w:val="24"/>
          <w:szCs w:val="24"/>
        </w:rPr>
        <w:t xml:space="preserve"> et al. </w:t>
      </w:r>
      <w:r w:rsidR="00F546A2" w:rsidRPr="00F546A2">
        <w:rPr>
          <w:rFonts w:ascii="Arial" w:hAnsi="Arial" w:cs="Arial"/>
          <w:sz w:val="24"/>
          <w:szCs w:val="24"/>
        </w:rPr>
        <w:t>2020</w:t>
      </w:r>
      <w:r w:rsidR="00F546A2">
        <w:rPr>
          <w:rFonts w:ascii="Arial" w:hAnsi="Arial" w:cs="Arial"/>
          <w:sz w:val="24"/>
          <w:szCs w:val="24"/>
        </w:rPr>
        <w:t>, p.125-171)</w:t>
      </w:r>
      <w:r w:rsidRPr="000529AB">
        <w:rPr>
          <w:rFonts w:ascii="Arial" w:hAnsi="Arial" w:cs="Arial"/>
          <w:sz w:val="24"/>
          <w:szCs w:val="24"/>
        </w:rPr>
        <w:t>. It was suggested that more capital could be employed in growth areas and that operational efficiency could be enhanced which could more than likely mean better returns on capital employed.</w:t>
      </w:r>
    </w:p>
    <w:p w14:paraId="4C2E5022" w14:textId="3B56D784" w:rsidR="00E8028B" w:rsidRDefault="00E8028B" w:rsidP="00201C4E">
      <w:pPr>
        <w:spacing w:line="360" w:lineRule="auto"/>
        <w:jc w:val="both"/>
        <w:rPr>
          <w:rFonts w:ascii="Arial" w:hAnsi="Arial" w:cs="Arial"/>
          <w:b/>
          <w:bCs/>
          <w:sz w:val="24"/>
          <w:szCs w:val="24"/>
        </w:rPr>
      </w:pPr>
      <w:r w:rsidRPr="000529AB">
        <w:rPr>
          <w:rFonts w:ascii="Arial" w:hAnsi="Arial" w:cs="Arial"/>
          <w:b/>
          <w:bCs/>
          <w:sz w:val="24"/>
          <w:szCs w:val="24"/>
        </w:rPr>
        <w:t>Return on Equity (ROE)</w:t>
      </w:r>
    </w:p>
    <w:p w14:paraId="5A72D2AA" w14:textId="026E45FA" w:rsidR="00ED3256" w:rsidRPr="000529AB" w:rsidRDefault="00ED3256" w:rsidP="00ED3256">
      <w:pPr>
        <w:spacing w:line="360" w:lineRule="auto"/>
        <w:jc w:val="center"/>
        <w:rPr>
          <w:rFonts w:ascii="Arial" w:hAnsi="Arial" w:cs="Arial"/>
          <w:b/>
          <w:bCs/>
          <w:sz w:val="24"/>
          <w:szCs w:val="24"/>
        </w:rPr>
      </w:pPr>
      <w:r>
        <w:rPr>
          <w:rFonts w:ascii="Arial" w:hAnsi="Arial" w:cs="Arial"/>
          <w:b/>
          <w:bCs/>
          <w:noProof/>
          <w:sz w:val="24"/>
          <w:szCs w:val="24"/>
        </w:rPr>
        <w:drawing>
          <wp:inline distT="0" distB="0" distL="0" distR="0" wp14:anchorId="6612E589" wp14:editId="06DA5EAA">
            <wp:extent cx="4572635" cy="2743200"/>
            <wp:effectExtent l="0" t="0" r="0" b="0"/>
            <wp:docPr id="8588520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02810506" w14:textId="1A8758CA"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The ROE quantifies the amount of profit that is generated by shareholders’ investment</w:t>
      </w:r>
      <w:r w:rsidR="00E377F7">
        <w:rPr>
          <w:rFonts w:ascii="Arial" w:hAnsi="Arial" w:cs="Arial"/>
          <w:sz w:val="24"/>
          <w:szCs w:val="24"/>
        </w:rPr>
        <w:t xml:space="preserve"> (</w:t>
      </w:r>
      <w:r w:rsidR="00E377F7" w:rsidRPr="00E377F7">
        <w:rPr>
          <w:rFonts w:ascii="Arial" w:hAnsi="Arial" w:cs="Arial"/>
          <w:sz w:val="24"/>
          <w:szCs w:val="24"/>
        </w:rPr>
        <w:t>Magni, 2021</w:t>
      </w:r>
      <w:r w:rsidR="00E377F7">
        <w:rPr>
          <w:rFonts w:ascii="Arial" w:hAnsi="Arial" w:cs="Arial"/>
          <w:sz w:val="24"/>
          <w:szCs w:val="24"/>
        </w:rPr>
        <w:t>, p.279-302)</w:t>
      </w:r>
      <w:r w:rsidRPr="000529AB">
        <w:rPr>
          <w:rFonts w:ascii="Arial" w:hAnsi="Arial" w:cs="Arial"/>
          <w:sz w:val="24"/>
          <w:szCs w:val="24"/>
        </w:rPr>
        <w:t>. Hence, Sainsbury’s ROE has ranged between -0.04 to 0.08, which point to the difficulty of creating value for shareholders.</w:t>
      </w:r>
    </w:p>
    <w:p w14:paraId="2DE174CF" w14:textId="0F4D29E1"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Sainsbury’s had low ROE that sometimes was close to negative, which pointed to problems with creating value for shareholders, which could stem from operating issues or financial issues. Tesco’s higher but more fluctuating ROE, which reached 0.80 in 2021, signify better operating profitability compared to the previous year but the impact of non-recurring items cannot be ruled out.</w:t>
      </w:r>
    </w:p>
    <w:p w14:paraId="7B5CDB1E" w14:textId="77777777"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lastRenderedPageBreak/>
        <w:t>This shows that Tesco has better ROE than Sainsbury, meaning that Tesco has a better value for profitability using equity funds than Sainsbury. However, Tesco has fluctuating profitability, whereas Sainsbury’s ROE is constant although low, meaning that the companies still face difficulties in generating returns and profits.</w:t>
      </w:r>
    </w:p>
    <w:p w14:paraId="0A779E9A" w14:textId="5092CACA"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Thus, to increase the ROE, Sainsbury’s should attempt to increase the net income by increasing the total revenues and decreasing the cost, while at the same time, not compromising the equity</w:t>
      </w:r>
      <w:r w:rsidR="00393A37">
        <w:rPr>
          <w:rFonts w:ascii="Arial" w:hAnsi="Arial" w:cs="Arial"/>
          <w:sz w:val="24"/>
          <w:szCs w:val="24"/>
        </w:rPr>
        <w:t xml:space="preserve"> (</w:t>
      </w:r>
      <w:proofErr w:type="spellStart"/>
      <w:r w:rsidR="00393A37" w:rsidRPr="00393A37">
        <w:rPr>
          <w:rFonts w:ascii="Arial" w:hAnsi="Arial" w:cs="Arial"/>
          <w:sz w:val="24"/>
          <w:szCs w:val="24"/>
        </w:rPr>
        <w:t>Cevikcan</w:t>
      </w:r>
      <w:proofErr w:type="spellEnd"/>
      <w:r w:rsidR="00393A37">
        <w:rPr>
          <w:rFonts w:ascii="Arial" w:hAnsi="Arial" w:cs="Arial"/>
          <w:sz w:val="24"/>
          <w:szCs w:val="24"/>
        </w:rPr>
        <w:t xml:space="preserve"> </w:t>
      </w:r>
      <w:r w:rsidR="00393A37" w:rsidRPr="00393A37">
        <w:rPr>
          <w:rFonts w:ascii="Arial" w:hAnsi="Arial" w:cs="Arial"/>
          <w:sz w:val="24"/>
          <w:szCs w:val="24"/>
        </w:rPr>
        <w:t>and Kose, 2021</w:t>
      </w:r>
      <w:r w:rsidR="00393A37">
        <w:rPr>
          <w:rFonts w:ascii="Arial" w:hAnsi="Arial" w:cs="Arial"/>
          <w:sz w:val="24"/>
          <w:szCs w:val="24"/>
        </w:rPr>
        <w:t>, p.369-391)</w:t>
      </w:r>
      <w:r w:rsidRPr="000529AB">
        <w:rPr>
          <w:rFonts w:ascii="Arial" w:hAnsi="Arial" w:cs="Arial"/>
          <w:sz w:val="24"/>
          <w:szCs w:val="24"/>
        </w:rPr>
        <w:t>. Appraising the share repurchases, dividend management, and reinvestment plans can help in creating better returns for the shareholders.</w:t>
      </w:r>
    </w:p>
    <w:p w14:paraId="2568CF03" w14:textId="38E98056" w:rsidR="00E8028B" w:rsidRDefault="00E8028B" w:rsidP="00201C4E">
      <w:pPr>
        <w:pStyle w:val="Heading2"/>
        <w:numPr>
          <w:ilvl w:val="1"/>
          <w:numId w:val="4"/>
        </w:numPr>
        <w:spacing w:line="360" w:lineRule="auto"/>
        <w:rPr>
          <w:b/>
          <w:bCs/>
          <w:color w:val="auto"/>
        </w:rPr>
      </w:pPr>
      <w:bookmarkStart w:id="4" w:name="_Toc173937141"/>
      <w:r w:rsidRPr="000529AB">
        <w:rPr>
          <w:b/>
          <w:bCs/>
          <w:color w:val="auto"/>
        </w:rPr>
        <w:t>Efficiency Ratios</w:t>
      </w:r>
      <w:bookmarkEnd w:id="4"/>
    </w:p>
    <w:p w14:paraId="4ED59F56" w14:textId="63C5BF79" w:rsidR="007320E2" w:rsidRPr="007320E2" w:rsidRDefault="00F926D3" w:rsidP="007320E2">
      <w:r w:rsidRPr="00F926D3">
        <w:rPr>
          <w:noProof/>
        </w:rPr>
        <w:drawing>
          <wp:inline distT="0" distB="0" distL="0" distR="0" wp14:anchorId="65B57880" wp14:editId="4BA8C465">
            <wp:extent cx="6738026" cy="2126615"/>
            <wp:effectExtent l="0" t="0" r="5715" b="6985"/>
            <wp:docPr id="10911112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751425" cy="2130844"/>
                    </a:xfrm>
                    <a:prstGeom prst="rect">
                      <a:avLst/>
                    </a:prstGeom>
                    <a:noFill/>
                    <a:ln>
                      <a:noFill/>
                    </a:ln>
                  </pic:spPr>
                </pic:pic>
              </a:graphicData>
            </a:graphic>
          </wp:inline>
        </w:drawing>
      </w:r>
    </w:p>
    <w:p w14:paraId="17CF91A1" w14:textId="2D19CF8C" w:rsidR="00E8028B" w:rsidRPr="000529AB" w:rsidRDefault="00E8028B" w:rsidP="00201C4E">
      <w:pPr>
        <w:spacing w:line="360" w:lineRule="auto"/>
        <w:jc w:val="both"/>
        <w:rPr>
          <w:rFonts w:ascii="Arial" w:hAnsi="Arial" w:cs="Arial"/>
          <w:b/>
          <w:bCs/>
          <w:sz w:val="24"/>
          <w:szCs w:val="24"/>
        </w:rPr>
      </w:pPr>
      <w:r w:rsidRPr="000529AB">
        <w:rPr>
          <w:rFonts w:ascii="Arial" w:hAnsi="Arial" w:cs="Arial"/>
          <w:b/>
          <w:bCs/>
          <w:sz w:val="24"/>
          <w:szCs w:val="24"/>
        </w:rPr>
        <w:t>Asset Turnover Ratio</w:t>
      </w:r>
    </w:p>
    <w:p w14:paraId="3A7A2870" w14:textId="77777777" w:rsidR="00393A37" w:rsidRDefault="00E8028B" w:rsidP="00201C4E">
      <w:pPr>
        <w:spacing w:line="360" w:lineRule="auto"/>
        <w:jc w:val="both"/>
        <w:rPr>
          <w:rFonts w:ascii="Arial" w:hAnsi="Arial" w:cs="Arial"/>
          <w:sz w:val="24"/>
          <w:szCs w:val="24"/>
        </w:rPr>
      </w:pPr>
      <w:r w:rsidRPr="000529AB">
        <w:rPr>
          <w:rFonts w:ascii="Arial" w:hAnsi="Arial" w:cs="Arial"/>
          <w:sz w:val="24"/>
          <w:szCs w:val="24"/>
        </w:rPr>
        <w:t>It is the ratio of Total Sales to Total Assets; this ratio indicates the efficiency of a business in using its assets to generate sales</w:t>
      </w:r>
      <w:r w:rsidR="00393A37">
        <w:rPr>
          <w:rFonts w:ascii="Arial" w:hAnsi="Arial" w:cs="Arial"/>
          <w:sz w:val="24"/>
          <w:szCs w:val="24"/>
        </w:rPr>
        <w:t xml:space="preserve"> (</w:t>
      </w:r>
      <w:proofErr w:type="spellStart"/>
      <w:r w:rsidR="00393A37" w:rsidRPr="00393A37">
        <w:rPr>
          <w:rFonts w:ascii="Arial" w:hAnsi="Arial" w:cs="Arial"/>
          <w:sz w:val="24"/>
          <w:szCs w:val="24"/>
        </w:rPr>
        <w:t>Firman</w:t>
      </w:r>
      <w:proofErr w:type="spellEnd"/>
      <w:r w:rsidR="00393A37">
        <w:rPr>
          <w:rFonts w:ascii="Arial" w:hAnsi="Arial" w:cs="Arial"/>
          <w:sz w:val="24"/>
          <w:szCs w:val="24"/>
        </w:rPr>
        <w:t xml:space="preserve"> </w:t>
      </w:r>
      <w:r w:rsidR="00393A37" w:rsidRPr="00393A37">
        <w:rPr>
          <w:rFonts w:ascii="Arial" w:hAnsi="Arial" w:cs="Arial"/>
          <w:sz w:val="24"/>
          <w:szCs w:val="24"/>
        </w:rPr>
        <w:t>and Salvia, 2021</w:t>
      </w:r>
      <w:r w:rsidR="00393A37">
        <w:rPr>
          <w:rFonts w:ascii="Arial" w:hAnsi="Arial" w:cs="Arial"/>
          <w:sz w:val="24"/>
          <w:szCs w:val="24"/>
        </w:rPr>
        <w:t>, p.154-165)</w:t>
      </w:r>
      <w:r w:rsidRPr="000529AB">
        <w:rPr>
          <w:rFonts w:ascii="Arial" w:hAnsi="Arial" w:cs="Arial"/>
          <w:sz w:val="24"/>
          <w:szCs w:val="24"/>
        </w:rPr>
        <w:t>. Sainsbury’s ratio has ranged from 1.04 to 1.23, which suggests that though it is maintaining stable efficiency, it is lower than that of Tesco.</w:t>
      </w:r>
    </w:p>
    <w:p w14:paraId="3675397E" w14:textId="4931F371"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 xml:space="preserve">Sainsbury’s asset turnover ratio is always lesser than Tesco, which varies between 1.09 to 1.43. This rise illustrates that Groceries &amp; Other’s asset turns are better than Tesco’s and that it reached its maximum in 2023. Thus, Sainsbury’s stable but lower ratio indicates lesser efficacy in the </w:t>
      </w:r>
      <w:proofErr w:type="spellStart"/>
      <w:r w:rsidRPr="000529AB">
        <w:rPr>
          <w:rFonts w:ascii="Arial" w:hAnsi="Arial" w:cs="Arial"/>
          <w:sz w:val="24"/>
          <w:szCs w:val="24"/>
        </w:rPr>
        <w:t>utilisation</w:t>
      </w:r>
      <w:proofErr w:type="spellEnd"/>
      <w:r w:rsidRPr="000529AB">
        <w:rPr>
          <w:rFonts w:ascii="Arial" w:hAnsi="Arial" w:cs="Arial"/>
          <w:sz w:val="24"/>
          <w:szCs w:val="24"/>
        </w:rPr>
        <w:t xml:space="preserve"> of assets.</w:t>
      </w:r>
    </w:p>
    <w:p w14:paraId="32F78466" w14:textId="4A2B6B11"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 xml:space="preserve">The Asset Turnover Ratio is also higher and improving compared to the previous year proving that Tesco is more efficient in converting assets into revenues. The lower and </w:t>
      </w:r>
      <w:r w:rsidRPr="000529AB">
        <w:rPr>
          <w:rFonts w:ascii="Arial" w:hAnsi="Arial" w:cs="Arial"/>
          <w:sz w:val="24"/>
          <w:szCs w:val="24"/>
        </w:rPr>
        <w:lastRenderedPageBreak/>
        <w:t>more stable ratio of Sainsbury’s implies that there is a room for the improvement of the management of assets.</w:t>
      </w:r>
    </w:p>
    <w:p w14:paraId="4EB54044" w14:textId="4372D96E" w:rsidR="00E8028B" w:rsidRDefault="00E8028B" w:rsidP="00201C4E">
      <w:pPr>
        <w:spacing w:line="360" w:lineRule="auto"/>
        <w:jc w:val="both"/>
        <w:rPr>
          <w:rFonts w:ascii="Arial" w:hAnsi="Arial" w:cs="Arial"/>
          <w:sz w:val="24"/>
          <w:szCs w:val="24"/>
        </w:rPr>
      </w:pPr>
      <w:r w:rsidRPr="000529AB">
        <w:rPr>
          <w:rFonts w:ascii="Arial" w:hAnsi="Arial" w:cs="Arial"/>
          <w:sz w:val="24"/>
          <w:szCs w:val="24"/>
        </w:rPr>
        <w:t>To improve the efficiency of the asset utilization of Sainsbury’s it is advised that it should reduce and get rid of the idle assets, focus on the successful high return projects and should boost up the productivity of the assets</w:t>
      </w:r>
      <w:r w:rsidR="00DD3810">
        <w:rPr>
          <w:rFonts w:ascii="Arial" w:hAnsi="Arial" w:cs="Arial"/>
          <w:sz w:val="24"/>
          <w:szCs w:val="24"/>
        </w:rPr>
        <w:t xml:space="preserve"> (</w:t>
      </w:r>
      <w:r w:rsidR="00DD3810" w:rsidRPr="00DD3810">
        <w:rPr>
          <w:rFonts w:ascii="Arial" w:hAnsi="Arial" w:cs="Arial"/>
          <w:sz w:val="24"/>
          <w:szCs w:val="24"/>
        </w:rPr>
        <w:t>Deo, 2021</w:t>
      </w:r>
      <w:r w:rsidR="00A95EFD">
        <w:rPr>
          <w:rFonts w:ascii="Arial" w:hAnsi="Arial" w:cs="Arial"/>
          <w:sz w:val="24"/>
          <w:szCs w:val="24"/>
        </w:rPr>
        <w:t>, p.10-22</w:t>
      </w:r>
      <w:r w:rsidR="00DD3810">
        <w:rPr>
          <w:rFonts w:ascii="Arial" w:hAnsi="Arial" w:cs="Arial"/>
          <w:sz w:val="24"/>
          <w:szCs w:val="24"/>
        </w:rPr>
        <w:t>)</w:t>
      </w:r>
      <w:r w:rsidRPr="000529AB">
        <w:rPr>
          <w:rFonts w:ascii="Arial" w:hAnsi="Arial" w:cs="Arial"/>
          <w:sz w:val="24"/>
          <w:szCs w:val="24"/>
        </w:rPr>
        <w:t>. In order to increase the Asset Turnover Ratio, there is need to conduct performance check on assets as well as make strategic investments.</w:t>
      </w:r>
    </w:p>
    <w:p w14:paraId="72B5A5CB" w14:textId="1515D103" w:rsidR="00863C0F" w:rsidRPr="000529AB" w:rsidRDefault="00863C0F" w:rsidP="00863C0F">
      <w:pPr>
        <w:spacing w:line="360" w:lineRule="auto"/>
        <w:jc w:val="center"/>
        <w:rPr>
          <w:rFonts w:ascii="Arial" w:hAnsi="Arial" w:cs="Arial"/>
          <w:sz w:val="24"/>
          <w:szCs w:val="24"/>
        </w:rPr>
      </w:pPr>
      <w:r>
        <w:rPr>
          <w:rFonts w:ascii="Arial" w:hAnsi="Arial" w:cs="Arial"/>
          <w:noProof/>
          <w:sz w:val="24"/>
          <w:szCs w:val="24"/>
        </w:rPr>
        <w:drawing>
          <wp:inline distT="0" distB="0" distL="0" distR="0" wp14:anchorId="393EA87D" wp14:editId="1C12B77C">
            <wp:extent cx="4572635" cy="2743200"/>
            <wp:effectExtent l="0" t="0" r="0" b="0"/>
            <wp:docPr id="8399066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65BC39D3" w14:textId="1A6F5F86" w:rsidR="00E8028B" w:rsidRPr="000529AB" w:rsidRDefault="00E8028B" w:rsidP="00201C4E">
      <w:pPr>
        <w:spacing w:line="360" w:lineRule="auto"/>
        <w:jc w:val="both"/>
        <w:rPr>
          <w:rFonts w:ascii="Arial" w:hAnsi="Arial" w:cs="Arial"/>
          <w:b/>
          <w:bCs/>
          <w:sz w:val="24"/>
          <w:szCs w:val="24"/>
        </w:rPr>
      </w:pPr>
      <w:r w:rsidRPr="000529AB">
        <w:rPr>
          <w:rFonts w:ascii="Arial" w:hAnsi="Arial" w:cs="Arial"/>
          <w:b/>
          <w:bCs/>
          <w:sz w:val="24"/>
          <w:szCs w:val="24"/>
        </w:rPr>
        <w:t>Inventory Turnover Ratio</w:t>
      </w:r>
    </w:p>
    <w:p w14:paraId="5745E4BA" w14:textId="17BC276F"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The Inventory Turnover Ratio indicates the efficiency in managing and disposing off inventories</w:t>
      </w:r>
      <w:r w:rsidR="00A95EFD">
        <w:rPr>
          <w:rFonts w:ascii="Arial" w:hAnsi="Arial" w:cs="Arial"/>
          <w:sz w:val="24"/>
          <w:szCs w:val="24"/>
        </w:rPr>
        <w:t xml:space="preserve"> (</w:t>
      </w:r>
      <w:r w:rsidR="00A95EFD" w:rsidRPr="00A95EFD">
        <w:rPr>
          <w:rFonts w:ascii="Arial" w:hAnsi="Arial" w:cs="Arial"/>
          <w:sz w:val="24"/>
          <w:szCs w:val="24"/>
        </w:rPr>
        <w:t>Panigrahi</w:t>
      </w:r>
      <w:r w:rsidR="00A95EFD">
        <w:rPr>
          <w:rFonts w:ascii="Arial" w:hAnsi="Arial" w:cs="Arial"/>
          <w:sz w:val="24"/>
          <w:szCs w:val="24"/>
        </w:rPr>
        <w:t xml:space="preserve"> et al. </w:t>
      </w:r>
      <w:r w:rsidR="00A95EFD" w:rsidRPr="00A95EFD">
        <w:rPr>
          <w:rFonts w:ascii="Arial" w:hAnsi="Arial" w:cs="Arial"/>
          <w:sz w:val="24"/>
          <w:szCs w:val="24"/>
        </w:rPr>
        <w:t>2021</w:t>
      </w:r>
      <w:r w:rsidR="00A95EFD">
        <w:rPr>
          <w:rFonts w:ascii="Arial" w:hAnsi="Arial" w:cs="Arial"/>
          <w:sz w:val="24"/>
          <w:szCs w:val="24"/>
        </w:rPr>
        <w:t>, p.149-170)</w:t>
      </w:r>
      <w:r w:rsidRPr="000529AB">
        <w:rPr>
          <w:rFonts w:ascii="Arial" w:hAnsi="Arial" w:cs="Arial"/>
          <w:sz w:val="24"/>
          <w:szCs w:val="24"/>
        </w:rPr>
        <w:t>. Sainsbury’s has had a ratio varying from 14.00 to 16.79, which means a lower inventory turnover than that of Tesco.</w:t>
      </w:r>
    </w:p>
    <w:p w14:paraId="31C6A90D" w14:textId="42741C18"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Sainsbury is less effective in managing inventories than Tesco according to the measurements of the Inventory Turnover Ratio in the two companies. Tesco has managed its inventory and sales well, and this is evidenced by a record turnover of £52.42 billion in 2021. This may be due to Sainsbury’s holding too much stock or inventory which does not move as fast as the products being sold at Tesco.</w:t>
      </w:r>
    </w:p>
    <w:p w14:paraId="46CA4BF2" w14:textId="2D502054"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lastRenderedPageBreak/>
        <w:t>Tesco has a higher Inventory Turnover Ratio which is an indication that the firm effectively manages and sells inventories. This means that Sainsbury’s has a lower turnover ratio than Tesco which can signify ineffective stock control.</w:t>
      </w:r>
    </w:p>
    <w:p w14:paraId="4E8DAF77" w14:textId="2B2F50FD"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In order to increase the inventory turnover, Sainsbury’s should pay attention to the following factors: the proper management of inventory, better demand forecasting, the use of JIT inventory strategies</w:t>
      </w:r>
      <w:r w:rsidR="00293AB4">
        <w:rPr>
          <w:rFonts w:ascii="Arial" w:hAnsi="Arial" w:cs="Arial"/>
          <w:sz w:val="24"/>
          <w:szCs w:val="24"/>
        </w:rPr>
        <w:t xml:space="preserve"> (</w:t>
      </w:r>
      <w:r w:rsidR="00293AB4" w:rsidRPr="00293AB4">
        <w:rPr>
          <w:rFonts w:ascii="Arial" w:hAnsi="Arial" w:cs="Arial"/>
          <w:sz w:val="24"/>
          <w:szCs w:val="24"/>
        </w:rPr>
        <w:t>Sarisa, 2021</w:t>
      </w:r>
      <w:r w:rsidR="00293AB4">
        <w:rPr>
          <w:rFonts w:ascii="Arial" w:hAnsi="Arial" w:cs="Arial"/>
          <w:sz w:val="24"/>
          <w:szCs w:val="24"/>
        </w:rPr>
        <w:t>)</w:t>
      </w:r>
      <w:r w:rsidRPr="000529AB">
        <w:rPr>
          <w:rFonts w:ascii="Arial" w:hAnsi="Arial" w:cs="Arial"/>
          <w:sz w:val="24"/>
          <w:szCs w:val="24"/>
        </w:rPr>
        <w:t>. As for the factors that may help increase turnover rates, more effective supply chain control and real-time data tracking are also important.</w:t>
      </w:r>
    </w:p>
    <w:p w14:paraId="55FABAFF" w14:textId="33165104" w:rsidR="00E8028B" w:rsidRDefault="00E8028B" w:rsidP="00201C4E">
      <w:pPr>
        <w:pStyle w:val="Heading2"/>
        <w:numPr>
          <w:ilvl w:val="1"/>
          <w:numId w:val="4"/>
        </w:numPr>
        <w:spacing w:line="360" w:lineRule="auto"/>
        <w:rPr>
          <w:b/>
          <w:bCs/>
          <w:color w:val="auto"/>
        </w:rPr>
      </w:pPr>
      <w:bookmarkStart w:id="5" w:name="_Toc173937142"/>
      <w:r w:rsidRPr="000529AB">
        <w:rPr>
          <w:b/>
          <w:bCs/>
          <w:color w:val="auto"/>
        </w:rPr>
        <w:t>Gearing Ratios</w:t>
      </w:r>
      <w:bookmarkEnd w:id="5"/>
    </w:p>
    <w:p w14:paraId="4CEA24B8" w14:textId="3BF79C87" w:rsidR="007320E2" w:rsidRPr="007320E2" w:rsidRDefault="007320E2" w:rsidP="007320E2">
      <w:r w:rsidRPr="007320E2">
        <w:rPr>
          <w:noProof/>
        </w:rPr>
        <w:drawing>
          <wp:inline distT="0" distB="0" distL="0" distR="0" wp14:anchorId="2B95E252" wp14:editId="5B57A2A4">
            <wp:extent cx="6666689" cy="2035810"/>
            <wp:effectExtent l="0" t="0" r="1270" b="2540"/>
            <wp:docPr id="10680093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79960" cy="2039863"/>
                    </a:xfrm>
                    <a:prstGeom prst="rect">
                      <a:avLst/>
                    </a:prstGeom>
                    <a:noFill/>
                    <a:ln>
                      <a:noFill/>
                    </a:ln>
                  </pic:spPr>
                </pic:pic>
              </a:graphicData>
            </a:graphic>
          </wp:inline>
        </w:drawing>
      </w:r>
    </w:p>
    <w:p w14:paraId="1485CB9C" w14:textId="0EE4ACE5" w:rsidR="00E8028B" w:rsidRPr="000529AB" w:rsidRDefault="00E8028B" w:rsidP="00201C4E">
      <w:pPr>
        <w:spacing w:line="360" w:lineRule="auto"/>
        <w:jc w:val="both"/>
        <w:rPr>
          <w:rFonts w:ascii="Arial" w:hAnsi="Arial" w:cs="Arial"/>
          <w:b/>
          <w:bCs/>
          <w:sz w:val="24"/>
          <w:szCs w:val="24"/>
        </w:rPr>
      </w:pPr>
      <w:r w:rsidRPr="000529AB">
        <w:rPr>
          <w:rFonts w:ascii="Arial" w:hAnsi="Arial" w:cs="Arial"/>
          <w:b/>
          <w:bCs/>
          <w:sz w:val="24"/>
          <w:szCs w:val="24"/>
        </w:rPr>
        <w:t>Debt to Total Assets Ratio</w:t>
      </w:r>
    </w:p>
    <w:p w14:paraId="2732B3BD" w14:textId="341F00CF"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The Debt to Total Assets Ratio compares the extent to which a firm’s total assets were financed via debt. Sainsbury’s ratio has varied from 0.64 to 0.74 meaning that the company relies on debt but in a more stable manner compared to Tesco</w:t>
      </w:r>
      <w:r w:rsidR="00213942">
        <w:rPr>
          <w:rFonts w:ascii="Arial" w:hAnsi="Arial" w:cs="Arial"/>
          <w:sz w:val="24"/>
          <w:szCs w:val="24"/>
        </w:rPr>
        <w:t xml:space="preserve"> (</w:t>
      </w:r>
      <w:r w:rsidR="00213942" w:rsidRPr="00213942">
        <w:rPr>
          <w:rFonts w:ascii="Arial" w:hAnsi="Arial" w:cs="Arial"/>
          <w:sz w:val="24"/>
          <w:szCs w:val="24"/>
        </w:rPr>
        <w:t>Zaman, 2021</w:t>
      </w:r>
      <w:r w:rsidR="00213942">
        <w:rPr>
          <w:rFonts w:ascii="Arial" w:hAnsi="Arial" w:cs="Arial"/>
          <w:sz w:val="24"/>
          <w:szCs w:val="24"/>
        </w:rPr>
        <w:t>, p.114-132)</w:t>
      </w:r>
      <w:r w:rsidRPr="000529AB">
        <w:rPr>
          <w:rFonts w:ascii="Arial" w:hAnsi="Arial" w:cs="Arial"/>
          <w:sz w:val="24"/>
          <w:szCs w:val="24"/>
        </w:rPr>
        <w:t>.</w:t>
      </w:r>
      <w:r w:rsidRPr="000529AB">
        <w:rPr>
          <w:rFonts w:ascii="Arial" w:hAnsi="Arial" w:cs="Arial"/>
          <w:sz w:val="24"/>
          <w:szCs w:val="24"/>
        </w:rPr>
        <w:br/>
        <w:t>Consequently, Sainsbury’s Debt to Total Assets Ratio although high, indicates that it uses more of debt financing than equity financing but it fluctuates less than Tesco’s which reached 77% in 2019. Some related risks include high interest costs and high sensitivity to the general economic conditions due to high debt levels seen in Tesco.</w:t>
      </w:r>
      <w:r w:rsidRPr="000529AB">
        <w:rPr>
          <w:rFonts w:ascii="Arial" w:hAnsi="Arial" w:cs="Arial"/>
          <w:sz w:val="24"/>
          <w:szCs w:val="24"/>
        </w:rPr>
        <w:br/>
        <w:t>From the above calculation Sainsbury has a lower and a more stable figure which means that it manages its debts better than Tesco. Sainsbury’s shows somewhat less financial risk because of its lower debt.</w:t>
      </w:r>
    </w:p>
    <w:p w14:paraId="1B0E0986" w14:textId="0E416001" w:rsidR="00E8028B" w:rsidRDefault="00E8028B" w:rsidP="00201C4E">
      <w:pPr>
        <w:spacing w:line="360" w:lineRule="auto"/>
        <w:jc w:val="both"/>
        <w:rPr>
          <w:rFonts w:ascii="Arial" w:hAnsi="Arial" w:cs="Arial"/>
          <w:sz w:val="24"/>
          <w:szCs w:val="24"/>
        </w:rPr>
      </w:pPr>
      <w:r w:rsidRPr="000529AB">
        <w:rPr>
          <w:rFonts w:ascii="Arial" w:hAnsi="Arial" w:cs="Arial"/>
          <w:sz w:val="24"/>
          <w:szCs w:val="24"/>
        </w:rPr>
        <w:lastRenderedPageBreak/>
        <w:t>Sainsbury’s should go on confirming debt management strictly and effectively by increasing working capital control, retaining profit control, and using equity fund</w:t>
      </w:r>
      <w:r w:rsidR="00213942">
        <w:rPr>
          <w:rFonts w:ascii="Arial" w:hAnsi="Arial" w:cs="Arial"/>
          <w:sz w:val="24"/>
          <w:szCs w:val="24"/>
        </w:rPr>
        <w:t xml:space="preserve"> (</w:t>
      </w:r>
      <w:r w:rsidR="00213942" w:rsidRPr="00213942">
        <w:rPr>
          <w:rFonts w:ascii="Arial" w:hAnsi="Arial" w:cs="Arial"/>
          <w:sz w:val="24"/>
          <w:szCs w:val="24"/>
        </w:rPr>
        <w:t>Hashmi</w:t>
      </w:r>
      <w:r w:rsidR="00213942">
        <w:rPr>
          <w:rFonts w:ascii="Arial" w:hAnsi="Arial" w:cs="Arial"/>
          <w:sz w:val="24"/>
          <w:szCs w:val="24"/>
        </w:rPr>
        <w:t xml:space="preserve"> </w:t>
      </w:r>
      <w:r w:rsidR="00213942" w:rsidRPr="00213942">
        <w:rPr>
          <w:rFonts w:ascii="Arial" w:hAnsi="Arial" w:cs="Arial"/>
          <w:sz w:val="24"/>
          <w:szCs w:val="24"/>
        </w:rPr>
        <w:t>and Iqbal, 2022</w:t>
      </w:r>
      <w:r w:rsidR="00213942">
        <w:rPr>
          <w:rFonts w:ascii="Arial" w:hAnsi="Arial" w:cs="Arial"/>
          <w:sz w:val="24"/>
          <w:szCs w:val="24"/>
        </w:rPr>
        <w:t>, p.676-697)</w:t>
      </w:r>
      <w:r w:rsidRPr="000529AB">
        <w:rPr>
          <w:rFonts w:ascii="Arial" w:hAnsi="Arial" w:cs="Arial"/>
          <w:sz w:val="24"/>
          <w:szCs w:val="24"/>
        </w:rPr>
        <w:t>. The reduction of the debt level and interest expenses will also improve the financial structure.</w:t>
      </w:r>
    </w:p>
    <w:p w14:paraId="6528159B" w14:textId="143877E3" w:rsidR="00621D3D" w:rsidRPr="000529AB" w:rsidRDefault="00621D3D" w:rsidP="00621D3D">
      <w:pPr>
        <w:spacing w:line="360" w:lineRule="auto"/>
        <w:jc w:val="center"/>
        <w:rPr>
          <w:rFonts w:ascii="Arial" w:hAnsi="Arial" w:cs="Arial"/>
          <w:sz w:val="24"/>
          <w:szCs w:val="24"/>
        </w:rPr>
      </w:pPr>
      <w:r>
        <w:rPr>
          <w:rFonts w:ascii="Arial" w:hAnsi="Arial" w:cs="Arial"/>
          <w:noProof/>
          <w:sz w:val="24"/>
          <w:szCs w:val="24"/>
        </w:rPr>
        <w:drawing>
          <wp:inline distT="0" distB="0" distL="0" distR="0" wp14:anchorId="3AEB79E0" wp14:editId="5199CC1E">
            <wp:extent cx="4572635" cy="2743200"/>
            <wp:effectExtent l="0" t="0" r="0" b="0"/>
            <wp:docPr id="13769302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2BDE58EC" w14:textId="7C1DB74D" w:rsidR="00E8028B" w:rsidRPr="000529AB" w:rsidRDefault="00E8028B" w:rsidP="00201C4E">
      <w:pPr>
        <w:spacing w:line="360" w:lineRule="auto"/>
        <w:jc w:val="both"/>
        <w:rPr>
          <w:rFonts w:ascii="Arial" w:hAnsi="Arial" w:cs="Arial"/>
          <w:b/>
          <w:bCs/>
          <w:sz w:val="24"/>
          <w:szCs w:val="24"/>
        </w:rPr>
      </w:pPr>
      <w:r w:rsidRPr="000529AB">
        <w:rPr>
          <w:rFonts w:ascii="Arial" w:hAnsi="Arial" w:cs="Arial"/>
          <w:b/>
          <w:bCs/>
          <w:sz w:val="24"/>
          <w:szCs w:val="24"/>
        </w:rPr>
        <w:t>Debt to Total Equity Ratio</w:t>
      </w:r>
    </w:p>
    <w:p w14:paraId="53DE3E50" w14:textId="678F92FE"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The Debt to Total Equity Ratio shows how much of the total resources has been financed through debt out of the total equity</w:t>
      </w:r>
      <w:r w:rsidR="00213942">
        <w:rPr>
          <w:rFonts w:ascii="Arial" w:hAnsi="Arial" w:cs="Arial"/>
          <w:sz w:val="24"/>
          <w:szCs w:val="24"/>
        </w:rPr>
        <w:t xml:space="preserve"> (</w:t>
      </w:r>
      <w:proofErr w:type="spellStart"/>
      <w:r w:rsidR="00213942" w:rsidRPr="00213942">
        <w:rPr>
          <w:rFonts w:ascii="Arial" w:hAnsi="Arial" w:cs="Arial"/>
          <w:sz w:val="24"/>
          <w:szCs w:val="24"/>
        </w:rPr>
        <w:t>Firman</w:t>
      </w:r>
      <w:proofErr w:type="spellEnd"/>
      <w:r w:rsidR="00213942">
        <w:rPr>
          <w:rFonts w:ascii="Arial" w:hAnsi="Arial" w:cs="Arial"/>
          <w:sz w:val="24"/>
          <w:szCs w:val="24"/>
        </w:rPr>
        <w:t xml:space="preserve"> </w:t>
      </w:r>
      <w:r w:rsidR="00213942" w:rsidRPr="00213942">
        <w:rPr>
          <w:rFonts w:ascii="Arial" w:hAnsi="Arial" w:cs="Arial"/>
          <w:sz w:val="24"/>
          <w:szCs w:val="24"/>
        </w:rPr>
        <w:t>and Salvia, 2021</w:t>
      </w:r>
      <w:r w:rsidR="00213942">
        <w:rPr>
          <w:rFonts w:ascii="Arial" w:hAnsi="Arial" w:cs="Arial"/>
          <w:sz w:val="24"/>
          <w:szCs w:val="24"/>
        </w:rPr>
        <w:t>, p.154-165)</w:t>
      </w:r>
      <w:r w:rsidRPr="000529AB">
        <w:rPr>
          <w:rFonts w:ascii="Arial" w:hAnsi="Arial" w:cs="Arial"/>
          <w:sz w:val="24"/>
          <w:szCs w:val="24"/>
        </w:rPr>
        <w:t>. Sainsbury’s ratios have been fluctuating between 178% and 281% meaning that the firm relies on debts but has a less fluctuating trend than Tesco.</w:t>
      </w:r>
    </w:p>
    <w:p w14:paraId="4A420595" w14:textId="10095C9B"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 xml:space="preserve">Sainsbury’s use more consistent yet, high Debt to Total Equity Ratio suggest a significant amount of debt funding. Tesco’s ratio </w:t>
      </w:r>
      <w:proofErr w:type="gramStart"/>
      <w:r w:rsidRPr="000529AB">
        <w:rPr>
          <w:rFonts w:ascii="Arial" w:hAnsi="Arial" w:cs="Arial"/>
          <w:sz w:val="24"/>
          <w:szCs w:val="24"/>
        </w:rPr>
        <w:t>are</w:t>
      </w:r>
      <w:proofErr w:type="gramEnd"/>
      <w:r w:rsidRPr="000529AB">
        <w:rPr>
          <w:rFonts w:ascii="Arial" w:hAnsi="Arial" w:cs="Arial"/>
          <w:sz w:val="24"/>
          <w:szCs w:val="24"/>
        </w:rPr>
        <w:t xml:space="preserve"> higher varying between 215% and 331% implying higher financial leverage and risk. This shows that </w:t>
      </w:r>
      <w:proofErr w:type="spellStart"/>
      <w:r w:rsidRPr="000529AB">
        <w:rPr>
          <w:rFonts w:ascii="Arial" w:hAnsi="Arial" w:cs="Arial"/>
          <w:sz w:val="24"/>
          <w:szCs w:val="24"/>
        </w:rPr>
        <w:t>sainsbury’s</w:t>
      </w:r>
      <w:proofErr w:type="spellEnd"/>
      <w:r w:rsidRPr="000529AB">
        <w:rPr>
          <w:rFonts w:ascii="Arial" w:hAnsi="Arial" w:cs="Arial"/>
          <w:sz w:val="24"/>
          <w:szCs w:val="24"/>
        </w:rPr>
        <w:t xml:space="preserve"> is volatile less than Tesco, which implies that </w:t>
      </w:r>
      <w:proofErr w:type="spellStart"/>
      <w:r w:rsidRPr="000529AB">
        <w:rPr>
          <w:rFonts w:ascii="Arial" w:hAnsi="Arial" w:cs="Arial"/>
          <w:sz w:val="24"/>
          <w:szCs w:val="24"/>
        </w:rPr>
        <w:t>sainsbury</w:t>
      </w:r>
      <w:proofErr w:type="spellEnd"/>
      <w:r w:rsidRPr="000529AB">
        <w:rPr>
          <w:rFonts w:ascii="Arial" w:hAnsi="Arial" w:cs="Arial"/>
          <w:sz w:val="24"/>
          <w:szCs w:val="24"/>
        </w:rPr>
        <w:t xml:space="preserve"> has a better capital structure compared to Tesco.</w:t>
      </w:r>
      <w:r w:rsidRPr="000529AB">
        <w:rPr>
          <w:rFonts w:ascii="Arial" w:hAnsi="Arial" w:cs="Arial"/>
          <w:sz w:val="24"/>
          <w:szCs w:val="24"/>
        </w:rPr>
        <w:br/>
        <w:t>Sainsbury’s Debt to Total Equity Ratio is lower and less volatile than Tesco’s higher and volatile ratios thus Sainsbury’s has less risk and better capital structure management than Tesco.</w:t>
      </w:r>
    </w:p>
    <w:p w14:paraId="085823FF" w14:textId="0D3FE5BD" w:rsidR="00E8028B" w:rsidRPr="000529AB" w:rsidRDefault="00E8028B" w:rsidP="00201C4E">
      <w:pPr>
        <w:spacing w:line="360" w:lineRule="auto"/>
        <w:jc w:val="both"/>
        <w:rPr>
          <w:rFonts w:ascii="Arial" w:hAnsi="Arial" w:cs="Arial"/>
          <w:sz w:val="24"/>
          <w:szCs w:val="24"/>
        </w:rPr>
      </w:pPr>
      <w:r w:rsidRPr="000529AB">
        <w:rPr>
          <w:rFonts w:ascii="Arial" w:hAnsi="Arial" w:cs="Arial"/>
          <w:sz w:val="24"/>
          <w:szCs w:val="24"/>
        </w:rPr>
        <w:t>Regarding the Debt to Total Equity Ratio, Sainsbury’s needs to embrace equity and possibly go for new share issues, retain its earnings, or attract more investors</w:t>
      </w:r>
      <w:r w:rsidR="00CD4D7B">
        <w:rPr>
          <w:rFonts w:ascii="Arial" w:hAnsi="Arial" w:cs="Arial"/>
          <w:sz w:val="24"/>
          <w:szCs w:val="24"/>
        </w:rPr>
        <w:t xml:space="preserve"> (</w:t>
      </w:r>
      <w:r w:rsidR="00CD4D7B" w:rsidRPr="00CD4D7B">
        <w:rPr>
          <w:rFonts w:ascii="Arial" w:hAnsi="Arial" w:cs="Arial"/>
          <w:sz w:val="24"/>
          <w:szCs w:val="24"/>
        </w:rPr>
        <w:t xml:space="preserve">Siegel, </w:t>
      </w:r>
      <w:r w:rsidR="00CD4D7B" w:rsidRPr="00CD4D7B">
        <w:rPr>
          <w:rFonts w:ascii="Arial" w:hAnsi="Arial" w:cs="Arial"/>
          <w:sz w:val="24"/>
          <w:szCs w:val="24"/>
        </w:rPr>
        <w:lastRenderedPageBreak/>
        <w:t>2021</w:t>
      </w:r>
      <w:r w:rsidR="00CD4D7B">
        <w:rPr>
          <w:rFonts w:ascii="Arial" w:hAnsi="Arial" w:cs="Arial"/>
          <w:sz w:val="24"/>
          <w:szCs w:val="24"/>
        </w:rPr>
        <w:t>)</w:t>
      </w:r>
      <w:r w:rsidRPr="000529AB">
        <w:rPr>
          <w:rFonts w:ascii="Arial" w:hAnsi="Arial" w:cs="Arial"/>
          <w:sz w:val="24"/>
          <w:szCs w:val="24"/>
        </w:rPr>
        <w:t>. Improved working capital and renegotiation of costly credit can also increase the ability to manage risks and improve the company’s financial position.</w:t>
      </w:r>
    </w:p>
    <w:p w14:paraId="5118A3B9" w14:textId="2B5A07A8" w:rsidR="00B55559" w:rsidRDefault="00E8028B" w:rsidP="00201C4E">
      <w:pPr>
        <w:pStyle w:val="Heading2"/>
        <w:numPr>
          <w:ilvl w:val="1"/>
          <w:numId w:val="4"/>
        </w:numPr>
        <w:spacing w:line="360" w:lineRule="auto"/>
        <w:rPr>
          <w:b/>
          <w:bCs/>
          <w:color w:val="auto"/>
        </w:rPr>
      </w:pPr>
      <w:bookmarkStart w:id="6" w:name="_Toc173937143"/>
      <w:r w:rsidRPr="000529AB">
        <w:rPr>
          <w:b/>
          <w:bCs/>
          <w:color w:val="auto"/>
        </w:rPr>
        <w:t>Liquidity Ratios</w:t>
      </w:r>
      <w:bookmarkEnd w:id="6"/>
    </w:p>
    <w:p w14:paraId="1B149FB6" w14:textId="03436807" w:rsidR="007320E2" w:rsidRPr="007320E2" w:rsidRDefault="007320E2" w:rsidP="007320E2">
      <w:r w:rsidRPr="007320E2">
        <w:rPr>
          <w:noProof/>
        </w:rPr>
        <w:drawing>
          <wp:inline distT="0" distB="0" distL="0" distR="0" wp14:anchorId="74717A36" wp14:editId="672DEB09">
            <wp:extent cx="6582383" cy="2198370"/>
            <wp:effectExtent l="0" t="0" r="9525" b="0"/>
            <wp:docPr id="19799621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95795" cy="2202849"/>
                    </a:xfrm>
                    <a:prstGeom prst="rect">
                      <a:avLst/>
                    </a:prstGeom>
                    <a:noFill/>
                    <a:ln>
                      <a:noFill/>
                    </a:ln>
                  </pic:spPr>
                </pic:pic>
              </a:graphicData>
            </a:graphic>
          </wp:inline>
        </w:drawing>
      </w:r>
    </w:p>
    <w:p w14:paraId="5661EBB5" w14:textId="77777777" w:rsidR="00B55559" w:rsidRPr="000529AB" w:rsidRDefault="00B55559" w:rsidP="00201C4E">
      <w:pPr>
        <w:spacing w:line="360" w:lineRule="auto"/>
        <w:jc w:val="both"/>
        <w:rPr>
          <w:rFonts w:ascii="Arial" w:hAnsi="Arial" w:cs="Arial"/>
          <w:b/>
          <w:bCs/>
          <w:sz w:val="24"/>
          <w:szCs w:val="24"/>
        </w:rPr>
      </w:pPr>
      <w:r w:rsidRPr="000529AB">
        <w:rPr>
          <w:rFonts w:ascii="Arial" w:hAnsi="Arial" w:cs="Arial"/>
          <w:b/>
          <w:bCs/>
          <w:sz w:val="24"/>
          <w:szCs w:val="24"/>
        </w:rPr>
        <w:t>Current Ratio</w:t>
      </w:r>
    </w:p>
    <w:p w14:paraId="3EFA64B1" w14:textId="77777777" w:rsidR="00FB00BB" w:rsidRDefault="00B55559" w:rsidP="00201C4E">
      <w:pPr>
        <w:spacing w:line="360" w:lineRule="auto"/>
        <w:jc w:val="both"/>
        <w:rPr>
          <w:rFonts w:ascii="Arial" w:hAnsi="Arial" w:cs="Arial"/>
          <w:sz w:val="24"/>
          <w:szCs w:val="24"/>
        </w:rPr>
      </w:pPr>
      <w:r w:rsidRPr="000529AB">
        <w:rPr>
          <w:rFonts w:ascii="Arial" w:hAnsi="Arial" w:cs="Arial"/>
          <w:sz w:val="24"/>
          <w:szCs w:val="24"/>
        </w:rPr>
        <w:t>The Current Ratio aims at computing the ability of a specific company to clear its short-term obligations with its current assets. It is computed using the formula current assets divided by current liabilities</w:t>
      </w:r>
      <w:r w:rsidR="00FB00BB">
        <w:rPr>
          <w:rFonts w:ascii="Arial" w:hAnsi="Arial" w:cs="Arial"/>
          <w:sz w:val="24"/>
          <w:szCs w:val="24"/>
        </w:rPr>
        <w:t xml:space="preserve"> (</w:t>
      </w:r>
      <w:proofErr w:type="spellStart"/>
      <w:r w:rsidR="00FB00BB" w:rsidRPr="00FB00BB">
        <w:rPr>
          <w:rFonts w:ascii="Arial" w:hAnsi="Arial" w:cs="Arial"/>
          <w:sz w:val="24"/>
          <w:szCs w:val="24"/>
        </w:rPr>
        <w:t>Tumanggor</w:t>
      </w:r>
      <w:proofErr w:type="spellEnd"/>
      <w:r w:rsidR="00FB00BB" w:rsidRPr="00FB00BB">
        <w:rPr>
          <w:rFonts w:ascii="Arial" w:hAnsi="Arial" w:cs="Arial"/>
          <w:sz w:val="24"/>
          <w:szCs w:val="24"/>
        </w:rPr>
        <w:t>, 2020</w:t>
      </w:r>
      <w:r w:rsidR="00FB00BB">
        <w:rPr>
          <w:rFonts w:ascii="Arial" w:hAnsi="Arial" w:cs="Arial"/>
          <w:sz w:val="24"/>
          <w:szCs w:val="24"/>
        </w:rPr>
        <w:t>, p.137-146)</w:t>
      </w:r>
      <w:r w:rsidRPr="000529AB">
        <w:rPr>
          <w:rFonts w:ascii="Arial" w:hAnsi="Arial" w:cs="Arial"/>
          <w:sz w:val="24"/>
          <w:szCs w:val="24"/>
        </w:rPr>
        <w:t>. For Sainsbury’s it varied from 0.60 to 0.68 over five years.</w:t>
      </w:r>
    </w:p>
    <w:p w14:paraId="4572D7D5" w14:textId="26F5C35A" w:rsidR="00B55559" w:rsidRPr="000529AB" w:rsidRDefault="00B55559" w:rsidP="00201C4E">
      <w:pPr>
        <w:spacing w:line="360" w:lineRule="auto"/>
        <w:jc w:val="both"/>
        <w:rPr>
          <w:rFonts w:ascii="Arial" w:hAnsi="Arial" w:cs="Arial"/>
          <w:sz w:val="24"/>
          <w:szCs w:val="24"/>
        </w:rPr>
      </w:pPr>
      <w:r w:rsidRPr="000529AB">
        <w:rPr>
          <w:rFonts w:ascii="Arial" w:hAnsi="Arial" w:cs="Arial"/>
          <w:sz w:val="24"/>
          <w:szCs w:val="24"/>
        </w:rPr>
        <w:t xml:space="preserve">By evaluating the Current Ratio of </w:t>
      </w:r>
      <w:proofErr w:type="gramStart"/>
      <w:r w:rsidRPr="000529AB">
        <w:rPr>
          <w:rFonts w:ascii="Arial" w:hAnsi="Arial" w:cs="Arial"/>
          <w:sz w:val="24"/>
          <w:szCs w:val="24"/>
        </w:rPr>
        <w:t>Sainsbury’s</w:t>
      </w:r>
      <w:proofErr w:type="gramEnd"/>
      <w:r w:rsidRPr="000529AB">
        <w:rPr>
          <w:rFonts w:ascii="Arial" w:hAnsi="Arial" w:cs="Arial"/>
          <w:sz w:val="24"/>
          <w:szCs w:val="24"/>
        </w:rPr>
        <w:t xml:space="preserve"> it proves that the liquidity position is moderate, whereby the ratio oscillates around or slightly in excess of 0.60. This may mean that the company won’t be in a position to meet its current liabilities through its current assets. The ratio has, however, slightly increased from 0.60 in 2020 to 0.68 in 2023 and still below the recommended one; an ideal value of 1.00, which may suggest that the company is having cash flow problems.</w:t>
      </w:r>
    </w:p>
    <w:p w14:paraId="1C81E1C1" w14:textId="61CED6A0" w:rsidR="00B55559" w:rsidRPr="000529AB" w:rsidRDefault="00B55559" w:rsidP="00201C4E">
      <w:pPr>
        <w:spacing w:line="360" w:lineRule="auto"/>
        <w:jc w:val="both"/>
        <w:rPr>
          <w:rFonts w:ascii="Arial" w:hAnsi="Arial" w:cs="Arial"/>
          <w:sz w:val="24"/>
          <w:szCs w:val="24"/>
        </w:rPr>
      </w:pPr>
      <w:r w:rsidRPr="000529AB">
        <w:rPr>
          <w:rFonts w:ascii="Arial" w:hAnsi="Arial" w:cs="Arial"/>
          <w:sz w:val="24"/>
          <w:szCs w:val="24"/>
        </w:rPr>
        <w:t xml:space="preserve">With regards to the Current Ratio, it was recorded that Tesco had a Current Ratio that fell between 0.62 to 0.76, However, Sainsbury’s liquidity position is relatively poor. </w:t>
      </w:r>
      <w:proofErr w:type="gramStart"/>
      <w:r w:rsidRPr="000529AB">
        <w:rPr>
          <w:rFonts w:ascii="Arial" w:hAnsi="Arial" w:cs="Arial"/>
          <w:sz w:val="24"/>
          <w:szCs w:val="24"/>
        </w:rPr>
        <w:t>Thus</w:t>
      </w:r>
      <w:proofErr w:type="gramEnd"/>
      <w:r w:rsidRPr="000529AB">
        <w:rPr>
          <w:rFonts w:ascii="Arial" w:hAnsi="Arial" w:cs="Arial"/>
          <w:sz w:val="24"/>
          <w:szCs w:val="24"/>
        </w:rPr>
        <w:t xml:space="preserve"> Tesco has better liquidity position with higher ratio and better coverage of short term liabilities.</w:t>
      </w:r>
    </w:p>
    <w:p w14:paraId="0274BB21" w14:textId="287FFA53" w:rsidR="00B55559" w:rsidRDefault="00B55559" w:rsidP="00201C4E">
      <w:pPr>
        <w:spacing w:line="360" w:lineRule="auto"/>
        <w:jc w:val="both"/>
        <w:rPr>
          <w:rFonts w:ascii="Arial" w:hAnsi="Arial" w:cs="Arial"/>
          <w:sz w:val="24"/>
          <w:szCs w:val="24"/>
        </w:rPr>
      </w:pPr>
      <w:r w:rsidRPr="000529AB">
        <w:rPr>
          <w:rFonts w:ascii="Arial" w:hAnsi="Arial" w:cs="Arial"/>
          <w:sz w:val="24"/>
          <w:szCs w:val="24"/>
        </w:rPr>
        <w:t xml:space="preserve">In terms of recommendations, Sainsbury’s should focus on its liquidity and attempt to work on the management of current assets and liabilities. Some of the ways may include </w:t>
      </w:r>
      <w:r w:rsidRPr="000529AB">
        <w:rPr>
          <w:rFonts w:ascii="Arial" w:hAnsi="Arial" w:cs="Arial"/>
          <w:sz w:val="24"/>
          <w:szCs w:val="24"/>
        </w:rPr>
        <w:lastRenderedPageBreak/>
        <w:t>inventory management, improving collection of receivables and negotiating improved payment terms from the suppliers</w:t>
      </w:r>
      <w:r w:rsidR="00DE117E">
        <w:rPr>
          <w:rFonts w:ascii="Arial" w:hAnsi="Arial" w:cs="Arial"/>
          <w:sz w:val="24"/>
          <w:szCs w:val="24"/>
        </w:rPr>
        <w:t xml:space="preserve"> (</w:t>
      </w:r>
      <w:proofErr w:type="spellStart"/>
      <w:r w:rsidR="00DE117E" w:rsidRPr="00DE117E">
        <w:rPr>
          <w:rFonts w:ascii="Arial" w:hAnsi="Arial" w:cs="Arial"/>
          <w:sz w:val="24"/>
          <w:szCs w:val="24"/>
        </w:rPr>
        <w:t>Wuave</w:t>
      </w:r>
      <w:proofErr w:type="spellEnd"/>
      <w:r w:rsidR="00DE117E" w:rsidRPr="00DE117E">
        <w:rPr>
          <w:rFonts w:ascii="Arial" w:hAnsi="Arial" w:cs="Arial"/>
          <w:sz w:val="24"/>
          <w:szCs w:val="24"/>
        </w:rPr>
        <w:t>, Yua, and Yua, 2020</w:t>
      </w:r>
      <w:r w:rsidR="00DE117E">
        <w:rPr>
          <w:rFonts w:ascii="Arial" w:hAnsi="Arial" w:cs="Arial"/>
          <w:sz w:val="24"/>
          <w:szCs w:val="24"/>
        </w:rPr>
        <w:t>, p.30-44)</w:t>
      </w:r>
      <w:r w:rsidRPr="000529AB">
        <w:rPr>
          <w:rFonts w:ascii="Arial" w:hAnsi="Arial" w:cs="Arial"/>
          <w:sz w:val="24"/>
          <w:szCs w:val="24"/>
        </w:rPr>
        <w:t>. Bringing the current ratio to above 1.00 would ensure a safer liquidity buffer and enhance the firms’ financial position.</w:t>
      </w:r>
    </w:p>
    <w:p w14:paraId="38FBFC57" w14:textId="66CF413D" w:rsidR="00ED3256" w:rsidRPr="000529AB" w:rsidRDefault="00ED3256" w:rsidP="00ED3256">
      <w:pPr>
        <w:spacing w:line="360" w:lineRule="auto"/>
        <w:jc w:val="center"/>
        <w:rPr>
          <w:rFonts w:ascii="Arial" w:hAnsi="Arial" w:cs="Arial"/>
          <w:sz w:val="24"/>
          <w:szCs w:val="24"/>
        </w:rPr>
      </w:pPr>
      <w:r>
        <w:rPr>
          <w:rFonts w:ascii="Arial" w:hAnsi="Arial" w:cs="Arial"/>
          <w:noProof/>
          <w:sz w:val="24"/>
          <w:szCs w:val="24"/>
        </w:rPr>
        <w:drawing>
          <wp:inline distT="0" distB="0" distL="0" distR="0" wp14:anchorId="20F1EC1C" wp14:editId="1E02A70C">
            <wp:extent cx="4572635" cy="2743200"/>
            <wp:effectExtent l="0" t="0" r="0" b="0"/>
            <wp:docPr id="1756247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7DF0A3BC" w14:textId="533B98F5" w:rsidR="00B55559" w:rsidRPr="000529AB" w:rsidRDefault="00B55559" w:rsidP="00201C4E">
      <w:pPr>
        <w:spacing w:line="360" w:lineRule="auto"/>
        <w:jc w:val="both"/>
        <w:rPr>
          <w:rFonts w:ascii="Arial" w:hAnsi="Arial" w:cs="Arial"/>
          <w:b/>
          <w:bCs/>
          <w:sz w:val="24"/>
          <w:szCs w:val="24"/>
        </w:rPr>
      </w:pPr>
      <w:r w:rsidRPr="000529AB">
        <w:rPr>
          <w:rFonts w:ascii="Arial" w:hAnsi="Arial" w:cs="Arial"/>
          <w:b/>
          <w:bCs/>
          <w:sz w:val="24"/>
          <w:szCs w:val="24"/>
        </w:rPr>
        <w:t>Quick Ratio or Acid Test Ratio</w:t>
      </w:r>
    </w:p>
    <w:p w14:paraId="16DE1FCC" w14:textId="1123DAAB" w:rsidR="00B55559" w:rsidRPr="000529AB" w:rsidRDefault="00B55559" w:rsidP="00201C4E">
      <w:pPr>
        <w:spacing w:line="360" w:lineRule="auto"/>
        <w:jc w:val="both"/>
        <w:rPr>
          <w:rFonts w:ascii="Arial" w:hAnsi="Arial" w:cs="Arial"/>
          <w:sz w:val="24"/>
          <w:szCs w:val="24"/>
        </w:rPr>
      </w:pPr>
      <w:r w:rsidRPr="000529AB">
        <w:rPr>
          <w:rFonts w:ascii="Arial" w:hAnsi="Arial" w:cs="Arial"/>
          <w:sz w:val="24"/>
          <w:szCs w:val="24"/>
        </w:rPr>
        <w:t>The Quick Ratio, also known as the Acid Test Ratio, assesses a firm’s capacity to pay current liabilities without using inventory proceeds</w:t>
      </w:r>
      <w:r w:rsidR="00B12C48">
        <w:rPr>
          <w:rFonts w:ascii="Arial" w:hAnsi="Arial" w:cs="Arial"/>
          <w:sz w:val="24"/>
          <w:szCs w:val="24"/>
        </w:rPr>
        <w:t xml:space="preserve"> (</w:t>
      </w:r>
      <w:r w:rsidR="00B12C48" w:rsidRPr="00B12C48">
        <w:rPr>
          <w:rFonts w:ascii="Arial" w:hAnsi="Arial" w:cs="Arial"/>
          <w:sz w:val="24"/>
          <w:szCs w:val="24"/>
        </w:rPr>
        <w:t xml:space="preserve">Abas, </w:t>
      </w:r>
      <w:proofErr w:type="spellStart"/>
      <w:r w:rsidR="00B12C48" w:rsidRPr="00B12C48">
        <w:rPr>
          <w:rFonts w:ascii="Arial" w:hAnsi="Arial" w:cs="Arial"/>
          <w:sz w:val="24"/>
          <w:szCs w:val="24"/>
        </w:rPr>
        <w:t>Kawatu</w:t>
      </w:r>
      <w:proofErr w:type="spellEnd"/>
      <w:r w:rsidR="00B12C48">
        <w:rPr>
          <w:rFonts w:ascii="Arial" w:hAnsi="Arial" w:cs="Arial"/>
          <w:sz w:val="24"/>
          <w:szCs w:val="24"/>
        </w:rPr>
        <w:t xml:space="preserve"> </w:t>
      </w:r>
      <w:r w:rsidR="00B12C48" w:rsidRPr="00B12C48">
        <w:rPr>
          <w:rFonts w:ascii="Arial" w:hAnsi="Arial" w:cs="Arial"/>
          <w:sz w:val="24"/>
          <w:szCs w:val="24"/>
        </w:rPr>
        <w:t xml:space="preserve">and </w:t>
      </w:r>
      <w:proofErr w:type="spellStart"/>
      <w:r w:rsidR="00B12C48" w:rsidRPr="00B12C48">
        <w:rPr>
          <w:rFonts w:ascii="Arial" w:hAnsi="Arial" w:cs="Arial"/>
          <w:sz w:val="24"/>
          <w:szCs w:val="24"/>
        </w:rPr>
        <w:t>Kewo</w:t>
      </w:r>
      <w:proofErr w:type="spellEnd"/>
      <w:r w:rsidR="00B12C48" w:rsidRPr="00B12C48">
        <w:rPr>
          <w:rFonts w:ascii="Arial" w:hAnsi="Arial" w:cs="Arial"/>
          <w:sz w:val="24"/>
          <w:szCs w:val="24"/>
        </w:rPr>
        <w:t>, 2020</w:t>
      </w:r>
      <w:r w:rsidR="00B12C48">
        <w:rPr>
          <w:rFonts w:ascii="Arial" w:hAnsi="Arial" w:cs="Arial"/>
          <w:sz w:val="24"/>
          <w:szCs w:val="24"/>
        </w:rPr>
        <w:t>, p.72-78)</w:t>
      </w:r>
      <w:r w:rsidRPr="000529AB">
        <w:rPr>
          <w:rFonts w:ascii="Arial" w:hAnsi="Arial" w:cs="Arial"/>
          <w:sz w:val="24"/>
          <w:szCs w:val="24"/>
        </w:rPr>
        <w:t>. This is arrived at by deducting the inventory figure from the current assets figure and then dividing the result with the current liabilities figure. In the case of Sainsbury’s, the ratio varied from 0.46 to 0.52.</w:t>
      </w:r>
    </w:p>
    <w:p w14:paraId="60A7991E" w14:textId="75CCBE2D" w:rsidR="00B55559" w:rsidRPr="000529AB" w:rsidRDefault="00B55559" w:rsidP="00201C4E">
      <w:pPr>
        <w:spacing w:line="360" w:lineRule="auto"/>
        <w:jc w:val="both"/>
        <w:rPr>
          <w:rFonts w:ascii="Arial" w:hAnsi="Arial" w:cs="Arial"/>
          <w:sz w:val="24"/>
          <w:szCs w:val="24"/>
        </w:rPr>
      </w:pPr>
      <w:r w:rsidRPr="000529AB">
        <w:rPr>
          <w:rFonts w:ascii="Arial" w:hAnsi="Arial" w:cs="Arial"/>
          <w:sz w:val="24"/>
          <w:szCs w:val="24"/>
        </w:rPr>
        <w:t>Sainsbury’s Quick Ratio implies that it has little ability to meet its current obligations if they are due immediately without resorting to the sale of inventory. It remained below 0 for the entire period and fluctuated in a rather stable manner having the highest value of 0.60, confirms that most of the current assets are made up of inventory, which may not be readily realized in the shortest time possible. Though, it increased slightly from 0. 46 in 2020 to 0.52 in 2023 the proportion continues to be low.</w:t>
      </w:r>
    </w:p>
    <w:p w14:paraId="17645FB8" w14:textId="450543F0" w:rsidR="00B55559" w:rsidRPr="000529AB" w:rsidRDefault="00B55559" w:rsidP="00201C4E">
      <w:pPr>
        <w:spacing w:line="360" w:lineRule="auto"/>
        <w:jc w:val="both"/>
        <w:rPr>
          <w:rFonts w:ascii="Arial" w:hAnsi="Arial" w:cs="Arial"/>
          <w:sz w:val="24"/>
          <w:szCs w:val="24"/>
        </w:rPr>
      </w:pPr>
      <w:r w:rsidRPr="000529AB">
        <w:rPr>
          <w:rFonts w:ascii="Arial" w:hAnsi="Arial" w:cs="Arial"/>
          <w:sz w:val="24"/>
          <w:szCs w:val="24"/>
        </w:rPr>
        <w:t xml:space="preserve">Quick Ratio of Tesco is fluctuated from 0.50 to 0.61, which is above Sainsbury’s, in most cases. Tesco has a better Quick Ratio that indicates a better capability of the firm in the </w:t>
      </w:r>
      <w:r w:rsidRPr="000529AB">
        <w:rPr>
          <w:rFonts w:ascii="Arial" w:hAnsi="Arial" w:cs="Arial"/>
          <w:sz w:val="24"/>
          <w:szCs w:val="24"/>
        </w:rPr>
        <w:lastRenderedPageBreak/>
        <w:t>payment of the current liabilities without using the inventory significantly, meaning that in terms of liquidity, Tesco has an advantage over Sainsbury.</w:t>
      </w:r>
    </w:p>
    <w:p w14:paraId="69F6C22C" w14:textId="165993AF" w:rsidR="001F5FCF" w:rsidRPr="000529AB" w:rsidRDefault="00B55559" w:rsidP="00201C4E">
      <w:pPr>
        <w:spacing w:line="360" w:lineRule="auto"/>
        <w:jc w:val="both"/>
        <w:rPr>
          <w:rFonts w:ascii="Arial" w:hAnsi="Arial" w:cs="Arial"/>
          <w:sz w:val="24"/>
          <w:szCs w:val="24"/>
        </w:rPr>
      </w:pPr>
      <w:r w:rsidRPr="000529AB">
        <w:rPr>
          <w:rFonts w:ascii="Arial" w:hAnsi="Arial" w:cs="Arial"/>
          <w:sz w:val="24"/>
          <w:szCs w:val="24"/>
        </w:rPr>
        <w:t>Based on the Quick Ratio, Sainsbury’s should work on how to minimize inventory amounts and how it can increase its inventory turn. Cashing up and working on accounts receivable are other ways to boost it as well</w:t>
      </w:r>
      <w:r w:rsidR="00B12C48">
        <w:rPr>
          <w:rFonts w:ascii="Arial" w:hAnsi="Arial" w:cs="Arial"/>
          <w:sz w:val="24"/>
          <w:szCs w:val="24"/>
        </w:rPr>
        <w:t xml:space="preserve"> (</w:t>
      </w:r>
      <w:r w:rsidR="00B12C48" w:rsidRPr="00B12C48">
        <w:rPr>
          <w:rFonts w:ascii="Arial" w:hAnsi="Arial" w:cs="Arial"/>
          <w:sz w:val="24"/>
          <w:szCs w:val="24"/>
        </w:rPr>
        <w:t>Ahmed, 2022</w:t>
      </w:r>
      <w:r w:rsidR="00B12C48">
        <w:rPr>
          <w:rFonts w:ascii="Arial" w:hAnsi="Arial" w:cs="Arial"/>
          <w:sz w:val="24"/>
          <w:szCs w:val="24"/>
        </w:rPr>
        <w:t>)</w:t>
      </w:r>
      <w:r w:rsidRPr="000529AB">
        <w:rPr>
          <w:rFonts w:ascii="Arial" w:hAnsi="Arial" w:cs="Arial"/>
          <w:sz w:val="24"/>
          <w:szCs w:val="24"/>
        </w:rPr>
        <w:t>. Proper cash flow management and cost control measures will enhance the Quick Ratio performance and improve the company’s liquidity position.</w:t>
      </w:r>
    </w:p>
    <w:p w14:paraId="5CA22614" w14:textId="77777777" w:rsidR="001F5FCF" w:rsidRPr="000529AB" w:rsidRDefault="001F5FCF" w:rsidP="00201C4E">
      <w:pPr>
        <w:pStyle w:val="Heading1"/>
        <w:spacing w:line="360" w:lineRule="auto"/>
        <w:rPr>
          <w:b/>
          <w:bCs/>
          <w:color w:val="auto"/>
        </w:rPr>
      </w:pPr>
      <w:bookmarkStart w:id="7" w:name="_Toc173937144"/>
      <w:r w:rsidRPr="000529AB">
        <w:rPr>
          <w:b/>
          <w:bCs/>
          <w:color w:val="auto"/>
        </w:rPr>
        <w:t>Part C). Investment appraisal</w:t>
      </w:r>
      <w:bookmarkEnd w:id="7"/>
    </w:p>
    <w:p w14:paraId="4CE43F3B" w14:textId="05A819A6" w:rsidR="00FB3F22" w:rsidRPr="000529AB" w:rsidRDefault="00FB3F22" w:rsidP="00201C4E">
      <w:pPr>
        <w:pStyle w:val="Heading2"/>
        <w:numPr>
          <w:ilvl w:val="1"/>
          <w:numId w:val="5"/>
        </w:numPr>
        <w:spacing w:line="360" w:lineRule="auto"/>
        <w:rPr>
          <w:b/>
          <w:bCs/>
          <w:color w:val="auto"/>
        </w:rPr>
      </w:pPr>
      <w:bookmarkStart w:id="8" w:name="_Toc173937145"/>
      <w:r w:rsidRPr="000529AB">
        <w:rPr>
          <w:b/>
          <w:bCs/>
          <w:color w:val="auto"/>
        </w:rPr>
        <w:t>Evaluation and Recommendation for Sainsbury's Investment Projects A and B</w:t>
      </w:r>
      <w:bookmarkEnd w:id="8"/>
    </w:p>
    <w:p w14:paraId="5601AA00" w14:textId="2457870A" w:rsidR="00FB3F22" w:rsidRDefault="00FB3F22" w:rsidP="00201C4E">
      <w:pPr>
        <w:spacing w:line="360" w:lineRule="auto"/>
        <w:jc w:val="both"/>
        <w:rPr>
          <w:rFonts w:ascii="Arial" w:hAnsi="Arial" w:cs="Arial"/>
          <w:sz w:val="24"/>
          <w:szCs w:val="24"/>
        </w:rPr>
      </w:pPr>
      <w:r w:rsidRPr="000529AB">
        <w:rPr>
          <w:rFonts w:ascii="Arial" w:hAnsi="Arial" w:cs="Arial"/>
          <w:sz w:val="24"/>
          <w:szCs w:val="24"/>
        </w:rPr>
        <w:t xml:space="preserve">Sainsbury’s is analyzing two investment projects, Project A and Project B, with different financial characteristics and cash flow patterns. To determine the optimal choice, we will evaluate key financial indicators: Out of these, the most commonly used methods are: Net Present Value (NPV), Payback period, and Accounting Rate of Return (ARR). </w:t>
      </w:r>
    </w:p>
    <w:p w14:paraId="3E9867F9" w14:textId="77777777" w:rsidR="00D443DC" w:rsidRDefault="00546EBB" w:rsidP="00D443DC">
      <w:pPr>
        <w:keepNext/>
        <w:spacing w:line="360" w:lineRule="auto"/>
        <w:jc w:val="both"/>
      </w:pPr>
      <w:r w:rsidRPr="00546EBB">
        <w:rPr>
          <w:noProof/>
        </w:rPr>
        <w:drawing>
          <wp:inline distT="0" distB="0" distL="0" distR="0" wp14:anchorId="71E0EE5C" wp14:editId="091CA961">
            <wp:extent cx="5943600" cy="3652520"/>
            <wp:effectExtent l="0" t="0" r="0" b="5080"/>
            <wp:docPr id="77079051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652520"/>
                    </a:xfrm>
                    <a:prstGeom prst="rect">
                      <a:avLst/>
                    </a:prstGeom>
                    <a:noFill/>
                    <a:ln>
                      <a:noFill/>
                    </a:ln>
                  </pic:spPr>
                </pic:pic>
              </a:graphicData>
            </a:graphic>
          </wp:inline>
        </w:drawing>
      </w:r>
    </w:p>
    <w:p w14:paraId="5E8F6831" w14:textId="4C1A3265" w:rsidR="00546EBB" w:rsidRPr="00D443DC" w:rsidRDefault="00D443DC" w:rsidP="00D443DC">
      <w:pPr>
        <w:pStyle w:val="Caption"/>
        <w:jc w:val="center"/>
        <w:rPr>
          <w:rFonts w:ascii="Arial" w:hAnsi="Arial" w:cs="Arial"/>
          <w:b/>
          <w:bCs/>
          <w:sz w:val="36"/>
          <w:szCs w:val="36"/>
        </w:rPr>
      </w:pPr>
      <w:r w:rsidRPr="00D443DC">
        <w:rPr>
          <w:rFonts w:ascii="Arial" w:hAnsi="Arial" w:cs="Arial"/>
          <w:b/>
          <w:bCs/>
          <w:sz w:val="24"/>
          <w:szCs w:val="24"/>
        </w:rPr>
        <w:t xml:space="preserve">Figure </w:t>
      </w:r>
      <w:r w:rsidRPr="00D443DC">
        <w:rPr>
          <w:rFonts w:ascii="Arial" w:hAnsi="Arial" w:cs="Arial"/>
          <w:b/>
          <w:bCs/>
          <w:sz w:val="24"/>
          <w:szCs w:val="24"/>
        </w:rPr>
        <w:fldChar w:fldCharType="begin"/>
      </w:r>
      <w:r w:rsidRPr="00D443DC">
        <w:rPr>
          <w:rFonts w:ascii="Arial" w:hAnsi="Arial" w:cs="Arial"/>
          <w:b/>
          <w:bCs/>
          <w:sz w:val="24"/>
          <w:szCs w:val="24"/>
        </w:rPr>
        <w:instrText xml:space="preserve"> SEQ Figure \* ARABIC </w:instrText>
      </w:r>
      <w:r w:rsidRPr="00D443DC">
        <w:rPr>
          <w:rFonts w:ascii="Arial" w:hAnsi="Arial" w:cs="Arial"/>
          <w:b/>
          <w:bCs/>
          <w:sz w:val="24"/>
          <w:szCs w:val="24"/>
        </w:rPr>
        <w:fldChar w:fldCharType="separate"/>
      </w:r>
      <w:r>
        <w:rPr>
          <w:rFonts w:ascii="Arial" w:hAnsi="Arial" w:cs="Arial"/>
          <w:b/>
          <w:bCs/>
          <w:noProof/>
          <w:sz w:val="24"/>
          <w:szCs w:val="24"/>
        </w:rPr>
        <w:t>1</w:t>
      </w:r>
      <w:r w:rsidRPr="00D443DC">
        <w:rPr>
          <w:rFonts w:ascii="Arial" w:hAnsi="Arial" w:cs="Arial"/>
          <w:b/>
          <w:bCs/>
          <w:sz w:val="24"/>
          <w:szCs w:val="24"/>
        </w:rPr>
        <w:fldChar w:fldCharType="end"/>
      </w:r>
      <w:r w:rsidRPr="00D443DC">
        <w:rPr>
          <w:rFonts w:ascii="Arial" w:hAnsi="Arial" w:cs="Arial"/>
          <w:b/>
          <w:bCs/>
          <w:sz w:val="24"/>
          <w:szCs w:val="24"/>
        </w:rPr>
        <w:t>: Project A Calculations</w:t>
      </w:r>
    </w:p>
    <w:p w14:paraId="11B8A896" w14:textId="77777777" w:rsidR="00D443DC" w:rsidRDefault="00546EBB" w:rsidP="00D443DC">
      <w:pPr>
        <w:keepNext/>
        <w:spacing w:line="360" w:lineRule="auto"/>
        <w:jc w:val="center"/>
      </w:pPr>
      <w:r w:rsidRPr="00546EBB">
        <w:rPr>
          <w:noProof/>
        </w:rPr>
        <w:lastRenderedPageBreak/>
        <w:drawing>
          <wp:inline distT="0" distB="0" distL="0" distR="0" wp14:anchorId="4BC863AE" wp14:editId="1DAA9960">
            <wp:extent cx="5943600" cy="3652520"/>
            <wp:effectExtent l="0" t="0" r="0" b="5080"/>
            <wp:docPr id="186879385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652520"/>
                    </a:xfrm>
                    <a:prstGeom prst="rect">
                      <a:avLst/>
                    </a:prstGeom>
                    <a:noFill/>
                    <a:ln>
                      <a:noFill/>
                    </a:ln>
                  </pic:spPr>
                </pic:pic>
              </a:graphicData>
            </a:graphic>
          </wp:inline>
        </w:drawing>
      </w:r>
    </w:p>
    <w:p w14:paraId="3C80A722" w14:textId="1BFF52F9" w:rsidR="00ED3256" w:rsidRPr="00D443DC" w:rsidRDefault="00D443DC" w:rsidP="00D443DC">
      <w:pPr>
        <w:pStyle w:val="Caption"/>
        <w:jc w:val="center"/>
        <w:rPr>
          <w:rFonts w:ascii="Arial" w:hAnsi="Arial" w:cs="Arial"/>
          <w:b/>
          <w:bCs/>
          <w:color w:val="auto"/>
          <w:sz w:val="36"/>
          <w:szCs w:val="36"/>
        </w:rPr>
      </w:pPr>
      <w:r w:rsidRPr="00D443DC">
        <w:rPr>
          <w:rFonts w:ascii="Arial" w:hAnsi="Arial" w:cs="Arial"/>
          <w:b/>
          <w:bCs/>
          <w:sz w:val="24"/>
          <w:szCs w:val="24"/>
        </w:rPr>
        <w:t xml:space="preserve">Figure </w:t>
      </w:r>
      <w:r w:rsidRPr="00D443DC">
        <w:rPr>
          <w:rFonts w:ascii="Arial" w:hAnsi="Arial" w:cs="Arial"/>
          <w:b/>
          <w:bCs/>
          <w:sz w:val="24"/>
          <w:szCs w:val="24"/>
        </w:rPr>
        <w:fldChar w:fldCharType="begin"/>
      </w:r>
      <w:r w:rsidRPr="00D443DC">
        <w:rPr>
          <w:rFonts w:ascii="Arial" w:hAnsi="Arial" w:cs="Arial"/>
          <w:b/>
          <w:bCs/>
          <w:sz w:val="24"/>
          <w:szCs w:val="24"/>
        </w:rPr>
        <w:instrText xml:space="preserve"> SEQ Figure \* ARABIC </w:instrText>
      </w:r>
      <w:r w:rsidRPr="00D443DC">
        <w:rPr>
          <w:rFonts w:ascii="Arial" w:hAnsi="Arial" w:cs="Arial"/>
          <w:b/>
          <w:bCs/>
          <w:sz w:val="24"/>
          <w:szCs w:val="24"/>
        </w:rPr>
        <w:fldChar w:fldCharType="separate"/>
      </w:r>
      <w:r w:rsidRPr="00D443DC">
        <w:rPr>
          <w:rFonts w:ascii="Arial" w:hAnsi="Arial" w:cs="Arial"/>
          <w:b/>
          <w:bCs/>
          <w:noProof/>
          <w:sz w:val="24"/>
          <w:szCs w:val="24"/>
        </w:rPr>
        <w:t>2</w:t>
      </w:r>
      <w:r w:rsidRPr="00D443DC">
        <w:rPr>
          <w:rFonts w:ascii="Arial" w:hAnsi="Arial" w:cs="Arial"/>
          <w:b/>
          <w:bCs/>
          <w:sz w:val="24"/>
          <w:szCs w:val="24"/>
        </w:rPr>
        <w:fldChar w:fldCharType="end"/>
      </w:r>
      <w:r w:rsidRPr="00D443DC">
        <w:rPr>
          <w:rFonts w:ascii="Arial" w:hAnsi="Arial" w:cs="Arial"/>
          <w:b/>
          <w:bCs/>
          <w:sz w:val="24"/>
          <w:szCs w:val="24"/>
        </w:rPr>
        <w:t>: Project B Calculations</w:t>
      </w:r>
    </w:p>
    <w:p w14:paraId="18E3AD3A" w14:textId="53CBF9E5" w:rsidR="00FB3F22" w:rsidRPr="000529AB" w:rsidRDefault="00FB3F22" w:rsidP="00201C4E">
      <w:pPr>
        <w:spacing w:line="360" w:lineRule="auto"/>
        <w:jc w:val="both"/>
        <w:rPr>
          <w:rFonts w:ascii="Arial" w:hAnsi="Arial" w:cs="Arial"/>
          <w:b/>
          <w:bCs/>
          <w:sz w:val="24"/>
          <w:szCs w:val="24"/>
        </w:rPr>
      </w:pPr>
      <w:r w:rsidRPr="000529AB">
        <w:rPr>
          <w:rFonts w:ascii="Arial" w:hAnsi="Arial" w:cs="Arial"/>
          <w:b/>
          <w:bCs/>
          <w:sz w:val="24"/>
          <w:szCs w:val="24"/>
        </w:rPr>
        <w:t xml:space="preserve">Net Present Value (NPV) </w:t>
      </w:r>
    </w:p>
    <w:p w14:paraId="090E8385" w14:textId="22C331B4" w:rsidR="00FB3F22" w:rsidRPr="000529AB" w:rsidRDefault="00FB3F22" w:rsidP="00201C4E">
      <w:pPr>
        <w:spacing w:line="360" w:lineRule="auto"/>
        <w:jc w:val="both"/>
        <w:rPr>
          <w:rFonts w:ascii="Arial" w:hAnsi="Arial" w:cs="Arial"/>
          <w:sz w:val="24"/>
          <w:szCs w:val="24"/>
        </w:rPr>
      </w:pPr>
      <w:r w:rsidRPr="000529AB">
        <w:rPr>
          <w:rFonts w:ascii="Arial" w:hAnsi="Arial" w:cs="Arial"/>
          <w:sz w:val="24"/>
          <w:szCs w:val="24"/>
        </w:rPr>
        <w:t>NPV calculates the profitability of an investment by finding the present value of future cash flows by using the cost of capital</w:t>
      </w:r>
      <w:r w:rsidR="00BB1649">
        <w:rPr>
          <w:rFonts w:ascii="Arial" w:hAnsi="Arial" w:cs="Arial"/>
          <w:sz w:val="24"/>
          <w:szCs w:val="24"/>
        </w:rPr>
        <w:t xml:space="preserve"> (</w:t>
      </w:r>
      <w:r w:rsidR="00BB1649" w:rsidRPr="00BB1649">
        <w:rPr>
          <w:rFonts w:ascii="Arial" w:hAnsi="Arial" w:cs="Arial"/>
          <w:sz w:val="24"/>
          <w:szCs w:val="24"/>
        </w:rPr>
        <w:t>Shou, 2022</w:t>
      </w:r>
      <w:r w:rsidR="00BB1649">
        <w:rPr>
          <w:rFonts w:ascii="Arial" w:hAnsi="Arial" w:cs="Arial"/>
          <w:sz w:val="24"/>
          <w:szCs w:val="24"/>
        </w:rPr>
        <w:t>, p.826-830)</w:t>
      </w:r>
      <w:r w:rsidRPr="000529AB">
        <w:rPr>
          <w:rFonts w:ascii="Arial" w:hAnsi="Arial" w:cs="Arial"/>
          <w:sz w:val="24"/>
          <w:szCs w:val="24"/>
        </w:rPr>
        <w:t xml:space="preserve">. In terms of NPV, both projects are almost the same, but project A gives £16,573 while project B is slightly lower at £16,077. Thus, even though Project A has a slightly better NPV, which means a slightly better profitability, this difference is not significant enough to clinch the deal. </w:t>
      </w:r>
    </w:p>
    <w:p w14:paraId="52D09A51" w14:textId="0CD84A2E" w:rsidR="00FB3F22" w:rsidRPr="000529AB" w:rsidRDefault="00FB3F22" w:rsidP="00201C4E">
      <w:pPr>
        <w:spacing w:line="360" w:lineRule="auto"/>
        <w:jc w:val="both"/>
        <w:rPr>
          <w:rFonts w:ascii="Arial" w:hAnsi="Arial" w:cs="Arial"/>
          <w:b/>
          <w:bCs/>
          <w:sz w:val="24"/>
          <w:szCs w:val="24"/>
        </w:rPr>
      </w:pPr>
      <w:r w:rsidRPr="000529AB">
        <w:rPr>
          <w:rFonts w:ascii="Arial" w:hAnsi="Arial" w:cs="Arial"/>
          <w:b/>
          <w:bCs/>
          <w:sz w:val="24"/>
          <w:szCs w:val="24"/>
        </w:rPr>
        <w:t xml:space="preserve">Payback Period </w:t>
      </w:r>
    </w:p>
    <w:p w14:paraId="27BCEDEB" w14:textId="74D1B70D" w:rsidR="00FB3F22" w:rsidRPr="000529AB" w:rsidRDefault="00FB3F22" w:rsidP="00201C4E">
      <w:pPr>
        <w:spacing w:line="360" w:lineRule="auto"/>
        <w:jc w:val="both"/>
        <w:rPr>
          <w:rFonts w:ascii="Arial" w:hAnsi="Arial" w:cs="Arial"/>
          <w:sz w:val="24"/>
          <w:szCs w:val="24"/>
        </w:rPr>
      </w:pPr>
      <w:r w:rsidRPr="000529AB">
        <w:rPr>
          <w:rFonts w:ascii="Arial" w:hAnsi="Arial" w:cs="Arial"/>
          <w:sz w:val="24"/>
          <w:szCs w:val="24"/>
        </w:rPr>
        <w:t>The payback period is a measure that evaluates the time necessary to get the initial investment back</w:t>
      </w:r>
      <w:r w:rsidR="00BB1649">
        <w:rPr>
          <w:rFonts w:ascii="Arial" w:hAnsi="Arial" w:cs="Arial"/>
          <w:sz w:val="24"/>
          <w:szCs w:val="24"/>
        </w:rPr>
        <w:t xml:space="preserve"> (</w:t>
      </w:r>
      <w:r w:rsidR="00BB1649" w:rsidRPr="00BB1649">
        <w:rPr>
          <w:rFonts w:ascii="Arial" w:hAnsi="Arial" w:cs="Arial"/>
          <w:sz w:val="24"/>
          <w:szCs w:val="24"/>
        </w:rPr>
        <w:t>Dai</w:t>
      </w:r>
      <w:r w:rsidR="00BB1649">
        <w:rPr>
          <w:rFonts w:ascii="Arial" w:hAnsi="Arial" w:cs="Arial"/>
          <w:sz w:val="24"/>
          <w:szCs w:val="24"/>
        </w:rPr>
        <w:t xml:space="preserve"> et al. </w:t>
      </w:r>
      <w:r w:rsidR="00BB1649" w:rsidRPr="00BB1649">
        <w:rPr>
          <w:rFonts w:ascii="Arial" w:hAnsi="Arial" w:cs="Arial"/>
          <w:sz w:val="24"/>
          <w:szCs w:val="24"/>
        </w:rPr>
        <w:t>2022</w:t>
      </w:r>
      <w:r w:rsidR="00BB1649">
        <w:rPr>
          <w:rFonts w:ascii="Arial" w:hAnsi="Arial" w:cs="Arial"/>
          <w:sz w:val="24"/>
          <w:szCs w:val="24"/>
        </w:rPr>
        <w:t>, p.185-189)</w:t>
      </w:r>
      <w:r w:rsidRPr="000529AB">
        <w:rPr>
          <w:rFonts w:ascii="Arial" w:hAnsi="Arial" w:cs="Arial"/>
          <w:sz w:val="24"/>
          <w:szCs w:val="24"/>
        </w:rPr>
        <w:t xml:space="preserve">. Project B has a better payback period compared to Project A, 2 years and 4 months, which is 33 months, in contrast to 3 years and 3 months, Thus, a shorter payback period is one more advantage of Project B as far as Sainsbury’s is concerned; it enables the company to secure the invested amount faster and, therefore, to minimize the risks and possibly, start reinvesting earlier. </w:t>
      </w:r>
    </w:p>
    <w:p w14:paraId="09926D02" w14:textId="77777777" w:rsidR="00530C3D" w:rsidRPr="000529AB" w:rsidRDefault="00530C3D" w:rsidP="00201C4E">
      <w:pPr>
        <w:spacing w:line="360" w:lineRule="auto"/>
        <w:jc w:val="both"/>
        <w:rPr>
          <w:rFonts w:ascii="Arial" w:hAnsi="Arial" w:cs="Arial"/>
          <w:b/>
          <w:bCs/>
          <w:sz w:val="24"/>
          <w:szCs w:val="24"/>
        </w:rPr>
      </w:pPr>
      <w:r w:rsidRPr="000529AB">
        <w:rPr>
          <w:rFonts w:ascii="Arial" w:hAnsi="Arial" w:cs="Arial"/>
          <w:b/>
          <w:bCs/>
          <w:sz w:val="24"/>
          <w:szCs w:val="24"/>
        </w:rPr>
        <w:t>Accounting Rate of Return (ARR):</w:t>
      </w:r>
    </w:p>
    <w:p w14:paraId="1C9A2B3C" w14:textId="30711B33" w:rsidR="00FB3F22" w:rsidRPr="000529AB" w:rsidRDefault="00FB3F22" w:rsidP="00201C4E">
      <w:pPr>
        <w:spacing w:line="360" w:lineRule="auto"/>
        <w:jc w:val="both"/>
        <w:rPr>
          <w:rFonts w:ascii="Arial" w:hAnsi="Arial" w:cs="Arial"/>
          <w:sz w:val="24"/>
          <w:szCs w:val="24"/>
        </w:rPr>
      </w:pPr>
      <w:r w:rsidRPr="000529AB">
        <w:rPr>
          <w:rFonts w:ascii="Arial" w:hAnsi="Arial" w:cs="Arial"/>
          <w:sz w:val="24"/>
          <w:szCs w:val="24"/>
        </w:rPr>
        <w:lastRenderedPageBreak/>
        <w:t>ARR takes into account the net annual accounting returns that an investment can make considering the cost of the investment. Project A has an ARR of 60</w:t>
      </w:r>
      <w:r w:rsidR="00A45119" w:rsidRPr="000529AB">
        <w:rPr>
          <w:rFonts w:ascii="Arial" w:hAnsi="Arial" w:cs="Arial"/>
          <w:sz w:val="24"/>
          <w:szCs w:val="24"/>
        </w:rPr>
        <w:t>%</w:t>
      </w:r>
      <w:r w:rsidRPr="000529AB">
        <w:rPr>
          <w:rFonts w:ascii="Arial" w:hAnsi="Arial" w:cs="Arial"/>
          <w:sz w:val="24"/>
          <w:szCs w:val="24"/>
        </w:rPr>
        <w:t xml:space="preserve"> while the second project (Project B) has an ARR 47</w:t>
      </w:r>
      <w:r w:rsidR="00A45119" w:rsidRPr="000529AB">
        <w:rPr>
          <w:rFonts w:ascii="Arial" w:hAnsi="Arial" w:cs="Arial"/>
          <w:sz w:val="24"/>
          <w:szCs w:val="24"/>
        </w:rPr>
        <w:t>%</w:t>
      </w:r>
      <w:r w:rsidRPr="000529AB">
        <w:rPr>
          <w:rFonts w:ascii="Arial" w:hAnsi="Arial" w:cs="Arial"/>
          <w:sz w:val="24"/>
          <w:szCs w:val="24"/>
        </w:rPr>
        <w:t xml:space="preserve">. This implies that profitability is likely to be higher for Project A than for Project B due to generation of higher returns in relation to the cost incurred in the course of the project’s life cycle. </w:t>
      </w:r>
    </w:p>
    <w:p w14:paraId="61796447" w14:textId="4EB91673" w:rsidR="00FB3F22" w:rsidRPr="000529AB" w:rsidRDefault="00FB3F22" w:rsidP="00201C4E">
      <w:pPr>
        <w:spacing w:line="360" w:lineRule="auto"/>
        <w:jc w:val="both"/>
        <w:rPr>
          <w:rFonts w:ascii="Arial" w:hAnsi="Arial" w:cs="Arial"/>
          <w:b/>
          <w:bCs/>
          <w:sz w:val="24"/>
          <w:szCs w:val="24"/>
        </w:rPr>
      </w:pPr>
      <w:r w:rsidRPr="000529AB">
        <w:rPr>
          <w:rFonts w:ascii="Arial" w:hAnsi="Arial" w:cs="Arial"/>
          <w:b/>
          <w:bCs/>
          <w:sz w:val="24"/>
          <w:szCs w:val="24"/>
        </w:rPr>
        <w:t xml:space="preserve">Cash Flow Analysis </w:t>
      </w:r>
    </w:p>
    <w:p w14:paraId="0908DC93" w14:textId="78E98B42" w:rsidR="00FB3F22" w:rsidRPr="000529AB" w:rsidRDefault="00FB3F22" w:rsidP="00201C4E">
      <w:pPr>
        <w:spacing w:line="360" w:lineRule="auto"/>
        <w:jc w:val="both"/>
        <w:rPr>
          <w:rFonts w:ascii="Arial" w:hAnsi="Arial" w:cs="Arial"/>
          <w:sz w:val="24"/>
          <w:szCs w:val="24"/>
        </w:rPr>
      </w:pPr>
      <w:r w:rsidRPr="000529AB">
        <w:rPr>
          <w:rFonts w:ascii="Arial" w:hAnsi="Arial" w:cs="Arial"/>
          <w:sz w:val="24"/>
          <w:szCs w:val="24"/>
        </w:rPr>
        <w:t>Analyzing the annual cash flows, it can be seen that Project B gives more initial cash flows, 50,000 pounds in the first year, as compared to the initial cash flows of 25,000 pounds of Project A in the first year. Nonetheless, a comparison with the data on cash inflow in Project A reported £55,000 in the Year 4, while in the case of Project B, the cash inflow has been consistent from the Year 2 £20,000. From this, it can be deduced that Project A might have more value creation in the long run, while Project B is likely to have more short-term cash generation benefits</w:t>
      </w:r>
      <w:r w:rsidR="00BB1649">
        <w:rPr>
          <w:rFonts w:ascii="Arial" w:hAnsi="Arial" w:cs="Arial"/>
          <w:sz w:val="24"/>
          <w:szCs w:val="24"/>
        </w:rPr>
        <w:t xml:space="preserve"> (</w:t>
      </w:r>
      <w:r w:rsidR="00BB1649" w:rsidRPr="00BB1649">
        <w:rPr>
          <w:rFonts w:ascii="Arial" w:hAnsi="Arial" w:cs="Arial"/>
          <w:sz w:val="24"/>
          <w:szCs w:val="24"/>
        </w:rPr>
        <w:t>Ivaniš, Filipović, and Ivaniš, 2021</w:t>
      </w:r>
      <w:r w:rsidR="00BB1649">
        <w:rPr>
          <w:rFonts w:ascii="Arial" w:hAnsi="Arial" w:cs="Arial"/>
          <w:sz w:val="24"/>
          <w:szCs w:val="24"/>
        </w:rPr>
        <w:t>)</w:t>
      </w:r>
      <w:r w:rsidRPr="000529AB">
        <w:rPr>
          <w:rFonts w:ascii="Arial" w:hAnsi="Arial" w:cs="Arial"/>
          <w:sz w:val="24"/>
          <w:szCs w:val="24"/>
        </w:rPr>
        <w:t xml:space="preserve">. </w:t>
      </w:r>
    </w:p>
    <w:p w14:paraId="73F0CFFE" w14:textId="3C869943" w:rsidR="00FB3F22" w:rsidRPr="000529AB" w:rsidRDefault="00FB3F22" w:rsidP="00201C4E">
      <w:pPr>
        <w:pStyle w:val="Heading2"/>
        <w:numPr>
          <w:ilvl w:val="1"/>
          <w:numId w:val="6"/>
        </w:numPr>
        <w:spacing w:line="360" w:lineRule="auto"/>
        <w:rPr>
          <w:b/>
          <w:bCs/>
          <w:color w:val="auto"/>
        </w:rPr>
      </w:pPr>
      <w:bookmarkStart w:id="9" w:name="_Toc173937146"/>
      <w:r w:rsidRPr="000529AB">
        <w:rPr>
          <w:b/>
          <w:bCs/>
          <w:color w:val="auto"/>
        </w:rPr>
        <w:t>Risk Considerations</w:t>
      </w:r>
      <w:bookmarkEnd w:id="9"/>
      <w:r w:rsidRPr="000529AB">
        <w:rPr>
          <w:b/>
          <w:bCs/>
          <w:color w:val="auto"/>
        </w:rPr>
        <w:t xml:space="preserve"> </w:t>
      </w:r>
    </w:p>
    <w:p w14:paraId="668C231B" w14:textId="786825CD" w:rsidR="00FB3F22" w:rsidRPr="000529AB" w:rsidRDefault="00FB3F22" w:rsidP="00201C4E">
      <w:pPr>
        <w:spacing w:line="360" w:lineRule="auto"/>
        <w:jc w:val="both"/>
        <w:rPr>
          <w:rFonts w:ascii="Arial" w:hAnsi="Arial" w:cs="Arial"/>
          <w:sz w:val="24"/>
          <w:szCs w:val="24"/>
        </w:rPr>
      </w:pPr>
      <w:r w:rsidRPr="000529AB">
        <w:rPr>
          <w:rFonts w:ascii="Arial" w:hAnsi="Arial" w:cs="Arial"/>
          <w:sz w:val="24"/>
          <w:szCs w:val="24"/>
        </w:rPr>
        <w:t xml:space="preserve">Owed on Project B’s payback period to mean that it is less risky since the investment on the project is recovered in a shorter time, especially when undertaking the projects in uncertain economic periods. Project A is somewhat riskier in terms of payback period, however, its ARR is higher, indicating better performance during the project’s life cycle. </w:t>
      </w:r>
    </w:p>
    <w:p w14:paraId="292BA15F" w14:textId="17F4365A" w:rsidR="00FB3F22" w:rsidRPr="000529AB" w:rsidRDefault="00FB3F22" w:rsidP="00201C4E">
      <w:pPr>
        <w:spacing w:line="360" w:lineRule="auto"/>
        <w:jc w:val="both"/>
        <w:rPr>
          <w:rFonts w:ascii="Arial" w:hAnsi="Arial" w:cs="Arial"/>
          <w:b/>
          <w:bCs/>
          <w:sz w:val="24"/>
          <w:szCs w:val="24"/>
        </w:rPr>
      </w:pPr>
      <w:r w:rsidRPr="000529AB">
        <w:rPr>
          <w:rFonts w:ascii="Arial" w:hAnsi="Arial" w:cs="Arial"/>
          <w:b/>
          <w:bCs/>
          <w:sz w:val="24"/>
          <w:szCs w:val="24"/>
        </w:rPr>
        <w:t xml:space="preserve">Strategic Fit </w:t>
      </w:r>
    </w:p>
    <w:p w14:paraId="09DA75D5" w14:textId="33D5463C" w:rsidR="00FB3F22" w:rsidRPr="000529AB" w:rsidRDefault="00FB3F22" w:rsidP="00201C4E">
      <w:pPr>
        <w:spacing w:line="360" w:lineRule="auto"/>
        <w:jc w:val="both"/>
        <w:rPr>
          <w:rFonts w:ascii="Arial" w:hAnsi="Arial" w:cs="Arial"/>
          <w:sz w:val="24"/>
          <w:szCs w:val="24"/>
        </w:rPr>
      </w:pPr>
      <w:r w:rsidRPr="000529AB">
        <w:rPr>
          <w:rFonts w:ascii="Arial" w:hAnsi="Arial" w:cs="Arial"/>
          <w:sz w:val="24"/>
          <w:szCs w:val="24"/>
        </w:rPr>
        <w:t xml:space="preserve">Sainsbury’s SWOT analysis and the strategic priorities should also inform the decision. If consideration is given to the fact that one requires cash today and one wants to recover the investment as soon as possible then Project B is more appropriate. On the other hand, if Sainsbury’s is willing to wait for better returns in the long-run and bear the risks that come with it, then Project A would be more fruitful. </w:t>
      </w:r>
    </w:p>
    <w:p w14:paraId="1CE72853" w14:textId="6E43A31B" w:rsidR="00FB3F22" w:rsidRPr="000529AB" w:rsidRDefault="00FB3F22" w:rsidP="00201C4E">
      <w:pPr>
        <w:spacing w:line="360" w:lineRule="auto"/>
        <w:jc w:val="both"/>
        <w:rPr>
          <w:rFonts w:ascii="Arial" w:hAnsi="Arial" w:cs="Arial"/>
          <w:b/>
          <w:bCs/>
          <w:sz w:val="24"/>
          <w:szCs w:val="24"/>
        </w:rPr>
      </w:pPr>
      <w:r w:rsidRPr="000529AB">
        <w:rPr>
          <w:rFonts w:ascii="Arial" w:hAnsi="Arial" w:cs="Arial"/>
          <w:b/>
          <w:bCs/>
          <w:sz w:val="24"/>
          <w:szCs w:val="24"/>
        </w:rPr>
        <w:t xml:space="preserve">Recommendation </w:t>
      </w:r>
    </w:p>
    <w:p w14:paraId="71C459F0" w14:textId="498E29EE" w:rsidR="00FB3F22" w:rsidRPr="000529AB" w:rsidRDefault="00FB3F22" w:rsidP="00201C4E">
      <w:pPr>
        <w:spacing w:line="360" w:lineRule="auto"/>
        <w:jc w:val="both"/>
        <w:rPr>
          <w:rFonts w:ascii="Arial" w:hAnsi="Arial" w:cs="Arial"/>
          <w:sz w:val="24"/>
          <w:szCs w:val="24"/>
        </w:rPr>
      </w:pPr>
      <w:r w:rsidRPr="000529AB">
        <w:rPr>
          <w:rFonts w:ascii="Arial" w:hAnsi="Arial" w:cs="Arial"/>
          <w:sz w:val="24"/>
          <w:szCs w:val="24"/>
        </w:rPr>
        <w:t xml:space="preserve">With respect to the financial characteristics and business consequences, it is suggested to implement Project B. It is important to note that the short payback period and the cash flow positive nature of the capital expenditure supports the risk reduction and the </w:t>
      </w:r>
      <w:r w:rsidRPr="000529AB">
        <w:rPr>
          <w:rFonts w:ascii="Arial" w:hAnsi="Arial" w:cs="Arial"/>
          <w:sz w:val="24"/>
          <w:szCs w:val="24"/>
        </w:rPr>
        <w:lastRenderedPageBreak/>
        <w:t>enhancement of company liquidity that is so important in the current market</w:t>
      </w:r>
      <w:r w:rsidR="003115E8">
        <w:rPr>
          <w:rFonts w:ascii="Arial" w:hAnsi="Arial" w:cs="Arial"/>
          <w:sz w:val="24"/>
          <w:szCs w:val="24"/>
        </w:rPr>
        <w:t xml:space="preserve"> (</w:t>
      </w:r>
      <w:r w:rsidR="003115E8" w:rsidRPr="003115E8">
        <w:rPr>
          <w:rFonts w:ascii="Arial" w:hAnsi="Arial" w:cs="Arial"/>
          <w:sz w:val="24"/>
          <w:szCs w:val="24"/>
        </w:rPr>
        <w:t>Ullah</w:t>
      </w:r>
      <w:r w:rsidR="003115E8">
        <w:rPr>
          <w:rFonts w:ascii="Arial" w:hAnsi="Arial" w:cs="Arial"/>
          <w:sz w:val="24"/>
          <w:szCs w:val="24"/>
        </w:rPr>
        <w:t xml:space="preserve"> et al. </w:t>
      </w:r>
      <w:r w:rsidR="003115E8" w:rsidRPr="003115E8">
        <w:rPr>
          <w:rFonts w:ascii="Arial" w:hAnsi="Arial" w:cs="Arial"/>
          <w:sz w:val="24"/>
          <w:szCs w:val="24"/>
        </w:rPr>
        <w:t>2023</w:t>
      </w:r>
      <w:r w:rsidR="003115E8">
        <w:rPr>
          <w:rFonts w:ascii="Arial" w:hAnsi="Arial" w:cs="Arial"/>
          <w:sz w:val="24"/>
          <w:szCs w:val="24"/>
        </w:rPr>
        <w:t>, p.360-366)</w:t>
      </w:r>
      <w:r w:rsidRPr="000529AB">
        <w:rPr>
          <w:rFonts w:ascii="Arial" w:hAnsi="Arial" w:cs="Arial"/>
          <w:sz w:val="24"/>
          <w:szCs w:val="24"/>
        </w:rPr>
        <w:t>. If Project A reveals increased long-term profitability, then Project B is more reasonable to implement under the current conditions due to the immediate advantages.</w:t>
      </w:r>
    </w:p>
    <w:p w14:paraId="4712FD45" w14:textId="263AFF3B" w:rsidR="00236A59" w:rsidRPr="000529AB" w:rsidRDefault="00236A59" w:rsidP="00201C4E">
      <w:pPr>
        <w:pStyle w:val="Heading2"/>
        <w:numPr>
          <w:ilvl w:val="1"/>
          <w:numId w:val="7"/>
        </w:numPr>
        <w:spacing w:line="360" w:lineRule="auto"/>
        <w:rPr>
          <w:b/>
          <w:bCs/>
          <w:color w:val="auto"/>
        </w:rPr>
      </w:pPr>
      <w:bookmarkStart w:id="10" w:name="_Toc173937147"/>
      <w:r w:rsidRPr="000529AB">
        <w:rPr>
          <w:b/>
          <w:bCs/>
          <w:color w:val="auto"/>
        </w:rPr>
        <w:t>An evaluation of PBP, ARR and NPV</w:t>
      </w:r>
      <w:bookmarkEnd w:id="10"/>
    </w:p>
    <w:p w14:paraId="3B4B0A33" w14:textId="3E8B24EC" w:rsidR="00236A59"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 xml:space="preserve">Sainsbury’s, like any other large company, is always on the lookout for profitable investment opportunities. For proper decisions making, appropriate capital budgeting methods are crucial. This paper provides a critical evaluation of three traditional techniques, namely Payback Period (PBP), Accounting Rate of Return (ARR), and Net Present Value (NPV) and their suitability for Sainsbury’s investment appraisal. Also, it emphasizes the notion of assessing and </w:t>
      </w:r>
      <w:proofErr w:type="spellStart"/>
      <w:r w:rsidRPr="000529AB">
        <w:rPr>
          <w:rFonts w:ascii="Arial" w:hAnsi="Arial" w:cs="Arial"/>
          <w:sz w:val="24"/>
          <w:szCs w:val="24"/>
        </w:rPr>
        <w:t>recognising</w:t>
      </w:r>
      <w:proofErr w:type="spellEnd"/>
      <w:r w:rsidRPr="000529AB">
        <w:rPr>
          <w:rFonts w:ascii="Arial" w:hAnsi="Arial" w:cs="Arial"/>
          <w:sz w:val="24"/>
          <w:szCs w:val="24"/>
        </w:rPr>
        <w:t xml:space="preserve"> non-financial aspects in the decision-making and evaluation criteria.</w:t>
      </w:r>
    </w:p>
    <w:p w14:paraId="0FC534C2" w14:textId="7B1437F0" w:rsidR="00236A59" w:rsidRPr="000529AB" w:rsidRDefault="00236A59" w:rsidP="00201C4E">
      <w:pPr>
        <w:spacing w:line="360" w:lineRule="auto"/>
        <w:jc w:val="both"/>
        <w:rPr>
          <w:rFonts w:ascii="Arial" w:hAnsi="Arial" w:cs="Arial"/>
          <w:b/>
          <w:bCs/>
          <w:sz w:val="24"/>
          <w:szCs w:val="24"/>
        </w:rPr>
      </w:pPr>
      <w:r w:rsidRPr="000529AB">
        <w:rPr>
          <w:rFonts w:ascii="Arial" w:hAnsi="Arial" w:cs="Arial"/>
          <w:b/>
          <w:bCs/>
          <w:sz w:val="24"/>
          <w:szCs w:val="24"/>
        </w:rPr>
        <w:t>Payback Period (PBP)</w:t>
      </w:r>
    </w:p>
    <w:p w14:paraId="77CFC7A8" w14:textId="6856B368" w:rsidR="00236A59"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The Payback Period (PBP) is one of the simplest methods and aims at determining the time that is needed to recover the initial investment in a project</w:t>
      </w:r>
      <w:r w:rsidR="008719A9">
        <w:rPr>
          <w:rFonts w:ascii="Arial" w:hAnsi="Arial" w:cs="Arial"/>
          <w:sz w:val="24"/>
          <w:szCs w:val="24"/>
        </w:rPr>
        <w:t xml:space="preserve"> (</w:t>
      </w:r>
      <w:r w:rsidR="008719A9" w:rsidRPr="008719A9">
        <w:rPr>
          <w:rFonts w:ascii="Arial" w:hAnsi="Arial" w:cs="Arial"/>
          <w:sz w:val="24"/>
          <w:szCs w:val="24"/>
        </w:rPr>
        <w:t>Reksono, and Rahim, 2023</w:t>
      </w:r>
      <w:r w:rsidR="008719A9">
        <w:rPr>
          <w:rFonts w:ascii="Arial" w:hAnsi="Arial" w:cs="Arial"/>
          <w:sz w:val="24"/>
          <w:szCs w:val="24"/>
        </w:rPr>
        <w:t>)</w:t>
      </w:r>
      <w:r w:rsidRPr="000529AB">
        <w:rPr>
          <w:rFonts w:ascii="Arial" w:hAnsi="Arial" w:cs="Arial"/>
          <w:sz w:val="24"/>
          <w:szCs w:val="24"/>
        </w:rPr>
        <w:t>. The fact that it is simple is a major strength, because it will be easily grasped by managers. It also emphasizes cash receipts, which are very essential for the survival of any business.</w:t>
      </w:r>
    </w:p>
    <w:p w14:paraId="65E8E166" w14:textId="50BDC1E7" w:rsidR="00236A59"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Nevertheless, the following are the limitations of PBP: It does not take the time value of money into consideration, which implies that cash flows that would be received in the future are given the same value as the current cash flows. This can lead to suboptimal decisions especially when evaluating long-term investments with huge initial costs but which yield large revenues in the future. Also, PBP does not show consideration for cash flows beyond the payback period, which may lead to rejection of profitable projects by the company</w:t>
      </w:r>
      <w:r w:rsidR="008719A9">
        <w:rPr>
          <w:rFonts w:ascii="Arial" w:hAnsi="Arial" w:cs="Arial"/>
          <w:sz w:val="24"/>
          <w:szCs w:val="24"/>
        </w:rPr>
        <w:t xml:space="preserve"> (</w:t>
      </w:r>
      <w:r w:rsidR="008719A9" w:rsidRPr="008719A9">
        <w:rPr>
          <w:rFonts w:ascii="Arial" w:hAnsi="Arial" w:cs="Arial"/>
          <w:sz w:val="24"/>
          <w:szCs w:val="24"/>
        </w:rPr>
        <w:t>Study Smarter</w:t>
      </w:r>
      <w:r w:rsidR="008719A9">
        <w:rPr>
          <w:rFonts w:ascii="Arial" w:hAnsi="Arial" w:cs="Arial"/>
          <w:sz w:val="24"/>
          <w:szCs w:val="24"/>
        </w:rPr>
        <w:t xml:space="preserve">, </w:t>
      </w:r>
      <w:r w:rsidR="008719A9" w:rsidRPr="008719A9">
        <w:rPr>
          <w:rFonts w:ascii="Arial" w:hAnsi="Arial" w:cs="Arial"/>
          <w:sz w:val="24"/>
          <w:szCs w:val="24"/>
        </w:rPr>
        <w:t>2023</w:t>
      </w:r>
      <w:r w:rsidR="008719A9">
        <w:rPr>
          <w:rFonts w:ascii="Arial" w:hAnsi="Arial" w:cs="Arial"/>
          <w:sz w:val="24"/>
          <w:szCs w:val="24"/>
        </w:rPr>
        <w:t>)</w:t>
      </w:r>
      <w:r w:rsidRPr="000529AB">
        <w:rPr>
          <w:rFonts w:ascii="Arial" w:hAnsi="Arial" w:cs="Arial"/>
          <w:sz w:val="24"/>
          <w:szCs w:val="24"/>
        </w:rPr>
        <w:t>.</w:t>
      </w:r>
    </w:p>
    <w:p w14:paraId="4C8BDE6D" w14:textId="77777777" w:rsidR="00135640"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In the case of Sainsbury’s, PBP could be applied for measuring the feasibility of short-term projects with immediate returns, for instance, store redecoration or equipment replacement. Nevertheless, for the strategic, long-term investments such as new stores or technological groundwork, PBP does not work well because of these reasons.</w:t>
      </w:r>
    </w:p>
    <w:p w14:paraId="444BE402" w14:textId="2CE0DA9C" w:rsidR="00236A59" w:rsidRPr="000529AB" w:rsidRDefault="00236A59" w:rsidP="00201C4E">
      <w:pPr>
        <w:spacing w:line="360" w:lineRule="auto"/>
        <w:jc w:val="both"/>
        <w:rPr>
          <w:rFonts w:ascii="Arial" w:hAnsi="Arial" w:cs="Arial"/>
          <w:b/>
          <w:bCs/>
          <w:sz w:val="24"/>
          <w:szCs w:val="24"/>
        </w:rPr>
      </w:pPr>
      <w:r w:rsidRPr="000529AB">
        <w:rPr>
          <w:rFonts w:ascii="Arial" w:hAnsi="Arial" w:cs="Arial"/>
          <w:b/>
          <w:bCs/>
          <w:sz w:val="24"/>
          <w:szCs w:val="24"/>
        </w:rPr>
        <w:lastRenderedPageBreak/>
        <w:t>Accounting Rate of Return (ARR)</w:t>
      </w:r>
    </w:p>
    <w:p w14:paraId="2076B686" w14:textId="02CDBBA5" w:rsidR="00236A59"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The Accounting Rate of Return (ARR) looks at the average annual profit of a project and expresses it as a percentage of the cost of the investment</w:t>
      </w:r>
      <w:r w:rsidR="008719A9">
        <w:rPr>
          <w:rFonts w:ascii="Arial" w:hAnsi="Arial" w:cs="Arial"/>
          <w:sz w:val="24"/>
          <w:szCs w:val="24"/>
        </w:rPr>
        <w:t xml:space="preserve"> (</w:t>
      </w:r>
      <w:proofErr w:type="spellStart"/>
      <w:r w:rsidR="008719A9" w:rsidRPr="008719A9">
        <w:rPr>
          <w:rFonts w:ascii="Arial" w:hAnsi="Arial" w:cs="Arial"/>
          <w:sz w:val="24"/>
          <w:szCs w:val="24"/>
        </w:rPr>
        <w:t>ClearTax</w:t>
      </w:r>
      <w:proofErr w:type="spellEnd"/>
      <w:r w:rsidR="008719A9">
        <w:rPr>
          <w:rFonts w:ascii="Arial" w:hAnsi="Arial" w:cs="Arial"/>
          <w:sz w:val="24"/>
          <w:szCs w:val="24"/>
        </w:rPr>
        <w:t xml:space="preserve">, </w:t>
      </w:r>
      <w:r w:rsidR="008719A9" w:rsidRPr="008719A9">
        <w:rPr>
          <w:rFonts w:ascii="Arial" w:hAnsi="Arial" w:cs="Arial"/>
          <w:sz w:val="24"/>
          <w:szCs w:val="24"/>
        </w:rPr>
        <w:t>2021</w:t>
      </w:r>
      <w:r w:rsidR="008719A9">
        <w:rPr>
          <w:rFonts w:ascii="Arial" w:hAnsi="Arial" w:cs="Arial"/>
          <w:sz w:val="24"/>
          <w:szCs w:val="24"/>
        </w:rPr>
        <w:t>)</w:t>
      </w:r>
      <w:r w:rsidRPr="000529AB">
        <w:rPr>
          <w:rFonts w:ascii="Arial" w:hAnsi="Arial" w:cs="Arial"/>
          <w:sz w:val="24"/>
          <w:szCs w:val="24"/>
        </w:rPr>
        <w:t>. It is simple to compute and comprehend as compared to other costs. ARR also employs accounting profits that senior management is conversant with.</w:t>
      </w:r>
    </w:p>
    <w:p w14:paraId="66111B69" w14:textId="3518C0E9" w:rsidR="00236A59"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However, this research also points to some drawbacks of ARR. Like PBP, it does not consider the concept of the time value of money which can cause some discrepancies. Also, ARR is calculated with reference to accounting profit, which is often managed through accounting entries, thus the results are questionable. Moreover, ARR does not take into account the size of a project and, therefore, it is rather challenging to compare the project of different sizes</w:t>
      </w:r>
      <w:r w:rsidR="008719A9">
        <w:rPr>
          <w:rFonts w:ascii="Arial" w:hAnsi="Arial" w:cs="Arial"/>
          <w:sz w:val="24"/>
          <w:szCs w:val="24"/>
        </w:rPr>
        <w:t xml:space="preserve"> (</w:t>
      </w:r>
      <w:r w:rsidR="008719A9" w:rsidRPr="008719A9">
        <w:rPr>
          <w:rFonts w:ascii="Arial" w:hAnsi="Arial" w:cs="Arial"/>
          <w:sz w:val="24"/>
          <w:szCs w:val="24"/>
        </w:rPr>
        <w:t>NI Business Info</w:t>
      </w:r>
      <w:r w:rsidR="008719A9">
        <w:rPr>
          <w:rFonts w:ascii="Arial" w:hAnsi="Arial" w:cs="Arial"/>
          <w:sz w:val="24"/>
          <w:szCs w:val="24"/>
        </w:rPr>
        <w:t xml:space="preserve">, </w:t>
      </w:r>
      <w:r w:rsidR="008719A9" w:rsidRPr="008719A9">
        <w:rPr>
          <w:rFonts w:ascii="Arial" w:hAnsi="Arial" w:cs="Arial"/>
          <w:sz w:val="24"/>
          <w:szCs w:val="24"/>
        </w:rPr>
        <w:t>2023</w:t>
      </w:r>
      <w:r w:rsidR="008719A9">
        <w:rPr>
          <w:rFonts w:ascii="Arial" w:hAnsi="Arial" w:cs="Arial"/>
          <w:sz w:val="24"/>
          <w:szCs w:val="24"/>
        </w:rPr>
        <w:t>)</w:t>
      </w:r>
      <w:r w:rsidRPr="000529AB">
        <w:rPr>
          <w:rFonts w:ascii="Arial" w:hAnsi="Arial" w:cs="Arial"/>
          <w:sz w:val="24"/>
          <w:szCs w:val="24"/>
        </w:rPr>
        <w:t>.</w:t>
      </w:r>
    </w:p>
    <w:p w14:paraId="35E6E398" w14:textId="1E583123" w:rsidR="00236A59"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Although ARR is acceptable for presenting a rough picture of the profitability, it is not very helpful for making sophisticated investment decision at Sainsbury’s due to the following reasons. It is more useful for the first pass filter of projects rather than the last evaluation of a project.</w:t>
      </w:r>
    </w:p>
    <w:p w14:paraId="6DBF9F47" w14:textId="64DFD377" w:rsidR="00236A59" w:rsidRPr="000529AB" w:rsidRDefault="00236A59" w:rsidP="00201C4E">
      <w:pPr>
        <w:spacing w:line="360" w:lineRule="auto"/>
        <w:jc w:val="both"/>
        <w:rPr>
          <w:rFonts w:ascii="Arial" w:hAnsi="Arial" w:cs="Arial"/>
          <w:b/>
          <w:bCs/>
          <w:sz w:val="24"/>
          <w:szCs w:val="24"/>
        </w:rPr>
      </w:pPr>
      <w:r w:rsidRPr="000529AB">
        <w:rPr>
          <w:rFonts w:ascii="Arial" w:hAnsi="Arial" w:cs="Arial"/>
          <w:b/>
          <w:bCs/>
          <w:sz w:val="24"/>
          <w:szCs w:val="24"/>
        </w:rPr>
        <w:t>Net Present Value (NPV)</w:t>
      </w:r>
    </w:p>
    <w:p w14:paraId="3E325F8E" w14:textId="7834849B" w:rsidR="00236A59"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Another more advanced technique is the Net Present Value (NPV) that estimates the present value of all the expected future cash flows discounted at a particular rate of return deemed appropriate</w:t>
      </w:r>
      <w:r w:rsidR="008719A9">
        <w:rPr>
          <w:rFonts w:ascii="Arial" w:hAnsi="Arial" w:cs="Arial"/>
          <w:sz w:val="24"/>
          <w:szCs w:val="24"/>
        </w:rPr>
        <w:t xml:space="preserve"> (</w:t>
      </w:r>
      <w:r w:rsidR="008719A9" w:rsidRPr="008719A9">
        <w:rPr>
          <w:rFonts w:ascii="Arial" w:hAnsi="Arial" w:cs="Arial"/>
          <w:sz w:val="24"/>
          <w:szCs w:val="24"/>
        </w:rPr>
        <w:t>Fortaleza, Neto and Miranda, 2020</w:t>
      </w:r>
      <w:r w:rsidR="008719A9">
        <w:rPr>
          <w:rFonts w:ascii="Arial" w:hAnsi="Arial" w:cs="Arial"/>
          <w:sz w:val="24"/>
          <w:szCs w:val="24"/>
        </w:rPr>
        <w:t>, p.1087-1100)</w:t>
      </w:r>
      <w:r w:rsidRPr="000529AB">
        <w:rPr>
          <w:rFonts w:ascii="Arial" w:hAnsi="Arial" w:cs="Arial"/>
          <w:sz w:val="24"/>
          <w:szCs w:val="24"/>
        </w:rPr>
        <w:t>. One of the main advantages of this approach is that it takes into account the time value of money, which is essential for analyzing long-term investment projects. A project with NPV greater than zero is considered a goodwill project while one with NPV less than zero should be rejected.</w:t>
      </w:r>
    </w:p>
    <w:p w14:paraId="59AB0CCF" w14:textId="76A5CAB5" w:rsidR="00236A59"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As a result, NPV is considered to be the most accurate method of capital budgeting among all of the above-discussed techniques. It includes cash flows, time value of money and the cost of capital of the particular firm. Nevertheless, NPV entails the determination of the appropriate discount rate and the future cash flows which might be difficult to obtain</w:t>
      </w:r>
      <w:r w:rsidR="008719A9">
        <w:rPr>
          <w:rFonts w:ascii="Arial" w:hAnsi="Arial" w:cs="Arial"/>
          <w:sz w:val="24"/>
          <w:szCs w:val="24"/>
        </w:rPr>
        <w:t xml:space="preserve"> (</w:t>
      </w:r>
      <w:proofErr w:type="spellStart"/>
      <w:r w:rsidR="008719A9" w:rsidRPr="008719A9">
        <w:rPr>
          <w:rFonts w:ascii="Arial" w:hAnsi="Arial" w:cs="Arial"/>
          <w:sz w:val="24"/>
          <w:szCs w:val="24"/>
        </w:rPr>
        <w:t>Focacci</w:t>
      </w:r>
      <w:proofErr w:type="spellEnd"/>
      <w:r w:rsidR="008719A9" w:rsidRPr="008719A9">
        <w:rPr>
          <w:rFonts w:ascii="Arial" w:hAnsi="Arial" w:cs="Arial"/>
          <w:sz w:val="24"/>
          <w:szCs w:val="24"/>
        </w:rPr>
        <w:t>, 2022</w:t>
      </w:r>
      <w:r w:rsidR="008719A9">
        <w:rPr>
          <w:rFonts w:ascii="Arial" w:hAnsi="Arial" w:cs="Arial"/>
          <w:sz w:val="24"/>
          <w:szCs w:val="24"/>
        </w:rPr>
        <w:t>, p.79-98</w:t>
      </w:r>
      <w:proofErr w:type="gramStart"/>
      <w:r w:rsidR="008719A9">
        <w:rPr>
          <w:rFonts w:ascii="Arial" w:hAnsi="Arial" w:cs="Arial"/>
          <w:sz w:val="24"/>
          <w:szCs w:val="24"/>
        </w:rPr>
        <w:t>)</w:t>
      </w:r>
      <w:r w:rsidRPr="000529AB">
        <w:rPr>
          <w:rFonts w:ascii="Arial" w:hAnsi="Arial" w:cs="Arial"/>
          <w:sz w:val="24"/>
          <w:szCs w:val="24"/>
        </w:rPr>
        <w:t>.Therefore</w:t>
      </w:r>
      <w:proofErr w:type="gramEnd"/>
      <w:r w:rsidRPr="000529AB">
        <w:rPr>
          <w:rFonts w:ascii="Arial" w:hAnsi="Arial" w:cs="Arial"/>
          <w:sz w:val="24"/>
          <w:szCs w:val="24"/>
        </w:rPr>
        <w:t xml:space="preserve">, for Sainsbury’s, NPV is the most appropriate model to use, to assess large investments like new store outlets, supply chain management </w:t>
      </w:r>
      <w:r w:rsidRPr="000529AB">
        <w:rPr>
          <w:rFonts w:ascii="Arial" w:hAnsi="Arial" w:cs="Arial"/>
          <w:sz w:val="24"/>
          <w:szCs w:val="24"/>
        </w:rPr>
        <w:lastRenderedPageBreak/>
        <w:t xml:space="preserve">enhancement or technology integration. NPV takes into consideration the time value of money and offers a clear indication of profitability hence aiding in decision making. </w:t>
      </w:r>
    </w:p>
    <w:p w14:paraId="12174083" w14:textId="0416DDFC" w:rsidR="00236A59" w:rsidRPr="000529AB" w:rsidRDefault="00236A59" w:rsidP="00201C4E">
      <w:pPr>
        <w:pStyle w:val="Heading2"/>
        <w:numPr>
          <w:ilvl w:val="1"/>
          <w:numId w:val="7"/>
        </w:numPr>
        <w:spacing w:line="360" w:lineRule="auto"/>
        <w:rPr>
          <w:b/>
          <w:bCs/>
          <w:color w:val="auto"/>
        </w:rPr>
      </w:pPr>
      <w:bookmarkStart w:id="11" w:name="_Toc173937148"/>
      <w:r w:rsidRPr="000529AB">
        <w:rPr>
          <w:b/>
          <w:bCs/>
          <w:color w:val="auto"/>
        </w:rPr>
        <w:t>Non-Financial Factors</w:t>
      </w:r>
      <w:bookmarkEnd w:id="11"/>
      <w:r w:rsidRPr="000529AB">
        <w:rPr>
          <w:b/>
          <w:bCs/>
          <w:color w:val="auto"/>
        </w:rPr>
        <w:t xml:space="preserve"> </w:t>
      </w:r>
    </w:p>
    <w:p w14:paraId="211296DE" w14:textId="0078BA38" w:rsidR="00236A59"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 xml:space="preserve">Although the financial analysis is useful and important, there are other factors that are also important in investment management. These factors include: </w:t>
      </w:r>
    </w:p>
    <w:p w14:paraId="61327BBE" w14:textId="7511D58A" w:rsidR="00236A59" w:rsidRPr="000529AB" w:rsidRDefault="00236A59" w:rsidP="00201C4E">
      <w:pPr>
        <w:pStyle w:val="ListParagraph"/>
        <w:numPr>
          <w:ilvl w:val="0"/>
          <w:numId w:val="2"/>
        </w:numPr>
        <w:spacing w:line="360" w:lineRule="auto"/>
        <w:jc w:val="both"/>
        <w:rPr>
          <w:rFonts w:ascii="Arial" w:hAnsi="Arial" w:cs="Arial"/>
          <w:sz w:val="24"/>
          <w:szCs w:val="24"/>
        </w:rPr>
      </w:pPr>
      <w:r w:rsidRPr="000529AB">
        <w:rPr>
          <w:rFonts w:ascii="Arial" w:hAnsi="Arial" w:cs="Arial"/>
          <w:b/>
          <w:bCs/>
          <w:sz w:val="24"/>
          <w:szCs w:val="24"/>
        </w:rPr>
        <w:t>Strategic Fit:</w:t>
      </w:r>
      <w:r w:rsidRPr="000529AB">
        <w:rPr>
          <w:rFonts w:ascii="Arial" w:hAnsi="Arial" w:cs="Arial"/>
          <w:sz w:val="24"/>
          <w:szCs w:val="24"/>
        </w:rPr>
        <w:t xml:space="preserve"> The project should be in coherent with the overall business strategy and goals of Sainsbury’s</w:t>
      </w:r>
      <w:r w:rsidR="00574E11">
        <w:rPr>
          <w:rFonts w:ascii="Arial" w:hAnsi="Arial" w:cs="Arial"/>
          <w:sz w:val="24"/>
          <w:szCs w:val="24"/>
        </w:rPr>
        <w:t xml:space="preserve"> (</w:t>
      </w:r>
      <w:proofErr w:type="spellStart"/>
      <w:r w:rsidR="00574E11" w:rsidRPr="00574E11">
        <w:rPr>
          <w:rFonts w:ascii="Arial" w:hAnsi="Arial" w:cs="Arial"/>
          <w:sz w:val="24"/>
          <w:szCs w:val="24"/>
        </w:rPr>
        <w:t>Holbeche</w:t>
      </w:r>
      <w:proofErr w:type="spellEnd"/>
      <w:r w:rsidR="00574E11" w:rsidRPr="00574E11">
        <w:rPr>
          <w:rFonts w:ascii="Arial" w:hAnsi="Arial" w:cs="Arial"/>
          <w:sz w:val="24"/>
          <w:szCs w:val="24"/>
        </w:rPr>
        <w:t>, 2022</w:t>
      </w:r>
      <w:r w:rsidR="00574E11">
        <w:rPr>
          <w:rFonts w:ascii="Arial" w:hAnsi="Arial" w:cs="Arial"/>
          <w:sz w:val="24"/>
          <w:szCs w:val="24"/>
        </w:rPr>
        <w:t>)</w:t>
      </w:r>
      <w:r w:rsidRPr="000529AB">
        <w:rPr>
          <w:rFonts w:ascii="Arial" w:hAnsi="Arial" w:cs="Arial"/>
          <w:sz w:val="24"/>
          <w:szCs w:val="24"/>
        </w:rPr>
        <w:t xml:space="preserve">. </w:t>
      </w:r>
    </w:p>
    <w:p w14:paraId="68C21198" w14:textId="546276A3" w:rsidR="00236A59" w:rsidRPr="000529AB" w:rsidRDefault="00236A59" w:rsidP="00201C4E">
      <w:pPr>
        <w:pStyle w:val="ListParagraph"/>
        <w:numPr>
          <w:ilvl w:val="0"/>
          <w:numId w:val="2"/>
        </w:numPr>
        <w:spacing w:line="360" w:lineRule="auto"/>
        <w:jc w:val="both"/>
        <w:rPr>
          <w:rFonts w:ascii="Arial" w:hAnsi="Arial" w:cs="Arial"/>
          <w:sz w:val="24"/>
          <w:szCs w:val="24"/>
        </w:rPr>
      </w:pPr>
      <w:r w:rsidRPr="000529AB">
        <w:rPr>
          <w:rFonts w:ascii="Arial" w:hAnsi="Arial" w:cs="Arial"/>
          <w:b/>
          <w:bCs/>
          <w:sz w:val="24"/>
          <w:szCs w:val="24"/>
        </w:rPr>
        <w:t>Risk Assessment:</w:t>
      </w:r>
      <w:r w:rsidRPr="000529AB">
        <w:rPr>
          <w:rFonts w:ascii="Arial" w:hAnsi="Arial" w:cs="Arial"/>
          <w:sz w:val="24"/>
          <w:szCs w:val="24"/>
        </w:rPr>
        <w:t xml:space="preserve"> Assessment of possible risks, which may occur at the implementation of the project, like market risks, technological risks, regulatory risks etc. </w:t>
      </w:r>
    </w:p>
    <w:p w14:paraId="7829F1CC" w14:textId="007645DA" w:rsidR="00236A59" w:rsidRPr="000529AB" w:rsidRDefault="00236A59" w:rsidP="00201C4E">
      <w:pPr>
        <w:pStyle w:val="ListParagraph"/>
        <w:numPr>
          <w:ilvl w:val="0"/>
          <w:numId w:val="2"/>
        </w:numPr>
        <w:spacing w:line="360" w:lineRule="auto"/>
        <w:jc w:val="both"/>
        <w:rPr>
          <w:rFonts w:ascii="Arial" w:hAnsi="Arial" w:cs="Arial"/>
          <w:sz w:val="24"/>
          <w:szCs w:val="24"/>
        </w:rPr>
      </w:pPr>
      <w:r w:rsidRPr="000529AB">
        <w:rPr>
          <w:rFonts w:ascii="Arial" w:hAnsi="Arial" w:cs="Arial"/>
          <w:b/>
          <w:bCs/>
          <w:sz w:val="24"/>
          <w:szCs w:val="24"/>
        </w:rPr>
        <w:t>Social and Environmental Impact:</w:t>
      </w:r>
      <w:r w:rsidRPr="000529AB">
        <w:rPr>
          <w:rFonts w:ascii="Arial" w:hAnsi="Arial" w:cs="Arial"/>
          <w:sz w:val="24"/>
          <w:szCs w:val="24"/>
        </w:rPr>
        <w:t xml:space="preserve"> Another factor that needs to be </w:t>
      </w:r>
      <w:proofErr w:type="spellStart"/>
      <w:r w:rsidRPr="000529AB">
        <w:rPr>
          <w:rFonts w:ascii="Arial" w:hAnsi="Arial" w:cs="Arial"/>
          <w:sz w:val="24"/>
          <w:szCs w:val="24"/>
        </w:rPr>
        <w:t>analysed</w:t>
      </w:r>
      <w:proofErr w:type="spellEnd"/>
      <w:r w:rsidRPr="000529AB">
        <w:rPr>
          <w:rFonts w:ascii="Arial" w:hAnsi="Arial" w:cs="Arial"/>
          <w:sz w:val="24"/>
          <w:szCs w:val="24"/>
        </w:rPr>
        <w:t xml:space="preserve"> in relation to the project is the firm’s policy on sustainability and corporate social responsibility, which has been embraced by Sainsbury’s. </w:t>
      </w:r>
    </w:p>
    <w:p w14:paraId="7C2E096E" w14:textId="62257DED" w:rsidR="00236A59" w:rsidRPr="000529AB" w:rsidRDefault="00236A59" w:rsidP="00201C4E">
      <w:pPr>
        <w:pStyle w:val="ListParagraph"/>
        <w:numPr>
          <w:ilvl w:val="0"/>
          <w:numId w:val="2"/>
        </w:numPr>
        <w:spacing w:line="360" w:lineRule="auto"/>
        <w:jc w:val="both"/>
        <w:rPr>
          <w:rFonts w:ascii="Arial" w:hAnsi="Arial" w:cs="Arial"/>
          <w:sz w:val="24"/>
          <w:szCs w:val="24"/>
        </w:rPr>
      </w:pPr>
      <w:r w:rsidRPr="000529AB">
        <w:rPr>
          <w:rFonts w:ascii="Arial" w:hAnsi="Arial" w:cs="Arial"/>
          <w:b/>
          <w:bCs/>
          <w:sz w:val="24"/>
          <w:szCs w:val="24"/>
        </w:rPr>
        <w:t>Stakeholder Impact:</w:t>
      </w:r>
      <w:r w:rsidRPr="000529AB">
        <w:rPr>
          <w:rFonts w:ascii="Arial" w:hAnsi="Arial" w:cs="Arial"/>
          <w:sz w:val="24"/>
          <w:szCs w:val="24"/>
        </w:rPr>
        <w:t xml:space="preserve"> The organizational and social effects of the project on its employee, customers, suppliers, and the community should be determined</w:t>
      </w:r>
      <w:r w:rsidR="007C2815">
        <w:rPr>
          <w:rFonts w:ascii="Arial" w:hAnsi="Arial" w:cs="Arial"/>
          <w:sz w:val="24"/>
          <w:szCs w:val="24"/>
        </w:rPr>
        <w:t xml:space="preserve"> (</w:t>
      </w:r>
      <w:proofErr w:type="spellStart"/>
      <w:r w:rsidR="007C2815" w:rsidRPr="007C2815">
        <w:rPr>
          <w:rFonts w:ascii="Arial" w:hAnsi="Arial" w:cs="Arial"/>
          <w:sz w:val="24"/>
          <w:szCs w:val="24"/>
        </w:rPr>
        <w:t>Pfajfar</w:t>
      </w:r>
      <w:proofErr w:type="spellEnd"/>
      <w:r w:rsidR="007C2815">
        <w:rPr>
          <w:rFonts w:ascii="Arial" w:hAnsi="Arial" w:cs="Arial"/>
          <w:sz w:val="24"/>
          <w:szCs w:val="24"/>
        </w:rPr>
        <w:t xml:space="preserve"> et al.</w:t>
      </w:r>
      <w:r w:rsidR="007C2815" w:rsidRPr="007C2815">
        <w:rPr>
          <w:rFonts w:ascii="Arial" w:hAnsi="Arial" w:cs="Arial"/>
          <w:sz w:val="24"/>
          <w:szCs w:val="24"/>
        </w:rPr>
        <w:t xml:space="preserve"> 2022</w:t>
      </w:r>
      <w:r w:rsidR="007C2815">
        <w:rPr>
          <w:rFonts w:ascii="Arial" w:hAnsi="Arial" w:cs="Arial"/>
          <w:sz w:val="24"/>
          <w:szCs w:val="24"/>
        </w:rPr>
        <w:t>, p.46-61)</w:t>
      </w:r>
      <w:r w:rsidRPr="000529AB">
        <w:rPr>
          <w:rFonts w:ascii="Arial" w:hAnsi="Arial" w:cs="Arial"/>
          <w:sz w:val="24"/>
          <w:szCs w:val="24"/>
        </w:rPr>
        <w:t xml:space="preserve">. </w:t>
      </w:r>
    </w:p>
    <w:p w14:paraId="0D2CB793" w14:textId="35B1043C" w:rsidR="00236A59" w:rsidRPr="000529AB" w:rsidRDefault="00236A59" w:rsidP="00201C4E">
      <w:pPr>
        <w:pStyle w:val="ListParagraph"/>
        <w:numPr>
          <w:ilvl w:val="0"/>
          <w:numId w:val="2"/>
        </w:numPr>
        <w:spacing w:line="360" w:lineRule="auto"/>
        <w:jc w:val="both"/>
        <w:rPr>
          <w:rFonts w:ascii="Arial" w:hAnsi="Arial" w:cs="Arial"/>
          <w:sz w:val="24"/>
          <w:szCs w:val="24"/>
        </w:rPr>
      </w:pPr>
      <w:r w:rsidRPr="000529AB">
        <w:rPr>
          <w:rFonts w:ascii="Arial" w:hAnsi="Arial" w:cs="Arial"/>
          <w:b/>
          <w:bCs/>
          <w:sz w:val="24"/>
          <w:szCs w:val="24"/>
        </w:rPr>
        <w:t>Intangible Benefits:</w:t>
      </w:r>
      <w:r w:rsidRPr="000529AB">
        <w:rPr>
          <w:rFonts w:ascii="Arial" w:hAnsi="Arial" w:cs="Arial"/>
          <w:sz w:val="24"/>
          <w:szCs w:val="24"/>
        </w:rPr>
        <w:t xml:space="preserve"> Any expected improvements from the process including the increase in brand reputation, customer loyalty or satisfaction of employees should be considered to be of a qualitatively different nature. </w:t>
      </w:r>
    </w:p>
    <w:p w14:paraId="5945A26C" w14:textId="3B1C58FB" w:rsidR="00022FDC" w:rsidRPr="000529AB" w:rsidRDefault="00236A59" w:rsidP="00201C4E">
      <w:pPr>
        <w:spacing w:line="360" w:lineRule="auto"/>
        <w:jc w:val="both"/>
        <w:rPr>
          <w:rFonts w:ascii="Arial" w:hAnsi="Arial" w:cs="Arial"/>
          <w:sz w:val="24"/>
          <w:szCs w:val="24"/>
        </w:rPr>
      </w:pPr>
      <w:r w:rsidRPr="000529AB">
        <w:rPr>
          <w:rFonts w:ascii="Arial" w:hAnsi="Arial" w:cs="Arial"/>
          <w:sz w:val="24"/>
          <w:szCs w:val="24"/>
        </w:rPr>
        <w:t>Thus, the company is able to make more balanced investment decisions that will create value for the business over the long run by including qualitative factors.  Therefore, even though PBP and ARR have straightforward formulas that can be applied easily, their drawbacks mean that they are not ideal when it comes to making sophisticated investment evaluations for Sainsbury’s. NPV on the other hand is considered to be a more advanced technique of valuation of projects as compared to UIR. Nevertheless, the non-financial factors need to be taken into account for proper decision-making processes other than relying on financial analysis. The fundamental approach to Sainsbury’s capital budgeting is the usage of quantitative and qualitative evaluations.</w:t>
      </w:r>
    </w:p>
    <w:p w14:paraId="6C4BFC25" w14:textId="58760AEF" w:rsidR="003E13CE" w:rsidRPr="000529AB" w:rsidRDefault="003E13CE" w:rsidP="00201C4E">
      <w:pPr>
        <w:pStyle w:val="Heading1"/>
        <w:spacing w:line="360" w:lineRule="auto"/>
        <w:rPr>
          <w:b/>
          <w:bCs/>
          <w:color w:val="auto"/>
        </w:rPr>
      </w:pPr>
      <w:bookmarkStart w:id="12" w:name="_Toc173937149"/>
      <w:r w:rsidRPr="000529AB">
        <w:rPr>
          <w:b/>
          <w:bCs/>
          <w:color w:val="auto"/>
        </w:rPr>
        <w:lastRenderedPageBreak/>
        <w:t>Conclusion</w:t>
      </w:r>
      <w:bookmarkEnd w:id="12"/>
    </w:p>
    <w:p w14:paraId="16B773D8" w14:textId="00E1D56A" w:rsidR="00AE47B9" w:rsidRPr="000529AB" w:rsidRDefault="00AE47B9" w:rsidP="00201C4E">
      <w:pPr>
        <w:spacing w:line="360" w:lineRule="auto"/>
        <w:jc w:val="both"/>
        <w:rPr>
          <w:rFonts w:ascii="Arial" w:hAnsi="Arial" w:cs="Arial"/>
          <w:sz w:val="24"/>
          <w:szCs w:val="24"/>
        </w:rPr>
      </w:pPr>
      <w:r w:rsidRPr="000529AB">
        <w:rPr>
          <w:rFonts w:ascii="Arial" w:hAnsi="Arial" w:cs="Arial"/>
          <w:sz w:val="24"/>
          <w:szCs w:val="24"/>
        </w:rPr>
        <w:t xml:space="preserve">In conclusion, it is evident that Sainsbury’s has experienced a tough time from the year 2019 to 2023 as they have a lot of issues to manage and deal with which include leadership issue, COVID-19 pandemic and high competition in the UK grocery retail industry. From the financial ratios </w:t>
      </w:r>
      <w:proofErr w:type="gramStart"/>
      <w:r w:rsidRPr="000529AB">
        <w:rPr>
          <w:rFonts w:ascii="Arial" w:hAnsi="Arial" w:cs="Arial"/>
          <w:sz w:val="24"/>
          <w:szCs w:val="24"/>
        </w:rPr>
        <w:t>analysis</w:t>
      </w:r>
      <w:proofErr w:type="gramEnd"/>
      <w:r w:rsidRPr="000529AB">
        <w:rPr>
          <w:rFonts w:ascii="Arial" w:hAnsi="Arial" w:cs="Arial"/>
          <w:sz w:val="24"/>
          <w:szCs w:val="24"/>
        </w:rPr>
        <w:t xml:space="preserve"> it is found out that although Sainsbury’s performance has been comparatively better in some aspects, it has a lot of catching up to do to with its major rival Tesco in terms of profitability efficiency and liquidity ratios.</w:t>
      </w:r>
    </w:p>
    <w:p w14:paraId="3CFB399D" w14:textId="5F880983" w:rsidR="00AE47B9" w:rsidRPr="000529AB" w:rsidRDefault="00AE47B9" w:rsidP="00201C4E">
      <w:pPr>
        <w:spacing w:line="360" w:lineRule="auto"/>
        <w:jc w:val="both"/>
        <w:rPr>
          <w:rFonts w:ascii="Arial" w:hAnsi="Arial" w:cs="Arial"/>
          <w:sz w:val="24"/>
          <w:szCs w:val="24"/>
        </w:rPr>
      </w:pPr>
      <w:r w:rsidRPr="000529AB">
        <w:rPr>
          <w:rFonts w:ascii="Arial" w:hAnsi="Arial" w:cs="Arial"/>
          <w:sz w:val="24"/>
          <w:szCs w:val="24"/>
        </w:rPr>
        <w:t xml:space="preserve">Thus, to enhance its competitive advantage, Sainsbury’s needs to work on increasing the overall operational efficiency, increasing the efficiency of stocks, and making a strong online presence. The management of debt at the company seems to be </w:t>
      </w:r>
      <w:proofErr w:type="gramStart"/>
      <w:r w:rsidRPr="000529AB">
        <w:rPr>
          <w:rFonts w:ascii="Arial" w:hAnsi="Arial" w:cs="Arial"/>
          <w:sz w:val="24"/>
          <w:szCs w:val="24"/>
        </w:rPr>
        <w:t>more sound</w:t>
      </w:r>
      <w:proofErr w:type="gramEnd"/>
      <w:r w:rsidRPr="000529AB">
        <w:rPr>
          <w:rFonts w:ascii="Arial" w:hAnsi="Arial" w:cs="Arial"/>
          <w:sz w:val="24"/>
          <w:szCs w:val="24"/>
        </w:rPr>
        <w:t xml:space="preserve"> than that at Tesco, which is good news; however, there are opportunities for enhancement on asset turnover and liquidity.</w:t>
      </w:r>
    </w:p>
    <w:p w14:paraId="3EDA6578" w14:textId="7AF336BE" w:rsidR="00AE47B9" w:rsidRPr="000529AB" w:rsidRDefault="00AE47B9" w:rsidP="00201C4E">
      <w:pPr>
        <w:spacing w:line="360" w:lineRule="auto"/>
        <w:jc w:val="both"/>
        <w:rPr>
          <w:rFonts w:ascii="Arial" w:hAnsi="Arial" w:cs="Arial"/>
          <w:sz w:val="24"/>
          <w:szCs w:val="24"/>
        </w:rPr>
      </w:pPr>
      <w:r w:rsidRPr="000529AB">
        <w:rPr>
          <w:rFonts w:ascii="Arial" w:hAnsi="Arial" w:cs="Arial"/>
          <w:sz w:val="24"/>
          <w:szCs w:val="24"/>
        </w:rPr>
        <w:t>For the large-scale and long-term investment decisions, Sainsbury’s should rely on the NPV technique as the leading tool; however, the company should also take into account non-financial factors, including strategic cogency, risk, and social responsibilities. Thus, the ability of the company to adjust to the new trends in consumers’ behavior, including the rising popularity of online shopping, will play a critical role in its performance.</w:t>
      </w:r>
    </w:p>
    <w:p w14:paraId="4576238D" w14:textId="356C3FA1" w:rsidR="003E13CE" w:rsidRPr="000529AB" w:rsidRDefault="00AE47B9" w:rsidP="00201C4E">
      <w:pPr>
        <w:spacing w:line="360" w:lineRule="auto"/>
        <w:jc w:val="both"/>
        <w:rPr>
          <w:rFonts w:ascii="Arial" w:hAnsi="Arial" w:cs="Arial"/>
          <w:sz w:val="24"/>
          <w:szCs w:val="24"/>
        </w:rPr>
      </w:pPr>
      <w:r w:rsidRPr="000529AB">
        <w:rPr>
          <w:rFonts w:ascii="Arial" w:hAnsi="Arial" w:cs="Arial"/>
          <w:sz w:val="24"/>
          <w:szCs w:val="24"/>
        </w:rPr>
        <w:t xml:space="preserve">Thus, Sainsbury’s has to innovate, </w:t>
      </w:r>
      <w:r w:rsidR="00BB78CB" w:rsidRPr="000529AB">
        <w:rPr>
          <w:rFonts w:ascii="Arial" w:hAnsi="Arial" w:cs="Arial"/>
          <w:sz w:val="24"/>
          <w:szCs w:val="24"/>
        </w:rPr>
        <w:t>rationalize</w:t>
      </w:r>
      <w:r w:rsidRPr="000529AB">
        <w:rPr>
          <w:rFonts w:ascii="Arial" w:hAnsi="Arial" w:cs="Arial"/>
          <w:sz w:val="24"/>
          <w:szCs w:val="24"/>
        </w:rPr>
        <w:t xml:space="preserve"> and concentrate on customer satisfaction strategies to sustain the competitive position in the changing grocery retail market in the UK. Thus, Sainsbury may try to overcome its operational threats and take advantage of the opportunities to enhance its financial performance and move up in the market.</w:t>
      </w:r>
    </w:p>
    <w:p w14:paraId="6B174588" w14:textId="77777777" w:rsidR="00201C4E" w:rsidRPr="000529AB" w:rsidRDefault="00201C4E" w:rsidP="00201C4E">
      <w:pPr>
        <w:spacing w:line="360" w:lineRule="auto"/>
        <w:jc w:val="both"/>
        <w:rPr>
          <w:rFonts w:ascii="Arial" w:hAnsi="Arial" w:cs="Arial"/>
          <w:sz w:val="24"/>
          <w:szCs w:val="24"/>
        </w:rPr>
      </w:pPr>
    </w:p>
    <w:p w14:paraId="2770ACF9" w14:textId="77777777" w:rsidR="00201C4E" w:rsidRDefault="00201C4E" w:rsidP="00201C4E">
      <w:pPr>
        <w:spacing w:line="360" w:lineRule="auto"/>
        <w:jc w:val="both"/>
        <w:rPr>
          <w:rFonts w:ascii="Arial" w:hAnsi="Arial" w:cs="Arial"/>
          <w:sz w:val="24"/>
          <w:szCs w:val="24"/>
        </w:rPr>
      </w:pPr>
    </w:p>
    <w:p w14:paraId="3658956A" w14:textId="77777777" w:rsidR="001924AE" w:rsidRDefault="001924AE" w:rsidP="00201C4E">
      <w:pPr>
        <w:spacing w:line="360" w:lineRule="auto"/>
        <w:jc w:val="both"/>
        <w:rPr>
          <w:rFonts w:ascii="Arial" w:hAnsi="Arial" w:cs="Arial"/>
          <w:sz w:val="24"/>
          <w:szCs w:val="24"/>
        </w:rPr>
      </w:pPr>
    </w:p>
    <w:p w14:paraId="72DE4993" w14:textId="77777777" w:rsidR="001924AE" w:rsidRDefault="001924AE" w:rsidP="00201C4E">
      <w:pPr>
        <w:spacing w:line="360" w:lineRule="auto"/>
        <w:jc w:val="both"/>
        <w:rPr>
          <w:rFonts w:ascii="Arial" w:hAnsi="Arial" w:cs="Arial"/>
          <w:sz w:val="24"/>
          <w:szCs w:val="24"/>
        </w:rPr>
      </w:pPr>
    </w:p>
    <w:p w14:paraId="660BA8CA" w14:textId="77777777" w:rsidR="001924AE" w:rsidRDefault="001924AE" w:rsidP="00201C4E">
      <w:pPr>
        <w:spacing w:line="360" w:lineRule="auto"/>
        <w:jc w:val="both"/>
        <w:rPr>
          <w:rFonts w:ascii="Arial" w:hAnsi="Arial" w:cs="Arial"/>
          <w:sz w:val="24"/>
          <w:szCs w:val="24"/>
        </w:rPr>
      </w:pPr>
    </w:p>
    <w:p w14:paraId="2E0AC79A" w14:textId="77777777" w:rsidR="001924AE" w:rsidRPr="000529AB" w:rsidRDefault="001924AE" w:rsidP="00201C4E">
      <w:pPr>
        <w:spacing w:line="360" w:lineRule="auto"/>
        <w:jc w:val="both"/>
        <w:rPr>
          <w:rFonts w:ascii="Arial" w:hAnsi="Arial" w:cs="Arial"/>
          <w:sz w:val="24"/>
          <w:szCs w:val="24"/>
        </w:rPr>
      </w:pPr>
    </w:p>
    <w:p w14:paraId="688D8874" w14:textId="04BB0930" w:rsidR="00201C4E" w:rsidRPr="000529AB" w:rsidRDefault="00201C4E" w:rsidP="00201C4E">
      <w:pPr>
        <w:pStyle w:val="Heading1"/>
        <w:rPr>
          <w:b/>
          <w:bCs/>
          <w:color w:val="auto"/>
        </w:rPr>
      </w:pPr>
      <w:bookmarkStart w:id="13" w:name="_Toc173937150"/>
      <w:r w:rsidRPr="000529AB">
        <w:rPr>
          <w:b/>
          <w:bCs/>
          <w:color w:val="auto"/>
        </w:rPr>
        <w:lastRenderedPageBreak/>
        <w:t>References</w:t>
      </w:r>
      <w:bookmarkEnd w:id="13"/>
    </w:p>
    <w:p w14:paraId="2D3FA505"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 xml:space="preserve">Abas, H., </w:t>
      </w:r>
      <w:proofErr w:type="spellStart"/>
      <w:r w:rsidRPr="00A946A8">
        <w:rPr>
          <w:rFonts w:ascii="Arial" w:hAnsi="Arial" w:cs="Arial"/>
          <w:sz w:val="24"/>
          <w:szCs w:val="24"/>
        </w:rPr>
        <w:t>Kawatu</w:t>
      </w:r>
      <w:proofErr w:type="spellEnd"/>
      <w:r w:rsidRPr="00A946A8">
        <w:rPr>
          <w:rFonts w:ascii="Arial" w:hAnsi="Arial" w:cs="Arial"/>
          <w:sz w:val="24"/>
          <w:szCs w:val="24"/>
        </w:rPr>
        <w:t xml:space="preserve">, F.S. and </w:t>
      </w:r>
      <w:proofErr w:type="spellStart"/>
      <w:r w:rsidRPr="00A946A8">
        <w:rPr>
          <w:rFonts w:ascii="Arial" w:hAnsi="Arial" w:cs="Arial"/>
          <w:sz w:val="24"/>
          <w:szCs w:val="24"/>
        </w:rPr>
        <w:t>Kewo</w:t>
      </w:r>
      <w:proofErr w:type="spellEnd"/>
      <w:r w:rsidRPr="00A946A8">
        <w:rPr>
          <w:rFonts w:ascii="Arial" w:hAnsi="Arial" w:cs="Arial"/>
          <w:sz w:val="24"/>
          <w:szCs w:val="24"/>
        </w:rPr>
        <w:t>, C.L., (2020). Analysis of profit growth of manufacturing companies listed on the Indonesia Stock Exchange (IDX) for 2013-2017 Period. </w:t>
      </w:r>
      <w:r w:rsidRPr="00A946A8">
        <w:rPr>
          <w:rFonts w:ascii="Arial" w:hAnsi="Arial" w:cs="Arial"/>
          <w:i/>
          <w:iCs/>
          <w:sz w:val="24"/>
          <w:szCs w:val="24"/>
        </w:rPr>
        <w:t>International Journal of Applied Business and International Management (IJABIM)</w:t>
      </w:r>
      <w:r w:rsidRPr="00A946A8">
        <w:rPr>
          <w:rFonts w:ascii="Arial" w:hAnsi="Arial" w:cs="Arial"/>
          <w:sz w:val="24"/>
          <w:szCs w:val="24"/>
        </w:rPr>
        <w:t>, pp.72-78.</w:t>
      </w:r>
    </w:p>
    <w:p w14:paraId="7DAA6E1B"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Ahmed, A.Y., (2022). </w:t>
      </w:r>
      <w:r w:rsidRPr="00A946A8">
        <w:rPr>
          <w:rFonts w:ascii="Arial" w:hAnsi="Arial" w:cs="Arial"/>
          <w:i/>
          <w:iCs/>
          <w:sz w:val="24"/>
          <w:szCs w:val="24"/>
        </w:rPr>
        <w:t>Working capital management and financial performance of small and medium enterprises in Garissa County, Kenya</w:t>
      </w:r>
      <w:r w:rsidRPr="00A946A8">
        <w:rPr>
          <w:rFonts w:ascii="Arial" w:hAnsi="Arial" w:cs="Arial"/>
          <w:sz w:val="24"/>
          <w:szCs w:val="24"/>
        </w:rPr>
        <w:t> (Doctoral dissertation, Doctoral dissertation, Kenyatta University).</w:t>
      </w:r>
    </w:p>
    <w:p w14:paraId="0E4EF1FB"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Aldubhani</w:t>
      </w:r>
      <w:proofErr w:type="spellEnd"/>
      <w:r w:rsidRPr="00A946A8">
        <w:rPr>
          <w:rFonts w:ascii="Arial" w:hAnsi="Arial" w:cs="Arial"/>
          <w:sz w:val="24"/>
          <w:szCs w:val="24"/>
        </w:rPr>
        <w:t xml:space="preserve">, M.A., Wang, J., Gong, T. and </w:t>
      </w:r>
      <w:proofErr w:type="spellStart"/>
      <w:r w:rsidRPr="00A946A8">
        <w:rPr>
          <w:rFonts w:ascii="Arial" w:hAnsi="Arial" w:cs="Arial"/>
          <w:sz w:val="24"/>
          <w:szCs w:val="24"/>
        </w:rPr>
        <w:t>Maudhah</w:t>
      </w:r>
      <w:proofErr w:type="spellEnd"/>
      <w:r w:rsidRPr="00A946A8">
        <w:rPr>
          <w:rFonts w:ascii="Arial" w:hAnsi="Arial" w:cs="Arial"/>
          <w:sz w:val="24"/>
          <w:szCs w:val="24"/>
        </w:rPr>
        <w:t>, R.A., (2022). Impact of working capital management on profitability: evidence from listed companies in Qatar. </w:t>
      </w:r>
      <w:r w:rsidRPr="00A946A8">
        <w:rPr>
          <w:rFonts w:ascii="Arial" w:hAnsi="Arial" w:cs="Arial"/>
          <w:i/>
          <w:iCs/>
          <w:sz w:val="24"/>
          <w:szCs w:val="24"/>
        </w:rPr>
        <w:t>Journal of Money and Business</w:t>
      </w:r>
      <w:r w:rsidRPr="00A946A8">
        <w:rPr>
          <w:rFonts w:ascii="Arial" w:hAnsi="Arial" w:cs="Arial"/>
          <w:sz w:val="24"/>
          <w:szCs w:val="24"/>
        </w:rPr>
        <w:t>, </w:t>
      </w:r>
      <w:r w:rsidRPr="00A946A8">
        <w:rPr>
          <w:rFonts w:ascii="Arial" w:hAnsi="Arial" w:cs="Arial"/>
          <w:i/>
          <w:iCs/>
          <w:sz w:val="24"/>
          <w:szCs w:val="24"/>
        </w:rPr>
        <w:t>2</w:t>
      </w:r>
      <w:r w:rsidRPr="00A946A8">
        <w:rPr>
          <w:rFonts w:ascii="Arial" w:hAnsi="Arial" w:cs="Arial"/>
          <w:sz w:val="24"/>
          <w:szCs w:val="24"/>
        </w:rPr>
        <w:t>(1), pp.70-81.</w:t>
      </w:r>
    </w:p>
    <w:p w14:paraId="05A5DA84" w14:textId="77777777" w:rsidR="00A946A8" w:rsidRPr="00A946A8" w:rsidRDefault="00A946A8" w:rsidP="00A946A8">
      <w:pPr>
        <w:spacing w:line="600" w:lineRule="auto"/>
        <w:ind w:left="720" w:hanging="720"/>
        <w:jc w:val="both"/>
        <w:rPr>
          <w:rFonts w:ascii="Arial" w:hAnsi="Arial" w:cs="Arial"/>
          <w:sz w:val="24"/>
          <w:szCs w:val="24"/>
        </w:rPr>
      </w:pPr>
      <w:r w:rsidRPr="00CC51EF">
        <w:rPr>
          <w:rFonts w:ascii="Arial" w:hAnsi="Arial" w:cs="Arial"/>
          <w:sz w:val="24"/>
          <w:szCs w:val="24"/>
        </w:rPr>
        <w:t xml:space="preserve">Amin, S. (2022). </w:t>
      </w:r>
      <w:r w:rsidRPr="00CC51EF">
        <w:rPr>
          <w:rFonts w:ascii="Arial" w:hAnsi="Arial" w:cs="Arial"/>
          <w:i/>
          <w:iCs/>
          <w:sz w:val="24"/>
          <w:szCs w:val="24"/>
        </w:rPr>
        <w:t>UK Grocery Retailer Deep Dive: Sainsbury’s</w:t>
      </w:r>
      <w:r w:rsidRPr="00CC51EF">
        <w:rPr>
          <w:rFonts w:ascii="Arial" w:hAnsi="Arial" w:cs="Arial"/>
          <w:sz w:val="24"/>
          <w:szCs w:val="24"/>
        </w:rPr>
        <w:t>. [online] estorebrands.com. Available at: https://estorebrands.com/blog/uk-grocery-retailer-deep-dive-sainsburys [Accessed 7 Aug. 2024].</w:t>
      </w:r>
    </w:p>
    <w:p w14:paraId="46BCB37F"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Cevikcan</w:t>
      </w:r>
      <w:proofErr w:type="spellEnd"/>
      <w:r w:rsidRPr="00A946A8">
        <w:rPr>
          <w:rFonts w:ascii="Arial" w:hAnsi="Arial" w:cs="Arial"/>
          <w:sz w:val="24"/>
          <w:szCs w:val="24"/>
        </w:rPr>
        <w:t>, E. and Kose, Y., (2021). Optimization of profitability and liquidity for residential projects under debt and equity financing. </w:t>
      </w:r>
      <w:r w:rsidRPr="00A946A8">
        <w:rPr>
          <w:rFonts w:ascii="Arial" w:hAnsi="Arial" w:cs="Arial"/>
          <w:i/>
          <w:iCs/>
          <w:sz w:val="24"/>
          <w:szCs w:val="24"/>
        </w:rPr>
        <w:t>Built Environment Project and Asset Management</w:t>
      </w:r>
      <w:r w:rsidRPr="00A946A8">
        <w:rPr>
          <w:rFonts w:ascii="Arial" w:hAnsi="Arial" w:cs="Arial"/>
          <w:sz w:val="24"/>
          <w:szCs w:val="24"/>
        </w:rPr>
        <w:t>, </w:t>
      </w:r>
      <w:r w:rsidRPr="00A946A8">
        <w:rPr>
          <w:rFonts w:ascii="Arial" w:hAnsi="Arial" w:cs="Arial"/>
          <w:i/>
          <w:iCs/>
          <w:sz w:val="24"/>
          <w:szCs w:val="24"/>
        </w:rPr>
        <w:t>11</w:t>
      </w:r>
      <w:r w:rsidRPr="00A946A8">
        <w:rPr>
          <w:rFonts w:ascii="Arial" w:hAnsi="Arial" w:cs="Arial"/>
          <w:sz w:val="24"/>
          <w:szCs w:val="24"/>
        </w:rPr>
        <w:t>(2), pp.369-391.</w:t>
      </w:r>
    </w:p>
    <w:p w14:paraId="503EFC28"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8719A9">
        <w:rPr>
          <w:rFonts w:ascii="Arial" w:hAnsi="Arial" w:cs="Arial"/>
          <w:sz w:val="24"/>
          <w:szCs w:val="24"/>
        </w:rPr>
        <w:lastRenderedPageBreak/>
        <w:t>ClearTax</w:t>
      </w:r>
      <w:proofErr w:type="spellEnd"/>
      <w:r w:rsidRPr="008719A9">
        <w:rPr>
          <w:rFonts w:ascii="Arial" w:hAnsi="Arial" w:cs="Arial"/>
          <w:sz w:val="24"/>
          <w:szCs w:val="24"/>
        </w:rPr>
        <w:t xml:space="preserve"> (2021). </w:t>
      </w:r>
      <w:r w:rsidRPr="008719A9">
        <w:rPr>
          <w:rFonts w:ascii="Arial" w:hAnsi="Arial" w:cs="Arial"/>
          <w:i/>
          <w:iCs/>
          <w:sz w:val="24"/>
          <w:szCs w:val="24"/>
        </w:rPr>
        <w:t>Accounting rate of return</w:t>
      </w:r>
      <w:r w:rsidRPr="008719A9">
        <w:rPr>
          <w:rFonts w:ascii="Arial" w:hAnsi="Arial" w:cs="Arial"/>
          <w:sz w:val="24"/>
          <w:szCs w:val="24"/>
        </w:rPr>
        <w:t>. [online] cleartax.in. Available at: https://cleartax.in/s/arr [Accessed 7 Aug. 2024].</w:t>
      </w:r>
    </w:p>
    <w:p w14:paraId="1B5C6F63"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Dai, H., Li, N., Wang, Y. and Zhao, X., (2022), March. The analysis of three main investment criteria: NPV IRR and payback period. In </w:t>
      </w:r>
      <w:r w:rsidRPr="00A946A8">
        <w:rPr>
          <w:rFonts w:ascii="Arial" w:hAnsi="Arial" w:cs="Arial"/>
          <w:i/>
          <w:iCs/>
          <w:sz w:val="24"/>
          <w:szCs w:val="24"/>
        </w:rPr>
        <w:t>2022 7th International Conference on Financial Innovation and Economic Development (ICFIED 2022)</w:t>
      </w:r>
      <w:r w:rsidRPr="00A946A8">
        <w:rPr>
          <w:rFonts w:ascii="Arial" w:hAnsi="Arial" w:cs="Arial"/>
          <w:sz w:val="24"/>
          <w:szCs w:val="24"/>
        </w:rPr>
        <w:t> (pp. 185-189). Atlantis Press.</w:t>
      </w:r>
    </w:p>
    <w:p w14:paraId="4429EF2C" w14:textId="77777777" w:rsidR="00A946A8" w:rsidRPr="00A946A8" w:rsidRDefault="00A946A8" w:rsidP="00A946A8">
      <w:pPr>
        <w:spacing w:line="600" w:lineRule="auto"/>
        <w:ind w:left="720" w:hanging="720"/>
        <w:jc w:val="both"/>
        <w:rPr>
          <w:rFonts w:ascii="Arial" w:hAnsi="Arial" w:cs="Arial"/>
          <w:sz w:val="24"/>
          <w:szCs w:val="24"/>
        </w:rPr>
      </w:pPr>
      <w:r w:rsidRPr="00AB6A37">
        <w:rPr>
          <w:rFonts w:ascii="Arial" w:hAnsi="Arial" w:cs="Arial"/>
          <w:sz w:val="24"/>
          <w:szCs w:val="24"/>
        </w:rPr>
        <w:t xml:space="preserve">Davey, J. (2024). </w:t>
      </w:r>
      <w:r w:rsidRPr="00AB6A37">
        <w:rPr>
          <w:rFonts w:ascii="Arial" w:hAnsi="Arial" w:cs="Arial"/>
          <w:i/>
          <w:iCs/>
          <w:sz w:val="24"/>
          <w:szCs w:val="24"/>
        </w:rPr>
        <w:t>As Tesco and Sainsbury’s seize the moment, UK grocery laggards face uphill task</w:t>
      </w:r>
      <w:r w:rsidRPr="00AB6A37">
        <w:rPr>
          <w:rFonts w:ascii="Arial" w:hAnsi="Arial" w:cs="Arial"/>
          <w:sz w:val="24"/>
          <w:szCs w:val="24"/>
        </w:rPr>
        <w:t>. [online] Available at: https://www.reuters.com/business/retail-consumer/tesco-sainsburys-seize-moment-uk-grocery-laggards-face-uphill-task-2024-03-11/ [Accessed 7 Aug. 2024].</w:t>
      </w:r>
    </w:p>
    <w:p w14:paraId="17C94C65"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Deo, P., (2021). Fixed Asset Management-Revisited. </w:t>
      </w:r>
      <w:r w:rsidRPr="00A946A8">
        <w:rPr>
          <w:rFonts w:ascii="Arial" w:hAnsi="Arial" w:cs="Arial"/>
          <w:i/>
          <w:iCs/>
          <w:sz w:val="24"/>
          <w:szCs w:val="24"/>
        </w:rPr>
        <w:t>Journal of Accounting and Finance</w:t>
      </w:r>
      <w:r w:rsidRPr="00A946A8">
        <w:rPr>
          <w:rFonts w:ascii="Arial" w:hAnsi="Arial" w:cs="Arial"/>
          <w:sz w:val="24"/>
          <w:szCs w:val="24"/>
        </w:rPr>
        <w:t>, </w:t>
      </w:r>
      <w:r w:rsidRPr="00A946A8">
        <w:rPr>
          <w:rFonts w:ascii="Arial" w:hAnsi="Arial" w:cs="Arial"/>
          <w:i/>
          <w:iCs/>
          <w:sz w:val="24"/>
          <w:szCs w:val="24"/>
        </w:rPr>
        <w:t>21</w:t>
      </w:r>
      <w:r w:rsidRPr="00A946A8">
        <w:rPr>
          <w:rFonts w:ascii="Arial" w:hAnsi="Arial" w:cs="Arial"/>
          <w:sz w:val="24"/>
          <w:szCs w:val="24"/>
        </w:rPr>
        <w:t>(1), pp.10-22.</w:t>
      </w:r>
    </w:p>
    <w:p w14:paraId="20847744"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Fernie</w:t>
      </w:r>
      <w:proofErr w:type="spellEnd"/>
      <w:r w:rsidRPr="00A946A8">
        <w:rPr>
          <w:rFonts w:ascii="Arial" w:hAnsi="Arial" w:cs="Arial"/>
          <w:sz w:val="24"/>
          <w:szCs w:val="24"/>
        </w:rPr>
        <w:t>, J., (2023). Relationships in the supply chain. In </w:t>
      </w:r>
      <w:r w:rsidRPr="00A946A8">
        <w:rPr>
          <w:rFonts w:ascii="Arial" w:hAnsi="Arial" w:cs="Arial"/>
          <w:i/>
          <w:iCs/>
          <w:sz w:val="24"/>
          <w:szCs w:val="24"/>
        </w:rPr>
        <w:t>Logistics and retail management insights into current practice and trends from leading experts</w:t>
      </w:r>
      <w:r w:rsidRPr="00A946A8">
        <w:rPr>
          <w:rFonts w:ascii="Arial" w:hAnsi="Arial" w:cs="Arial"/>
          <w:sz w:val="24"/>
          <w:szCs w:val="24"/>
        </w:rPr>
        <w:t> (pp. 23-46). CRC Press.</w:t>
      </w:r>
    </w:p>
    <w:p w14:paraId="14E02480"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Firman</w:t>
      </w:r>
      <w:proofErr w:type="spellEnd"/>
      <w:r w:rsidRPr="00A946A8">
        <w:rPr>
          <w:rFonts w:ascii="Arial" w:hAnsi="Arial" w:cs="Arial"/>
          <w:sz w:val="24"/>
          <w:szCs w:val="24"/>
        </w:rPr>
        <w:t xml:space="preserve">, D. and Salvia, S., (2021). The Effect </w:t>
      </w:r>
      <w:proofErr w:type="gramStart"/>
      <w:r w:rsidRPr="00A946A8">
        <w:rPr>
          <w:rFonts w:ascii="Arial" w:hAnsi="Arial" w:cs="Arial"/>
          <w:sz w:val="24"/>
          <w:szCs w:val="24"/>
        </w:rPr>
        <w:t>Of</w:t>
      </w:r>
      <w:proofErr w:type="gramEnd"/>
      <w:r w:rsidRPr="00A946A8">
        <w:rPr>
          <w:rFonts w:ascii="Arial" w:hAnsi="Arial" w:cs="Arial"/>
          <w:sz w:val="24"/>
          <w:szCs w:val="24"/>
        </w:rPr>
        <w:t xml:space="preserve"> Total Asset Turnover, Net Profit Margin, And Debt To Equity Ratio On Profit Growth On The Indonesia Stock </w:t>
      </w:r>
      <w:r w:rsidRPr="00A946A8">
        <w:rPr>
          <w:rFonts w:ascii="Arial" w:hAnsi="Arial" w:cs="Arial"/>
          <w:sz w:val="24"/>
          <w:szCs w:val="24"/>
        </w:rPr>
        <w:lastRenderedPageBreak/>
        <w:t>Exchange. </w:t>
      </w:r>
      <w:r w:rsidRPr="00A946A8">
        <w:rPr>
          <w:rFonts w:ascii="Arial" w:hAnsi="Arial" w:cs="Arial"/>
          <w:i/>
          <w:iCs/>
          <w:sz w:val="24"/>
          <w:szCs w:val="24"/>
        </w:rPr>
        <w:t>International Journal of Economic, Technology and Social Sciences (Injects)</w:t>
      </w:r>
      <w:r w:rsidRPr="00A946A8">
        <w:rPr>
          <w:rFonts w:ascii="Arial" w:hAnsi="Arial" w:cs="Arial"/>
          <w:sz w:val="24"/>
          <w:szCs w:val="24"/>
        </w:rPr>
        <w:t>, </w:t>
      </w:r>
      <w:r w:rsidRPr="00A946A8">
        <w:rPr>
          <w:rFonts w:ascii="Arial" w:hAnsi="Arial" w:cs="Arial"/>
          <w:i/>
          <w:iCs/>
          <w:sz w:val="24"/>
          <w:szCs w:val="24"/>
        </w:rPr>
        <w:t>2</w:t>
      </w:r>
      <w:r w:rsidRPr="00A946A8">
        <w:rPr>
          <w:rFonts w:ascii="Arial" w:hAnsi="Arial" w:cs="Arial"/>
          <w:sz w:val="24"/>
          <w:szCs w:val="24"/>
        </w:rPr>
        <w:t>(1), pp.154-165.</w:t>
      </w:r>
    </w:p>
    <w:p w14:paraId="75E51033"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Firman</w:t>
      </w:r>
      <w:proofErr w:type="spellEnd"/>
      <w:r w:rsidRPr="00A946A8">
        <w:rPr>
          <w:rFonts w:ascii="Arial" w:hAnsi="Arial" w:cs="Arial"/>
          <w:sz w:val="24"/>
          <w:szCs w:val="24"/>
        </w:rPr>
        <w:t xml:space="preserve">, D. and Salvia, S., (2021). The Effect </w:t>
      </w:r>
      <w:proofErr w:type="gramStart"/>
      <w:r w:rsidRPr="00A946A8">
        <w:rPr>
          <w:rFonts w:ascii="Arial" w:hAnsi="Arial" w:cs="Arial"/>
          <w:sz w:val="24"/>
          <w:szCs w:val="24"/>
        </w:rPr>
        <w:t>Of</w:t>
      </w:r>
      <w:proofErr w:type="gramEnd"/>
      <w:r w:rsidRPr="00A946A8">
        <w:rPr>
          <w:rFonts w:ascii="Arial" w:hAnsi="Arial" w:cs="Arial"/>
          <w:sz w:val="24"/>
          <w:szCs w:val="24"/>
        </w:rPr>
        <w:t xml:space="preserve"> Total Asset Turnover, Net Profit Margin, And Debt To Equity Ratio On Profit Growth On The Indonesia Stock Exchange. </w:t>
      </w:r>
      <w:r w:rsidRPr="00A946A8">
        <w:rPr>
          <w:rFonts w:ascii="Arial" w:hAnsi="Arial" w:cs="Arial"/>
          <w:i/>
          <w:iCs/>
          <w:sz w:val="24"/>
          <w:szCs w:val="24"/>
        </w:rPr>
        <w:t>International Journal of Economic, Technology and Social Sciences (Injects)</w:t>
      </w:r>
      <w:r w:rsidRPr="00A946A8">
        <w:rPr>
          <w:rFonts w:ascii="Arial" w:hAnsi="Arial" w:cs="Arial"/>
          <w:sz w:val="24"/>
          <w:szCs w:val="24"/>
        </w:rPr>
        <w:t>, </w:t>
      </w:r>
      <w:r w:rsidRPr="00A946A8">
        <w:rPr>
          <w:rFonts w:ascii="Arial" w:hAnsi="Arial" w:cs="Arial"/>
          <w:i/>
          <w:iCs/>
          <w:sz w:val="24"/>
          <w:szCs w:val="24"/>
        </w:rPr>
        <w:t>2</w:t>
      </w:r>
      <w:r w:rsidRPr="00A946A8">
        <w:rPr>
          <w:rFonts w:ascii="Arial" w:hAnsi="Arial" w:cs="Arial"/>
          <w:sz w:val="24"/>
          <w:szCs w:val="24"/>
        </w:rPr>
        <w:t>(1), pp.154-165.</w:t>
      </w:r>
    </w:p>
    <w:p w14:paraId="6FAB5C3A"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Focacci</w:t>
      </w:r>
      <w:proofErr w:type="spellEnd"/>
      <w:r w:rsidRPr="00A946A8">
        <w:rPr>
          <w:rFonts w:ascii="Arial" w:hAnsi="Arial" w:cs="Arial"/>
          <w:sz w:val="24"/>
          <w:szCs w:val="24"/>
        </w:rPr>
        <w:t>, A., (2022). The investment rate of return at the end of the period: a future worth approach to capital budgeting. </w:t>
      </w:r>
      <w:r w:rsidRPr="00A946A8">
        <w:rPr>
          <w:rFonts w:ascii="Arial" w:hAnsi="Arial" w:cs="Arial"/>
          <w:i/>
          <w:iCs/>
          <w:sz w:val="24"/>
          <w:szCs w:val="24"/>
        </w:rPr>
        <w:t>International Journal of Revenue Management</w:t>
      </w:r>
      <w:r w:rsidRPr="00A946A8">
        <w:rPr>
          <w:rFonts w:ascii="Arial" w:hAnsi="Arial" w:cs="Arial"/>
          <w:sz w:val="24"/>
          <w:szCs w:val="24"/>
        </w:rPr>
        <w:t>, </w:t>
      </w:r>
      <w:r w:rsidRPr="00A946A8">
        <w:rPr>
          <w:rFonts w:ascii="Arial" w:hAnsi="Arial" w:cs="Arial"/>
          <w:i/>
          <w:iCs/>
          <w:sz w:val="24"/>
          <w:szCs w:val="24"/>
        </w:rPr>
        <w:t>13</w:t>
      </w:r>
      <w:r w:rsidRPr="00A946A8">
        <w:rPr>
          <w:rFonts w:ascii="Arial" w:hAnsi="Arial" w:cs="Arial"/>
          <w:sz w:val="24"/>
          <w:szCs w:val="24"/>
        </w:rPr>
        <w:t>(1-2), pp.79-98.</w:t>
      </w:r>
    </w:p>
    <w:p w14:paraId="1BFE05E6"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Fortaleza, E.L.F., Neto, E.P.B. and Miranda, M.E.R., (2020). Production optimization using a modified net present value. Computational Geosciences, 24, pp.1087-1100.</w:t>
      </w:r>
    </w:p>
    <w:p w14:paraId="7B350086" w14:textId="77777777" w:rsidR="00A946A8" w:rsidRPr="00A946A8" w:rsidRDefault="00A946A8" w:rsidP="00A946A8">
      <w:pPr>
        <w:spacing w:line="600" w:lineRule="auto"/>
        <w:ind w:left="720" w:hanging="720"/>
        <w:jc w:val="both"/>
        <w:rPr>
          <w:rFonts w:ascii="Arial" w:hAnsi="Arial" w:cs="Arial"/>
          <w:sz w:val="24"/>
          <w:szCs w:val="24"/>
        </w:rPr>
      </w:pPr>
      <w:r w:rsidRPr="008E26A6">
        <w:rPr>
          <w:rFonts w:ascii="Arial" w:hAnsi="Arial" w:cs="Arial"/>
          <w:sz w:val="24"/>
          <w:szCs w:val="24"/>
        </w:rPr>
        <w:t xml:space="preserve">GOV.UK (2023). </w:t>
      </w:r>
      <w:r w:rsidRPr="008E26A6">
        <w:rPr>
          <w:rFonts w:ascii="Arial" w:hAnsi="Arial" w:cs="Arial"/>
          <w:i/>
          <w:iCs/>
          <w:sz w:val="24"/>
          <w:szCs w:val="24"/>
        </w:rPr>
        <w:t xml:space="preserve">Impact of COVID-19 pandemic on grocery shopping </w:t>
      </w:r>
      <w:proofErr w:type="spellStart"/>
      <w:r w:rsidRPr="008E26A6">
        <w:rPr>
          <w:rFonts w:ascii="Arial" w:hAnsi="Arial" w:cs="Arial"/>
          <w:i/>
          <w:iCs/>
          <w:sz w:val="24"/>
          <w:szCs w:val="24"/>
        </w:rPr>
        <w:t>behaviours</w:t>
      </w:r>
      <w:proofErr w:type="spellEnd"/>
      <w:r w:rsidRPr="008E26A6">
        <w:rPr>
          <w:rFonts w:ascii="Arial" w:hAnsi="Arial" w:cs="Arial"/>
          <w:sz w:val="24"/>
          <w:szCs w:val="24"/>
        </w:rPr>
        <w:t>. [online] Available at: https://assets.publishing.service.gov.uk/media/5fa169aa8fa8f57f34060db3/Grocery_Purchasing_Report.pdf [Accessed 7 Aug. 2024].</w:t>
      </w:r>
    </w:p>
    <w:p w14:paraId="3B6208D2"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lastRenderedPageBreak/>
        <w:t>Hashmi, M.A. and Iqbal, M.S., (2022). Impact of working capital management on firm profitability and liquidity: the moderating role of family ownership. </w:t>
      </w:r>
      <w:r w:rsidRPr="00A946A8">
        <w:rPr>
          <w:rFonts w:ascii="Arial" w:hAnsi="Arial" w:cs="Arial"/>
          <w:i/>
          <w:iCs/>
          <w:sz w:val="24"/>
          <w:szCs w:val="24"/>
        </w:rPr>
        <w:t>Accounting Research Journal</w:t>
      </w:r>
      <w:r w:rsidRPr="00A946A8">
        <w:rPr>
          <w:rFonts w:ascii="Arial" w:hAnsi="Arial" w:cs="Arial"/>
          <w:sz w:val="24"/>
          <w:szCs w:val="24"/>
        </w:rPr>
        <w:t>, </w:t>
      </w:r>
      <w:r w:rsidRPr="00A946A8">
        <w:rPr>
          <w:rFonts w:ascii="Arial" w:hAnsi="Arial" w:cs="Arial"/>
          <w:i/>
          <w:iCs/>
          <w:sz w:val="24"/>
          <w:szCs w:val="24"/>
        </w:rPr>
        <w:t>35</w:t>
      </w:r>
      <w:r w:rsidRPr="00A946A8">
        <w:rPr>
          <w:rFonts w:ascii="Arial" w:hAnsi="Arial" w:cs="Arial"/>
          <w:sz w:val="24"/>
          <w:szCs w:val="24"/>
        </w:rPr>
        <w:t>(5), pp.676-697.</w:t>
      </w:r>
    </w:p>
    <w:p w14:paraId="3AF928BF"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Holbeche</w:t>
      </w:r>
      <w:proofErr w:type="spellEnd"/>
      <w:r w:rsidRPr="00A946A8">
        <w:rPr>
          <w:rFonts w:ascii="Arial" w:hAnsi="Arial" w:cs="Arial"/>
          <w:sz w:val="24"/>
          <w:szCs w:val="24"/>
        </w:rPr>
        <w:t>, L., (2022). </w:t>
      </w:r>
      <w:r w:rsidRPr="00A946A8">
        <w:rPr>
          <w:rFonts w:ascii="Arial" w:hAnsi="Arial" w:cs="Arial"/>
          <w:i/>
          <w:iCs/>
          <w:sz w:val="24"/>
          <w:szCs w:val="24"/>
        </w:rPr>
        <w:t>Aligning human resources and business strategy</w:t>
      </w:r>
      <w:r w:rsidRPr="00A946A8">
        <w:rPr>
          <w:rFonts w:ascii="Arial" w:hAnsi="Arial" w:cs="Arial"/>
          <w:sz w:val="24"/>
          <w:szCs w:val="24"/>
        </w:rPr>
        <w:t>. Routledge.</w:t>
      </w:r>
    </w:p>
    <w:p w14:paraId="039CF3AB"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 xml:space="preserve">Ikhsan, M., </w:t>
      </w:r>
      <w:proofErr w:type="spellStart"/>
      <w:r w:rsidRPr="00A946A8">
        <w:rPr>
          <w:rFonts w:ascii="Arial" w:hAnsi="Arial" w:cs="Arial"/>
          <w:sz w:val="24"/>
          <w:szCs w:val="24"/>
        </w:rPr>
        <w:t>Jumono</w:t>
      </w:r>
      <w:proofErr w:type="spellEnd"/>
      <w:r w:rsidRPr="00A946A8">
        <w:rPr>
          <w:rFonts w:ascii="Arial" w:hAnsi="Arial" w:cs="Arial"/>
          <w:sz w:val="24"/>
          <w:szCs w:val="24"/>
        </w:rPr>
        <w:t xml:space="preserve">, S., Munandar, A. and Abdurrahman, A., (2022). The Effect of </w:t>
      </w:r>
      <w:proofErr w:type="spellStart"/>
      <w:r w:rsidRPr="00A946A8">
        <w:rPr>
          <w:rFonts w:ascii="Arial" w:hAnsi="Arial" w:cs="Arial"/>
          <w:sz w:val="24"/>
          <w:szCs w:val="24"/>
        </w:rPr>
        <w:t>non performing</w:t>
      </w:r>
      <w:proofErr w:type="spellEnd"/>
      <w:r w:rsidRPr="00A946A8">
        <w:rPr>
          <w:rFonts w:ascii="Arial" w:hAnsi="Arial" w:cs="Arial"/>
          <w:sz w:val="24"/>
          <w:szCs w:val="24"/>
        </w:rPr>
        <w:t xml:space="preserve"> loan (NPL), independent commissioner (KMI), and capital adequacy ratio (CAR) on firm value (PBV) mediated by return on asset (ROA). </w:t>
      </w:r>
      <w:r w:rsidRPr="00A946A8">
        <w:rPr>
          <w:rFonts w:ascii="Arial" w:hAnsi="Arial" w:cs="Arial"/>
          <w:i/>
          <w:iCs/>
          <w:sz w:val="24"/>
          <w:szCs w:val="24"/>
        </w:rPr>
        <w:t>Quantitative Economics and Management Studies</w:t>
      </w:r>
      <w:r w:rsidRPr="00A946A8">
        <w:rPr>
          <w:rFonts w:ascii="Arial" w:hAnsi="Arial" w:cs="Arial"/>
          <w:sz w:val="24"/>
          <w:szCs w:val="24"/>
        </w:rPr>
        <w:t>, </w:t>
      </w:r>
      <w:r w:rsidRPr="00A946A8">
        <w:rPr>
          <w:rFonts w:ascii="Arial" w:hAnsi="Arial" w:cs="Arial"/>
          <w:i/>
          <w:iCs/>
          <w:sz w:val="24"/>
          <w:szCs w:val="24"/>
        </w:rPr>
        <w:t>3</w:t>
      </w:r>
      <w:r w:rsidRPr="00A946A8">
        <w:rPr>
          <w:rFonts w:ascii="Arial" w:hAnsi="Arial" w:cs="Arial"/>
          <w:sz w:val="24"/>
          <w:szCs w:val="24"/>
        </w:rPr>
        <w:t>(5), pp.810-824.</w:t>
      </w:r>
    </w:p>
    <w:p w14:paraId="373C9727"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Ivaniš, M., Filipović, L. and Ivaniš, M., (2021). Cash Flow Analysis. </w:t>
      </w:r>
      <w:r w:rsidRPr="00A946A8">
        <w:rPr>
          <w:rFonts w:ascii="Arial" w:hAnsi="Arial" w:cs="Arial"/>
          <w:i/>
          <w:iCs/>
          <w:sz w:val="24"/>
          <w:szCs w:val="24"/>
        </w:rPr>
        <w:t xml:space="preserve">Engineering Management </w:t>
      </w:r>
      <w:proofErr w:type="gramStart"/>
      <w:r w:rsidRPr="00A946A8">
        <w:rPr>
          <w:rFonts w:ascii="Arial" w:hAnsi="Arial" w:cs="Arial"/>
          <w:i/>
          <w:iCs/>
          <w:sz w:val="24"/>
          <w:szCs w:val="24"/>
        </w:rPr>
        <w:t>And</w:t>
      </w:r>
      <w:proofErr w:type="gramEnd"/>
      <w:r w:rsidRPr="00A946A8">
        <w:rPr>
          <w:rFonts w:ascii="Arial" w:hAnsi="Arial" w:cs="Arial"/>
          <w:i/>
          <w:iCs/>
          <w:sz w:val="24"/>
          <w:szCs w:val="24"/>
        </w:rPr>
        <w:t xml:space="preserve"> Competitiveness (EMC 2021)</w:t>
      </w:r>
      <w:r w:rsidRPr="00A946A8">
        <w:rPr>
          <w:rFonts w:ascii="Arial" w:hAnsi="Arial" w:cs="Arial"/>
          <w:sz w:val="24"/>
          <w:szCs w:val="24"/>
        </w:rPr>
        <w:t>, p.217.</w:t>
      </w:r>
    </w:p>
    <w:p w14:paraId="2A7F7734" w14:textId="77777777" w:rsidR="00A946A8" w:rsidRPr="00A946A8" w:rsidRDefault="00A946A8" w:rsidP="00A946A8">
      <w:pPr>
        <w:spacing w:line="600" w:lineRule="auto"/>
        <w:ind w:left="720" w:hanging="720"/>
        <w:jc w:val="both"/>
        <w:rPr>
          <w:rFonts w:ascii="Arial" w:hAnsi="Arial" w:cs="Arial"/>
          <w:sz w:val="24"/>
          <w:szCs w:val="24"/>
        </w:rPr>
      </w:pPr>
      <w:r w:rsidRPr="0015549F">
        <w:rPr>
          <w:rFonts w:ascii="Arial" w:hAnsi="Arial" w:cs="Arial"/>
          <w:sz w:val="24"/>
          <w:szCs w:val="24"/>
        </w:rPr>
        <w:t xml:space="preserve">Jefferson, M. (2022). </w:t>
      </w:r>
      <w:r w:rsidRPr="0015549F">
        <w:rPr>
          <w:rFonts w:ascii="Arial" w:hAnsi="Arial" w:cs="Arial"/>
          <w:i/>
          <w:iCs/>
          <w:sz w:val="24"/>
          <w:szCs w:val="24"/>
        </w:rPr>
        <w:t xml:space="preserve">Sainsbury’s: Premium sales resilient despite </w:t>
      </w:r>
      <w:proofErr w:type="gramStart"/>
      <w:r w:rsidRPr="0015549F">
        <w:rPr>
          <w:rFonts w:ascii="Arial" w:hAnsi="Arial" w:cs="Arial"/>
          <w:i/>
          <w:iCs/>
          <w:sz w:val="24"/>
          <w:szCs w:val="24"/>
        </w:rPr>
        <w:t>cost of living</w:t>
      </w:r>
      <w:proofErr w:type="gramEnd"/>
      <w:r w:rsidRPr="0015549F">
        <w:rPr>
          <w:rFonts w:ascii="Arial" w:hAnsi="Arial" w:cs="Arial"/>
          <w:i/>
          <w:iCs/>
          <w:sz w:val="24"/>
          <w:szCs w:val="24"/>
        </w:rPr>
        <w:t xml:space="preserve"> crisis</w:t>
      </w:r>
      <w:r w:rsidRPr="0015549F">
        <w:rPr>
          <w:rFonts w:ascii="Arial" w:hAnsi="Arial" w:cs="Arial"/>
          <w:sz w:val="24"/>
          <w:szCs w:val="24"/>
        </w:rPr>
        <w:t>. [online] Marketing Week. Available at: https://www.marketingweek.com/sainsburys-premium-cost-of-living-crisis/ [Accessed 7 Aug. 2024].</w:t>
      </w:r>
    </w:p>
    <w:p w14:paraId="770CDD07"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Jelassi, T., Martínez-López, F.J., Jelassi, T. and Martínez-López, F.J., (2020). Strategy Options in e-Business Markets. </w:t>
      </w:r>
      <w:r w:rsidRPr="00A946A8">
        <w:rPr>
          <w:rFonts w:ascii="Arial" w:hAnsi="Arial" w:cs="Arial"/>
          <w:i/>
          <w:iCs/>
          <w:sz w:val="24"/>
          <w:szCs w:val="24"/>
        </w:rPr>
        <w:t>Strategies for e-Business: Concepts and Cases on Value Creation and Digital Business Transformation</w:t>
      </w:r>
      <w:r w:rsidRPr="00A946A8">
        <w:rPr>
          <w:rFonts w:ascii="Arial" w:hAnsi="Arial" w:cs="Arial"/>
          <w:sz w:val="24"/>
          <w:szCs w:val="24"/>
        </w:rPr>
        <w:t>, pp.125-171.</w:t>
      </w:r>
    </w:p>
    <w:p w14:paraId="43885F43"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lastRenderedPageBreak/>
        <w:t>Magni, C.A., (2021). Internal rates of return and shareholder value creation. </w:t>
      </w:r>
      <w:r w:rsidRPr="00A946A8">
        <w:rPr>
          <w:rFonts w:ascii="Arial" w:hAnsi="Arial" w:cs="Arial"/>
          <w:i/>
          <w:iCs/>
          <w:sz w:val="24"/>
          <w:szCs w:val="24"/>
        </w:rPr>
        <w:t>The Engineering Economist</w:t>
      </w:r>
      <w:r w:rsidRPr="00A946A8">
        <w:rPr>
          <w:rFonts w:ascii="Arial" w:hAnsi="Arial" w:cs="Arial"/>
          <w:sz w:val="24"/>
          <w:szCs w:val="24"/>
        </w:rPr>
        <w:t>, </w:t>
      </w:r>
      <w:r w:rsidRPr="00A946A8">
        <w:rPr>
          <w:rFonts w:ascii="Arial" w:hAnsi="Arial" w:cs="Arial"/>
          <w:i/>
          <w:iCs/>
          <w:sz w:val="24"/>
          <w:szCs w:val="24"/>
        </w:rPr>
        <w:t>66</w:t>
      </w:r>
      <w:r w:rsidRPr="00A946A8">
        <w:rPr>
          <w:rFonts w:ascii="Arial" w:hAnsi="Arial" w:cs="Arial"/>
          <w:sz w:val="24"/>
          <w:szCs w:val="24"/>
        </w:rPr>
        <w:t>(4), pp.279-302.</w:t>
      </w:r>
    </w:p>
    <w:p w14:paraId="61BB61C8"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Mahdi, M. and Khaddafi, M., (2020). The influence of gross profit margin, operating profit margin and net profit margin on the stock price of consumer good industry in the Indonesia stock exchange on 2012-2014. </w:t>
      </w:r>
      <w:r w:rsidRPr="00A946A8">
        <w:rPr>
          <w:rFonts w:ascii="Arial" w:hAnsi="Arial" w:cs="Arial"/>
          <w:i/>
          <w:iCs/>
          <w:sz w:val="24"/>
          <w:szCs w:val="24"/>
        </w:rPr>
        <w:t>International Journal of Business, Economics, and Social Development</w:t>
      </w:r>
      <w:r w:rsidRPr="00A946A8">
        <w:rPr>
          <w:rFonts w:ascii="Arial" w:hAnsi="Arial" w:cs="Arial"/>
          <w:sz w:val="24"/>
          <w:szCs w:val="24"/>
        </w:rPr>
        <w:t>, </w:t>
      </w:r>
      <w:r w:rsidRPr="00A946A8">
        <w:rPr>
          <w:rFonts w:ascii="Arial" w:hAnsi="Arial" w:cs="Arial"/>
          <w:i/>
          <w:iCs/>
          <w:sz w:val="24"/>
          <w:szCs w:val="24"/>
        </w:rPr>
        <w:t>1</w:t>
      </w:r>
      <w:r w:rsidRPr="00A946A8">
        <w:rPr>
          <w:rFonts w:ascii="Arial" w:hAnsi="Arial" w:cs="Arial"/>
          <w:sz w:val="24"/>
          <w:szCs w:val="24"/>
        </w:rPr>
        <w:t>(3), pp.153-163.</w:t>
      </w:r>
    </w:p>
    <w:p w14:paraId="6CA32AB1" w14:textId="77777777" w:rsidR="00A946A8" w:rsidRPr="00A946A8" w:rsidRDefault="00A946A8" w:rsidP="00A946A8">
      <w:pPr>
        <w:spacing w:line="600" w:lineRule="auto"/>
        <w:ind w:left="720" w:hanging="720"/>
        <w:jc w:val="both"/>
        <w:rPr>
          <w:rFonts w:ascii="Arial" w:hAnsi="Arial" w:cs="Arial"/>
          <w:sz w:val="24"/>
          <w:szCs w:val="24"/>
        </w:rPr>
      </w:pPr>
      <w:r w:rsidRPr="008719A9">
        <w:rPr>
          <w:rFonts w:ascii="Arial" w:hAnsi="Arial" w:cs="Arial"/>
          <w:sz w:val="24"/>
          <w:szCs w:val="24"/>
        </w:rPr>
        <w:t xml:space="preserve">NI Business Info (2023). </w:t>
      </w:r>
      <w:r w:rsidRPr="008719A9">
        <w:rPr>
          <w:rFonts w:ascii="Arial" w:hAnsi="Arial" w:cs="Arial"/>
          <w:i/>
          <w:iCs/>
          <w:sz w:val="24"/>
          <w:szCs w:val="24"/>
        </w:rPr>
        <w:t>Accounting Rate of Return</w:t>
      </w:r>
      <w:r w:rsidRPr="008719A9">
        <w:rPr>
          <w:rFonts w:ascii="Arial" w:hAnsi="Arial" w:cs="Arial"/>
          <w:sz w:val="24"/>
          <w:szCs w:val="24"/>
        </w:rPr>
        <w:t>. [online] nibusinessinfo.co.uk. Available at: https://www.nibusinessinfo.co.uk/content/accounting-rate-return [Accessed 7 Aug. 2024].</w:t>
      </w:r>
    </w:p>
    <w:p w14:paraId="4AA9BDDD"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Onyebuchi, O.M., (2022). Assessing the Importance of Firms Financial Management. </w:t>
      </w:r>
      <w:r w:rsidRPr="00A946A8">
        <w:rPr>
          <w:rFonts w:ascii="Arial" w:hAnsi="Arial" w:cs="Arial"/>
          <w:i/>
          <w:iCs/>
          <w:sz w:val="24"/>
          <w:szCs w:val="24"/>
        </w:rPr>
        <w:t>BW Academic Journal</w:t>
      </w:r>
      <w:r w:rsidRPr="00A946A8">
        <w:rPr>
          <w:rFonts w:ascii="Arial" w:hAnsi="Arial" w:cs="Arial"/>
          <w:sz w:val="24"/>
          <w:szCs w:val="24"/>
        </w:rPr>
        <w:t>, pp.9-9.</w:t>
      </w:r>
    </w:p>
    <w:p w14:paraId="6CE5A0F9"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Panigrahi, R.R., Jena, D., Tandon, D., Meher, J.R., Mishra, P.C. and Sahoo, A., (2021). Inventory management and performance of manufacturing firms. </w:t>
      </w:r>
      <w:r w:rsidRPr="00A946A8">
        <w:rPr>
          <w:rFonts w:ascii="Arial" w:hAnsi="Arial" w:cs="Arial"/>
          <w:i/>
          <w:iCs/>
          <w:sz w:val="24"/>
          <w:szCs w:val="24"/>
        </w:rPr>
        <w:t>International Journal of Value Chain Management</w:t>
      </w:r>
      <w:r w:rsidRPr="00A946A8">
        <w:rPr>
          <w:rFonts w:ascii="Arial" w:hAnsi="Arial" w:cs="Arial"/>
          <w:sz w:val="24"/>
          <w:szCs w:val="24"/>
        </w:rPr>
        <w:t>, </w:t>
      </w:r>
      <w:r w:rsidRPr="00A946A8">
        <w:rPr>
          <w:rFonts w:ascii="Arial" w:hAnsi="Arial" w:cs="Arial"/>
          <w:i/>
          <w:iCs/>
          <w:sz w:val="24"/>
          <w:szCs w:val="24"/>
        </w:rPr>
        <w:t>12</w:t>
      </w:r>
      <w:r w:rsidRPr="00A946A8">
        <w:rPr>
          <w:rFonts w:ascii="Arial" w:hAnsi="Arial" w:cs="Arial"/>
          <w:sz w:val="24"/>
          <w:szCs w:val="24"/>
        </w:rPr>
        <w:t>(2), pp.149-170.</w:t>
      </w:r>
    </w:p>
    <w:p w14:paraId="405D5A8E"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Pfajfar</w:t>
      </w:r>
      <w:proofErr w:type="spellEnd"/>
      <w:r w:rsidRPr="00A946A8">
        <w:rPr>
          <w:rFonts w:ascii="Arial" w:hAnsi="Arial" w:cs="Arial"/>
          <w:sz w:val="24"/>
          <w:szCs w:val="24"/>
        </w:rPr>
        <w:t xml:space="preserve">, G., Shoham, A., </w:t>
      </w:r>
      <w:proofErr w:type="spellStart"/>
      <w:r w:rsidRPr="00A946A8">
        <w:rPr>
          <w:rFonts w:ascii="Arial" w:hAnsi="Arial" w:cs="Arial"/>
          <w:sz w:val="24"/>
          <w:szCs w:val="24"/>
        </w:rPr>
        <w:t>Małecka</w:t>
      </w:r>
      <w:proofErr w:type="spellEnd"/>
      <w:r w:rsidRPr="00A946A8">
        <w:rPr>
          <w:rFonts w:ascii="Arial" w:hAnsi="Arial" w:cs="Arial"/>
          <w:sz w:val="24"/>
          <w:szCs w:val="24"/>
        </w:rPr>
        <w:t>, A. and Zalaznik, M., (2022). Value of corporate social responsibility for multiple stakeholders and social impact–Relationship marketing perspective. </w:t>
      </w:r>
      <w:r w:rsidRPr="00A946A8">
        <w:rPr>
          <w:rFonts w:ascii="Arial" w:hAnsi="Arial" w:cs="Arial"/>
          <w:i/>
          <w:iCs/>
          <w:sz w:val="24"/>
          <w:szCs w:val="24"/>
        </w:rPr>
        <w:t>Journal of business research</w:t>
      </w:r>
      <w:r w:rsidRPr="00A946A8">
        <w:rPr>
          <w:rFonts w:ascii="Arial" w:hAnsi="Arial" w:cs="Arial"/>
          <w:sz w:val="24"/>
          <w:szCs w:val="24"/>
        </w:rPr>
        <w:t>, </w:t>
      </w:r>
      <w:r w:rsidRPr="00A946A8">
        <w:rPr>
          <w:rFonts w:ascii="Arial" w:hAnsi="Arial" w:cs="Arial"/>
          <w:i/>
          <w:iCs/>
          <w:sz w:val="24"/>
          <w:szCs w:val="24"/>
        </w:rPr>
        <w:t>143</w:t>
      </w:r>
      <w:r w:rsidRPr="00A946A8">
        <w:rPr>
          <w:rFonts w:ascii="Arial" w:hAnsi="Arial" w:cs="Arial"/>
          <w:sz w:val="24"/>
          <w:szCs w:val="24"/>
        </w:rPr>
        <w:t>, pp.46-61.</w:t>
      </w:r>
    </w:p>
    <w:p w14:paraId="7ADE4037" w14:textId="77777777" w:rsid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lastRenderedPageBreak/>
        <w:t>Reksono, M.B. and Rahim, A.R., (2023), November. Assessment Models for Feasibility Study of Extra Electricity Facilities Investment Projects. In Proceeding of The International Seminar on Business, Economics, Social Science and Technology (ISBEST) (Vol. 3, No. 1).</w:t>
      </w:r>
    </w:p>
    <w:p w14:paraId="599519D7" w14:textId="77777777" w:rsid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Sainsburry</w:t>
      </w:r>
      <w:proofErr w:type="spellEnd"/>
      <w:r w:rsidRPr="00A946A8">
        <w:rPr>
          <w:rFonts w:ascii="Arial" w:hAnsi="Arial" w:cs="Arial"/>
          <w:sz w:val="24"/>
          <w:szCs w:val="24"/>
        </w:rPr>
        <w:t xml:space="preserve"> (2020). </w:t>
      </w:r>
      <w:r w:rsidRPr="00A946A8">
        <w:rPr>
          <w:rFonts w:ascii="Arial" w:hAnsi="Arial" w:cs="Arial"/>
          <w:i/>
          <w:iCs/>
          <w:sz w:val="24"/>
          <w:szCs w:val="24"/>
        </w:rPr>
        <w:t>Annual Report and Financial Statements 2020 Live well for less</w:t>
      </w:r>
      <w:r w:rsidRPr="00A946A8">
        <w:rPr>
          <w:rFonts w:ascii="Arial" w:hAnsi="Arial" w:cs="Arial"/>
          <w:sz w:val="24"/>
          <w:szCs w:val="24"/>
        </w:rPr>
        <w:t>. [online] Available at: https://www.annualreports.com/HostedData/AnnualReportArchive/j/LSE_GB0767628_2020.pdf [Accessed 7 Aug. 2024].</w:t>
      </w:r>
    </w:p>
    <w:p w14:paraId="125F0B17" w14:textId="62F12E96"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Sainsburry</w:t>
      </w:r>
      <w:proofErr w:type="spellEnd"/>
      <w:r w:rsidRPr="00A946A8">
        <w:rPr>
          <w:rFonts w:ascii="Arial" w:hAnsi="Arial" w:cs="Arial"/>
          <w:sz w:val="24"/>
          <w:szCs w:val="24"/>
        </w:rPr>
        <w:t xml:space="preserve"> (2023). </w:t>
      </w:r>
      <w:r w:rsidRPr="00A946A8">
        <w:rPr>
          <w:rFonts w:ascii="Arial" w:hAnsi="Arial" w:cs="Arial"/>
          <w:i/>
          <w:iCs/>
          <w:sz w:val="24"/>
          <w:szCs w:val="24"/>
        </w:rPr>
        <w:t>Annual Report and Financial Statements 2023 Helping everyone eat better</w:t>
      </w:r>
      <w:r w:rsidRPr="00A946A8">
        <w:rPr>
          <w:rFonts w:ascii="Arial" w:hAnsi="Arial" w:cs="Arial"/>
          <w:sz w:val="24"/>
          <w:szCs w:val="24"/>
        </w:rPr>
        <w:t>. [online] Available at: https://www.about.sainsburys.co.uk/food-back-at-heart/helping-everyone-eat-better/~/media/Files/S/Sainsburys/documents/reports-and-presentations/2023/annual-report-2023/annual-report-and-financial-statements-2023.pdf [Accessed 7 Aug. 2024].</w:t>
      </w:r>
    </w:p>
    <w:p w14:paraId="633919D1"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B6A37">
        <w:rPr>
          <w:rFonts w:ascii="Arial" w:hAnsi="Arial" w:cs="Arial"/>
          <w:sz w:val="24"/>
          <w:szCs w:val="24"/>
        </w:rPr>
        <w:t>Sainsburry</w:t>
      </w:r>
      <w:proofErr w:type="spellEnd"/>
      <w:r w:rsidRPr="00AB6A37">
        <w:rPr>
          <w:rFonts w:ascii="Arial" w:hAnsi="Arial" w:cs="Arial"/>
          <w:sz w:val="24"/>
          <w:szCs w:val="24"/>
        </w:rPr>
        <w:t xml:space="preserve"> (2024). </w:t>
      </w:r>
      <w:r w:rsidRPr="00AB6A37">
        <w:rPr>
          <w:rFonts w:ascii="Arial" w:hAnsi="Arial" w:cs="Arial"/>
          <w:i/>
          <w:iCs/>
          <w:sz w:val="24"/>
          <w:szCs w:val="24"/>
        </w:rPr>
        <w:t>More about our British milk</w:t>
      </w:r>
      <w:r w:rsidRPr="00AB6A37">
        <w:rPr>
          <w:rFonts w:ascii="Arial" w:hAnsi="Arial" w:cs="Arial"/>
          <w:sz w:val="24"/>
          <w:szCs w:val="24"/>
        </w:rPr>
        <w:t>. [online] www.about.sainsburys.co.uk. Available at: https://www.about.sainsburys.co.uk/suppliers/sourcing/british/milk [Accessed 7 Aug. 2024].</w:t>
      </w:r>
    </w:p>
    <w:p w14:paraId="20A04410" w14:textId="77777777" w:rsidR="00A946A8" w:rsidRPr="00A946A8" w:rsidRDefault="00A946A8" w:rsidP="00A946A8">
      <w:pPr>
        <w:spacing w:line="600" w:lineRule="auto"/>
        <w:ind w:left="1440" w:hanging="720"/>
        <w:jc w:val="both"/>
        <w:rPr>
          <w:rFonts w:ascii="Arial" w:hAnsi="Arial" w:cs="Arial"/>
          <w:sz w:val="24"/>
          <w:szCs w:val="24"/>
        </w:rPr>
      </w:pPr>
      <w:r w:rsidRPr="00A946A8">
        <w:rPr>
          <w:rFonts w:ascii="Arial" w:hAnsi="Arial" w:cs="Arial"/>
          <w:sz w:val="24"/>
          <w:szCs w:val="24"/>
        </w:rPr>
        <w:lastRenderedPageBreak/>
        <w:t xml:space="preserve">Sainsbury (2022). </w:t>
      </w:r>
      <w:r w:rsidRPr="00A946A8">
        <w:rPr>
          <w:rFonts w:ascii="Arial" w:hAnsi="Arial" w:cs="Arial"/>
          <w:i/>
          <w:iCs/>
          <w:sz w:val="24"/>
          <w:szCs w:val="24"/>
        </w:rPr>
        <w:t>Annual Report and Financial Statements 2022</w:t>
      </w:r>
      <w:r w:rsidRPr="00A946A8">
        <w:rPr>
          <w:rFonts w:ascii="Arial" w:hAnsi="Arial" w:cs="Arial"/>
          <w:sz w:val="24"/>
          <w:szCs w:val="24"/>
        </w:rPr>
        <w:t>. [online] Available at: https://www.about.sainsburys.co.uk/~/media/Files/S/Sainsburys/documents/reports-and-presentations/2022/Annual%20Report%202022/J%20Sainsbury%20plc%20Annual%20Report%20and%20Financial%20Statements%202022.pdf [Accessed 7 Aug. 2024].</w:t>
      </w:r>
    </w:p>
    <w:p w14:paraId="3F5FEB2F"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Sarisa, L., (2021). Business Strategies in Retail Supermarkets Industry.</w:t>
      </w:r>
    </w:p>
    <w:p w14:paraId="5DCE4DF4"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Shou, T., (2022), July. A literature review on the net present value (NPV) valuation method. In </w:t>
      </w:r>
      <w:r w:rsidRPr="00A946A8">
        <w:rPr>
          <w:rFonts w:ascii="Arial" w:hAnsi="Arial" w:cs="Arial"/>
          <w:i/>
          <w:iCs/>
          <w:sz w:val="24"/>
          <w:szCs w:val="24"/>
        </w:rPr>
        <w:t>2022 2nd International Conference on Enterprise Management and Economic Development (ICEMED 2022)</w:t>
      </w:r>
      <w:r w:rsidRPr="00A946A8">
        <w:rPr>
          <w:rFonts w:ascii="Arial" w:hAnsi="Arial" w:cs="Arial"/>
          <w:sz w:val="24"/>
          <w:szCs w:val="24"/>
        </w:rPr>
        <w:t> (pp. 826-830). Atlantis Press.</w:t>
      </w:r>
    </w:p>
    <w:p w14:paraId="4E916859"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Siegel, J.J., (2021). </w:t>
      </w:r>
      <w:r w:rsidRPr="00A946A8">
        <w:rPr>
          <w:rFonts w:ascii="Arial" w:hAnsi="Arial" w:cs="Arial"/>
          <w:i/>
          <w:iCs/>
          <w:sz w:val="24"/>
          <w:szCs w:val="24"/>
        </w:rPr>
        <w:t>Stocks for the long run: The definitive guide to financial market returns &amp; long-term investment strategies</w:t>
      </w:r>
      <w:r w:rsidRPr="00A946A8">
        <w:rPr>
          <w:rFonts w:ascii="Arial" w:hAnsi="Arial" w:cs="Arial"/>
          <w:sz w:val="24"/>
          <w:szCs w:val="24"/>
        </w:rPr>
        <w:t>. McGraw-Hill Education.</w:t>
      </w:r>
    </w:p>
    <w:p w14:paraId="3B5D0EF3" w14:textId="77777777" w:rsidR="00A946A8" w:rsidRPr="00A946A8" w:rsidRDefault="00A946A8" w:rsidP="00A946A8">
      <w:pPr>
        <w:spacing w:line="600" w:lineRule="auto"/>
        <w:ind w:left="720" w:hanging="720"/>
        <w:jc w:val="both"/>
        <w:rPr>
          <w:rFonts w:ascii="Arial" w:hAnsi="Arial" w:cs="Arial"/>
          <w:sz w:val="24"/>
          <w:szCs w:val="24"/>
        </w:rPr>
      </w:pPr>
      <w:r w:rsidRPr="000352B2">
        <w:rPr>
          <w:rFonts w:ascii="Arial" w:hAnsi="Arial" w:cs="Arial"/>
          <w:sz w:val="24"/>
          <w:szCs w:val="24"/>
        </w:rPr>
        <w:t xml:space="preserve">Singh, P. (2021). </w:t>
      </w:r>
      <w:r w:rsidRPr="000352B2">
        <w:rPr>
          <w:rFonts w:ascii="Arial" w:hAnsi="Arial" w:cs="Arial"/>
          <w:i/>
          <w:iCs/>
          <w:sz w:val="24"/>
          <w:szCs w:val="24"/>
        </w:rPr>
        <w:t>Simon Roberts to replace Mike Coupe as Sainsbury’s CEO in June</w:t>
      </w:r>
      <w:r w:rsidRPr="000352B2">
        <w:rPr>
          <w:rFonts w:ascii="Arial" w:hAnsi="Arial" w:cs="Arial"/>
          <w:sz w:val="24"/>
          <w:szCs w:val="24"/>
        </w:rPr>
        <w:t xml:space="preserve">. [online] </w:t>
      </w:r>
      <w:proofErr w:type="spellStart"/>
      <w:r w:rsidRPr="000352B2">
        <w:rPr>
          <w:rFonts w:ascii="Arial" w:hAnsi="Arial" w:cs="Arial"/>
          <w:sz w:val="24"/>
          <w:szCs w:val="24"/>
        </w:rPr>
        <w:t>FashionUnited</w:t>
      </w:r>
      <w:proofErr w:type="spellEnd"/>
      <w:r w:rsidRPr="000352B2">
        <w:rPr>
          <w:rFonts w:ascii="Arial" w:hAnsi="Arial" w:cs="Arial"/>
          <w:sz w:val="24"/>
          <w:szCs w:val="24"/>
        </w:rPr>
        <w:t>. Available at: https://fashionunited.uk/news/people/simone-roberts-to-replace-mike-coupe-as-sainsbury-s-ceo-in-june/2020012247158 [Accessed 7 Aug. 2024].</w:t>
      </w:r>
    </w:p>
    <w:p w14:paraId="7C135A56" w14:textId="77777777" w:rsidR="00A946A8" w:rsidRPr="00A946A8" w:rsidRDefault="00A946A8" w:rsidP="00A946A8">
      <w:pPr>
        <w:spacing w:line="600" w:lineRule="auto"/>
        <w:ind w:left="720" w:hanging="720"/>
        <w:jc w:val="both"/>
        <w:rPr>
          <w:rFonts w:ascii="Arial" w:hAnsi="Arial" w:cs="Arial"/>
          <w:sz w:val="24"/>
          <w:szCs w:val="24"/>
        </w:rPr>
      </w:pPr>
      <w:r w:rsidRPr="008719A9">
        <w:rPr>
          <w:rFonts w:ascii="Arial" w:hAnsi="Arial" w:cs="Arial"/>
          <w:sz w:val="24"/>
          <w:szCs w:val="24"/>
        </w:rPr>
        <w:lastRenderedPageBreak/>
        <w:t xml:space="preserve">Study Smarter (2023). </w:t>
      </w:r>
      <w:r w:rsidRPr="008719A9">
        <w:rPr>
          <w:rFonts w:ascii="Arial" w:hAnsi="Arial" w:cs="Arial"/>
          <w:i/>
          <w:iCs/>
          <w:sz w:val="24"/>
          <w:szCs w:val="24"/>
        </w:rPr>
        <w:t>Pay-back Period Method: PBP, Advantages &amp; Disadvantages</w:t>
      </w:r>
      <w:r w:rsidRPr="008719A9">
        <w:rPr>
          <w:rFonts w:ascii="Arial" w:hAnsi="Arial" w:cs="Arial"/>
          <w:sz w:val="24"/>
          <w:szCs w:val="24"/>
        </w:rPr>
        <w:t xml:space="preserve">. [online] </w:t>
      </w:r>
      <w:proofErr w:type="spellStart"/>
      <w:r w:rsidRPr="008719A9">
        <w:rPr>
          <w:rFonts w:ascii="Arial" w:hAnsi="Arial" w:cs="Arial"/>
          <w:sz w:val="24"/>
          <w:szCs w:val="24"/>
        </w:rPr>
        <w:t>StudySmarter</w:t>
      </w:r>
      <w:proofErr w:type="spellEnd"/>
      <w:r w:rsidRPr="008719A9">
        <w:rPr>
          <w:rFonts w:ascii="Arial" w:hAnsi="Arial" w:cs="Arial"/>
          <w:sz w:val="24"/>
          <w:szCs w:val="24"/>
        </w:rPr>
        <w:t xml:space="preserve"> UK. Available at: https://www.studysmarter.co.uk/explanations/business-studies/managerial-economics/pay-back-period-method/ [Accessed 7 Aug. 2024].</w:t>
      </w:r>
    </w:p>
    <w:p w14:paraId="56DF66ED" w14:textId="77777777" w:rsid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Stühlinger</w:t>
      </w:r>
      <w:proofErr w:type="spellEnd"/>
      <w:r w:rsidRPr="00A946A8">
        <w:rPr>
          <w:rFonts w:ascii="Arial" w:hAnsi="Arial" w:cs="Arial"/>
          <w:sz w:val="24"/>
          <w:szCs w:val="24"/>
        </w:rPr>
        <w:t>, S., (2022). The importance of planning: How financial management competencies affect the performance of nonprofit organizations. </w:t>
      </w:r>
      <w:r w:rsidRPr="00A946A8">
        <w:rPr>
          <w:rFonts w:ascii="Arial" w:hAnsi="Arial" w:cs="Arial"/>
          <w:i/>
          <w:iCs/>
          <w:sz w:val="24"/>
          <w:szCs w:val="24"/>
        </w:rPr>
        <w:t>Public Administration Quarterly</w:t>
      </w:r>
      <w:r w:rsidRPr="00A946A8">
        <w:rPr>
          <w:rFonts w:ascii="Arial" w:hAnsi="Arial" w:cs="Arial"/>
          <w:sz w:val="24"/>
          <w:szCs w:val="24"/>
        </w:rPr>
        <w:t>, </w:t>
      </w:r>
      <w:r w:rsidRPr="00A946A8">
        <w:rPr>
          <w:rFonts w:ascii="Arial" w:hAnsi="Arial" w:cs="Arial"/>
          <w:i/>
          <w:iCs/>
          <w:sz w:val="24"/>
          <w:szCs w:val="24"/>
        </w:rPr>
        <w:t>46</w:t>
      </w:r>
      <w:r w:rsidRPr="00A946A8">
        <w:rPr>
          <w:rFonts w:ascii="Arial" w:hAnsi="Arial" w:cs="Arial"/>
          <w:sz w:val="24"/>
          <w:szCs w:val="24"/>
        </w:rPr>
        <w:t>(3), pp.211-237.</w:t>
      </w:r>
    </w:p>
    <w:p w14:paraId="002547F5" w14:textId="77777777" w:rsid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 xml:space="preserve">Tesco (2020). </w:t>
      </w:r>
      <w:r w:rsidRPr="00A946A8">
        <w:rPr>
          <w:rFonts w:ascii="Arial" w:hAnsi="Arial" w:cs="Arial"/>
          <w:i/>
          <w:iCs/>
          <w:sz w:val="24"/>
          <w:szCs w:val="24"/>
        </w:rPr>
        <w:t>Annual Report and Financial Statements 2020 Serving shoppers a little better every day. Contents</w:t>
      </w:r>
      <w:r w:rsidRPr="00A946A8">
        <w:rPr>
          <w:rFonts w:ascii="Arial" w:hAnsi="Arial" w:cs="Arial"/>
          <w:sz w:val="24"/>
          <w:szCs w:val="24"/>
        </w:rPr>
        <w:t>. [online] Available at: https://www.annualreports.com/HostedData/AnnualReportArchive/t/LSE_TSCO_2020.pdf [Accessed 7 Aug. 2024].</w:t>
      </w:r>
    </w:p>
    <w:p w14:paraId="15F244FC" w14:textId="77777777" w:rsid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 xml:space="preserve">Tesco Plc (2023). </w:t>
      </w:r>
      <w:r w:rsidRPr="00A946A8">
        <w:rPr>
          <w:rFonts w:ascii="Arial" w:hAnsi="Arial" w:cs="Arial"/>
          <w:i/>
          <w:iCs/>
          <w:sz w:val="24"/>
          <w:szCs w:val="24"/>
        </w:rPr>
        <w:t>Annual Report and Financial Statements 2023</w:t>
      </w:r>
      <w:r w:rsidRPr="00A946A8">
        <w:rPr>
          <w:rFonts w:ascii="Arial" w:hAnsi="Arial" w:cs="Arial"/>
          <w:sz w:val="24"/>
          <w:szCs w:val="24"/>
        </w:rPr>
        <w:t xml:space="preserve">. [online] </w:t>
      </w:r>
      <w:r w:rsidRPr="00A946A8">
        <w:rPr>
          <w:rFonts w:ascii="Arial" w:hAnsi="Arial" w:cs="Arial"/>
          <w:i/>
          <w:iCs/>
          <w:sz w:val="24"/>
          <w:szCs w:val="24"/>
        </w:rPr>
        <w:t>Tesco</w:t>
      </w:r>
      <w:r w:rsidRPr="00A946A8">
        <w:rPr>
          <w:rFonts w:ascii="Arial" w:hAnsi="Arial" w:cs="Arial"/>
          <w:sz w:val="24"/>
          <w:szCs w:val="24"/>
        </w:rPr>
        <w:t>. Available at: https://www.tescoplc.com/media/u1wlq2qf/tesco-plc-annual-report-2023.pdf [Accessed 7 Aug. 2024].</w:t>
      </w:r>
    </w:p>
    <w:p w14:paraId="5A4BE330" w14:textId="6AE95F19"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 xml:space="preserve">Tesco Plc. (2022). </w:t>
      </w:r>
      <w:r w:rsidRPr="00A946A8">
        <w:rPr>
          <w:rFonts w:ascii="Arial" w:hAnsi="Arial" w:cs="Arial"/>
          <w:i/>
          <w:iCs/>
          <w:sz w:val="24"/>
          <w:szCs w:val="24"/>
        </w:rPr>
        <w:t>Annual report 2022</w:t>
      </w:r>
      <w:r w:rsidRPr="00A946A8">
        <w:rPr>
          <w:rFonts w:ascii="Arial" w:hAnsi="Arial" w:cs="Arial"/>
          <w:sz w:val="24"/>
          <w:szCs w:val="24"/>
        </w:rPr>
        <w:t>. [online] https://www.tescoplc.com. Available at: https://www.tescoplc.com/media/an0cp1co/tesco-annual-report-2022.pdf [Accessed 2024].</w:t>
      </w:r>
    </w:p>
    <w:p w14:paraId="2C5783B4"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lastRenderedPageBreak/>
        <w:t>Tumanggor</w:t>
      </w:r>
      <w:proofErr w:type="spellEnd"/>
      <w:r w:rsidRPr="00A946A8">
        <w:rPr>
          <w:rFonts w:ascii="Arial" w:hAnsi="Arial" w:cs="Arial"/>
          <w:sz w:val="24"/>
          <w:szCs w:val="24"/>
        </w:rPr>
        <w:t xml:space="preserve">, M., (2020). The influence of current ratio, quick ratio and net profit margin on return on assets at pt. hero supermarket </w:t>
      </w:r>
      <w:proofErr w:type="spellStart"/>
      <w:r w:rsidRPr="00A946A8">
        <w:rPr>
          <w:rFonts w:ascii="Arial" w:hAnsi="Arial" w:cs="Arial"/>
          <w:sz w:val="24"/>
          <w:szCs w:val="24"/>
        </w:rPr>
        <w:t>tbk</w:t>
      </w:r>
      <w:proofErr w:type="spellEnd"/>
      <w:r w:rsidRPr="00A946A8">
        <w:rPr>
          <w:rFonts w:ascii="Arial" w:hAnsi="Arial" w:cs="Arial"/>
          <w:sz w:val="24"/>
          <w:szCs w:val="24"/>
        </w:rPr>
        <w:t>. </w:t>
      </w:r>
      <w:r w:rsidRPr="00A946A8">
        <w:rPr>
          <w:rFonts w:ascii="Arial" w:hAnsi="Arial" w:cs="Arial"/>
          <w:i/>
          <w:iCs/>
          <w:sz w:val="24"/>
          <w:szCs w:val="24"/>
        </w:rPr>
        <w:t>PINISI Discretion Review</w:t>
      </w:r>
      <w:r w:rsidRPr="00A946A8">
        <w:rPr>
          <w:rFonts w:ascii="Arial" w:hAnsi="Arial" w:cs="Arial"/>
          <w:sz w:val="24"/>
          <w:szCs w:val="24"/>
        </w:rPr>
        <w:t>, </w:t>
      </w:r>
      <w:r w:rsidRPr="00A946A8">
        <w:rPr>
          <w:rFonts w:ascii="Arial" w:hAnsi="Arial" w:cs="Arial"/>
          <w:i/>
          <w:iCs/>
          <w:sz w:val="24"/>
          <w:szCs w:val="24"/>
        </w:rPr>
        <w:t>3</w:t>
      </w:r>
      <w:r w:rsidRPr="00A946A8">
        <w:rPr>
          <w:rFonts w:ascii="Arial" w:hAnsi="Arial" w:cs="Arial"/>
          <w:sz w:val="24"/>
          <w:szCs w:val="24"/>
        </w:rPr>
        <w:t>(2), pp.137-146.</w:t>
      </w:r>
    </w:p>
    <w:p w14:paraId="34644D02"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Ullah, S., Irfan, M., Kim, J.R. and Ullah, F., (2023). Capital expenditures, corporate hedging and firm value. </w:t>
      </w:r>
      <w:r w:rsidRPr="00A946A8">
        <w:rPr>
          <w:rFonts w:ascii="Arial" w:hAnsi="Arial" w:cs="Arial"/>
          <w:i/>
          <w:iCs/>
          <w:sz w:val="24"/>
          <w:szCs w:val="24"/>
        </w:rPr>
        <w:t>The Quarterly Review of Economics and Finance</w:t>
      </w:r>
      <w:r w:rsidRPr="00A946A8">
        <w:rPr>
          <w:rFonts w:ascii="Arial" w:hAnsi="Arial" w:cs="Arial"/>
          <w:sz w:val="24"/>
          <w:szCs w:val="24"/>
        </w:rPr>
        <w:t>, </w:t>
      </w:r>
      <w:r w:rsidRPr="00A946A8">
        <w:rPr>
          <w:rFonts w:ascii="Arial" w:hAnsi="Arial" w:cs="Arial"/>
          <w:i/>
          <w:iCs/>
          <w:sz w:val="24"/>
          <w:szCs w:val="24"/>
        </w:rPr>
        <w:t>87</w:t>
      </w:r>
      <w:r w:rsidRPr="00A946A8">
        <w:rPr>
          <w:rFonts w:ascii="Arial" w:hAnsi="Arial" w:cs="Arial"/>
          <w:sz w:val="24"/>
          <w:szCs w:val="24"/>
        </w:rPr>
        <w:t>, pp.360-366.</w:t>
      </w:r>
    </w:p>
    <w:p w14:paraId="06EB1D8C"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t>Usmonov, B., (2022), December. The impact of the financial ratios on the financial performance. A case of Chevron Corporation (CVX). In </w:t>
      </w:r>
      <w:r w:rsidRPr="00A946A8">
        <w:rPr>
          <w:rFonts w:ascii="Arial" w:hAnsi="Arial" w:cs="Arial"/>
          <w:i/>
          <w:iCs/>
          <w:sz w:val="24"/>
          <w:szCs w:val="24"/>
        </w:rPr>
        <w:t>International Conference on Next Generation Wired/Wireless Networking</w:t>
      </w:r>
      <w:r w:rsidRPr="00A946A8">
        <w:rPr>
          <w:rFonts w:ascii="Arial" w:hAnsi="Arial" w:cs="Arial"/>
          <w:sz w:val="24"/>
          <w:szCs w:val="24"/>
        </w:rPr>
        <w:t> (pp. 333-344). Cham: Springer Nature Switzerland.</w:t>
      </w:r>
    </w:p>
    <w:p w14:paraId="04D932D8" w14:textId="77777777" w:rsidR="00A946A8" w:rsidRPr="00A946A8" w:rsidRDefault="00A946A8" w:rsidP="00A946A8">
      <w:pPr>
        <w:spacing w:line="600" w:lineRule="auto"/>
        <w:ind w:left="720" w:hanging="720"/>
        <w:jc w:val="both"/>
        <w:rPr>
          <w:rFonts w:ascii="Arial" w:hAnsi="Arial" w:cs="Arial"/>
          <w:sz w:val="24"/>
          <w:szCs w:val="24"/>
        </w:rPr>
      </w:pPr>
      <w:r w:rsidRPr="002143FA">
        <w:rPr>
          <w:rFonts w:ascii="Arial" w:hAnsi="Arial" w:cs="Arial"/>
          <w:sz w:val="24"/>
          <w:szCs w:val="24"/>
        </w:rPr>
        <w:t xml:space="preserve">Wood, Z. (2019). </w:t>
      </w:r>
      <w:r w:rsidRPr="002143FA">
        <w:rPr>
          <w:rFonts w:ascii="Arial" w:hAnsi="Arial" w:cs="Arial"/>
          <w:i/>
          <w:iCs/>
          <w:sz w:val="24"/>
          <w:szCs w:val="24"/>
        </w:rPr>
        <w:t>Sainsbury’s-Asda merger blocked by competition watchdog</w:t>
      </w:r>
      <w:r w:rsidRPr="002143FA">
        <w:rPr>
          <w:rFonts w:ascii="Arial" w:hAnsi="Arial" w:cs="Arial"/>
          <w:sz w:val="24"/>
          <w:szCs w:val="24"/>
        </w:rPr>
        <w:t>. [online] the Guardian. Available at: https://www.theguardian.com/business/2019/apr/25/sainsburys-asda-merger-blocked-by-competition-watchdog [Accessed 7 Aug. 2024].</w:t>
      </w:r>
    </w:p>
    <w:p w14:paraId="1B8037AD" w14:textId="77777777" w:rsidR="00A946A8" w:rsidRPr="00A946A8" w:rsidRDefault="00A946A8" w:rsidP="00A946A8">
      <w:pPr>
        <w:spacing w:line="600" w:lineRule="auto"/>
        <w:ind w:left="720" w:hanging="720"/>
        <w:jc w:val="both"/>
        <w:rPr>
          <w:rFonts w:ascii="Arial" w:hAnsi="Arial" w:cs="Arial"/>
          <w:sz w:val="24"/>
          <w:szCs w:val="24"/>
        </w:rPr>
      </w:pPr>
      <w:proofErr w:type="spellStart"/>
      <w:r w:rsidRPr="00A946A8">
        <w:rPr>
          <w:rFonts w:ascii="Arial" w:hAnsi="Arial" w:cs="Arial"/>
          <w:sz w:val="24"/>
          <w:szCs w:val="24"/>
        </w:rPr>
        <w:t>Wuave</w:t>
      </w:r>
      <w:proofErr w:type="spellEnd"/>
      <w:r w:rsidRPr="00A946A8">
        <w:rPr>
          <w:rFonts w:ascii="Arial" w:hAnsi="Arial" w:cs="Arial"/>
          <w:sz w:val="24"/>
          <w:szCs w:val="24"/>
        </w:rPr>
        <w:t>, T., Yua, H. and Yua, P.M., (2020). Effect of liquidity management on the financial performance of banks in Nigeria. </w:t>
      </w:r>
      <w:r w:rsidRPr="00A946A8">
        <w:rPr>
          <w:rFonts w:ascii="Arial" w:hAnsi="Arial" w:cs="Arial"/>
          <w:i/>
          <w:iCs/>
          <w:sz w:val="24"/>
          <w:szCs w:val="24"/>
        </w:rPr>
        <w:t>European journal of business and innovation research</w:t>
      </w:r>
      <w:r w:rsidRPr="00A946A8">
        <w:rPr>
          <w:rFonts w:ascii="Arial" w:hAnsi="Arial" w:cs="Arial"/>
          <w:sz w:val="24"/>
          <w:szCs w:val="24"/>
        </w:rPr>
        <w:t>, </w:t>
      </w:r>
      <w:r w:rsidRPr="00A946A8">
        <w:rPr>
          <w:rFonts w:ascii="Arial" w:hAnsi="Arial" w:cs="Arial"/>
          <w:i/>
          <w:iCs/>
          <w:sz w:val="24"/>
          <w:szCs w:val="24"/>
        </w:rPr>
        <w:t>8</w:t>
      </w:r>
      <w:r w:rsidRPr="00A946A8">
        <w:rPr>
          <w:rFonts w:ascii="Arial" w:hAnsi="Arial" w:cs="Arial"/>
          <w:sz w:val="24"/>
          <w:szCs w:val="24"/>
        </w:rPr>
        <w:t>(4), pp.30-44.</w:t>
      </w:r>
    </w:p>
    <w:p w14:paraId="20E4ABF6" w14:textId="77777777" w:rsidR="00A946A8" w:rsidRPr="00A946A8" w:rsidRDefault="00A946A8" w:rsidP="00A946A8">
      <w:pPr>
        <w:spacing w:line="600" w:lineRule="auto"/>
        <w:ind w:left="720" w:hanging="720"/>
        <w:jc w:val="both"/>
        <w:rPr>
          <w:rFonts w:ascii="Arial" w:hAnsi="Arial" w:cs="Arial"/>
          <w:sz w:val="24"/>
          <w:szCs w:val="24"/>
        </w:rPr>
      </w:pPr>
      <w:r w:rsidRPr="00A946A8">
        <w:rPr>
          <w:rFonts w:ascii="Arial" w:hAnsi="Arial" w:cs="Arial"/>
          <w:sz w:val="24"/>
          <w:szCs w:val="24"/>
        </w:rPr>
        <w:lastRenderedPageBreak/>
        <w:t>Zaman, M.B., (2021). Influence of debt to total asset ratio (</w:t>
      </w:r>
      <w:proofErr w:type="spellStart"/>
      <w:r w:rsidRPr="00A946A8">
        <w:rPr>
          <w:rFonts w:ascii="Arial" w:hAnsi="Arial" w:cs="Arial"/>
          <w:sz w:val="24"/>
          <w:szCs w:val="24"/>
        </w:rPr>
        <w:t>dar</w:t>
      </w:r>
      <w:proofErr w:type="spellEnd"/>
      <w:r w:rsidRPr="00A946A8">
        <w:rPr>
          <w:rFonts w:ascii="Arial" w:hAnsi="Arial" w:cs="Arial"/>
          <w:sz w:val="24"/>
          <w:szCs w:val="24"/>
        </w:rPr>
        <w:t>) current ratio (</w:t>
      </w:r>
      <w:proofErr w:type="spellStart"/>
      <w:r w:rsidRPr="00A946A8">
        <w:rPr>
          <w:rFonts w:ascii="Arial" w:hAnsi="Arial" w:cs="Arial"/>
          <w:sz w:val="24"/>
          <w:szCs w:val="24"/>
        </w:rPr>
        <w:t>cr</w:t>
      </w:r>
      <w:proofErr w:type="spellEnd"/>
      <w:r w:rsidRPr="00A946A8">
        <w:rPr>
          <w:rFonts w:ascii="Arial" w:hAnsi="Arial" w:cs="Arial"/>
          <w:sz w:val="24"/>
          <w:szCs w:val="24"/>
        </w:rPr>
        <w:t>) and total asset turnover (</w:t>
      </w:r>
      <w:proofErr w:type="spellStart"/>
      <w:r w:rsidRPr="00A946A8">
        <w:rPr>
          <w:rFonts w:ascii="Arial" w:hAnsi="Arial" w:cs="Arial"/>
          <w:sz w:val="24"/>
          <w:szCs w:val="24"/>
        </w:rPr>
        <w:t>tato</w:t>
      </w:r>
      <w:proofErr w:type="spellEnd"/>
      <w:r w:rsidRPr="00A946A8">
        <w:rPr>
          <w:rFonts w:ascii="Arial" w:hAnsi="Arial" w:cs="Arial"/>
          <w:sz w:val="24"/>
          <w:szCs w:val="24"/>
        </w:rPr>
        <w:t>) on return on asset (</w:t>
      </w:r>
      <w:proofErr w:type="spellStart"/>
      <w:r w:rsidRPr="00A946A8">
        <w:rPr>
          <w:rFonts w:ascii="Arial" w:hAnsi="Arial" w:cs="Arial"/>
          <w:sz w:val="24"/>
          <w:szCs w:val="24"/>
        </w:rPr>
        <w:t>roa</w:t>
      </w:r>
      <w:proofErr w:type="spellEnd"/>
      <w:r w:rsidRPr="00A946A8">
        <w:rPr>
          <w:rFonts w:ascii="Arial" w:hAnsi="Arial" w:cs="Arial"/>
          <w:sz w:val="24"/>
          <w:szCs w:val="24"/>
        </w:rPr>
        <w:t xml:space="preserve">) and its impact on stock prices on mining companies on the </w:t>
      </w:r>
      <w:proofErr w:type="spellStart"/>
      <w:r w:rsidRPr="00A946A8">
        <w:rPr>
          <w:rFonts w:ascii="Arial" w:hAnsi="Arial" w:cs="Arial"/>
          <w:sz w:val="24"/>
          <w:szCs w:val="24"/>
        </w:rPr>
        <w:t>indonesia</w:t>
      </w:r>
      <w:proofErr w:type="spellEnd"/>
      <w:r w:rsidRPr="00A946A8">
        <w:rPr>
          <w:rFonts w:ascii="Arial" w:hAnsi="Arial" w:cs="Arial"/>
          <w:sz w:val="24"/>
          <w:szCs w:val="24"/>
        </w:rPr>
        <w:t xml:space="preserve"> stock exchange in 2008-2017. </w:t>
      </w:r>
      <w:r w:rsidRPr="00A946A8">
        <w:rPr>
          <w:rFonts w:ascii="Arial" w:hAnsi="Arial" w:cs="Arial"/>
          <w:i/>
          <w:iCs/>
          <w:sz w:val="24"/>
          <w:szCs w:val="24"/>
        </w:rPr>
        <w:t>Journal of Industrial Engineering &amp; Management Research</w:t>
      </w:r>
      <w:r w:rsidRPr="00A946A8">
        <w:rPr>
          <w:rFonts w:ascii="Arial" w:hAnsi="Arial" w:cs="Arial"/>
          <w:sz w:val="24"/>
          <w:szCs w:val="24"/>
        </w:rPr>
        <w:t>, </w:t>
      </w:r>
      <w:r w:rsidRPr="00A946A8">
        <w:rPr>
          <w:rFonts w:ascii="Arial" w:hAnsi="Arial" w:cs="Arial"/>
          <w:i/>
          <w:iCs/>
          <w:sz w:val="24"/>
          <w:szCs w:val="24"/>
        </w:rPr>
        <w:t>2</w:t>
      </w:r>
      <w:r w:rsidRPr="00A946A8">
        <w:rPr>
          <w:rFonts w:ascii="Arial" w:hAnsi="Arial" w:cs="Arial"/>
          <w:sz w:val="24"/>
          <w:szCs w:val="24"/>
        </w:rPr>
        <w:t>(1), pp.114-132.</w:t>
      </w:r>
    </w:p>
    <w:p w14:paraId="54216689" w14:textId="77777777" w:rsidR="00F052E5" w:rsidRPr="008719A9" w:rsidRDefault="00F052E5" w:rsidP="008719A9">
      <w:pPr>
        <w:spacing w:line="360" w:lineRule="auto"/>
        <w:jc w:val="both"/>
        <w:rPr>
          <w:rFonts w:ascii="Arial" w:hAnsi="Arial" w:cs="Arial"/>
          <w:sz w:val="24"/>
          <w:szCs w:val="24"/>
        </w:rPr>
      </w:pPr>
    </w:p>
    <w:p w14:paraId="5F5177D7" w14:textId="77777777" w:rsidR="008719A9" w:rsidRPr="008719A9" w:rsidRDefault="008719A9" w:rsidP="008719A9">
      <w:pPr>
        <w:spacing w:line="360" w:lineRule="auto"/>
        <w:jc w:val="both"/>
        <w:rPr>
          <w:rFonts w:ascii="Arial" w:hAnsi="Arial" w:cs="Arial"/>
          <w:sz w:val="24"/>
          <w:szCs w:val="24"/>
        </w:rPr>
      </w:pPr>
    </w:p>
    <w:p w14:paraId="08F3C133" w14:textId="77777777" w:rsidR="008719A9" w:rsidRPr="008719A9" w:rsidRDefault="008719A9" w:rsidP="008719A9">
      <w:pPr>
        <w:spacing w:line="360" w:lineRule="auto"/>
        <w:jc w:val="both"/>
        <w:rPr>
          <w:rFonts w:ascii="Arial" w:hAnsi="Arial" w:cs="Arial"/>
          <w:sz w:val="24"/>
          <w:szCs w:val="24"/>
        </w:rPr>
      </w:pPr>
    </w:p>
    <w:p w14:paraId="42D0CBFC" w14:textId="77777777" w:rsidR="008719A9" w:rsidRPr="00CC51EF" w:rsidRDefault="008719A9" w:rsidP="00CC51EF">
      <w:pPr>
        <w:spacing w:line="360" w:lineRule="auto"/>
        <w:jc w:val="both"/>
        <w:rPr>
          <w:rFonts w:ascii="Arial" w:hAnsi="Arial" w:cs="Arial"/>
          <w:sz w:val="24"/>
          <w:szCs w:val="24"/>
        </w:rPr>
      </w:pPr>
    </w:p>
    <w:p w14:paraId="6A2E6F59" w14:textId="77777777" w:rsidR="00CC51EF" w:rsidRPr="0015549F" w:rsidRDefault="00CC51EF" w:rsidP="0015549F">
      <w:pPr>
        <w:spacing w:line="360" w:lineRule="auto"/>
        <w:jc w:val="both"/>
        <w:rPr>
          <w:rFonts w:ascii="Arial" w:hAnsi="Arial" w:cs="Arial"/>
          <w:sz w:val="24"/>
          <w:szCs w:val="24"/>
        </w:rPr>
      </w:pPr>
    </w:p>
    <w:p w14:paraId="706A80F8" w14:textId="77777777" w:rsidR="0015549F" w:rsidRPr="002143FA" w:rsidRDefault="0015549F" w:rsidP="002143FA">
      <w:pPr>
        <w:spacing w:line="360" w:lineRule="auto"/>
        <w:jc w:val="both"/>
        <w:rPr>
          <w:rFonts w:ascii="Arial" w:hAnsi="Arial" w:cs="Arial"/>
          <w:sz w:val="24"/>
          <w:szCs w:val="24"/>
        </w:rPr>
      </w:pPr>
    </w:p>
    <w:p w14:paraId="27DBA01D" w14:textId="77777777" w:rsidR="002143FA" w:rsidRPr="008E26A6" w:rsidRDefault="002143FA" w:rsidP="008E26A6">
      <w:pPr>
        <w:spacing w:line="360" w:lineRule="auto"/>
        <w:jc w:val="both"/>
        <w:rPr>
          <w:rFonts w:ascii="Arial" w:hAnsi="Arial" w:cs="Arial"/>
          <w:sz w:val="24"/>
          <w:szCs w:val="24"/>
        </w:rPr>
      </w:pPr>
    </w:p>
    <w:p w14:paraId="56EC82A7" w14:textId="77777777" w:rsidR="008E26A6" w:rsidRPr="000352B2" w:rsidRDefault="008E26A6" w:rsidP="000352B2">
      <w:pPr>
        <w:spacing w:line="360" w:lineRule="auto"/>
        <w:jc w:val="both"/>
        <w:rPr>
          <w:rFonts w:ascii="Arial" w:hAnsi="Arial" w:cs="Arial"/>
          <w:sz w:val="24"/>
          <w:szCs w:val="24"/>
        </w:rPr>
      </w:pPr>
    </w:p>
    <w:p w14:paraId="67E449DD" w14:textId="77777777" w:rsidR="000352B2" w:rsidRPr="00AB6A37" w:rsidRDefault="000352B2" w:rsidP="00AB6A37">
      <w:pPr>
        <w:spacing w:line="360" w:lineRule="auto"/>
        <w:jc w:val="both"/>
        <w:rPr>
          <w:rFonts w:ascii="Arial" w:hAnsi="Arial" w:cs="Arial"/>
          <w:sz w:val="24"/>
          <w:szCs w:val="24"/>
        </w:rPr>
      </w:pPr>
    </w:p>
    <w:p w14:paraId="3E38A130" w14:textId="77777777" w:rsidR="00AB6A37" w:rsidRPr="00AB6A37" w:rsidRDefault="00AB6A37" w:rsidP="00AB6A37">
      <w:pPr>
        <w:spacing w:line="360" w:lineRule="auto"/>
        <w:jc w:val="both"/>
        <w:rPr>
          <w:rFonts w:ascii="Arial" w:hAnsi="Arial" w:cs="Arial"/>
          <w:sz w:val="24"/>
          <w:szCs w:val="24"/>
        </w:rPr>
      </w:pPr>
    </w:p>
    <w:p w14:paraId="6AE2EF1B" w14:textId="77777777" w:rsidR="00201C4E" w:rsidRPr="000529AB" w:rsidRDefault="00201C4E" w:rsidP="00201C4E">
      <w:pPr>
        <w:spacing w:line="360" w:lineRule="auto"/>
        <w:jc w:val="both"/>
        <w:rPr>
          <w:rFonts w:ascii="Arial" w:hAnsi="Arial" w:cs="Arial"/>
          <w:sz w:val="24"/>
          <w:szCs w:val="24"/>
        </w:rPr>
      </w:pPr>
    </w:p>
    <w:p w14:paraId="27E7D7BA" w14:textId="77777777" w:rsidR="00201C4E" w:rsidRPr="000529AB" w:rsidRDefault="00201C4E" w:rsidP="00201C4E">
      <w:pPr>
        <w:spacing w:line="360" w:lineRule="auto"/>
        <w:jc w:val="both"/>
        <w:rPr>
          <w:rFonts w:ascii="Arial" w:hAnsi="Arial" w:cs="Arial"/>
          <w:sz w:val="24"/>
          <w:szCs w:val="24"/>
        </w:rPr>
      </w:pPr>
    </w:p>
    <w:p w14:paraId="6A82A470" w14:textId="77777777" w:rsidR="00201C4E" w:rsidRPr="000529AB" w:rsidRDefault="00201C4E" w:rsidP="00201C4E">
      <w:pPr>
        <w:spacing w:line="360" w:lineRule="auto"/>
        <w:jc w:val="both"/>
        <w:rPr>
          <w:rFonts w:ascii="Arial" w:hAnsi="Arial" w:cs="Arial"/>
          <w:sz w:val="24"/>
          <w:szCs w:val="24"/>
        </w:rPr>
      </w:pPr>
    </w:p>
    <w:p w14:paraId="4D384C74" w14:textId="77777777" w:rsidR="00201C4E" w:rsidRDefault="00201C4E" w:rsidP="00201C4E">
      <w:pPr>
        <w:spacing w:line="360" w:lineRule="auto"/>
        <w:jc w:val="both"/>
        <w:rPr>
          <w:rFonts w:ascii="Arial" w:hAnsi="Arial" w:cs="Arial"/>
          <w:sz w:val="24"/>
          <w:szCs w:val="24"/>
        </w:rPr>
      </w:pPr>
    </w:p>
    <w:p w14:paraId="3DD509FB" w14:textId="77777777" w:rsidR="00A946A8" w:rsidRDefault="00A946A8" w:rsidP="00201C4E">
      <w:pPr>
        <w:spacing w:line="360" w:lineRule="auto"/>
        <w:jc w:val="both"/>
        <w:rPr>
          <w:rFonts w:ascii="Arial" w:hAnsi="Arial" w:cs="Arial"/>
          <w:sz w:val="24"/>
          <w:szCs w:val="24"/>
        </w:rPr>
      </w:pPr>
    </w:p>
    <w:p w14:paraId="0358167A" w14:textId="77777777" w:rsidR="00A946A8" w:rsidRPr="000529AB" w:rsidRDefault="00A946A8" w:rsidP="00201C4E">
      <w:pPr>
        <w:spacing w:line="360" w:lineRule="auto"/>
        <w:jc w:val="both"/>
        <w:rPr>
          <w:rFonts w:ascii="Arial" w:hAnsi="Arial" w:cs="Arial"/>
          <w:sz w:val="24"/>
          <w:szCs w:val="24"/>
        </w:rPr>
      </w:pPr>
    </w:p>
    <w:p w14:paraId="566513AF" w14:textId="77777777" w:rsidR="00201C4E" w:rsidRPr="000529AB" w:rsidRDefault="00201C4E" w:rsidP="00201C4E">
      <w:pPr>
        <w:spacing w:line="360" w:lineRule="auto"/>
        <w:jc w:val="both"/>
        <w:rPr>
          <w:rFonts w:ascii="Arial" w:hAnsi="Arial" w:cs="Arial"/>
          <w:sz w:val="24"/>
          <w:szCs w:val="24"/>
        </w:rPr>
      </w:pPr>
    </w:p>
    <w:p w14:paraId="50D8151F" w14:textId="4F5E5391" w:rsidR="009A52F1" w:rsidRPr="004A72A2" w:rsidRDefault="00201C4E" w:rsidP="004A72A2">
      <w:pPr>
        <w:pStyle w:val="Heading1"/>
        <w:rPr>
          <w:b/>
          <w:bCs/>
          <w:color w:val="auto"/>
        </w:rPr>
      </w:pPr>
      <w:bookmarkStart w:id="14" w:name="_Toc173937151"/>
      <w:r w:rsidRPr="000529AB">
        <w:rPr>
          <w:b/>
          <w:bCs/>
          <w:color w:val="auto"/>
        </w:rPr>
        <w:lastRenderedPageBreak/>
        <w:t>Appendix</w:t>
      </w:r>
      <w:r w:rsidR="009A52F1">
        <w:rPr>
          <w:b/>
          <w:bCs/>
          <w:color w:val="auto"/>
        </w:rPr>
        <w:t xml:space="preserve"> A: Financial Ratios Calculations</w:t>
      </w:r>
      <w:bookmarkEnd w:id="14"/>
    </w:p>
    <w:p w14:paraId="35D112B9" w14:textId="0C88E967" w:rsidR="009A52F1" w:rsidRDefault="004A72A2" w:rsidP="009A52F1">
      <w:r w:rsidRPr="004A72A2">
        <w:rPr>
          <w:noProof/>
        </w:rPr>
        <w:drawing>
          <wp:inline distT="0" distB="0" distL="0" distR="0" wp14:anchorId="15235584" wp14:editId="0134CE1B">
            <wp:extent cx="6744339" cy="7755255"/>
            <wp:effectExtent l="0" t="0" r="0" b="0"/>
            <wp:docPr id="11753210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762271" cy="7775875"/>
                    </a:xfrm>
                    <a:prstGeom prst="rect">
                      <a:avLst/>
                    </a:prstGeom>
                    <a:noFill/>
                    <a:ln>
                      <a:noFill/>
                    </a:ln>
                  </pic:spPr>
                </pic:pic>
              </a:graphicData>
            </a:graphic>
          </wp:inline>
        </w:drawing>
      </w:r>
    </w:p>
    <w:p w14:paraId="043DD302" w14:textId="51CB9532" w:rsidR="009A52F1" w:rsidRPr="009A52F1" w:rsidRDefault="009A52F1" w:rsidP="009A52F1">
      <w:pPr>
        <w:pStyle w:val="Heading1"/>
        <w:rPr>
          <w:b/>
          <w:bCs/>
          <w:color w:val="auto"/>
        </w:rPr>
      </w:pPr>
      <w:bookmarkStart w:id="15" w:name="_Toc173937152"/>
      <w:r w:rsidRPr="009A52F1">
        <w:rPr>
          <w:b/>
          <w:bCs/>
          <w:color w:val="auto"/>
        </w:rPr>
        <w:lastRenderedPageBreak/>
        <w:t>Appendix B: Financial Statements</w:t>
      </w:r>
      <w:r w:rsidR="009E2E36">
        <w:rPr>
          <w:b/>
          <w:bCs/>
          <w:color w:val="auto"/>
        </w:rPr>
        <w:t xml:space="preserve"> </w:t>
      </w:r>
      <w:bookmarkEnd w:id="15"/>
      <w:r w:rsidR="00BB78CB">
        <w:rPr>
          <w:b/>
          <w:bCs/>
          <w:color w:val="auto"/>
        </w:rPr>
        <w:t>Sainsbury</w:t>
      </w:r>
    </w:p>
    <w:p w14:paraId="1AC3F3FC" w14:textId="130F6776" w:rsidR="00201C4E" w:rsidRDefault="009E2E36" w:rsidP="00201C4E">
      <w:pPr>
        <w:spacing w:line="360" w:lineRule="auto"/>
        <w:jc w:val="both"/>
        <w:rPr>
          <w:rFonts w:ascii="Arial" w:hAnsi="Arial" w:cs="Arial"/>
          <w:sz w:val="24"/>
          <w:szCs w:val="24"/>
        </w:rPr>
      </w:pPr>
      <w:r>
        <w:rPr>
          <w:noProof/>
        </w:rPr>
        <w:drawing>
          <wp:inline distT="0" distB="0" distL="0" distR="0" wp14:anchorId="5100CA0C" wp14:editId="26540055">
            <wp:extent cx="5710555" cy="6128795"/>
            <wp:effectExtent l="0" t="0" r="4445" b="5715"/>
            <wp:docPr id="261275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275825" name=""/>
                    <pic:cNvPicPr/>
                  </pic:nvPicPr>
                  <pic:blipFill rotWithShape="1">
                    <a:blip r:embed="rId21"/>
                    <a:srcRect l="23763" t="31505" r="25595" b="7212"/>
                    <a:stretch/>
                  </pic:blipFill>
                  <pic:spPr bwMode="auto">
                    <a:xfrm>
                      <a:off x="0" y="0"/>
                      <a:ext cx="5735020" cy="6155052"/>
                    </a:xfrm>
                    <a:prstGeom prst="rect">
                      <a:avLst/>
                    </a:prstGeom>
                    <a:ln>
                      <a:noFill/>
                    </a:ln>
                    <a:extLst>
                      <a:ext uri="{53640926-AAD7-44D8-BBD7-CCE9431645EC}">
                        <a14:shadowObscured xmlns:a14="http://schemas.microsoft.com/office/drawing/2010/main"/>
                      </a:ext>
                    </a:extLst>
                  </pic:spPr>
                </pic:pic>
              </a:graphicData>
            </a:graphic>
          </wp:inline>
        </w:drawing>
      </w:r>
    </w:p>
    <w:p w14:paraId="50C7B9D4" w14:textId="77777777" w:rsidR="009E2E36" w:rsidRDefault="009E2E36" w:rsidP="00201C4E">
      <w:pPr>
        <w:spacing w:line="360" w:lineRule="auto"/>
        <w:jc w:val="both"/>
        <w:rPr>
          <w:rFonts w:ascii="Arial" w:hAnsi="Arial" w:cs="Arial"/>
          <w:sz w:val="24"/>
          <w:szCs w:val="24"/>
        </w:rPr>
      </w:pPr>
    </w:p>
    <w:p w14:paraId="021100AA" w14:textId="77777777" w:rsidR="009E2E36" w:rsidRDefault="009E2E36" w:rsidP="00201C4E">
      <w:pPr>
        <w:spacing w:line="360" w:lineRule="auto"/>
        <w:jc w:val="both"/>
        <w:rPr>
          <w:rFonts w:ascii="Arial" w:hAnsi="Arial" w:cs="Arial"/>
          <w:sz w:val="24"/>
          <w:szCs w:val="24"/>
        </w:rPr>
      </w:pPr>
    </w:p>
    <w:p w14:paraId="4F34A5E2" w14:textId="77777777" w:rsidR="009E2E36" w:rsidRDefault="009E2E36" w:rsidP="00201C4E">
      <w:pPr>
        <w:spacing w:line="360" w:lineRule="auto"/>
        <w:jc w:val="both"/>
        <w:rPr>
          <w:rFonts w:ascii="Arial" w:hAnsi="Arial" w:cs="Arial"/>
          <w:sz w:val="24"/>
          <w:szCs w:val="24"/>
        </w:rPr>
      </w:pPr>
    </w:p>
    <w:p w14:paraId="1600BA21" w14:textId="77777777" w:rsidR="009E2E36" w:rsidRDefault="009E2E36" w:rsidP="00201C4E">
      <w:pPr>
        <w:spacing w:line="360" w:lineRule="auto"/>
        <w:jc w:val="both"/>
        <w:rPr>
          <w:rFonts w:ascii="Arial" w:hAnsi="Arial" w:cs="Arial"/>
          <w:sz w:val="24"/>
          <w:szCs w:val="24"/>
        </w:rPr>
      </w:pPr>
    </w:p>
    <w:p w14:paraId="23DE4DEF" w14:textId="77777777" w:rsidR="009E2E36" w:rsidRDefault="009E2E36" w:rsidP="00201C4E">
      <w:pPr>
        <w:spacing w:line="360" w:lineRule="auto"/>
        <w:jc w:val="both"/>
        <w:rPr>
          <w:rFonts w:ascii="Arial" w:hAnsi="Arial" w:cs="Arial"/>
          <w:sz w:val="24"/>
          <w:szCs w:val="24"/>
        </w:rPr>
      </w:pPr>
    </w:p>
    <w:p w14:paraId="6A942611" w14:textId="0FAF646A" w:rsidR="009E2E36" w:rsidRDefault="009E2E36" w:rsidP="00201C4E">
      <w:pPr>
        <w:spacing w:line="360" w:lineRule="auto"/>
        <w:jc w:val="both"/>
        <w:rPr>
          <w:rFonts w:ascii="Arial" w:hAnsi="Arial" w:cs="Arial"/>
          <w:sz w:val="24"/>
          <w:szCs w:val="24"/>
        </w:rPr>
      </w:pPr>
      <w:r>
        <w:rPr>
          <w:noProof/>
        </w:rPr>
        <w:lastRenderedPageBreak/>
        <w:drawing>
          <wp:inline distT="0" distB="0" distL="0" distR="0" wp14:anchorId="56ABE26A" wp14:editId="72CA0950">
            <wp:extent cx="5943600" cy="7653552"/>
            <wp:effectExtent l="0" t="0" r="0" b="5080"/>
            <wp:docPr id="1452090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90206" name=""/>
                    <pic:cNvPicPr/>
                  </pic:nvPicPr>
                  <pic:blipFill rotWithShape="1">
                    <a:blip r:embed="rId22"/>
                    <a:srcRect l="35078" t="24928" r="36569" b="9786"/>
                    <a:stretch/>
                  </pic:blipFill>
                  <pic:spPr bwMode="auto">
                    <a:xfrm>
                      <a:off x="0" y="0"/>
                      <a:ext cx="5943600" cy="7653552"/>
                    </a:xfrm>
                    <a:prstGeom prst="rect">
                      <a:avLst/>
                    </a:prstGeom>
                    <a:ln>
                      <a:noFill/>
                    </a:ln>
                    <a:extLst>
                      <a:ext uri="{53640926-AAD7-44D8-BBD7-CCE9431645EC}">
                        <a14:shadowObscured xmlns:a14="http://schemas.microsoft.com/office/drawing/2010/main"/>
                      </a:ext>
                    </a:extLst>
                  </pic:spPr>
                </pic:pic>
              </a:graphicData>
            </a:graphic>
          </wp:inline>
        </w:drawing>
      </w:r>
    </w:p>
    <w:p w14:paraId="292CFA62" w14:textId="77777777" w:rsidR="009E2E36" w:rsidRDefault="009E2E36" w:rsidP="00201C4E">
      <w:pPr>
        <w:spacing w:line="360" w:lineRule="auto"/>
        <w:jc w:val="both"/>
        <w:rPr>
          <w:rFonts w:ascii="Arial" w:hAnsi="Arial" w:cs="Arial"/>
          <w:sz w:val="24"/>
          <w:szCs w:val="24"/>
        </w:rPr>
      </w:pPr>
    </w:p>
    <w:p w14:paraId="162F1411" w14:textId="085F5B18" w:rsidR="009E2E36" w:rsidRDefault="009E2E36" w:rsidP="00201C4E">
      <w:pPr>
        <w:spacing w:line="360" w:lineRule="auto"/>
        <w:jc w:val="both"/>
        <w:rPr>
          <w:rFonts w:ascii="Arial" w:hAnsi="Arial" w:cs="Arial"/>
          <w:sz w:val="24"/>
          <w:szCs w:val="24"/>
        </w:rPr>
      </w:pPr>
      <w:r>
        <w:rPr>
          <w:noProof/>
        </w:rPr>
        <w:lastRenderedPageBreak/>
        <w:drawing>
          <wp:inline distT="0" distB="0" distL="0" distR="0" wp14:anchorId="4D366A08" wp14:editId="3B8E853B">
            <wp:extent cx="5850829" cy="7737676"/>
            <wp:effectExtent l="0" t="0" r="0" b="0"/>
            <wp:docPr id="953950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950762" name=""/>
                    <pic:cNvPicPr/>
                  </pic:nvPicPr>
                  <pic:blipFill rotWithShape="1">
                    <a:blip r:embed="rId23"/>
                    <a:srcRect l="23281" t="33236" r="26185" b="10330"/>
                    <a:stretch/>
                  </pic:blipFill>
                  <pic:spPr bwMode="auto">
                    <a:xfrm>
                      <a:off x="0" y="0"/>
                      <a:ext cx="5874219" cy="7768609"/>
                    </a:xfrm>
                    <a:prstGeom prst="rect">
                      <a:avLst/>
                    </a:prstGeom>
                    <a:ln>
                      <a:noFill/>
                    </a:ln>
                    <a:extLst>
                      <a:ext uri="{53640926-AAD7-44D8-BBD7-CCE9431645EC}">
                        <a14:shadowObscured xmlns:a14="http://schemas.microsoft.com/office/drawing/2010/main"/>
                      </a:ext>
                    </a:extLst>
                  </pic:spPr>
                </pic:pic>
              </a:graphicData>
            </a:graphic>
          </wp:inline>
        </w:drawing>
      </w:r>
    </w:p>
    <w:p w14:paraId="5ADB9697" w14:textId="77777777" w:rsidR="009E2E36" w:rsidRDefault="009E2E36" w:rsidP="00201C4E">
      <w:pPr>
        <w:spacing w:line="360" w:lineRule="auto"/>
        <w:jc w:val="both"/>
        <w:rPr>
          <w:rFonts w:ascii="Arial" w:hAnsi="Arial" w:cs="Arial"/>
          <w:sz w:val="24"/>
          <w:szCs w:val="24"/>
        </w:rPr>
      </w:pPr>
    </w:p>
    <w:p w14:paraId="194216DB" w14:textId="3363C01A" w:rsidR="009E2E36" w:rsidRDefault="009E2E36" w:rsidP="00201C4E">
      <w:pPr>
        <w:spacing w:line="360" w:lineRule="auto"/>
        <w:jc w:val="both"/>
        <w:rPr>
          <w:rFonts w:ascii="Arial" w:hAnsi="Arial" w:cs="Arial"/>
          <w:sz w:val="24"/>
          <w:szCs w:val="24"/>
        </w:rPr>
      </w:pPr>
      <w:r>
        <w:rPr>
          <w:noProof/>
        </w:rPr>
        <w:lastRenderedPageBreak/>
        <w:drawing>
          <wp:inline distT="0" distB="0" distL="0" distR="0" wp14:anchorId="14CD69A2" wp14:editId="275A2A92">
            <wp:extent cx="5878830" cy="8055980"/>
            <wp:effectExtent l="0" t="0" r="7620" b="2540"/>
            <wp:docPr id="46712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127962" name=""/>
                    <pic:cNvPicPr/>
                  </pic:nvPicPr>
                  <pic:blipFill rotWithShape="1">
                    <a:blip r:embed="rId24"/>
                    <a:srcRect l="34585" t="27697" r="36975" b="8935"/>
                    <a:stretch/>
                  </pic:blipFill>
                  <pic:spPr bwMode="auto">
                    <a:xfrm>
                      <a:off x="0" y="0"/>
                      <a:ext cx="5915044" cy="8105605"/>
                    </a:xfrm>
                    <a:prstGeom prst="rect">
                      <a:avLst/>
                    </a:prstGeom>
                    <a:ln>
                      <a:noFill/>
                    </a:ln>
                    <a:extLst>
                      <a:ext uri="{53640926-AAD7-44D8-BBD7-CCE9431645EC}">
                        <a14:shadowObscured xmlns:a14="http://schemas.microsoft.com/office/drawing/2010/main"/>
                      </a:ext>
                    </a:extLst>
                  </pic:spPr>
                </pic:pic>
              </a:graphicData>
            </a:graphic>
          </wp:inline>
        </w:drawing>
      </w:r>
    </w:p>
    <w:p w14:paraId="2D2771E9" w14:textId="77777777" w:rsidR="009E2E36" w:rsidRDefault="009E2E36" w:rsidP="00201C4E">
      <w:pPr>
        <w:spacing w:line="360" w:lineRule="auto"/>
        <w:jc w:val="both"/>
        <w:rPr>
          <w:rFonts w:ascii="Arial" w:hAnsi="Arial" w:cs="Arial"/>
          <w:sz w:val="24"/>
          <w:szCs w:val="24"/>
        </w:rPr>
      </w:pPr>
    </w:p>
    <w:p w14:paraId="6F89C6AC" w14:textId="5C06AD6E" w:rsidR="009E2E36" w:rsidRDefault="009E2E36" w:rsidP="00201C4E">
      <w:pPr>
        <w:spacing w:line="360" w:lineRule="auto"/>
        <w:jc w:val="both"/>
        <w:rPr>
          <w:rFonts w:ascii="Arial" w:hAnsi="Arial" w:cs="Arial"/>
          <w:sz w:val="24"/>
          <w:szCs w:val="24"/>
        </w:rPr>
      </w:pPr>
      <w:r>
        <w:rPr>
          <w:noProof/>
        </w:rPr>
        <w:drawing>
          <wp:inline distT="0" distB="0" distL="0" distR="0" wp14:anchorId="073836AC" wp14:editId="12961292">
            <wp:extent cx="5745843" cy="6591782"/>
            <wp:effectExtent l="0" t="0" r="7620" b="0"/>
            <wp:docPr id="1488407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07236" name=""/>
                    <pic:cNvPicPr/>
                  </pic:nvPicPr>
                  <pic:blipFill rotWithShape="1">
                    <a:blip r:embed="rId25"/>
                    <a:srcRect l="20555" t="24408" r="22943" b="10490"/>
                    <a:stretch/>
                  </pic:blipFill>
                  <pic:spPr bwMode="auto">
                    <a:xfrm>
                      <a:off x="0" y="0"/>
                      <a:ext cx="5771134" cy="6620796"/>
                    </a:xfrm>
                    <a:prstGeom prst="rect">
                      <a:avLst/>
                    </a:prstGeom>
                    <a:ln>
                      <a:noFill/>
                    </a:ln>
                    <a:extLst>
                      <a:ext uri="{53640926-AAD7-44D8-BBD7-CCE9431645EC}">
                        <a14:shadowObscured xmlns:a14="http://schemas.microsoft.com/office/drawing/2010/main"/>
                      </a:ext>
                    </a:extLst>
                  </pic:spPr>
                </pic:pic>
              </a:graphicData>
            </a:graphic>
          </wp:inline>
        </w:drawing>
      </w:r>
    </w:p>
    <w:p w14:paraId="3F414A0C" w14:textId="77777777" w:rsidR="009E2E36" w:rsidRDefault="009E2E36" w:rsidP="00201C4E">
      <w:pPr>
        <w:spacing w:line="360" w:lineRule="auto"/>
        <w:jc w:val="both"/>
        <w:rPr>
          <w:rFonts w:ascii="Arial" w:hAnsi="Arial" w:cs="Arial"/>
          <w:sz w:val="24"/>
          <w:szCs w:val="24"/>
        </w:rPr>
      </w:pPr>
    </w:p>
    <w:p w14:paraId="30A4F60E" w14:textId="77777777" w:rsidR="009E2E36" w:rsidRDefault="009E2E36" w:rsidP="00201C4E">
      <w:pPr>
        <w:spacing w:line="360" w:lineRule="auto"/>
        <w:jc w:val="both"/>
        <w:rPr>
          <w:rFonts w:ascii="Arial" w:hAnsi="Arial" w:cs="Arial"/>
          <w:sz w:val="24"/>
          <w:szCs w:val="24"/>
        </w:rPr>
      </w:pPr>
    </w:p>
    <w:p w14:paraId="2832795F" w14:textId="77777777" w:rsidR="009E2E36" w:rsidRDefault="009E2E36" w:rsidP="00201C4E">
      <w:pPr>
        <w:spacing w:line="360" w:lineRule="auto"/>
        <w:jc w:val="both"/>
        <w:rPr>
          <w:rFonts w:ascii="Arial" w:hAnsi="Arial" w:cs="Arial"/>
          <w:sz w:val="24"/>
          <w:szCs w:val="24"/>
        </w:rPr>
      </w:pPr>
    </w:p>
    <w:p w14:paraId="124DF754" w14:textId="63D2A16E" w:rsidR="009E2E36" w:rsidRDefault="009E2E36" w:rsidP="00201C4E">
      <w:pPr>
        <w:spacing w:line="360" w:lineRule="auto"/>
        <w:jc w:val="both"/>
        <w:rPr>
          <w:rFonts w:ascii="Arial" w:hAnsi="Arial" w:cs="Arial"/>
          <w:sz w:val="24"/>
          <w:szCs w:val="24"/>
        </w:rPr>
      </w:pPr>
      <w:r>
        <w:rPr>
          <w:noProof/>
        </w:rPr>
        <w:lastRenderedPageBreak/>
        <w:drawing>
          <wp:inline distT="0" distB="0" distL="0" distR="0" wp14:anchorId="2287F21F" wp14:editId="54605E16">
            <wp:extent cx="5913755" cy="8137003"/>
            <wp:effectExtent l="0" t="0" r="0" b="0"/>
            <wp:docPr id="297524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524790" name=""/>
                    <pic:cNvPicPr/>
                  </pic:nvPicPr>
                  <pic:blipFill rotWithShape="1">
                    <a:blip r:embed="rId26"/>
                    <a:srcRect l="34877" t="20427" r="36501" b="18460"/>
                    <a:stretch/>
                  </pic:blipFill>
                  <pic:spPr bwMode="auto">
                    <a:xfrm>
                      <a:off x="0" y="0"/>
                      <a:ext cx="5929057" cy="8158057"/>
                    </a:xfrm>
                    <a:prstGeom prst="rect">
                      <a:avLst/>
                    </a:prstGeom>
                    <a:ln>
                      <a:noFill/>
                    </a:ln>
                    <a:extLst>
                      <a:ext uri="{53640926-AAD7-44D8-BBD7-CCE9431645EC}">
                        <a14:shadowObscured xmlns:a14="http://schemas.microsoft.com/office/drawing/2010/main"/>
                      </a:ext>
                    </a:extLst>
                  </pic:spPr>
                </pic:pic>
              </a:graphicData>
            </a:graphic>
          </wp:inline>
        </w:drawing>
      </w:r>
    </w:p>
    <w:p w14:paraId="3FEA050D" w14:textId="7B152CAE" w:rsidR="009E2E36" w:rsidRDefault="009E2E36" w:rsidP="009E2E36">
      <w:pPr>
        <w:pStyle w:val="Heading1"/>
        <w:rPr>
          <w:b/>
          <w:bCs/>
          <w:color w:val="auto"/>
        </w:rPr>
      </w:pPr>
      <w:bookmarkStart w:id="16" w:name="_Toc173937153"/>
      <w:r w:rsidRPr="009A52F1">
        <w:rPr>
          <w:b/>
          <w:bCs/>
          <w:color w:val="auto"/>
        </w:rPr>
        <w:lastRenderedPageBreak/>
        <w:t xml:space="preserve">Appendix </w:t>
      </w:r>
      <w:r>
        <w:rPr>
          <w:b/>
          <w:bCs/>
          <w:color w:val="auto"/>
        </w:rPr>
        <w:t>C</w:t>
      </w:r>
      <w:r w:rsidRPr="009A52F1">
        <w:rPr>
          <w:b/>
          <w:bCs/>
          <w:color w:val="auto"/>
        </w:rPr>
        <w:t>: Financial Statements</w:t>
      </w:r>
      <w:r>
        <w:rPr>
          <w:b/>
          <w:bCs/>
          <w:color w:val="auto"/>
        </w:rPr>
        <w:t xml:space="preserve"> Tesco</w:t>
      </w:r>
      <w:bookmarkEnd w:id="16"/>
    </w:p>
    <w:p w14:paraId="5B8A464B" w14:textId="418C3AF8" w:rsidR="009E2E36" w:rsidRDefault="00B57CB7" w:rsidP="009E2E36">
      <w:r>
        <w:rPr>
          <w:noProof/>
        </w:rPr>
        <w:drawing>
          <wp:inline distT="0" distB="0" distL="0" distR="0" wp14:anchorId="3BBF2080" wp14:editId="320F577E">
            <wp:extent cx="5943600" cy="7726680"/>
            <wp:effectExtent l="0" t="0" r="0" b="7620"/>
            <wp:docPr id="2082460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460025" name=""/>
                    <pic:cNvPicPr/>
                  </pic:nvPicPr>
                  <pic:blipFill rotWithShape="1">
                    <a:blip r:embed="rId27"/>
                    <a:srcRect l="28248" t="20772" r="30455" b="15693"/>
                    <a:stretch/>
                  </pic:blipFill>
                  <pic:spPr bwMode="auto">
                    <a:xfrm>
                      <a:off x="0" y="0"/>
                      <a:ext cx="5943600" cy="7726680"/>
                    </a:xfrm>
                    <a:prstGeom prst="rect">
                      <a:avLst/>
                    </a:prstGeom>
                    <a:ln>
                      <a:noFill/>
                    </a:ln>
                    <a:extLst>
                      <a:ext uri="{53640926-AAD7-44D8-BBD7-CCE9431645EC}">
                        <a14:shadowObscured xmlns:a14="http://schemas.microsoft.com/office/drawing/2010/main"/>
                      </a:ext>
                    </a:extLst>
                  </pic:spPr>
                </pic:pic>
              </a:graphicData>
            </a:graphic>
          </wp:inline>
        </w:drawing>
      </w:r>
    </w:p>
    <w:p w14:paraId="31B444C0" w14:textId="3D165142" w:rsidR="00B57CB7" w:rsidRDefault="00B57CB7" w:rsidP="009E2E36">
      <w:r>
        <w:rPr>
          <w:noProof/>
        </w:rPr>
        <w:lastRenderedPageBreak/>
        <w:drawing>
          <wp:inline distT="0" distB="0" distL="0" distR="0" wp14:anchorId="1C382A5E" wp14:editId="5D943B36">
            <wp:extent cx="5943600" cy="8086220"/>
            <wp:effectExtent l="0" t="0" r="0" b="0"/>
            <wp:docPr id="306176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76601" name=""/>
                    <pic:cNvPicPr/>
                  </pic:nvPicPr>
                  <pic:blipFill rotWithShape="1">
                    <a:blip r:embed="rId28"/>
                    <a:srcRect l="35454" t="21118" r="37086" b="21929"/>
                    <a:stretch/>
                  </pic:blipFill>
                  <pic:spPr bwMode="auto">
                    <a:xfrm>
                      <a:off x="0" y="0"/>
                      <a:ext cx="5943600" cy="8086220"/>
                    </a:xfrm>
                    <a:prstGeom prst="rect">
                      <a:avLst/>
                    </a:prstGeom>
                    <a:ln>
                      <a:noFill/>
                    </a:ln>
                    <a:extLst>
                      <a:ext uri="{53640926-AAD7-44D8-BBD7-CCE9431645EC}">
                        <a14:shadowObscured xmlns:a14="http://schemas.microsoft.com/office/drawing/2010/main"/>
                      </a:ext>
                    </a:extLst>
                  </pic:spPr>
                </pic:pic>
              </a:graphicData>
            </a:graphic>
          </wp:inline>
        </w:drawing>
      </w:r>
    </w:p>
    <w:p w14:paraId="7C710EAA" w14:textId="7312FDAF" w:rsidR="00B57CB7" w:rsidRDefault="00B57CB7" w:rsidP="009E2E36">
      <w:r>
        <w:rPr>
          <w:noProof/>
        </w:rPr>
        <w:lastRenderedPageBreak/>
        <w:drawing>
          <wp:inline distT="0" distB="0" distL="0" distR="0" wp14:anchorId="3A9B05B4" wp14:editId="6836B037">
            <wp:extent cx="5710555" cy="7344137"/>
            <wp:effectExtent l="0" t="0" r="4445" b="9525"/>
            <wp:docPr id="1128618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618523" name=""/>
                    <pic:cNvPicPr/>
                  </pic:nvPicPr>
                  <pic:blipFill rotWithShape="1">
                    <a:blip r:embed="rId29"/>
                    <a:srcRect l="28537" t="24581" r="29682" b="9973"/>
                    <a:stretch/>
                  </pic:blipFill>
                  <pic:spPr bwMode="auto">
                    <a:xfrm>
                      <a:off x="0" y="0"/>
                      <a:ext cx="5738051" cy="7379499"/>
                    </a:xfrm>
                    <a:prstGeom prst="rect">
                      <a:avLst/>
                    </a:prstGeom>
                    <a:ln>
                      <a:noFill/>
                    </a:ln>
                    <a:extLst>
                      <a:ext uri="{53640926-AAD7-44D8-BBD7-CCE9431645EC}">
                        <a14:shadowObscured xmlns:a14="http://schemas.microsoft.com/office/drawing/2010/main"/>
                      </a:ext>
                    </a:extLst>
                  </pic:spPr>
                </pic:pic>
              </a:graphicData>
            </a:graphic>
          </wp:inline>
        </w:drawing>
      </w:r>
    </w:p>
    <w:p w14:paraId="78037538" w14:textId="77777777" w:rsidR="00B57CB7" w:rsidRDefault="00B57CB7" w:rsidP="009E2E36"/>
    <w:p w14:paraId="2DC94C5F" w14:textId="77777777" w:rsidR="00B57CB7" w:rsidRDefault="00B57CB7" w:rsidP="009E2E36"/>
    <w:p w14:paraId="385ED1EB" w14:textId="77777777" w:rsidR="00B57CB7" w:rsidRDefault="00B57CB7" w:rsidP="009E2E36"/>
    <w:p w14:paraId="4E9C9D20" w14:textId="77777777" w:rsidR="00B57CB7" w:rsidRDefault="00B57CB7" w:rsidP="009E2E36"/>
    <w:p w14:paraId="5FC9F79F" w14:textId="622D6B26" w:rsidR="00B57CB7" w:rsidRDefault="00B57CB7" w:rsidP="009E2E36">
      <w:r>
        <w:rPr>
          <w:noProof/>
        </w:rPr>
        <w:drawing>
          <wp:inline distT="0" distB="0" distL="0" distR="0" wp14:anchorId="03746939" wp14:editId="23F57013">
            <wp:extent cx="5694045" cy="7859210"/>
            <wp:effectExtent l="0" t="0" r="1905" b="8890"/>
            <wp:docPr id="339514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14244" name=""/>
                    <pic:cNvPicPr/>
                  </pic:nvPicPr>
                  <pic:blipFill rotWithShape="1">
                    <a:blip r:embed="rId30"/>
                    <a:srcRect l="35261" t="26314" r="36773" b="14644"/>
                    <a:stretch/>
                  </pic:blipFill>
                  <pic:spPr bwMode="auto">
                    <a:xfrm>
                      <a:off x="0" y="0"/>
                      <a:ext cx="5711125" cy="7882785"/>
                    </a:xfrm>
                    <a:prstGeom prst="rect">
                      <a:avLst/>
                    </a:prstGeom>
                    <a:ln>
                      <a:noFill/>
                    </a:ln>
                    <a:extLst>
                      <a:ext uri="{53640926-AAD7-44D8-BBD7-CCE9431645EC}">
                        <a14:shadowObscured xmlns:a14="http://schemas.microsoft.com/office/drawing/2010/main"/>
                      </a:ext>
                    </a:extLst>
                  </pic:spPr>
                </pic:pic>
              </a:graphicData>
            </a:graphic>
          </wp:inline>
        </w:drawing>
      </w:r>
    </w:p>
    <w:p w14:paraId="06841229" w14:textId="0C5966EE" w:rsidR="00B57CB7" w:rsidRDefault="00B57CB7" w:rsidP="009E2E36">
      <w:r>
        <w:rPr>
          <w:noProof/>
        </w:rPr>
        <w:lastRenderedPageBreak/>
        <w:drawing>
          <wp:inline distT="0" distB="0" distL="0" distR="0" wp14:anchorId="5CCE626B" wp14:editId="139719C7">
            <wp:extent cx="5943600" cy="7845129"/>
            <wp:effectExtent l="0" t="0" r="0" b="3810"/>
            <wp:docPr id="499586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86878" name=""/>
                    <pic:cNvPicPr/>
                  </pic:nvPicPr>
                  <pic:blipFill rotWithShape="1">
                    <a:blip r:embed="rId31"/>
                    <a:srcRect l="28830" t="28973" r="30462" b="8304"/>
                    <a:stretch/>
                  </pic:blipFill>
                  <pic:spPr bwMode="auto">
                    <a:xfrm>
                      <a:off x="0" y="0"/>
                      <a:ext cx="5943600" cy="7845129"/>
                    </a:xfrm>
                    <a:prstGeom prst="rect">
                      <a:avLst/>
                    </a:prstGeom>
                    <a:ln>
                      <a:noFill/>
                    </a:ln>
                    <a:extLst>
                      <a:ext uri="{53640926-AAD7-44D8-BBD7-CCE9431645EC}">
                        <a14:shadowObscured xmlns:a14="http://schemas.microsoft.com/office/drawing/2010/main"/>
                      </a:ext>
                    </a:extLst>
                  </pic:spPr>
                </pic:pic>
              </a:graphicData>
            </a:graphic>
          </wp:inline>
        </w:drawing>
      </w:r>
    </w:p>
    <w:p w14:paraId="6246A8A5" w14:textId="77777777" w:rsidR="00B57CB7" w:rsidRDefault="00B57CB7" w:rsidP="009E2E36"/>
    <w:p w14:paraId="5F03459D" w14:textId="744ABACB" w:rsidR="009E2E36" w:rsidRPr="007E1767" w:rsidRDefault="00B57CB7" w:rsidP="007E1767">
      <w:r>
        <w:rPr>
          <w:noProof/>
        </w:rPr>
        <w:lastRenderedPageBreak/>
        <w:drawing>
          <wp:inline distT="0" distB="0" distL="0" distR="0" wp14:anchorId="3F91AEBF" wp14:editId="52E9B96A">
            <wp:extent cx="5692053" cy="8096491"/>
            <wp:effectExtent l="0" t="0" r="4445" b="0"/>
            <wp:docPr id="2053862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62803" name=""/>
                    <pic:cNvPicPr/>
                  </pic:nvPicPr>
                  <pic:blipFill rotWithShape="1">
                    <a:blip r:embed="rId32"/>
                    <a:srcRect l="35353" t="30120" r="36803" b="7534"/>
                    <a:stretch/>
                  </pic:blipFill>
                  <pic:spPr bwMode="auto">
                    <a:xfrm>
                      <a:off x="0" y="0"/>
                      <a:ext cx="5723615" cy="8141385"/>
                    </a:xfrm>
                    <a:prstGeom prst="rect">
                      <a:avLst/>
                    </a:prstGeom>
                    <a:ln>
                      <a:noFill/>
                    </a:ln>
                    <a:extLst>
                      <a:ext uri="{53640926-AAD7-44D8-BBD7-CCE9431645EC}">
                        <a14:shadowObscured xmlns:a14="http://schemas.microsoft.com/office/drawing/2010/main"/>
                      </a:ext>
                    </a:extLst>
                  </pic:spPr>
                </pic:pic>
              </a:graphicData>
            </a:graphic>
          </wp:inline>
        </w:drawing>
      </w:r>
    </w:p>
    <w:sectPr w:rsidR="009E2E36" w:rsidRPr="007E1767">
      <w:headerReference w:type="default" r:id="rId33"/>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5FA29C" w14:textId="77777777" w:rsidR="00A76BFE" w:rsidRDefault="00A76BFE" w:rsidP="001631E2">
      <w:pPr>
        <w:spacing w:after="0" w:line="240" w:lineRule="auto"/>
      </w:pPr>
      <w:r>
        <w:separator/>
      </w:r>
    </w:p>
  </w:endnote>
  <w:endnote w:type="continuationSeparator" w:id="0">
    <w:p w14:paraId="47FF3900" w14:textId="77777777" w:rsidR="00A76BFE" w:rsidRDefault="00A76BFE" w:rsidP="00163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7643440"/>
      <w:docPartObj>
        <w:docPartGallery w:val="Page Numbers (Bottom of Page)"/>
        <w:docPartUnique/>
      </w:docPartObj>
    </w:sdtPr>
    <w:sdtContent>
      <w:p w14:paraId="34B806DC" w14:textId="616130CE" w:rsidR="001631E2" w:rsidRDefault="001631E2">
        <w:pPr>
          <w:pStyle w:val="Footer"/>
        </w:pPr>
        <w:r>
          <w:rPr>
            <w:noProof/>
          </w:rPr>
          <mc:AlternateContent>
            <mc:Choice Requires="wps">
              <w:drawing>
                <wp:anchor distT="0" distB="0" distL="114300" distR="114300" simplePos="0" relativeHeight="251660288" behindDoc="0" locked="0" layoutInCell="1" allowOverlap="1" wp14:anchorId="3833AD12" wp14:editId="2427B8F0">
                  <wp:simplePos x="0" y="0"/>
                  <wp:positionH relativeFrom="margin">
                    <wp:align>center</wp:align>
                  </wp:positionH>
                  <wp:positionV relativeFrom="bottomMargin">
                    <wp:align>center</wp:align>
                  </wp:positionV>
                  <wp:extent cx="551815" cy="238760"/>
                  <wp:effectExtent l="19050" t="19050" r="19685" b="18415"/>
                  <wp:wrapNone/>
                  <wp:docPr id="1113674266"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50977A0" w14:textId="77777777" w:rsidR="001631E2" w:rsidRDefault="001631E2">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833AD12"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150977A0" w14:textId="77777777" w:rsidR="001631E2" w:rsidRDefault="001631E2">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31834C0E" wp14:editId="14CE1D5B">
                  <wp:simplePos x="0" y="0"/>
                  <wp:positionH relativeFrom="margin">
                    <wp:align>center</wp:align>
                  </wp:positionH>
                  <wp:positionV relativeFrom="bottomMargin">
                    <wp:align>center</wp:align>
                  </wp:positionV>
                  <wp:extent cx="5518150" cy="0"/>
                  <wp:effectExtent l="9525" t="9525" r="6350" b="9525"/>
                  <wp:wrapNone/>
                  <wp:docPr id="446224725"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0A630E5"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449ADE" w14:textId="77777777" w:rsidR="00A76BFE" w:rsidRDefault="00A76BFE" w:rsidP="001631E2">
      <w:pPr>
        <w:spacing w:after="0" w:line="240" w:lineRule="auto"/>
      </w:pPr>
      <w:r>
        <w:separator/>
      </w:r>
    </w:p>
  </w:footnote>
  <w:footnote w:type="continuationSeparator" w:id="0">
    <w:p w14:paraId="53959510" w14:textId="77777777" w:rsidR="00A76BFE" w:rsidRDefault="00A76BFE" w:rsidP="001631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8B0E04" w14:textId="43605D59" w:rsidR="001631E2" w:rsidRDefault="001631E2" w:rsidP="001631E2">
    <w:pPr>
      <w:pStyle w:val="Header"/>
      <w:jc w:val="right"/>
    </w:pPr>
    <w:r>
      <w:rPr>
        <w:noProof/>
      </w:rPr>
      <mc:AlternateContent>
        <mc:Choice Requires="wps">
          <w:drawing>
            <wp:anchor distT="0" distB="0" distL="114300" distR="114300" simplePos="0" relativeHeight="251661312" behindDoc="0" locked="0" layoutInCell="1" allowOverlap="1" wp14:anchorId="62E9EA8F" wp14:editId="7299E6B8">
              <wp:simplePos x="0" y="0"/>
              <wp:positionH relativeFrom="page">
                <wp:align>left</wp:align>
              </wp:positionH>
              <wp:positionV relativeFrom="paragraph">
                <wp:posOffset>411804</wp:posOffset>
              </wp:positionV>
              <wp:extent cx="7781601" cy="0"/>
              <wp:effectExtent l="0" t="0" r="0" b="0"/>
              <wp:wrapNone/>
              <wp:docPr id="1180101505" name="Straight Connector 3"/>
              <wp:cNvGraphicFramePr/>
              <a:graphic xmlns:a="http://schemas.openxmlformats.org/drawingml/2006/main">
                <a:graphicData uri="http://schemas.microsoft.com/office/word/2010/wordprocessingShape">
                  <wps:wsp>
                    <wps:cNvCnPr/>
                    <wps:spPr>
                      <a:xfrm>
                        <a:off x="0" y="0"/>
                        <a:ext cx="778160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38D515" id="Straight Connector 3" o:spid="_x0000_s1026" style="position:absolute;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32.45pt" to="612.7pt,3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" strokecolor="black [3200]" strokeweight=".5pt">
              <v:stroke joinstyle="miter"/>
              <w10:wrap anchorx="page"/>
            </v:line>
          </w:pict>
        </mc:Fallback>
      </mc:AlternateContent>
    </w:r>
    <w:r>
      <w:rPr>
        <w:noProof/>
      </w:rPr>
      <w:drawing>
        <wp:inline distT="0" distB="0" distL="0" distR="0" wp14:anchorId="666378CB" wp14:editId="1700FAB8">
          <wp:extent cx="875489" cy="447040"/>
          <wp:effectExtent l="0" t="0" r="1270" b="0"/>
          <wp:docPr id="233991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895821" cy="45742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F63FB0"/>
    <w:multiLevelType w:val="multilevel"/>
    <w:tmpl w:val="4A76E25E"/>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6F32734"/>
    <w:multiLevelType w:val="multilevel"/>
    <w:tmpl w:val="4A76E25E"/>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8E35E4F"/>
    <w:multiLevelType w:val="hybridMultilevel"/>
    <w:tmpl w:val="B46881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DC13E8"/>
    <w:multiLevelType w:val="multilevel"/>
    <w:tmpl w:val="4A76E25E"/>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E912622"/>
    <w:multiLevelType w:val="multilevel"/>
    <w:tmpl w:val="1CF8B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322477"/>
    <w:multiLevelType w:val="hybridMultilevel"/>
    <w:tmpl w:val="2B7A58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B566FA8"/>
    <w:multiLevelType w:val="multilevel"/>
    <w:tmpl w:val="4A76E25E"/>
    <w:lvl w:ilvl="0">
      <w:start w:val="3"/>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637955418">
    <w:abstractNumId w:val="4"/>
  </w:num>
  <w:num w:numId="2" w16cid:durableId="830415165">
    <w:abstractNumId w:val="2"/>
  </w:num>
  <w:num w:numId="3" w16cid:durableId="1092429148">
    <w:abstractNumId w:val="5"/>
  </w:num>
  <w:num w:numId="4" w16cid:durableId="1615016237">
    <w:abstractNumId w:val="1"/>
  </w:num>
  <w:num w:numId="5" w16cid:durableId="1416781243">
    <w:abstractNumId w:val="3"/>
  </w:num>
  <w:num w:numId="6" w16cid:durableId="2091926638">
    <w:abstractNumId w:val="0"/>
  </w:num>
  <w:num w:numId="7" w16cid:durableId="10280232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7F5"/>
    <w:rsid w:val="00022FDC"/>
    <w:rsid w:val="000352B2"/>
    <w:rsid w:val="000529AB"/>
    <w:rsid w:val="00094E05"/>
    <w:rsid w:val="000A4499"/>
    <w:rsid w:val="00135640"/>
    <w:rsid w:val="001364CF"/>
    <w:rsid w:val="0014371D"/>
    <w:rsid w:val="0015549F"/>
    <w:rsid w:val="001631E2"/>
    <w:rsid w:val="001924AE"/>
    <w:rsid w:val="001A3B7D"/>
    <w:rsid w:val="001D5112"/>
    <w:rsid w:val="001F5FCF"/>
    <w:rsid w:val="00201C4E"/>
    <w:rsid w:val="00213942"/>
    <w:rsid w:val="002143FA"/>
    <w:rsid w:val="002254EF"/>
    <w:rsid w:val="00236A59"/>
    <w:rsid w:val="002636D0"/>
    <w:rsid w:val="00293AB4"/>
    <w:rsid w:val="002B1C97"/>
    <w:rsid w:val="002C1711"/>
    <w:rsid w:val="003115E8"/>
    <w:rsid w:val="00387372"/>
    <w:rsid w:val="00391BF7"/>
    <w:rsid w:val="00393A37"/>
    <w:rsid w:val="003A6A1E"/>
    <w:rsid w:val="003E13CE"/>
    <w:rsid w:val="004432CC"/>
    <w:rsid w:val="00443BE7"/>
    <w:rsid w:val="004A72A2"/>
    <w:rsid w:val="004D67C5"/>
    <w:rsid w:val="004F3FF5"/>
    <w:rsid w:val="00530C3D"/>
    <w:rsid w:val="00542500"/>
    <w:rsid w:val="00546EBB"/>
    <w:rsid w:val="00574E11"/>
    <w:rsid w:val="005D4D3D"/>
    <w:rsid w:val="005F7205"/>
    <w:rsid w:val="006109FE"/>
    <w:rsid w:val="00621D3D"/>
    <w:rsid w:val="006D2BC4"/>
    <w:rsid w:val="007320E2"/>
    <w:rsid w:val="00732284"/>
    <w:rsid w:val="0073722B"/>
    <w:rsid w:val="007C2815"/>
    <w:rsid w:val="007D5612"/>
    <w:rsid w:val="007E1767"/>
    <w:rsid w:val="007E6FDB"/>
    <w:rsid w:val="008170AE"/>
    <w:rsid w:val="00863C0F"/>
    <w:rsid w:val="008719A9"/>
    <w:rsid w:val="008E26A6"/>
    <w:rsid w:val="00970DCB"/>
    <w:rsid w:val="009A52F1"/>
    <w:rsid w:val="009E2E36"/>
    <w:rsid w:val="00A45119"/>
    <w:rsid w:val="00A717F5"/>
    <w:rsid w:val="00A76BFE"/>
    <w:rsid w:val="00A946A8"/>
    <w:rsid w:val="00A95EFD"/>
    <w:rsid w:val="00AB5F87"/>
    <w:rsid w:val="00AB6A37"/>
    <w:rsid w:val="00AE47B9"/>
    <w:rsid w:val="00AE4E8D"/>
    <w:rsid w:val="00B01975"/>
    <w:rsid w:val="00B0758F"/>
    <w:rsid w:val="00B12C48"/>
    <w:rsid w:val="00B220C4"/>
    <w:rsid w:val="00B55559"/>
    <w:rsid w:val="00B57CB7"/>
    <w:rsid w:val="00B70851"/>
    <w:rsid w:val="00BB1649"/>
    <w:rsid w:val="00BB78CB"/>
    <w:rsid w:val="00BE18F4"/>
    <w:rsid w:val="00BF4A6D"/>
    <w:rsid w:val="00C01B79"/>
    <w:rsid w:val="00C52C44"/>
    <w:rsid w:val="00CC51EF"/>
    <w:rsid w:val="00CD4D7B"/>
    <w:rsid w:val="00D443DC"/>
    <w:rsid w:val="00D55D45"/>
    <w:rsid w:val="00D73D6A"/>
    <w:rsid w:val="00DA3D9D"/>
    <w:rsid w:val="00DD3810"/>
    <w:rsid w:val="00DD3FA9"/>
    <w:rsid w:val="00DE117E"/>
    <w:rsid w:val="00DF1153"/>
    <w:rsid w:val="00E3427D"/>
    <w:rsid w:val="00E377F7"/>
    <w:rsid w:val="00E8028B"/>
    <w:rsid w:val="00ED3256"/>
    <w:rsid w:val="00F02F6B"/>
    <w:rsid w:val="00F052E5"/>
    <w:rsid w:val="00F4749D"/>
    <w:rsid w:val="00F546A2"/>
    <w:rsid w:val="00F926D3"/>
    <w:rsid w:val="00FA0CC5"/>
    <w:rsid w:val="00FB00BB"/>
    <w:rsid w:val="00FB3F22"/>
    <w:rsid w:val="00FC4384"/>
    <w:rsid w:val="00FD0543"/>
    <w:rsid w:val="00FE41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F7D003"/>
  <w15:chartTrackingRefBased/>
  <w15:docId w15:val="{519B4B83-0141-48F7-9623-D164235FA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C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1C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6A59"/>
    <w:pPr>
      <w:ind w:left="720"/>
      <w:contextualSpacing/>
    </w:pPr>
  </w:style>
  <w:style w:type="character" w:customStyle="1" w:styleId="Heading1Char">
    <w:name w:val="Heading 1 Char"/>
    <w:basedOn w:val="DefaultParagraphFont"/>
    <w:link w:val="Heading1"/>
    <w:uiPriority w:val="9"/>
    <w:rsid w:val="00201C4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01C4E"/>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201C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C4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631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31E2"/>
  </w:style>
  <w:style w:type="paragraph" w:styleId="Footer">
    <w:name w:val="footer"/>
    <w:basedOn w:val="Normal"/>
    <w:link w:val="FooterChar"/>
    <w:uiPriority w:val="99"/>
    <w:unhideWhenUsed/>
    <w:rsid w:val="001631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31E2"/>
  </w:style>
  <w:style w:type="paragraph" w:styleId="TOCHeading">
    <w:name w:val="TOC Heading"/>
    <w:basedOn w:val="Heading1"/>
    <w:next w:val="Normal"/>
    <w:uiPriority w:val="39"/>
    <w:unhideWhenUsed/>
    <w:qFormat/>
    <w:rsid w:val="000529AB"/>
    <w:pPr>
      <w:outlineLvl w:val="9"/>
    </w:pPr>
    <w:rPr>
      <w:kern w:val="0"/>
      <w14:ligatures w14:val="none"/>
    </w:rPr>
  </w:style>
  <w:style w:type="paragraph" w:styleId="TOC1">
    <w:name w:val="toc 1"/>
    <w:basedOn w:val="Normal"/>
    <w:next w:val="Normal"/>
    <w:autoRedefine/>
    <w:uiPriority w:val="39"/>
    <w:unhideWhenUsed/>
    <w:rsid w:val="000529AB"/>
    <w:pPr>
      <w:spacing w:after="100"/>
    </w:pPr>
  </w:style>
  <w:style w:type="paragraph" w:styleId="TOC2">
    <w:name w:val="toc 2"/>
    <w:basedOn w:val="Normal"/>
    <w:next w:val="Normal"/>
    <w:autoRedefine/>
    <w:uiPriority w:val="39"/>
    <w:unhideWhenUsed/>
    <w:rsid w:val="000529AB"/>
    <w:pPr>
      <w:spacing w:after="100"/>
      <w:ind w:left="220"/>
    </w:pPr>
  </w:style>
  <w:style w:type="character" w:styleId="Hyperlink">
    <w:name w:val="Hyperlink"/>
    <w:basedOn w:val="DefaultParagraphFont"/>
    <w:uiPriority w:val="99"/>
    <w:unhideWhenUsed/>
    <w:rsid w:val="000529AB"/>
    <w:rPr>
      <w:color w:val="0563C1" w:themeColor="hyperlink"/>
      <w:u w:val="single"/>
    </w:rPr>
  </w:style>
  <w:style w:type="paragraph" w:styleId="Caption">
    <w:name w:val="caption"/>
    <w:basedOn w:val="Normal"/>
    <w:next w:val="Normal"/>
    <w:uiPriority w:val="35"/>
    <w:unhideWhenUsed/>
    <w:qFormat/>
    <w:rsid w:val="00D443D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786922">
      <w:bodyDiv w:val="1"/>
      <w:marLeft w:val="0"/>
      <w:marRight w:val="0"/>
      <w:marTop w:val="0"/>
      <w:marBottom w:val="0"/>
      <w:divBdr>
        <w:top w:val="none" w:sz="0" w:space="0" w:color="auto"/>
        <w:left w:val="none" w:sz="0" w:space="0" w:color="auto"/>
        <w:bottom w:val="none" w:sz="0" w:space="0" w:color="auto"/>
        <w:right w:val="none" w:sz="0" w:space="0" w:color="auto"/>
      </w:divBdr>
      <w:divsChild>
        <w:div w:id="129902174">
          <w:marLeft w:val="0"/>
          <w:marRight w:val="0"/>
          <w:marTop w:val="0"/>
          <w:marBottom w:val="0"/>
          <w:divBdr>
            <w:top w:val="none" w:sz="0" w:space="0" w:color="auto"/>
            <w:left w:val="none" w:sz="0" w:space="0" w:color="auto"/>
            <w:bottom w:val="none" w:sz="0" w:space="0" w:color="auto"/>
            <w:right w:val="none" w:sz="0" w:space="0" w:color="auto"/>
          </w:divBdr>
        </w:div>
      </w:divsChild>
    </w:div>
    <w:div w:id="120929656">
      <w:bodyDiv w:val="1"/>
      <w:marLeft w:val="0"/>
      <w:marRight w:val="0"/>
      <w:marTop w:val="0"/>
      <w:marBottom w:val="0"/>
      <w:divBdr>
        <w:top w:val="none" w:sz="0" w:space="0" w:color="auto"/>
        <w:left w:val="none" w:sz="0" w:space="0" w:color="auto"/>
        <w:bottom w:val="none" w:sz="0" w:space="0" w:color="auto"/>
        <w:right w:val="none" w:sz="0" w:space="0" w:color="auto"/>
      </w:divBdr>
    </w:div>
    <w:div w:id="147405216">
      <w:bodyDiv w:val="1"/>
      <w:marLeft w:val="0"/>
      <w:marRight w:val="0"/>
      <w:marTop w:val="0"/>
      <w:marBottom w:val="0"/>
      <w:divBdr>
        <w:top w:val="none" w:sz="0" w:space="0" w:color="auto"/>
        <w:left w:val="none" w:sz="0" w:space="0" w:color="auto"/>
        <w:bottom w:val="none" w:sz="0" w:space="0" w:color="auto"/>
        <w:right w:val="none" w:sz="0" w:space="0" w:color="auto"/>
      </w:divBdr>
    </w:div>
    <w:div w:id="173493001">
      <w:bodyDiv w:val="1"/>
      <w:marLeft w:val="0"/>
      <w:marRight w:val="0"/>
      <w:marTop w:val="0"/>
      <w:marBottom w:val="0"/>
      <w:divBdr>
        <w:top w:val="none" w:sz="0" w:space="0" w:color="auto"/>
        <w:left w:val="none" w:sz="0" w:space="0" w:color="auto"/>
        <w:bottom w:val="none" w:sz="0" w:space="0" w:color="auto"/>
        <w:right w:val="none" w:sz="0" w:space="0" w:color="auto"/>
      </w:divBdr>
    </w:div>
    <w:div w:id="222449670">
      <w:bodyDiv w:val="1"/>
      <w:marLeft w:val="0"/>
      <w:marRight w:val="0"/>
      <w:marTop w:val="0"/>
      <w:marBottom w:val="0"/>
      <w:divBdr>
        <w:top w:val="none" w:sz="0" w:space="0" w:color="auto"/>
        <w:left w:val="none" w:sz="0" w:space="0" w:color="auto"/>
        <w:bottom w:val="none" w:sz="0" w:space="0" w:color="auto"/>
        <w:right w:val="none" w:sz="0" w:space="0" w:color="auto"/>
      </w:divBdr>
    </w:div>
    <w:div w:id="255485955">
      <w:bodyDiv w:val="1"/>
      <w:marLeft w:val="0"/>
      <w:marRight w:val="0"/>
      <w:marTop w:val="0"/>
      <w:marBottom w:val="0"/>
      <w:divBdr>
        <w:top w:val="none" w:sz="0" w:space="0" w:color="auto"/>
        <w:left w:val="none" w:sz="0" w:space="0" w:color="auto"/>
        <w:bottom w:val="none" w:sz="0" w:space="0" w:color="auto"/>
        <w:right w:val="none" w:sz="0" w:space="0" w:color="auto"/>
      </w:divBdr>
    </w:div>
    <w:div w:id="272591810">
      <w:bodyDiv w:val="1"/>
      <w:marLeft w:val="0"/>
      <w:marRight w:val="0"/>
      <w:marTop w:val="0"/>
      <w:marBottom w:val="0"/>
      <w:divBdr>
        <w:top w:val="none" w:sz="0" w:space="0" w:color="auto"/>
        <w:left w:val="none" w:sz="0" w:space="0" w:color="auto"/>
        <w:bottom w:val="none" w:sz="0" w:space="0" w:color="auto"/>
        <w:right w:val="none" w:sz="0" w:space="0" w:color="auto"/>
      </w:divBdr>
      <w:divsChild>
        <w:div w:id="402996789">
          <w:marLeft w:val="0"/>
          <w:marRight w:val="0"/>
          <w:marTop w:val="0"/>
          <w:marBottom w:val="0"/>
          <w:divBdr>
            <w:top w:val="none" w:sz="0" w:space="0" w:color="auto"/>
            <w:left w:val="none" w:sz="0" w:space="0" w:color="auto"/>
            <w:bottom w:val="none" w:sz="0" w:space="0" w:color="auto"/>
            <w:right w:val="none" w:sz="0" w:space="0" w:color="auto"/>
          </w:divBdr>
        </w:div>
      </w:divsChild>
    </w:div>
    <w:div w:id="317853395">
      <w:bodyDiv w:val="1"/>
      <w:marLeft w:val="0"/>
      <w:marRight w:val="0"/>
      <w:marTop w:val="0"/>
      <w:marBottom w:val="0"/>
      <w:divBdr>
        <w:top w:val="none" w:sz="0" w:space="0" w:color="auto"/>
        <w:left w:val="none" w:sz="0" w:space="0" w:color="auto"/>
        <w:bottom w:val="none" w:sz="0" w:space="0" w:color="auto"/>
        <w:right w:val="none" w:sz="0" w:space="0" w:color="auto"/>
      </w:divBdr>
    </w:div>
    <w:div w:id="397872935">
      <w:bodyDiv w:val="1"/>
      <w:marLeft w:val="0"/>
      <w:marRight w:val="0"/>
      <w:marTop w:val="0"/>
      <w:marBottom w:val="0"/>
      <w:divBdr>
        <w:top w:val="none" w:sz="0" w:space="0" w:color="auto"/>
        <w:left w:val="none" w:sz="0" w:space="0" w:color="auto"/>
        <w:bottom w:val="none" w:sz="0" w:space="0" w:color="auto"/>
        <w:right w:val="none" w:sz="0" w:space="0" w:color="auto"/>
      </w:divBdr>
      <w:divsChild>
        <w:div w:id="1968781733">
          <w:marLeft w:val="0"/>
          <w:marRight w:val="0"/>
          <w:marTop w:val="0"/>
          <w:marBottom w:val="0"/>
          <w:divBdr>
            <w:top w:val="none" w:sz="0" w:space="0" w:color="auto"/>
            <w:left w:val="none" w:sz="0" w:space="0" w:color="auto"/>
            <w:bottom w:val="none" w:sz="0" w:space="0" w:color="auto"/>
            <w:right w:val="none" w:sz="0" w:space="0" w:color="auto"/>
          </w:divBdr>
        </w:div>
      </w:divsChild>
    </w:div>
    <w:div w:id="422410218">
      <w:bodyDiv w:val="1"/>
      <w:marLeft w:val="0"/>
      <w:marRight w:val="0"/>
      <w:marTop w:val="0"/>
      <w:marBottom w:val="0"/>
      <w:divBdr>
        <w:top w:val="none" w:sz="0" w:space="0" w:color="auto"/>
        <w:left w:val="none" w:sz="0" w:space="0" w:color="auto"/>
        <w:bottom w:val="none" w:sz="0" w:space="0" w:color="auto"/>
        <w:right w:val="none" w:sz="0" w:space="0" w:color="auto"/>
      </w:divBdr>
    </w:div>
    <w:div w:id="494958367">
      <w:bodyDiv w:val="1"/>
      <w:marLeft w:val="0"/>
      <w:marRight w:val="0"/>
      <w:marTop w:val="0"/>
      <w:marBottom w:val="0"/>
      <w:divBdr>
        <w:top w:val="none" w:sz="0" w:space="0" w:color="auto"/>
        <w:left w:val="none" w:sz="0" w:space="0" w:color="auto"/>
        <w:bottom w:val="none" w:sz="0" w:space="0" w:color="auto"/>
        <w:right w:val="none" w:sz="0" w:space="0" w:color="auto"/>
      </w:divBdr>
      <w:divsChild>
        <w:div w:id="1777360319">
          <w:marLeft w:val="0"/>
          <w:marRight w:val="0"/>
          <w:marTop w:val="0"/>
          <w:marBottom w:val="0"/>
          <w:divBdr>
            <w:top w:val="none" w:sz="0" w:space="0" w:color="auto"/>
            <w:left w:val="none" w:sz="0" w:space="0" w:color="auto"/>
            <w:bottom w:val="none" w:sz="0" w:space="0" w:color="auto"/>
            <w:right w:val="none" w:sz="0" w:space="0" w:color="auto"/>
          </w:divBdr>
        </w:div>
      </w:divsChild>
    </w:div>
    <w:div w:id="530728627">
      <w:bodyDiv w:val="1"/>
      <w:marLeft w:val="0"/>
      <w:marRight w:val="0"/>
      <w:marTop w:val="0"/>
      <w:marBottom w:val="0"/>
      <w:divBdr>
        <w:top w:val="none" w:sz="0" w:space="0" w:color="auto"/>
        <w:left w:val="none" w:sz="0" w:space="0" w:color="auto"/>
        <w:bottom w:val="none" w:sz="0" w:space="0" w:color="auto"/>
        <w:right w:val="none" w:sz="0" w:space="0" w:color="auto"/>
      </w:divBdr>
      <w:divsChild>
        <w:div w:id="138310571">
          <w:marLeft w:val="0"/>
          <w:marRight w:val="0"/>
          <w:marTop w:val="0"/>
          <w:marBottom w:val="0"/>
          <w:divBdr>
            <w:top w:val="none" w:sz="0" w:space="0" w:color="auto"/>
            <w:left w:val="none" w:sz="0" w:space="0" w:color="auto"/>
            <w:bottom w:val="none" w:sz="0" w:space="0" w:color="auto"/>
            <w:right w:val="none" w:sz="0" w:space="0" w:color="auto"/>
          </w:divBdr>
        </w:div>
      </w:divsChild>
    </w:div>
    <w:div w:id="560021422">
      <w:bodyDiv w:val="1"/>
      <w:marLeft w:val="0"/>
      <w:marRight w:val="0"/>
      <w:marTop w:val="0"/>
      <w:marBottom w:val="0"/>
      <w:divBdr>
        <w:top w:val="none" w:sz="0" w:space="0" w:color="auto"/>
        <w:left w:val="none" w:sz="0" w:space="0" w:color="auto"/>
        <w:bottom w:val="none" w:sz="0" w:space="0" w:color="auto"/>
        <w:right w:val="none" w:sz="0" w:space="0" w:color="auto"/>
      </w:divBdr>
      <w:divsChild>
        <w:div w:id="204607386">
          <w:marLeft w:val="0"/>
          <w:marRight w:val="0"/>
          <w:marTop w:val="0"/>
          <w:marBottom w:val="0"/>
          <w:divBdr>
            <w:top w:val="none" w:sz="0" w:space="0" w:color="auto"/>
            <w:left w:val="none" w:sz="0" w:space="0" w:color="auto"/>
            <w:bottom w:val="none" w:sz="0" w:space="0" w:color="auto"/>
            <w:right w:val="none" w:sz="0" w:space="0" w:color="auto"/>
          </w:divBdr>
        </w:div>
      </w:divsChild>
    </w:div>
    <w:div w:id="663243224">
      <w:bodyDiv w:val="1"/>
      <w:marLeft w:val="0"/>
      <w:marRight w:val="0"/>
      <w:marTop w:val="0"/>
      <w:marBottom w:val="0"/>
      <w:divBdr>
        <w:top w:val="none" w:sz="0" w:space="0" w:color="auto"/>
        <w:left w:val="none" w:sz="0" w:space="0" w:color="auto"/>
        <w:bottom w:val="none" w:sz="0" w:space="0" w:color="auto"/>
        <w:right w:val="none" w:sz="0" w:space="0" w:color="auto"/>
      </w:divBdr>
    </w:div>
    <w:div w:id="691609939">
      <w:bodyDiv w:val="1"/>
      <w:marLeft w:val="0"/>
      <w:marRight w:val="0"/>
      <w:marTop w:val="0"/>
      <w:marBottom w:val="0"/>
      <w:divBdr>
        <w:top w:val="none" w:sz="0" w:space="0" w:color="auto"/>
        <w:left w:val="none" w:sz="0" w:space="0" w:color="auto"/>
        <w:bottom w:val="none" w:sz="0" w:space="0" w:color="auto"/>
        <w:right w:val="none" w:sz="0" w:space="0" w:color="auto"/>
      </w:divBdr>
    </w:div>
    <w:div w:id="773676329">
      <w:bodyDiv w:val="1"/>
      <w:marLeft w:val="0"/>
      <w:marRight w:val="0"/>
      <w:marTop w:val="0"/>
      <w:marBottom w:val="0"/>
      <w:divBdr>
        <w:top w:val="none" w:sz="0" w:space="0" w:color="auto"/>
        <w:left w:val="none" w:sz="0" w:space="0" w:color="auto"/>
        <w:bottom w:val="none" w:sz="0" w:space="0" w:color="auto"/>
        <w:right w:val="none" w:sz="0" w:space="0" w:color="auto"/>
      </w:divBdr>
      <w:divsChild>
        <w:div w:id="121659990">
          <w:marLeft w:val="0"/>
          <w:marRight w:val="0"/>
          <w:marTop w:val="0"/>
          <w:marBottom w:val="0"/>
          <w:divBdr>
            <w:top w:val="none" w:sz="0" w:space="0" w:color="auto"/>
            <w:left w:val="none" w:sz="0" w:space="0" w:color="auto"/>
            <w:bottom w:val="none" w:sz="0" w:space="0" w:color="auto"/>
            <w:right w:val="none" w:sz="0" w:space="0" w:color="auto"/>
          </w:divBdr>
        </w:div>
      </w:divsChild>
    </w:div>
    <w:div w:id="813909647">
      <w:bodyDiv w:val="1"/>
      <w:marLeft w:val="0"/>
      <w:marRight w:val="0"/>
      <w:marTop w:val="0"/>
      <w:marBottom w:val="0"/>
      <w:divBdr>
        <w:top w:val="none" w:sz="0" w:space="0" w:color="auto"/>
        <w:left w:val="none" w:sz="0" w:space="0" w:color="auto"/>
        <w:bottom w:val="none" w:sz="0" w:space="0" w:color="auto"/>
        <w:right w:val="none" w:sz="0" w:space="0" w:color="auto"/>
      </w:divBdr>
    </w:div>
    <w:div w:id="829904376">
      <w:bodyDiv w:val="1"/>
      <w:marLeft w:val="0"/>
      <w:marRight w:val="0"/>
      <w:marTop w:val="0"/>
      <w:marBottom w:val="0"/>
      <w:divBdr>
        <w:top w:val="none" w:sz="0" w:space="0" w:color="auto"/>
        <w:left w:val="none" w:sz="0" w:space="0" w:color="auto"/>
        <w:bottom w:val="none" w:sz="0" w:space="0" w:color="auto"/>
        <w:right w:val="none" w:sz="0" w:space="0" w:color="auto"/>
      </w:divBdr>
      <w:divsChild>
        <w:div w:id="915630352">
          <w:marLeft w:val="0"/>
          <w:marRight w:val="0"/>
          <w:marTop w:val="0"/>
          <w:marBottom w:val="0"/>
          <w:divBdr>
            <w:top w:val="none" w:sz="0" w:space="0" w:color="auto"/>
            <w:left w:val="none" w:sz="0" w:space="0" w:color="auto"/>
            <w:bottom w:val="none" w:sz="0" w:space="0" w:color="auto"/>
            <w:right w:val="none" w:sz="0" w:space="0" w:color="auto"/>
          </w:divBdr>
        </w:div>
      </w:divsChild>
    </w:div>
    <w:div w:id="834757757">
      <w:bodyDiv w:val="1"/>
      <w:marLeft w:val="0"/>
      <w:marRight w:val="0"/>
      <w:marTop w:val="0"/>
      <w:marBottom w:val="0"/>
      <w:divBdr>
        <w:top w:val="none" w:sz="0" w:space="0" w:color="auto"/>
        <w:left w:val="none" w:sz="0" w:space="0" w:color="auto"/>
        <w:bottom w:val="none" w:sz="0" w:space="0" w:color="auto"/>
        <w:right w:val="none" w:sz="0" w:space="0" w:color="auto"/>
      </w:divBdr>
      <w:divsChild>
        <w:div w:id="1147866805">
          <w:marLeft w:val="0"/>
          <w:marRight w:val="0"/>
          <w:marTop w:val="0"/>
          <w:marBottom w:val="0"/>
          <w:divBdr>
            <w:top w:val="none" w:sz="0" w:space="0" w:color="auto"/>
            <w:left w:val="none" w:sz="0" w:space="0" w:color="auto"/>
            <w:bottom w:val="none" w:sz="0" w:space="0" w:color="auto"/>
            <w:right w:val="none" w:sz="0" w:space="0" w:color="auto"/>
          </w:divBdr>
          <w:divsChild>
            <w:div w:id="659112843">
              <w:marLeft w:val="0"/>
              <w:marRight w:val="0"/>
              <w:marTop w:val="0"/>
              <w:marBottom w:val="0"/>
              <w:divBdr>
                <w:top w:val="none" w:sz="0" w:space="0" w:color="auto"/>
                <w:left w:val="none" w:sz="0" w:space="0" w:color="auto"/>
                <w:bottom w:val="none" w:sz="0" w:space="0" w:color="auto"/>
                <w:right w:val="none" w:sz="0" w:space="0" w:color="auto"/>
              </w:divBdr>
              <w:divsChild>
                <w:div w:id="1408188001">
                  <w:marLeft w:val="0"/>
                  <w:marRight w:val="0"/>
                  <w:marTop w:val="0"/>
                  <w:marBottom w:val="0"/>
                  <w:divBdr>
                    <w:top w:val="none" w:sz="0" w:space="0" w:color="auto"/>
                    <w:left w:val="none" w:sz="0" w:space="0" w:color="auto"/>
                    <w:bottom w:val="none" w:sz="0" w:space="0" w:color="auto"/>
                    <w:right w:val="none" w:sz="0" w:space="0" w:color="auto"/>
                  </w:divBdr>
                  <w:divsChild>
                    <w:div w:id="1689136784">
                      <w:marLeft w:val="0"/>
                      <w:marRight w:val="0"/>
                      <w:marTop w:val="0"/>
                      <w:marBottom w:val="0"/>
                      <w:divBdr>
                        <w:top w:val="none" w:sz="0" w:space="0" w:color="auto"/>
                        <w:left w:val="none" w:sz="0" w:space="0" w:color="auto"/>
                        <w:bottom w:val="none" w:sz="0" w:space="0" w:color="auto"/>
                        <w:right w:val="none" w:sz="0" w:space="0" w:color="auto"/>
                      </w:divBdr>
                      <w:divsChild>
                        <w:div w:id="1101681926">
                          <w:marLeft w:val="0"/>
                          <w:marRight w:val="0"/>
                          <w:marTop w:val="0"/>
                          <w:marBottom w:val="0"/>
                          <w:divBdr>
                            <w:top w:val="none" w:sz="0" w:space="0" w:color="auto"/>
                            <w:left w:val="none" w:sz="0" w:space="0" w:color="auto"/>
                            <w:bottom w:val="none" w:sz="0" w:space="0" w:color="auto"/>
                            <w:right w:val="none" w:sz="0" w:space="0" w:color="auto"/>
                          </w:divBdr>
                          <w:divsChild>
                            <w:div w:id="204521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7833403">
      <w:bodyDiv w:val="1"/>
      <w:marLeft w:val="0"/>
      <w:marRight w:val="0"/>
      <w:marTop w:val="0"/>
      <w:marBottom w:val="0"/>
      <w:divBdr>
        <w:top w:val="none" w:sz="0" w:space="0" w:color="auto"/>
        <w:left w:val="none" w:sz="0" w:space="0" w:color="auto"/>
        <w:bottom w:val="none" w:sz="0" w:space="0" w:color="auto"/>
        <w:right w:val="none" w:sz="0" w:space="0" w:color="auto"/>
      </w:divBdr>
    </w:div>
    <w:div w:id="1103527647">
      <w:bodyDiv w:val="1"/>
      <w:marLeft w:val="0"/>
      <w:marRight w:val="0"/>
      <w:marTop w:val="0"/>
      <w:marBottom w:val="0"/>
      <w:divBdr>
        <w:top w:val="none" w:sz="0" w:space="0" w:color="auto"/>
        <w:left w:val="none" w:sz="0" w:space="0" w:color="auto"/>
        <w:bottom w:val="none" w:sz="0" w:space="0" w:color="auto"/>
        <w:right w:val="none" w:sz="0" w:space="0" w:color="auto"/>
      </w:divBdr>
    </w:div>
    <w:div w:id="1138689131">
      <w:bodyDiv w:val="1"/>
      <w:marLeft w:val="0"/>
      <w:marRight w:val="0"/>
      <w:marTop w:val="0"/>
      <w:marBottom w:val="0"/>
      <w:divBdr>
        <w:top w:val="none" w:sz="0" w:space="0" w:color="auto"/>
        <w:left w:val="none" w:sz="0" w:space="0" w:color="auto"/>
        <w:bottom w:val="none" w:sz="0" w:space="0" w:color="auto"/>
        <w:right w:val="none" w:sz="0" w:space="0" w:color="auto"/>
      </w:divBdr>
    </w:div>
    <w:div w:id="1173684711">
      <w:bodyDiv w:val="1"/>
      <w:marLeft w:val="0"/>
      <w:marRight w:val="0"/>
      <w:marTop w:val="0"/>
      <w:marBottom w:val="0"/>
      <w:divBdr>
        <w:top w:val="none" w:sz="0" w:space="0" w:color="auto"/>
        <w:left w:val="none" w:sz="0" w:space="0" w:color="auto"/>
        <w:bottom w:val="none" w:sz="0" w:space="0" w:color="auto"/>
        <w:right w:val="none" w:sz="0" w:space="0" w:color="auto"/>
      </w:divBdr>
    </w:div>
    <w:div w:id="1175146844">
      <w:bodyDiv w:val="1"/>
      <w:marLeft w:val="0"/>
      <w:marRight w:val="0"/>
      <w:marTop w:val="0"/>
      <w:marBottom w:val="0"/>
      <w:divBdr>
        <w:top w:val="none" w:sz="0" w:space="0" w:color="auto"/>
        <w:left w:val="none" w:sz="0" w:space="0" w:color="auto"/>
        <w:bottom w:val="none" w:sz="0" w:space="0" w:color="auto"/>
        <w:right w:val="none" w:sz="0" w:space="0" w:color="auto"/>
      </w:divBdr>
      <w:divsChild>
        <w:div w:id="1533225001">
          <w:marLeft w:val="0"/>
          <w:marRight w:val="0"/>
          <w:marTop w:val="0"/>
          <w:marBottom w:val="0"/>
          <w:divBdr>
            <w:top w:val="none" w:sz="0" w:space="0" w:color="auto"/>
            <w:left w:val="none" w:sz="0" w:space="0" w:color="auto"/>
            <w:bottom w:val="none" w:sz="0" w:space="0" w:color="auto"/>
            <w:right w:val="none" w:sz="0" w:space="0" w:color="auto"/>
          </w:divBdr>
        </w:div>
      </w:divsChild>
    </w:div>
    <w:div w:id="1198006565">
      <w:bodyDiv w:val="1"/>
      <w:marLeft w:val="0"/>
      <w:marRight w:val="0"/>
      <w:marTop w:val="0"/>
      <w:marBottom w:val="0"/>
      <w:divBdr>
        <w:top w:val="none" w:sz="0" w:space="0" w:color="auto"/>
        <w:left w:val="none" w:sz="0" w:space="0" w:color="auto"/>
        <w:bottom w:val="none" w:sz="0" w:space="0" w:color="auto"/>
        <w:right w:val="none" w:sz="0" w:space="0" w:color="auto"/>
      </w:divBdr>
      <w:divsChild>
        <w:div w:id="577444424">
          <w:marLeft w:val="0"/>
          <w:marRight w:val="0"/>
          <w:marTop w:val="0"/>
          <w:marBottom w:val="0"/>
          <w:divBdr>
            <w:top w:val="none" w:sz="0" w:space="0" w:color="auto"/>
            <w:left w:val="none" w:sz="0" w:space="0" w:color="auto"/>
            <w:bottom w:val="none" w:sz="0" w:space="0" w:color="auto"/>
            <w:right w:val="none" w:sz="0" w:space="0" w:color="auto"/>
          </w:divBdr>
        </w:div>
      </w:divsChild>
    </w:div>
    <w:div w:id="1247418276">
      <w:bodyDiv w:val="1"/>
      <w:marLeft w:val="0"/>
      <w:marRight w:val="0"/>
      <w:marTop w:val="0"/>
      <w:marBottom w:val="0"/>
      <w:divBdr>
        <w:top w:val="none" w:sz="0" w:space="0" w:color="auto"/>
        <w:left w:val="none" w:sz="0" w:space="0" w:color="auto"/>
        <w:bottom w:val="none" w:sz="0" w:space="0" w:color="auto"/>
        <w:right w:val="none" w:sz="0" w:space="0" w:color="auto"/>
      </w:divBdr>
    </w:div>
    <w:div w:id="1288244827">
      <w:bodyDiv w:val="1"/>
      <w:marLeft w:val="0"/>
      <w:marRight w:val="0"/>
      <w:marTop w:val="0"/>
      <w:marBottom w:val="0"/>
      <w:divBdr>
        <w:top w:val="none" w:sz="0" w:space="0" w:color="auto"/>
        <w:left w:val="none" w:sz="0" w:space="0" w:color="auto"/>
        <w:bottom w:val="none" w:sz="0" w:space="0" w:color="auto"/>
        <w:right w:val="none" w:sz="0" w:space="0" w:color="auto"/>
      </w:divBdr>
    </w:div>
    <w:div w:id="1344090174">
      <w:bodyDiv w:val="1"/>
      <w:marLeft w:val="0"/>
      <w:marRight w:val="0"/>
      <w:marTop w:val="0"/>
      <w:marBottom w:val="0"/>
      <w:divBdr>
        <w:top w:val="none" w:sz="0" w:space="0" w:color="auto"/>
        <w:left w:val="none" w:sz="0" w:space="0" w:color="auto"/>
        <w:bottom w:val="none" w:sz="0" w:space="0" w:color="auto"/>
        <w:right w:val="none" w:sz="0" w:space="0" w:color="auto"/>
      </w:divBdr>
      <w:divsChild>
        <w:div w:id="1507018265">
          <w:marLeft w:val="0"/>
          <w:marRight w:val="0"/>
          <w:marTop w:val="0"/>
          <w:marBottom w:val="0"/>
          <w:divBdr>
            <w:top w:val="none" w:sz="0" w:space="0" w:color="auto"/>
            <w:left w:val="none" w:sz="0" w:space="0" w:color="auto"/>
            <w:bottom w:val="none" w:sz="0" w:space="0" w:color="auto"/>
            <w:right w:val="none" w:sz="0" w:space="0" w:color="auto"/>
          </w:divBdr>
        </w:div>
      </w:divsChild>
    </w:div>
    <w:div w:id="1345933305">
      <w:bodyDiv w:val="1"/>
      <w:marLeft w:val="0"/>
      <w:marRight w:val="0"/>
      <w:marTop w:val="0"/>
      <w:marBottom w:val="0"/>
      <w:divBdr>
        <w:top w:val="none" w:sz="0" w:space="0" w:color="auto"/>
        <w:left w:val="none" w:sz="0" w:space="0" w:color="auto"/>
        <w:bottom w:val="none" w:sz="0" w:space="0" w:color="auto"/>
        <w:right w:val="none" w:sz="0" w:space="0" w:color="auto"/>
      </w:divBdr>
      <w:divsChild>
        <w:div w:id="2128349357">
          <w:marLeft w:val="0"/>
          <w:marRight w:val="0"/>
          <w:marTop w:val="0"/>
          <w:marBottom w:val="0"/>
          <w:divBdr>
            <w:top w:val="none" w:sz="0" w:space="0" w:color="auto"/>
            <w:left w:val="none" w:sz="0" w:space="0" w:color="auto"/>
            <w:bottom w:val="none" w:sz="0" w:space="0" w:color="auto"/>
            <w:right w:val="none" w:sz="0" w:space="0" w:color="auto"/>
          </w:divBdr>
          <w:divsChild>
            <w:div w:id="1743092191">
              <w:marLeft w:val="0"/>
              <w:marRight w:val="0"/>
              <w:marTop w:val="0"/>
              <w:marBottom w:val="0"/>
              <w:divBdr>
                <w:top w:val="none" w:sz="0" w:space="0" w:color="auto"/>
                <w:left w:val="none" w:sz="0" w:space="0" w:color="auto"/>
                <w:bottom w:val="none" w:sz="0" w:space="0" w:color="auto"/>
                <w:right w:val="none" w:sz="0" w:space="0" w:color="auto"/>
              </w:divBdr>
              <w:divsChild>
                <w:div w:id="1299455761">
                  <w:marLeft w:val="0"/>
                  <w:marRight w:val="0"/>
                  <w:marTop w:val="0"/>
                  <w:marBottom w:val="0"/>
                  <w:divBdr>
                    <w:top w:val="none" w:sz="0" w:space="0" w:color="auto"/>
                    <w:left w:val="none" w:sz="0" w:space="0" w:color="auto"/>
                    <w:bottom w:val="none" w:sz="0" w:space="0" w:color="auto"/>
                    <w:right w:val="none" w:sz="0" w:space="0" w:color="auto"/>
                  </w:divBdr>
                  <w:divsChild>
                    <w:div w:id="710229395">
                      <w:marLeft w:val="0"/>
                      <w:marRight w:val="0"/>
                      <w:marTop w:val="0"/>
                      <w:marBottom w:val="0"/>
                      <w:divBdr>
                        <w:top w:val="none" w:sz="0" w:space="0" w:color="auto"/>
                        <w:left w:val="none" w:sz="0" w:space="0" w:color="auto"/>
                        <w:bottom w:val="none" w:sz="0" w:space="0" w:color="auto"/>
                        <w:right w:val="none" w:sz="0" w:space="0" w:color="auto"/>
                      </w:divBdr>
                      <w:divsChild>
                        <w:div w:id="1008098602">
                          <w:marLeft w:val="0"/>
                          <w:marRight w:val="0"/>
                          <w:marTop w:val="0"/>
                          <w:marBottom w:val="0"/>
                          <w:divBdr>
                            <w:top w:val="none" w:sz="0" w:space="0" w:color="auto"/>
                            <w:left w:val="none" w:sz="0" w:space="0" w:color="auto"/>
                            <w:bottom w:val="none" w:sz="0" w:space="0" w:color="auto"/>
                            <w:right w:val="none" w:sz="0" w:space="0" w:color="auto"/>
                          </w:divBdr>
                          <w:divsChild>
                            <w:div w:id="75374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5224966">
      <w:bodyDiv w:val="1"/>
      <w:marLeft w:val="0"/>
      <w:marRight w:val="0"/>
      <w:marTop w:val="0"/>
      <w:marBottom w:val="0"/>
      <w:divBdr>
        <w:top w:val="none" w:sz="0" w:space="0" w:color="auto"/>
        <w:left w:val="none" w:sz="0" w:space="0" w:color="auto"/>
        <w:bottom w:val="none" w:sz="0" w:space="0" w:color="auto"/>
        <w:right w:val="none" w:sz="0" w:space="0" w:color="auto"/>
      </w:divBdr>
    </w:div>
    <w:div w:id="1408841595">
      <w:bodyDiv w:val="1"/>
      <w:marLeft w:val="0"/>
      <w:marRight w:val="0"/>
      <w:marTop w:val="0"/>
      <w:marBottom w:val="0"/>
      <w:divBdr>
        <w:top w:val="none" w:sz="0" w:space="0" w:color="auto"/>
        <w:left w:val="none" w:sz="0" w:space="0" w:color="auto"/>
        <w:bottom w:val="none" w:sz="0" w:space="0" w:color="auto"/>
        <w:right w:val="none" w:sz="0" w:space="0" w:color="auto"/>
      </w:divBdr>
      <w:divsChild>
        <w:div w:id="261571321">
          <w:marLeft w:val="0"/>
          <w:marRight w:val="0"/>
          <w:marTop w:val="0"/>
          <w:marBottom w:val="0"/>
          <w:divBdr>
            <w:top w:val="none" w:sz="0" w:space="0" w:color="auto"/>
            <w:left w:val="none" w:sz="0" w:space="0" w:color="auto"/>
            <w:bottom w:val="none" w:sz="0" w:space="0" w:color="auto"/>
            <w:right w:val="none" w:sz="0" w:space="0" w:color="auto"/>
          </w:divBdr>
        </w:div>
      </w:divsChild>
    </w:div>
    <w:div w:id="1411350106">
      <w:bodyDiv w:val="1"/>
      <w:marLeft w:val="0"/>
      <w:marRight w:val="0"/>
      <w:marTop w:val="0"/>
      <w:marBottom w:val="0"/>
      <w:divBdr>
        <w:top w:val="none" w:sz="0" w:space="0" w:color="auto"/>
        <w:left w:val="none" w:sz="0" w:space="0" w:color="auto"/>
        <w:bottom w:val="none" w:sz="0" w:space="0" w:color="auto"/>
        <w:right w:val="none" w:sz="0" w:space="0" w:color="auto"/>
      </w:divBdr>
      <w:divsChild>
        <w:div w:id="89546994">
          <w:marLeft w:val="0"/>
          <w:marRight w:val="0"/>
          <w:marTop w:val="0"/>
          <w:marBottom w:val="0"/>
          <w:divBdr>
            <w:top w:val="none" w:sz="0" w:space="0" w:color="auto"/>
            <w:left w:val="none" w:sz="0" w:space="0" w:color="auto"/>
            <w:bottom w:val="none" w:sz="0" w:space="0" w:color="auto"/>
            <w:right w:val="none" w:sz="0" w:space="0" w:color="auto"/>
          </w:divBdr>
        </w:div>
      </w:divsChild>
    </w:div>
    <w:div w:id="1437094428">
      <w:bodyDiv w:val="1"/>
      <w:marLeft w:val="0"/>
      <w:marRight w:val="0"/>
      <w:marTop w:val="0"/>
      <w:marBottom w:val="0"/>
      <w:divBdr>
        <w:top w:val="none" w:sz="0" w:space="0" w:color="auto"/>
        <w:left w:val="none" w:sz="0" w:space="0" w:color="auto"/>
        <w:bottom w:val="none" w:sz="0" w:space="0" w:color="auto"/>
        <w:right w:val="none" w:sz="0" w:space="0" w:color="auto"/>
      </w:divBdr>
    </w:div>
    <w:div w:id="1500005601">
      <w:bodyDiv w:val="1"/>
      <w:marLeft w:val="0"/>
      <w:marRight w:val="0"/>
      <w:marTop w:val="0"/>
      <w:marBottom w:val="0"/>
      <w:divBdr>
        <w:top w:val="none" w:sz="0" w:space="0" w:color="auto"/>
        <w:left w:val="none" w:sz="0" w:space="0" w:color="auto"/>
        <w:bottom w:val="none" w:sz="0" w:space="0" w:color="auto"/>
        <w:right w:val="none" w:sz="0" w:space="0" w:color="auto"/>
      </w:divBdr>
    </w:div>
    <w:div w:id="1505824901">
      <w:bodyDiv w:val="1"/>
      <w:marLeft w:val="0"/>
      <w:marRight w:val="0"/>
      <w:marTop w:val="0"/>
      <w:marBottom w:val="0"/>
      <w:divBdr>
        <w:top w:val="none" w:sz="0" w:space="0" w:color="auto"/>
        <w:left w:val="none" w:sz="0" w:space="0" w:color="auto"/>
        <w:bottom w:val="none" w:sz="0" w:space="0" w:color="auto"/>
        <w:right w:val="none" w:sz="0" w:space="0" w:color="auto"/>
      </w:divBdr>
      <w:divsChild>
        <w:div w:id="1024284644">
          <w:marLeft w:val="0"/>
          <w:marRight w:val="0"/>
          <w:marTop w:val="0"/>
          <w:marBottom w:val="0"/>
          <w:divBdr>
            <w:top w:val="none" w:sz="0" w:space="0" w:color="auto"/>
            <w:left w:val="none" w:sz="0" w:space="0" w:color="auto"/>
            <w:bottom w:val="none" w:sz="0" w:space="0" w:color="auto"/>
            <w:right w:val="none" w:sz="0" w:space="0" w:color="auto"/>
          </w:divBdr>
        </w:div>
      </w:divsChild>
    </w:div>
    <w:div w:id="1549681794">
      <w:bodyDiv w:val="1"/>
      <w:marLeft w:val="0"/>
      <w:marRight w:val="0"/>
      <w:marTop w:val="0"/>
      <w:marBottom w:val="0"/>
      <w:divBdr>
        <w:top w:val="none" w:sz="0" w:space="0" w:color="auto"/>
        <w:left w:val="none" w:sz="0" w:space="0" w:color="auto"/>
        <w:bottom w:val="none" w:sz="0" w:space="0" w:color="auto"/>
        <w:right w:val="none" w:sz="0" w:space="0" w:color="auto"/>
      </w:divBdr>
      <w:divsChild>
        <w:div w:id="1759013377">
          <w:marLeft w:val="0"/>
          <w:marRight w:val="0"/>
          <w:marTop w:val="0"/>
          <w:marBottom w:val="0"/>
          <w:divBdr>
            <w:top w:val="none" w:sz="0" w:space="0" w:color="auto"/>
            <w:left w:val="none" w:sz="0" w:space="0" w:color="auto"/>
            <w:bottom w:val="none" w:sz="0" w:space="0" w:color="auto"/>
            <w:right w:val="none" w:sz="0" w:space="0" w:color="auto"/>
          </w:divBdr>
        </w:div>
      </w:divsChild>
    </w:div>
    <w:div w:id="1931229565">
      <w:bodyDiv w:val="1"/>
      <w:marLeft w:val="0"/>
      <w:marRight w:val="0"/>
      <w:marTop w:val="0"/>
      <w:marBottom w:val="0"/>
      <w:divBdr>
        <w:top w:val="none" w:sz="0" w:space="0" w:color="auto"/>
        <w:left w:val="none" w:sz="0" w:space="0" w:color="auto"/>
        <w:bottom w:val="none" w:sz="0" w:space="0" w:color="auto"/>
        <w:right w:val="none" w:sz="0" w:space="0" w:color="auto"/>
      </w:divBdr>
    </w:div>
    <w:div w:id="1931422274">
      <w:bodyDiv w:val="1"/>
      <w:marLeft w:val="0"/>
      <w:marRight w:val="0"/>
      <w:marTop w:val="0"/>
      <w:marBottom w:val="0"/>
      <w:divBdr>
        <w:top w:val="none" w:sz="0" w:space="0" w:color="auto"/>
        <w:left w:val="none" w:sz="0" w:space="0" w:color="auto"/>
        <w:bottom w:val="none" w:sz="0" w:space="0" w:color="auto"/>
        <w:right w:val="none" w:sz="0" w:space="0" w:color="auto"/>
      </w:divBdr>
    </w:div>
    <w:div w:id="1951429482">
      <w:bodyDiv w:val="1"/>
      <w:marLeft w:val="0"/>
      <w:marRight w:val="0"/>
      <w:marTop w:val="0"/>
      <w:marBottom w:val="0"/>
      <w:divBdr>
        <w:top w:val="none" w:sz="0" w:space="0" w:color="auto"/>
        <w:left w:val="none" w:sz="0" w:space="0" w:color="auto"/>
        <w:bottom w:val="none" w:sz="0" w:space="0" w:color="auto"/>
        <w:right w:val="none" w:sz="0" w:space="0" w:color="auto"/>
      </w:divBdr>
      <w:divsChild>
        <w:div w:id="2125732111">
          <w:marLeft w:val="0"/>
          <w:marRight w:val="0"/>
          <w:marTop w:val="0"/>
          <w:marBottom w:val="0"/>
          <w:divBdr>
            <w:top w:val="none" w:sz="0" w:space="0" w:color="auto"/>
            <w:left w:val="none" w:sz="0" w:space="0" w:color="auto"/>
            <w:bottom w:val="none" w:sz="0" w:space="0" w:color="auto"/>
            <w:right w:val="none" w:sz="0" w:space="0" w:color="auto"/>
          </w:divBdr>
        </w:div>
      </w:divsChild>
    </w:div>
    <w:div w:id="2017539361">
      <w:bodyDiv w:val="1"/>
      <w:marLeft w:val="0"/>
      <w:marRight w:val="0"/>
      <w:marTop w:val="0"/>
      <w:marBottom w:val="0"/>
      <w:divBdr>
        <w:top w:val="none" w:sz="0" w:space="0" w:color="auto"/>
        <w:left w:val="none" w:sz="0" w:space="0" w:color="auto"/>
        <w:bottom w:val="none" w:sz="0" w:space="0" w:color="auto"/>
        <w:right w:val="none" w:sz="0" w:space="0" w:color="auto"/>
      </w:divBdr>
      <w:divsChild>
        <w:div w:id="1240405293">
          <w:marLeft w:val="0"/>
          <w:marRight w:val="0"/>
          <w:marTop w:val="0"/>
          <w:marBottom w:val="0"/>
          <w:divBdr>
            <w:top w:val="none" w:sz="0" w:space="0" w:color="auto"/>
            <w:left w:val="none" w:sz="0" w:space="0" w:color="auto"/>
            <w:bottom w:val="none" w:sz="0" w:space="0" w:color="auto"/>
            <w:right w:val="none" w:sz="0" w:space="0" w:color="auto"/>
          </w:divBdr>
        </w:div>
      </w:divsChild>
    </w:div>
    <w:div w:id="2076775845">
      <w:bodyDiv w:val="1"/>
      <w:marLeft w:val="0"/>
      <w:marRight w:val="0"/>
      <w:marTop w:val="0"/>
      <w:marBottom w:val="0"/>
      <w:divBdr>
        <w:top w:val="none" w:sz="0" w:space="0" w:color="auto"/>
        <w:left w:val="none" w:sz="0" w:space="0" w:color="auto"/>
        <w:bottom w:val="none" w:sz="0" w:space="0" w:color="auto"/>
        <w:right w:val="none" w:sz="0" w:space="0" w:color="auto"/>
      </w:divBdr>
      <w:divsChild>
        <w:div w:id="692922057">
          <w:marLeft w:val="0"/>
          <w:marRight w:val="0"/>
          <w:marTop w:val="0"/>
          <w:marBottom w:val="0"/>
          <w:divBdr>
            <w:top w:val="none" w:sz="0" w:space="0" w:color="auto"/>
            <w:left w:val="none" w:sz="0" w:space="0" w:color="auto"/>
            <w:bottom w:val="none" w:sz="0" w:space="0" w:color="auto"/>
            <w:right w:val="none" w:sz="0" w:space="0" w:color="auto"/>
          </w:divBdr>
        </w:div>
      </w:divsChild>
    </w:div>
    <w:div w:id="2126659004">
      <w:bodyDiv w:val="1"/>
      <w:marLeft w:val="0"/>
      <w:marRight w:val="0"/>
      <w:marTop w:val="0"/>
      <w:marBottom w:val="0"/>
      <w:divBdr>
        <w:top w:val="none" w:sz="0" w:space="0" w:color="auto"/>
        <w:left w:val="none" w:sz="0" w:space="0" w:color="auto"/>
        <w:bottom w:val="none" w:sz="0" w:space="0" w:color="auto"/>
        <w:right w:val="none" w:sz="0" w:space="0" w:color="auto"/>
      </w:divBdr>
      <w:divsChild>
        <w:div w:id="1134718103">
          <w:marLeft w:val="0"/>
          <w:marRight w:val="0"/>
          <w:marTop w:val="0"/>
          <w:marBottom w:val="0"/>
          <w:divBdr>
            <w:top w:val="none" w:sz="0" w:space="0" w:color="auto"/>
            <w:left w:val="none" w:sz="0" w:space="0" w:color="auto"/>
            <w:bottom w:val="none" w:sz="0" w:space="0" w:color="auto"/>
            <w:right w:val="none" w:sz="0" w:space="0" w:color="auto"/>
          </w:divBdr>
        </w:div>
      </w:divsChild>
    </w:div>
    <w:div w:id="2129615368">
      <w:bodyDiv w:val="1"/>
      <w:marLeft w:val="0"/>
      <w:marRight w:val="0"/>
      <w:marTop w:val="0"/>
      <w:marBottom w:val="0"/>
      <w:divBdr>
        <w:top w:val="none" w:sz="0" w:space="0" w:color="auto"/>
        <w:left w:val="none" w:sz="0" w:space="0" w:color="auto"/>
        <w:bottom w:val="none" w:sz="0" w:space="0" w:color="auto"/>
        <w:right w:val="none" w:sz="0" w:space="0" w:color="auto"/>
      </w:divBdr>
      <w:divsChild>
        <w:div w:id="250505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32502B-E910-4E54-84BB-D08B69FEB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44</Pages>
  <Words>6412</Words>
  <Characters>36551</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PRAFUL BALDHA</cp:lastModifiedBy>
  <cp:revision>95</cp:revision>
  <dcterms:created xsi:type="dcterms:W3CDTF">2024-08-06T06:31:00Z</dcterms:created>
  <dcterms:modified xsi:type="dcterms:W3CDTF">2024-08-10T17:57:00Z</dcterms:modified>
</cp:coreProperties>
</file>