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30F35" w:rsidRDefault="00E22A1C" w:rsidP="00230F35">
      <w:pPr>
        <w:pStyle w:val="NormalWeb"/>
        <w:spacing w:before="0" w:beforeAutospacing="0" w:after="0" w:afterAutospacing="0"/>
        <w:ind w:left="-180" w:right="-334"/>
      </w:pPr>
      <w:r>
        <w:rPr>
          <w:noProof/>
        </w:rPr>
        <w:drawing>
          <wp:inline distT="0" distB="0" distL="0" distR="0">
            <wp:extent cx="1907540" cy="633730"/>
            <wp:effectExtent l="25400" t="25400" r="10160" b="1397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7540" cy="633730"/>
                    </a:xfrm>
                    <a:prstGeom prst="rect">
                      <a:avLst/>
                    </a:prstGeom>
                    <a:noFill/>
                    <a:ln w="19050" cmpd="sng">
                      <a:solidFill>
                        <a:srgbClr val="000000"/>
                      </a:solidFill>
                      <a:miter lim="800000"/>
                      <a:headEnd/>
                      <a:tailEnd/>
                    </a:ln>
                    <a:effectLst/>
                  </pic:spPr>
                </pic:pic>
              </a:graphicData>
            </a:graphic>
          </wp:inline>
        </w:drawing>
      </w:r>
    </w:p>
    <w:p w:rsidR="00230F35" w:rsidRDefault="00230F35" w:rsidP="00230F35">
      <w:pPr>
        <w:pStyle w:val="NormalWeb"/>
        <w:spacing w:before="0" w:beforeAutospacing="0" w:after="0" w:afterAutospacing="0"/>
        <w:ind w:left="-180" w:right="-334"/>
      </w:pPr>
    </w:p>
    <w:p w:rsidR="00A745B6" w:rsidRDefault="00A745B6" w:rsidP="00230F35">
      <w:pPr>
        <w:pStyle w:val="NormalWeb"/>
        <w:spacing w:before="0" w:beforeAutospacing="0" w:after="0" w:afterAutospacing="0"/>
        <w:ind w:left="-180" w:right="-334"/>
      </w:pPr>
    </w:p>
    <w:p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rsidR="002E67CE" w:rsidRPr="00230F35" w:rsidRDefault="002E67CE" w:rsidP="002E67CE">
      <w:pPr>
        <w:rPr>
          <w:rFonts w:ascii="Arial" w:hAnsi="Arial" w:cs="Arial"/>
          <w:sz w:val="28"/>
          <w:szCs w:val="28"/>
          <w:lang w:val="cy-GB"/>
        </w:rPr>
      </w:pPr>
    </w:p>
    <w:p w:rsidR="002E67CE" w:rsidRDefault="002E67CE" w:rsidP="002E67CE">
      <w:pPr>
        <w:pStyle w:val="Heading3"/>
        <w:jc w:val="center"/>
        <w:rPr>
          <w:lang w:val="cy-GB"/>
        </w:rPr>
      </w:pPr>
      <w:r>
        <w:rPr>
          <w:lang w:val="cy-GB"/>
        </w:rPr>
        <w:t>THIS SHEET MUST BE THE FIRST PAGE OF THE ASSIGNMENT YOU ARE SUBMITTING  (DO NOT SEND AS A SEPARATE FILE)</w:t>
      </w:r>
    </w:p>
    <w:p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2"/>
        <w:gridCol w:w="422"/>
        <w:gridCol w:w="1509"/>
        <w:gridCol w:w="282"/>
        <w:gridCol w:w="1791"/>
      </w:tblGrid>
      <w:tr w:rsidR="00E57529" w:rsidRPr="00230F35" w:rsidTr="00A745B6">
        <w:trPr>
          <w:trHeight w:val="614"/>
        </w:trPr>
        <w:tc>
          <w:tcPr>
            <w:tcW w:w="8856" w:type="dxa"/>
            <w:gridSpan w:val="5"/>
          </w:tcPr>
          <w:p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rsidTr="00A745B6">
        <w:trPr>
          <w:trHeight w:val="718"/>
        </w:trPr>
        <w:tc>
          <w:tcPr>
            <w:tcW w:w="8856" w:type="dxa"/>
            <w:gridSpan w:val="5"/>
          </w:tcPr>
          <w:p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9A2DD6">
              <w:rPr>
                <w:rFonts w:ascii="Arial" w:hAnsi="Arial" w:cs="Arial"/>
                <w:sz w:val="22"/>
                <w:szCs w:val="22"/>
              </w:rPr>
              <w:t xml:space="preserve"> Cristina-Felicia Rosca </w:t>
            </w:r>
          </w:p>
          <w:p w:rsidR="00230F35" w:rsidRPr="00230F35" w:rsidRDefault="00230F35" w:rsidP="002F467C">
            <w:pPr>
              <w:pStyle w:val="NormalWeb"/>
              <w:spacing w:before="0" w:beforeAutospacing="0" w:after="0" w:afterAutospacing="0"/>
              <w:ind w:right="34"/>
              <w:rPr>
                <w:rFonts w:ascii="Arial" w:hAnsi="Arial" w:cs="Arial"/>
                <w:sz w:val="22"/>
                <w:szCs w:val="22"/>
              </w:rPr>
            </w:pPr>
          </w:p>
          <w:p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FE126C">
              <w:rPr>
                <w:rFonts w:ascii="Arial" w:hAnsi="Arial" w:cs="Arial"/>
                <w:sz w:val="22"/>
                <w:szCs w:val="22"/>
              </w:rPr>
              <w:t>2420397@student.uwtsd.ac.uk</w:t>
            </w:r>
          </w:p>
        </w:tc>
      </w:tr>
      <w:tr w:rsidR="00CE3B79" w:rsidRPr="00230F35" w:rsidTr="00A745B6">
        <w:trPr>
          <w:trHeight w:val="849"/>
        </w:trPr>
        <w:tc>
          <w:tcPr>
            <w:tcW w:w="4788" w:type="dxa"/>
          </w:tcPr>
          <w:p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631B2A">
              <w:rPr>
                <w:rFonts w:ascii="Arial" w:hAnsi="Arial" w:cs="Arial"/>
                <w:sz w:val="22"/>
                <w:szCs w:val="22"/>
              </w:rPr>
              <w:t xml:space="preserve"> HPCA7016</w:t>
            </w:r>
          </w:p>
          <w:p w:rsidR="00D67BF8" w:rsidRPr="00230F35" w:rsidRDefault="00D67BF8" w:rsidP="002F467C">
            <w:pPr>
              <w:pStyle w:val="NormalWeb"/>
              <w:spacing w:before="0" w:beforeAutospacing="0" w:after="0" w:afterAutospacing="0"/>
              <w:ind w:right="34"/>
              <w:rPr>
                <w:rFonts w:ascii="Arial" w:hAnsi="Arial" w:cs="Arial"/>
                <w:sz w:val="22"/>
                <w:szCs w:val="22"/>
              </w:rPr>
            </w:pPr>
          </w:p>
          <w:p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631B2A">
              <w:rPr>
                <w:rFonts w:ascii="Arial" w:hAnsi="Arial" w:cs="Arial"/>
                <w:sz w:val="22"/>
                <w:szCs w:val="22"/>
              </w:rPr>
              <w:t xml:space="preserve"> Researching Contemporary Cosmologies</w:t>
            </w:r>
          </w:p>
          <w:p w:rsidR="00A745B6" w:rsidRDefault="00A745B6" w:rsidP="002F467C">
            <w:pPr>
              <w:pStyle w:val="NormalWeb"/>
              <w:spacing w:before="0" w:beforeAutospacing="0" w:after="0" w:afterAutospacing="0"/>
              <w:ind w:right="34"/>
              <w:rPr>
                <w:rFonts w:ascii="Arial" w:hAnsi="Arial" w:cs="Arial"/>
                <w:sz w:val="22"/>
                <w:szCs w:val="22"/>
              </w:rPr>
            </w:pPr>
          </w:p>
          <w:p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FE126C" w:rsidRDefault="00FE126C" w:rsidP="002F467C">
            <w:pPr>
              <w:pStyle w:val="NormalWeb"/>
              <w:spacing w:before="0" w:beforeAutospacing="0" w:after="0" w:afterAutospacing="0"/>
              <w:ind w:right="34"/>
              <w:rPr>
                <w:rFonts w:ascii="Arial" w:hAnsi="Arial" w:cs="Arial"/>
                <w:sz w:val="22"/>
                <w:szCs w:val="22"/>
              </w:rPr>
            </w:pPr>
          </w:p>
          <w:p w:rsidR="00FE126C" w:rsidRPr="00230F35" w:rsidRDefault="00FE126C"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2420397</w:t>
            </w:r>
          </w:p>
        </w:tc>
        <w:tc>
          <w:tcPr>
            <w:tcW w:w="1802" w:type="dxa"/>
          </w:tcPr>
          <w:p w:rsidR="005C1302"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E3B79" w:rsidRPr="00230F35" w:rsidTr="00A745B6">
        <w:trPr>
          <w:trHeight w:val="1139"/>
        </w:trPr>
        <w:tc>
          <w:tcPr>
            <w:tcW w:w="8856" w:type="dxa"/>
            <w:gridSpan w:val="5"/>
          </w:tcPr>
          <w:p w:rsidR="00CE3B79" w:rsidRPr="00631B2A"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631B2A">
              <w:rPr>
                <w:rFonts w:ascii="Arial" w:hAnsi="Arial" w:cs="Arial"/>
                <w:sz w:val="22"/>
                <w:szCs w:val="22"/>
              </w:rPr>
              <w:t xml:space="preserve"> </w:t>
            </w:r>
            <w:r w:rsidR="00631B2A" w:rsidRPr="00631B2A">
              <w:rPr>
                <w:rFonts w:ascii="Arial" w:hAnsi="Arial" w:cs="Arial"/>
                <w:sz w:val="20"/>
                <w:szCs w:val="20"/>
              </w:rPr>
              <w:t>A Critical Comparison of Two Secondary Sources</w:t>
            </w:r>
          </w:p>
          <w:p w:rsidR="00D67BF8" w:rsidRPr="00631B2A" w:rsidRDefault="00D67BF8" w:rsidP="002F467C">
            <w:pPr>
              <w:pStyle w:val="NormalWeb"/>
              <w:spacing w:before="0" w:beforeAutospacing="0" w:after="0" w:afterAutospacing="0"/>
              <w:ind w:right="34"/>
              <w:rPr>
                <w:rFonts w:ascii="Arial" w:hAnsi="Arial" w:cs="Arial"/>
                <w:sz w:val="22"/>
                <w:szCs w:val="22"/>
              </w:rPr>
            </w:pPr>
          </w:p>
          <w:p w:rsidR="00230F35" w:rsidRDefault="00230F35" w:rsidP="002F467C">
            <w:pPr>
              <w:pStyle w:val="NormalWeb"/>
              <w:spacing w:before="0" w:beforeAutospacing="0" w:after="0" w:afterAutospacing="0"/>
              <w:ind w:right="34"/>
              <w:rPr>
                <w:rFonts w:ascii="Arial" w:hAnsi="Arial" w:cs="Arial"/>
                <w:sz w:val="22"/>
                <w:szCs w:val="22"/>
              </w:rPr>
            </w:pPr>
          </w:p>
          <w:p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631B2A">
              <w:rPr>
                <w:rFonts w:ascii="Arial" w:hAnsi="Arial" w:cs="Arial"/>
                <w:sz w:val="22"/>
                <w:szCs w:val="22"/>
              </w:rPr>
              <w:t xml:space="preserve"> 17</w:t>
            </w:r>
            <w:r w:rsidR="00631B2A" w:rsidRPr="00631B2A">
              <w:rPr>
                <w:rFonts w:ascii="Arial" w:hAnsi="Arial" w:cs="Arial"/>
                <w:sz w:val="22"/>
                <w:szCs w:val="22"/>
                <w:vertAlign w:val="superscript"/>
              </w:rPr>
              <w:t>th</w:t>
            </w:r>
            <w:r w:rsidR="00631B2A">
              <w:rPr>
                <w:rFonts w:ascii="Arial" w:hAnsi="Arial" w:cs="Arial"/>
                <w:sz w:val="22"/>
                <w:szCs w:val="22"/>
              </w:rPr>
              <w:t xml:space="preserve"> March 2025</w:t>
            </w:r>
          </w:p>
        </w:tc>
      </w:tr>
      <w:tr w:rsidR="00230F35" w:rsidRPr="00230F35" w:rsidTr="00A745B6">
        <w:trPr>
          <w:trHeight w:val="978"/>
        </w:trPr>
        <w:tc>
          <w:tcPr>
            <w:tcW w:w="8856" w:type="dxa"/>
            <w:gridSpan w:val="5"/>
            <w:tcBorders>
              <w:bottom w:val="single" w:sz="4" w:space="0" w:color="000000"/>
            </w:tcBorders>
          </w:tcPr>
          <w:p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w:t>
            </w:r>
            <w:r w:rsidR="00CE76EC">
              <w:rPr>
                <w:rFonts w:ascii="Arial" w:hAnsi="Arial" w:cs="Arial"/>
                <w:sz w:val="22"/>
                <w:szCs w:val="22"/>
                <w:vertAlign w:val="superscript"/>
              </w:rPr>
              <w:t xml:space="preserve">d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00CE76EC">
              <w:rPr>
                <w:rFonts w:ascii="Arial" w:hAnsi="Arial" w:cs="Arial"/>
                <w:sz w:val="22"/>
                <w:szCs w:val="22"/>
              </w:rPr>
              <w:t>x</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rsidTr="00A745B6">
        <w:trPr>
          <w:trHeight w:val="978"/>
        </w:trPr>
        <w:tc>
          <w:tcPr>
            <w:tcW w:w="8856" w:type="dxa"/>
            <w:gridSpan w:val="5"/>
            <w:shd w:val="clear" w:color="auto" w:fill="D9D9D9"/>
          </w:tcPr>
          <w:p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631B2A">
              <w:rPr>
                <w:rFonts w:ascii="Arial" w:hAnsi="Arial" w:cs="Arial"/>
                <w:sz w:val="22"/>
                <w:szCs w:val="22"/>
              </w:rPr>
              <w:t>Cristina-Felicia Rosca</w:t>
            </w:r>
            <w:r w:rsidRPr="00230F35">
              <w:rPr>
                <w:rFonts w:ascii="Arial" w:hAnsi="Arial" w:cs="Arial"/>
                <w:sz w:val="22"/>
                <w:szCs w:val="22"/>
              </w:rPr>
              <w:t>…………………………………………………</w:t>
            </w:r>
            <w:r w:rsidR="00AE3217" w:rsidRPr="00230F35">
              <w:rPr>
                <w:rFonts w:ascii="Arial" w:hAnsi="Arial" w:cs="Arial"/>
                <w:sz w:val="22"/>
                <w:szCs w:val="22"/>
              </w:rPr>
              <w:t>………</w:t>
            </w:r>
          </w:p>
          <w:p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rsidTr="00A745B6">
        <w:trPr>
          <w:trHeight w:val="3972"/>
        </w:trPr>
        <w:tc>
          <w:tcPr>
            <w:tcW w:w="8856" w:type="dxa"/>
            <w:gridSpan w:val="5"/>
          </w:tcPr>
          <w:p w:rsidR="00A745B6" w:rsidRDefault="00A745B6" w:rsidP="00A745B6">
            <w:pPr>
              <w:rPr>
                <w:rFonts w:ascii="Arial" w:hAnsi="Arial"/>
                <w:b/>
              </w:rPr>
            </w:pPr>
          </w:p>
          <w:p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Default="00A745B6" w:rsidP="009C1A08">
                  <w:pPr>
                    <w:rPr>
                      <w:rFonts w:ascii="Arial" w:hAnsi="Arial"/>
                      <w:sz w:val="20"/>
                      <w:szCs w:val="20"/>
                    </w:rPr>
                  </w:pPr>
                </w:p>
                <w:p w:rsidR="00A745B6" w:rsidRPr="00022345" w:rsidRDefault="00A745B6" w:rsidP="009C1A08">
                  <w:pPr>
                    <w:rPr>
                      <w:rFonts w:ascii="Arial" w:hAnsi="Arial"/>
                      <w:b/>
                      <w:sz w:val="20"/>
                      <w:szCs w:val="20"/>
                    </w:rPr>
                  </w:pPr>
                  <w:r w:rsidRPr="00022345">
                    <w:rPr>
                      <w:rFonts w:ascii="Arial" w:hAnsi="Arial"/>
                      <w:b/>
                      <w:sz w:val="20"/>
                      <w:szCs w:val="20"/>
                    </w:rPr>
                    <w:t>Final Mark</w:t>
                  </w:r>
                </w:p>
                <w:p w:rsidR="00A745B6" w:rsidRPr="00116CE6" w:rsidRDefault="00A745B6" w:rsidP="009C1A08">
                  <w:pPr>
                    <w:rPr>
                      <w:rFonts w:ascii="Arial" w:hAnsi="Arial"/>
                      <w:sz w:val="20"/>
                      <w:szCs w:val="20"/>
                    </w:rPr>
                  </w:pPr>
                </w:p>
              </w:tc>
              <w:tc>
                <w:tcPr>
                  <w:tcW w:w="1660" w:type="dxa"/>
                </w:tcPr>
                <w:p w:rsidR="00A745B6" w:rsidRPr="00116CE6" w:rsidRDefault="00A745B6" w:rsidP="009C1A08">
                  <w:pPr>
                    <w:rPr>
                      <w:rFonts w:ascii="Arial" w:hAnsi="Arial"/>
                      <w:sz w:val="20"/>
                      <w:szCs w:val="20"/>
                    </w:rPr>
                  </w:pPr>
                </w:p>
              </w:tc>
            </w:tr>
          </w:tbl>
          <w:p w:rsidR="00022345" w:rsidRDefault="00022345" w:rsidP="00A745B6">
            <w:pPr>
              <w:pStyle w:val="NormalWeb"/>
              <w:spacing w:before="0" w:beforeAutospacing="0" w:after="0" w:afterAutospacing="0"/>
              <w:ind w:left="142" w:right="34"/>
              <w:rPr>
                <w:rFonts w:ascii="Arial" w:hAnsi="Arial" w:cs="Arial"/>
                <w:b/>
                <w:sz w:val="22"/>
                <w:szCs w:val="22"/>
              </w:rPr>
            </w:pPr>
          </w:p>
          <w:p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A745B6" w:rsidRDefault="00A745B6" w:rsidP="002F467C">
            <w:pPr>
              <w:pStyle w:val="NormalWeb"/>
              <w:spacing w:before="0" w:beforeAutospacing="0" w:after="0" w:afterAutospacing="0"/>
              <w:rPr>
                <w:rFonts w:ascii="Arial" w:hAnsi="Arial" w:cs="Arial"/>
                <w:b/>
                <w:sz w:val="22"/>
                <w:szCs w:val="22"/>
              </w:rPr>
            </w:pPr>
          </w:p>
          <w:p w:rsidR="00B462B1" w:rsidRDefault="00B462B1" w:rsidP="002F467C">
            <w:pPr>
              <w:pStyle w:val="NormalWeb"/>
              <w:spacing w:before="0" w:beforeAutospacing="0" w:after="0" w:afterAutospacing="0"/>
              <w:rPr>
                <w:rFonts w:ascii="Arial" w:hAnsi="Arial" w:cs="Arial"/>
                <w:b/>
                <w:sz w:val="22"/>
                <w:szCs w:val="22"/>
              </w:rPr>
            </w:pPr>
          </w:p>
          <w:p w:rsidR="00B462B1" w:rsidRDefault="00B462B1" w:rsidP="002F467C">
            <w:pPr>
              <w:pStyle w:val="NormalWeb"/>
              <w:spacing w:before="0" w:beforeAutospacing="0" w:after="0" w:afterAutospacing="0"/>
              <w:rPr>
                <w:rFonts w:ascii="Arial" w:hAnsi="Arial" w:cs="Arial"/>
                <w:b/>
                <w:sz w:val="22"/>
                <w:szCs w:val="22"/>
              </w:rPr>
            </w:pPr>
          </w:p>
          <w:p w:rsidR="00B462B1" w:rsidRDefault="00B462B1" w:rsidP="002F467C">
            <w:pPr>
              <w:pStyle w:val="NormalWeb"/>
              <w:spacing w:before="0" w:beforeAutospacing="0" w:after="0" w:afterAutospacing="0"/>
              <w:rPr>
                <w:rFonts w:ascii="Arial" w:hAnsi="Arial" w:cs="Arial"/>
                <w:b/>
                <w:sz w:val="22"/>
                <w:szCs w:val="22"/>
              </w:rPr>
            </w:pPr>
          </w:p>
          <w:p w:rsidR="00B462B1" w:rsidRDefault="00B462B1" w:rsidP="002F467C">
            <w:pPr>
              <w:pStyle w:val="NormalWeb"/>
              <w:spacing w:before="0" w:beforeAutospacing="0" w:after="0" w:afterAutospacing="0"/>
              <w:rPr>
                <w:rFonts w:ascii="Arial" w:hAnsi="Arial" w:cs="Arial"/>
                <w:b/>
                <w:sz w:val="22"/>
                <w:szCs w:val="22"/>
              </w:rPr>
            </w:pPr>
          </w:p>
          <w:p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rsidR="00B56E7B" w:rsidRPr="00001C3B" w:rsidRDefault="00B56E7B" w:rsidP="00043549">
            <w:pPr>
              <w:pStyle w:val="NormalWeb"/>
              <w:rPr>
                <w:rFonts w:ascii="Arial" w:hAnsi="Arial" w:cs="Arial"/>
                <w:sz w:val="22"/>
                <w:szCs w:val="22"/>
              </w:rPr>
            </w:pPr>
          </w:p>
        </w:tc>
      </w:tr>
      <w:tr w:rsidR="00EC7546" w:rsidRPr="00230F35" w:rsidTr="00A745B6">
        <w:trPr>
          <w:trHeight w:val="492"/>
        </w:trPr>
        <w:tc>
          <w:tcPr>
            <w:tcW w:w="6768" w:type="dxa"/>
            <w:gridSpan w:val="3"/>
          </w:tcPr>
          <w:p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rsidTr="002F467C">
        <w:tc>
          <w:tcPr>
            <w:tcW w:w="8856" w:type="dxa"/>
            <w:gridSpan w:val="5"/>
          </w:tcPr>
          <w:p w:rsidR="00D67BF8" w:rsidRPr="00230F35" w:rsidRDefault="00D67BF8" w:rsidP="002F467C">
            <w:pPr>
              <w:pStyle w:val="NormalWeb"/>
              <w:spacing w:before="0" w:beforeAutospacing="0" w:after="0" w:afterAutospacing="0"/>
              <w:ind w:right="-334"/>
              <w:rPr>
                <w:rFonts w:ascii="Arial" w:hAnsi="Arial" w:cs="Arial"/>
                <w:bCs/>
                <w:i/>
                <w:sz w:val="22"/>
                <w:szCs w:val="22"/>
              </w:rPr>
            </w:pPr>
          </w:p>
          <w:p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rsidR="00D67BF8" w:rsidRPr="00230F35" w:rsidRDefault="00D67BF8" w:rsidP="002F467C">
            <w:pPr>
              <w:pStyle w:val="NormalWeb"/>
              <w:spacing w:before="0" w:beforeAutospacing="0" w:after="0" w:afterAutospacing="0"/>
              <w:ind w:right="-334"/>
              <w:rPr>
                <w:rFonts w:ascii="Arial" w:hAnsi="Arial" w:cs="Arial"/>
                <w:b/>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Default="00D67BF8" w:rsidP="002F467C">
            <w:pPr>
              <w:pStyle w:val="NormalWeb"/>
              <w:spacing w:before="0" w:beforeAutospacing="0" w:after="0" w:afterAutospacing="0"/>
              <w:ind w:right="-334"/>
              <w:rPr>
                <w:rFonts w:ascii="Arial" w:hAnsi="Arial" w:cs="Arial"/>
                <w:bCs/>
                <w:sz w:val="22"/>
                <w:szCs w:val="22"/>
              </w:rPr>
            </w:pPr>
          </w:p>
          <w:p w:rsidR="00B56E7B" w:rsidRPr="00230F35" w:rsidRDefault="00B56E7B"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rsidTr="008D674F">
        <w:trPr>
          <w:trHeight w:val="720"/>
        </w:trPr>
        <w:tc>
          <w:tcPr>
            <w:tcW w:w="5211" w:type="dxa"/>
            <w:gridSpan w:val="2"/>
          </w:tcPr>
          <w:p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rsidTr="009C1A08">
        <w:trPr>
          <w:trHeight w:val="720"/>
        </w:trPr>
        <w:tc>
          <w:tcPr>
            <w:tcW w:w="8856" w:type="dxa"/>
            <w:gridSpan w:val="5"/>
          </w:tcPr>
          <w:p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230F35" w:rsidRDefault="00230F35" w:rsidP="002F467C">
            <w:pPr>
              <w:pStyle w:val="NormalWeb"/>
              <w:spacing w:before="0" w:beforeAutospacing="0" w:after="0" w:afterAutospacing="0"/>
              <w:ind w:right="-334"/>
              <w:rPr>
                <w:rFonts w:ascii="Arial" w:hAnsi="Arial" w:cs="Arial"/>
                <w:bCs/>
                <w:sz w:val="22"/>
                <w:szCs w:val="22"/>
              </w:rPr>
            </w:pPr>
          </w:p>
          <w:p w:rsidR="00B56E7B" w:rsidRPr="00230F35" w:rsidRDefault="00B56E7B"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rsidTr="00230F35">
        <w:trPr>
          <w:trHeight w:val="720"/>
        </w:trPr>
        <w:tc>
          <w:tcPr>
            <w:tcW w:w="5211" w:type="dxa"/>
            <w:gridSpan w:val="2"/>
          </w:tcPr>
          <w:p w:rsidR="00230F35" w:rsidRPr="00230F35" w:rsidRDefault="00230F35" w:rsidP="00230F35">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rsidR="00EC7546" w:rsidRDefault="00EC7546" w:rsidP="00FA07E9">
      <w:pPr>
        <w:pStyle w:val="NormalWeb"/>
        <w:spacing w:before="0" w:beforeAutospacing="0" w:after="0" w:afterAutospacing="0"/>
        <w:ind w:right="-334"/>
        <w:rPr>
          <w:rFonts w:ascii="Trebuchet MS" w:hAnsi="Trebuchet MS" w:cs="Tahoma"/>
          <w:bCs/>
          <w:sz w:val="24"/>
          <w:szCs w:val="24"/>
        </w:rPr>
      </w:pPr>
    </w:p>
    <w:p w:rsidR="00631B2A" w:rsidRDefault="00631B2A" w:rsidP="00FA07E9">
      <w:pPr>
        <w:pStyle w:val="NormalWeb"/>
        <w:spacing w:before="0" w:beforeAutospacing="0" w:after="0" w:afterAutospacing="0"/>
        <w:ind w:right="-334"/>
        <w:rPr>
          <w:rFonts w:ascii="Trebuchet MS" w:hAnsi="Trebuchet MS" w:cs="Tahoma"/>
          <w:bCs/>
          <w:sz w:val="24"/>
          <w:szCs w:val="24"/>
        </w:rPr>
      </w:pPr>
    </w:p>
    <w:p w:rsidR="00631B2A" w:rsidRDefault="00631B2A" w:rsidP="00FA07E9">
      <w:pPr>
        <w:pStyle w:val="NormalWeb"/>
        <w:spacing w:before="0" w:beforeAutospacing="0" w:after="0" w:afterAutospacing="0"/>
        <w:ind w:right="-334"/>
        <w:rPr>
          <w:rFonts w:ascii="Trebuchet MS" w:hAnsi="Trebuchet MS" w:cs="Tahoma"/>
          <w:bCs/>
          <w:sz w:val="24"/>
          <w:szCs w:val="24"/>
        </w:rPr>
      </w:pPr>
    </w:p>
    <w:p w:rsidR="00631B2A" w:rsidRDefault="00631B2A" w:rsidP="00FA07E9">
      <w:pPr>
        <w:pStyle w:val="NormalWeb"/>
        <w:spacing w:before="0" w:beforeAutospacing="0" w:after="0" w:afterAutospacing="0"/>
        <w:ind w:right="-334"/>
        <w:rPr>
          <w:rFonts w:ascii="Trebuchet MS" w:hAnsi="Trebuchet MS" w:cs="Tahoma"/>
          <w:bCs/>
          <w:sz w:val="24"/>
          <w:szCs w:val="24"/>
        </w:rPr>
      </w:pPr>
    </w:p>
    <w:p w:rsidR="00EE4C67" w:rsidRDefault="00EE4C67" w:rsidP="00EE4C67">
      <w:pPr>
        <w:pStyle w:val="NormalWeb"/>
        <w:shd w:val="clear" w:color="auto" w:fill="FFFFFF"/>
      </w:pPr>
      <w:r>
        <w:rPr>
          <w:rFonts w:ascii="Arial" w:hAnsi="Arial" w:cs="Arial"/>
          <w:b/>
          <w:bCs/>
          <w:sz w:val="20"/>
          <w:szCs w:val="20"/>
        </w:rPr>
        <w:t xml:space="preserve">                </w:t>
      </w:r>
    </w:p>
    <w:p w:rsidR="008D12F1" w:rsidRPr="008D12F1" w:rsidRDefault="00EE4C67" w:rsidP="008D12F1">
      <w:pPr>
        <w:pStyle w:val="NoSpacing"/>
        <w:rPr>
          <w:b/>
          <w:bCs/>
          <w:sz w:val="22"/>
          <w:szCs w:val="22"/>
        </w:rPr>
      </w:pPr>
      <w:r>
        <w:rPr>
          <w:rFonts w:ascii="Arial" w:hAnsi="Arial" w:cs="Arial"/>
          <w:sz w:val="20"/>
          <w:szCs w:val="20"/>
        </w:rPr>
        <w:t xml:space="preserve">                               </w:t>
      </w:r>
      <w:r w:rsidRPr="008D12F1">
        <w:rPr>
          <w:b/>
          <w:bCs/>
          <w:sz w:val="22"/>
          <w:szCs w:val="22"/>
        </w:rPr>
        <w:t>A Critical Comparison of Two Secondary Sources</w:t>
      </w:r>
    </w:p>
    <w:p w:rsidR="008D12F1" w:rsidRPr="008D12F1" w:rsidRDefault="008D12F1" w:rsidP="008D12F1">
      <w:pPr>
        <w:pStyle w:val="NoSpacing"/>
        <w:rPr>
          <w:b/>
          <w:bCs/>
          <w:sz w:val="22"/>
          <w:szCs w:val="22"/>
        </w:rPr>
      </w:pPr>
      <w:r w:rsidRPr="008D12F1">
        <w:rPr>
          <w:b/>
          <w:bCs/>
          <w:sz w:val="22"/>
          <w:szCs w:val="22"/>
        </w:rPr>
        <w:t xml:space="preserve">                                 </w:t>
      </w:r>
      <w:r>
        <w:rPr>
          <w:b/>
          <w:bCs/>
          <w:sz w:val="22"/>
          <w:szCs w:val="22"/>
        </w:rPr>
        <w:t xml:space="preserve"> </w:t>
      </w:r>
      <w:r w:rsidRPr="008D12F1">
        <w:rPr>
          <w:b/>
          <w:bCs/>
          <w:sz w:val="22"/>
          <w:szCs w:val="22"/>
        </w:rPr>
        <w:t xml:space="preserve"> Word count:255</w:t>
      </w:r>
      <w:r w:rsidR="008D03F5">
        <w:rPr>
          <w:b/>
          <w:bCs/>
          <w:sz w:val="22"/>
          <w:szCs w:val="22"/>
        </w:rPr>
        <w:t>4</w:t>
      </w:r>
    </w:p>
    <w:p w:rsidR="00EE4C67" w:rsidRDefault="00EE4C67" w:rsidP="00EE4C67">
      <w:pPr>
        <w:pStyle w:val="NoSpacing"/>
        <w:rPr>
          <w:rFonts w:cs="Calibri"/>
          <w:sz w:val="22"/>
          <w:szCs w:val="22"/>
        </w:rPr>
      </w:pPr>
    </w:p>
    <w:p w:rsidR="008D12F1" w:rsidRDefault="008D12F1" w:rsidP="00EE4C67">
      <w:pPr>
        <w:pStyle w:val="NoSpacing"/>
        <w:rPr>
          <w:rFonts w:cs="Calibri"/>
          <w:b/>
          <w:bCs/>
          <w:sz w:val="22"/>
          <w:szCs w:val="22"/>
        </w:rPr>
      </w:pPr>
    </w:p>
    <w:p w:rsidR="00EE4C67" w:rsidRDefault="00EE4C67" w:rsidP="00EE4C67">
      <w:pPr>
        <w:pStyle w:val="NoSpacing"/>
        <w:rPr>
          <w:rFonts w:cs="Calibri"/>
          <w:b/>
          <w:bCs/>
          <w:sz w:val="22"/>
          <w:szCs w:val="22"/>
        </w:rPr>
      </w:pPr>
      <w:r>
        <w:rPr>
          <w:rFonts w:cs="Calibri"/>
          <w:b/>
          <w:bCs/>
          <w:sz w:val="22"/>
          <w:szCs w:val="22"/>
        </w:rPr>
        <w:t>Introduction</w:t>
      </w:r>
    </w:p>
    <w:p w:rsidR="00EE4C67" w:rsidRDefault="008D12F1" w:rsidP="00EE4C67">
      <w:pPr>
        <w:pStyle w:val="NoSpacing"/>
        <w:rPr>
          <w:rFonts w:cs="Calibri"/>
          <w:sz w:val="22"/>
          <w:szCs w:val="22"/>
        </w:rPr>
      </w:pPr>
      <w:r>
        <w:rPr>
          <w:rFonts w:cs="Calibri"/>
          <w:sz w:val="22"/>
          <w:szCs w:val="22"/>
        </w:rPr>
        <w:t>C</w:t>
      </w:r>
      <w:r w:rsidR="00EE4C67">
        <w:rPr>
          <w:rFonts w:cs="Calibri"/>
          <w:sz w:val="22"/>
          <w:szCs w:val="22"/>
        </w:rPr>
        <w:t>ulture</w:t>
      </w:r>
      <w:r w:rsidR="00FC3474">
        <w:rPr>
          <w:rFonts w:cs="Calibri"/>
          <w:sz w:val="22"/>
          <w:szCs w:val="22"/>
        </w:rPr>
        <w:t>,</w:t>
      </w:r>
      <w:r w:rsidR="00EE4C67">
        <w:rPr>
          <w:rFonts w:cs="Calibri"/>
          <w:sz w:val="22"/>
          <w:szCs w:val="22"/>
        </w:rPr>
        <w:t xml:space="preserve"> </w:t>
      </w:r>
      <w:r w:rsidR="00FC3474">
        <w:rPr>
          <w:rFonts w:cs="Calibri"/>
          <w:sz w:val="22"/>
          <w:szCs w:val="22"/>
        </w:rPr>
        <w:t>a</w:t>
      </w:r>
      <w:r w:rsidR="00EE4C67">
        <w:rPr>
          <w:rFonts w:cs="Calibri"/>
          <w:sz w:val="22"/>
          <w:szCs w:val="22"/>
        </w:rPr>
        <w:t xml:space="preserve"> central </w:t>
      </w:r>
      <w:r w:rsidR="00FC3474">
        <w:rPr>
          <w:rFonts w:cs="Calibri"/>
          <w:sz w:val="22"/>
          <w:szCs w:val="22"/>
        </w:rPr>
        <w:t xml:space="preserve">concept </w:t>
      </w:r>
      <w:r w:rsidR="00EE4C67">
        <w:rPr>
          <w:rFonts w:cs="Calibri"/>
          <w:sz w:val="22"/>
          <w:szCs w:val="22"/>
        </w:rPr>
        <w:t xml:space="preserve">to anthropology, </w:t>
      </w:r>
      <w:r w:rsidR="00FC3474">
        <w:rPr>
          <w:rFonts w:cs="Calibri"/>
          <w:sz w:val="22"/>
          <w:szCs w:val="22"/>
        </w:rPr>
        <w:t xml:space="preserve">is </w:t>
      </w:r>
      <w:r w:rsidR="00EE4C67">
        <w:rPr>
          <w:rFonts w:cs="Calibri"/>
          <w:sz w:val="22"/>
          <w:szCs w:val="22"/>
        </w:rPr>
        <w:t>often understood as a semiotic system through which human societies interpret and assign meaning to the world around them. Clifford Geertz argues that anthropology aims to understand culture by exploring the meanings that communities and their members attach to their actions and symbols. As Martin noted, Geertz’s interpretative approach profoundly impacted anthropological thought, particularly through the use of ethnography, which immerses researchers in cultural contexts for a deeper understanding.</w:t>
      </w:r>
      <w:r w:rsidR="00EE4C67">
        <w:rPr>
          <w:rStyle w:val="FootnoteReference"/>
          <w:rFonts w:cs="Calibri"/>
          <w:sz w:val="22"/>
          <w:szCs w:val="22"/>
        </w:rPr>
        <w:footnoteReference w:id="1"/>
      </w:r>
      <w:r w:rsidR="00EE4C67">
        <w:rPr>
          <w:rFonts w:cs="Calibri"/>
          <w:sz w:val="22"/>
          <w:szCs w:val="22"/>
        </w:rPr>
        <w:t xml:space="preserve"> This essay will compare and contrast two ethnographic studies: </w:t>
      </w:r>
      <w:r w:rsidR="00EE4C67">
        <w:rPr>
          <w:rFonts w:eastAsia="Times New Roman" w:cs="Calibri"/>
          <w:color w:val="000000"/>
          <w:kern w:val="0"/>
          <w:sz w:val="22"/>
          <w:szCs w:val="22"/>
          <w:lang w:eastAsia="en-GB"/>
        </w:rPr>
        <w:t>‘If I Knew You Were Coming, I’d Have Baked a Cake’</w:t>
      </w:r>
      <w:r w:rsidR="00EE4C67">
        <w:rPr>
          <w:rStyle w:val="FootnoteReference"/>
          <w:rFonts w:eastAsia="Times New Roman" w:cs="Calibri"/>
          <w:color w:val="000000"/>
          <w:kern w:val="0"/>
          <w:sz w:val="22"/>
          <w:szCs w:val="22"/>
          <w:lang w:eastAsia="en-GB"/>
        </w:rPr>
        <w:footnoteReference w:id="2"/>
      </w:r>
      <w:r w:rsidR="00EE4C67">
        <w:rPr>
          <w:rFonts w:eastAsia="Times New Roman" w:cs="Calibri"/>
          <w:color w:val="000000"/>
          <w:kern w:val="0"/>
          <w:sz w:val="22"/>
          <w:szCs w:val="22"/>
          <w:lang w:eastAsia="en-GB"/>
        </w:rPr>
        <w:t xml:space="preserve"> by Gillian Bennett and</w:t>
      </w:r>
      <w:r w:rsidR="00EE4C67">
        <w:rPr>
          <w:rFonts w:cs="Calibri"/>
          <w:sz w:val="22"/>
          <w:szCs w:val="22"/>
        </w:rPr>
        <w:t xml:space="preserve"> ‘Speaking </w:t>
      </w:r>
      <w:proofErr w:type="spellStart"/>
      <w:r w:rsidR="00EE4C67">
        <w:rPr>
          <w:rFonts w:cs="Calibri"/>
          <w:sz w:val="22"/>
          <w:szCs w:val="22"/>
        </w:rPr>
        <w:t>Shamanistically</w:t>
      </w:r>
      <w:proofErr w:type="spellEnd"/>
      <w:r w:rsidR="00EE4C67">
        <w:rPr>
          <w:rFonts w:cs="Calibri"/>
          <w:sz w:val="22"/>
          <w:szCs w:val="22"/>
        </w:rPr>
        <w:t xml:space="preserve">: </w:t>
      </w:r>
      <w:proofErr w:type="spellStart"/>
      <w:r w:rsidR="00EE4C67">
        <w:rPr>
          <w:rFonts w:cs="Calibri"/>
          <w:sz w:val="22"/>
          <w:szCs w:val="22"/>
        </w:rPr>
        <w:t>Seidr</w:t>
      </w:r>
      <w:proofErr w:type="spellEnd"/>
      <w:r w:rsidR="00EE4C67">
        <w:rPr>
          <w:rFonts w:cs="Calibri"/>
          <w:sz w:val="22"/>
          <w:szCs w:val="22"/>
        </w:rPr>
        <w:t>, Academia, and Rationality,’</w:t>
      </w:r>
      <w:r w:rsidR="00EE4C67">
        <w:rPr>
          <w:rStyle w:val="FootnoteReference"/>
          <w:rFonts w:cs="Calibri"/>
          <w:sz w:val="22"/>
          <w:szCs w:val="22"/>
        </w:rPr>
        <w:footnoteReference w:id="3"/>
      </w:r>
      <w:r w:rsidR="00EE4C67">
        <w:rPr>
          <w:rFonts w:cs="Calibri"/>
          <w:color w:val="000000"/>
          <w:kern w:val="0"/>
          <w:sz w:val="22"/>
          <w:szCs w:val="22"/>
        </w:rPr>
        <w:t xml:space="preserve"> by </w:t>
      </w:r>
      <w:r w:rsidR="00EE4C67">
        <w:rPr>
          <w:rFonts w:cs="Calibri"/>
          <w:sz w:val="22"/>
          <w:szCs w:val="22"/>
        </w:rPr>
        <w:t>Jenny Blain</w:t>
      </w:r>
      <w:r w:rsidR="00EE4C67">
        <w:rPr>
          <w:rFonts w:eastAsia="Times New Roman" w:cs="Calibri"/>
          <w:color w:val="000000"/>
          <w:kern w:val="0"/>
          <w:sz w:val="22"/>
          <w:szCs w:val="22"/>
          <w:lang w:eastAsia="en-GB"/>
        </w:rPr>
        <w:t xml:space="preserve">. As each study approaches the topic from a distinct perspective, this paper will evaluate how ethnography can be applied to explore cultural phenomena differently: one examining the everyday life within the sphere of folklore and the other interpreting shamanistic practices. </w:t>
      </w:r>
      <w:r w:rsidR="00EE4C67">
        <w:rPr>
          <w:rFonts w:cs="Calibri"/>
          <w:sz w:val="22"/>
          <w:szCs w:val="22"/>
        </w:rPr>
        <w:t>The structure of this essay will cover the background and aims of the studies, methodologies, ethical considerations and researcher positioning, structure and literature reviews, and conclude with an overall evaluation of both approaches.</w:t>
      </w:r>
    </w:p>
    <w:p w:rsidR="00EE4C67" w:rsidRDefault="00EE4C67" w:rsidP="00EE4C67">
      <w:pPr>
        <w:pStyle w:val="NoSpacing"/>
        <w:rPr>
          <w:rFonts w:cs="Calibri"/>
          <w:sz w:val="22"/>
          <w:szCs w:val="22"/>
        </w:rPr>
      </w:pPr>
    </w:p>
    <w:p w:rsidR="00EE4C67" w:rsidRDefault="00EE4C67" w:rsidP="00EE4C67">
      <w:pPr>
        <w:pStyle w:val="NoSpacing"/>
        <w:rPr>
          <w:rFonts w:cs="Calibri"/>
          <w:b/>
          <w:bCs/>
          <w:sz w:val="22"/>
          <w:szCs w:val="22"/>
        </w:rPr>
      </w:pPr>
      <w:r>
        <w:rPr>
          <w:rFonts w:cs="Calibri"/>
          <w:b/>
          <w:bCs/>
          <w:sz w:val="22"/>
          <w:szCs w:val="22"/>
        </w:rPr>
        <w:t>Background and aims of the studies</w:t>
      </w:r>
    </w:p>
    <w:p w:rsidR="00EE4C67" w:rsidRDefault="00EE4C67" w:rsidP="00EE4C67">
      <w:pPr>
        <w:pStyle w:val="NoSpacing"/>
        <w:rPr>
          <w:rFonts w:cs="Calibri"/>
          <w:b/>
          <w:bCs/>
          <w:sz w:val="22"/>
          <w:szCs w:val="22"/>
        </w:rPr>
      </w:pPr>
      <w:r>
        <w:rPr>
          <w:rFonts w:cs="Calibri"/>
          <w:sz w:val="22"/>
          <w:szCs w:val="22"/>
        </w:rPr>
        <w:t xml:space="preserve">Jenny Blain’s </w:t>
      </w:r>
      <w:r>
        <w:rPr>
          <w:rFonts w:cs="Calibri"/>
          <w:i/>
          <w:iCs/>
          <w:sz w:val="22"/>
          <w:szCs w:val="22"/>
        </w:rPr>
        <w:t xml:space="preserve">Speaking </w:t>
      </w:r>
      <w:proofErr w:type="spellStart"/>
      <w:r>
        <w:rPr>
          <w:rFonts w:cs="Calibri"/>
          <w:i/>
          <w:iCs/>
          <w:sz w:val="22"/>
          <w:szCs w:val="22"/>
        </w:rPr>
        <w:t>Shamanistically</w:t>
      </w:r>
      <w:proofErr w:type="spellEnd"/>
      <w:r>
        <w:rPr>
          <w:rFonts w:cs="Calibri"/>
          <w:sz w:val="22"/>
          <w:szCs w:val="22"/>
        </w:rPr>
        <w:t xml:space="preserve"> was published a year after she presented it at a folklore conference on the theme ‘Going Native.’  An ethnographer of postmodern society, the author worked as a Senior Lecturer in Sociology at </w:t>
      </w:r>
      <w:r>
        <w:rPr>
          <w:rFonts w:cs="Calibri"/>
          <w:color w:val="373737"/>
          <w:sz w:val="22"/>
          <w:szCs w:val="22"/>
        </w:rPr>
        <w:t>Sheffield Hallam University,</w:t>
      </w:r>
      <w:r>
        <w:rPr>
          <w:rFonts w:cs="Calibri"/>
          <w:sz w:val="22"/>
          <w:szCs w:val="22"/>
        </w:rPr>
        <w:t xml:space="preserve"> specialising in research methodologies and epistemologies. </w:t>
      </w:r>
      <w:proofErr w:type="spellStart"/>
      <w:r>
        <w:rPr>
          <w:rFonts w:cs="Calibri"/>
          <w:sz w:val="22"/>
          <w:szCs w:val="22"/>
        </w:rPr>
        <w:t>Mascall</w:t>
      </w:r>
      <w:proofErr w:type="spellEnd"/>
      <w:r>
        <w:rPr>
          <w:rFonts w:cs="Calibri"/>
          <w:sz w:val="22"/>
          <w:szCs w:val="22"/>
        </w:rPr>
        <w:t xml:space="preserve"> described her as a</w:t>
      </w:r>
      <w:r>
        <w:rPr>
          <w:rFonts w:cs="Calibri"/>
          <w:color w:val="333333"/>
          <w:sz w:val="22"/>
          <w:szCs w:val="22"/>
        </w:rPr>
        <w:t xml:space="preserve"> world-renowned author and scholar whose work concentrated on paganism, sacred sites, and shamanic practices.</w:t>
      </w:r>
      <w:r>
        <w:rPr>
          <w:rStyle w:val="FootnoteReference"/>
          <w:rFonts w:cs="Calibri"/>
          <w:color w:val="333333"/>
          <w:sz w:val="22"/>
          <w:szCs w:val="22"/>
        </w:rPr>
        <w:footnoteReference w:id="4"/>
      </w:r>
      <w:r>
        <w:rPr>
          <w:rFonts w:cs="Calibri"/>
          <w:color w:val="333333"/>
          <w:sz w:val="22"/>
          <w:szCs w:val="22"/>
        </w:rPr>
        <w:t xml:space="preserve"> </w:t>
      </w:r>
    </w:p>
    <w:p w:rsidR="00FC3474" w:rsidRDefault="00EE4C67" w:rsidP="00EE4C67">
      <w:pPr>
        <w:pStyle w:val="NoSpacing"/>
        <w:rPr>
          <w:rFonts w:cs="Calibri"/>
          <w:sz w:val="22"/>
          <w:szCs w:val="22"/>
        </w:rPr>
      </w:pPr>
      <w:r>
        <w:rPr>
          <w:rFonts w:cs="Calibri"/>
          <w:sz w:val="22"/>
          <w:szCs w:val="22"/>
        </w:rPr>
        <w:t>Blain’s first academic book, in which she describes herself as a practitioner and scholar interested in Heathen cosmology</w:t>
      </w:r>
      <w:r>
        <w:rPr>
          <w:rFonts w:cs="Calibri"/>
          <w:color w:val="333333"/>
          <w:sz w:val="22"/>
          <w:szCs w:val="22"/>
          <w:shd w:val="clear" w:color="auto" w:fill="FFFFFF"/>
        </w:rPr>
        <w:t>,</w:t>
      </w:r>
      <w:r>
        <w:rPr>
          <w:rStyle w:val="FootnoteReference"/>
          <w:rFonts w:cs="Calibri"/>
          <w:color w:val="333333"/>
          <w:sz w:val="22"/>
          <w:szCs w:val="22"/>
          <w:shd w:val="clear" w:color="auto" w:fill="FFFFFF"/>
        </w:rPr>
        <w:footnoteReference w:id="5"/>
      </w:r>
      <w:r>
        <w:rPr>
          <w:rFonts w:cs="Calibri"/>
          <w:color w:val="333333"/>
          <w:sz w:val="22"/>
          <w:szCs w:val="22"/>
          <w:shd w:val="clear" w:color="auto" w:fill="FFFFFF"/>
        </w:rPr>
        <w:t xml:space="preserve"> </w:t>
      </w:r>
      <w:r>
        <w:rPr>
          <w:rFonts w:cs="Calibri"/>
          <w:sz w:val="22"/>
          <w:szCs w:val="22"/>
        </w:rPr>
        <w:t xml:space="preserve">contains significant sections from </w:t>
      </w:r>
      <w:r>
        <w:rPr>
          <w:rFonts w:cs="Calibri"/>
          <w:i/>
          <w:iCs/>
          <w:sz w:val="22"/>
          <w:szCs w:val="22"/>
        </w:rPr>
        <w:t xml:space="preserve">Speaking </w:t>
      </w:r>
      <w:proofErr w:type="spellStart"/>
      <w:r>
        <w:rPr>
          <w:rFonts w:cs="Calibri"/>
          <w:i/>
          <w:iCs/>
          <w:sz w:val="22"/>
          <w:szCs w:val="22"/>
        </w:rPr>
        <w:t>Shamanistically</w:t>
      </w:r>
      <w:proofErr w:type="spellEnd"/>
      <w:r>
        <w:rPr>
          <w:rFonts w:cs="Calibri"/>
          <w:sz w:val="22"/>
          <w:szCs w:val="22"/>
        </w:rPr>
        <w:t xml:space="preserve">, with the first chapter recounting the incident at the customs desk. Written for those interested </w:t>
      </w:r>
    </w:p>
    <w:p w:rsidR="00EE4C67" w:rsidRDefault="00EE4C67" w:rsidP="00EE4C67">
      <w:pPr>
        <w:pStyle w:val="NoSpacing"/>
        <w:rPr>
          <w:rFonts w:cs="Calibri"/>
          <w:sz w:val="22"/>
          <w:szCs w:val="22"/>
        </w:rPr>
      </w:pPr>
      <w:r>
        <w:rPr>
          <w:rFonts w:cs="Calibri"/>
          <w:sz w:val="22"/>
          <w:szCs w:val="22"/>
        </w:rPr>
        <w:lastRenderedPageBreak/>
        <w:t>in the possibilities for alternative spirituality in today’s world, the ethnographic exploration of the shamanistic practice called ‘</w:t>
      </w:r>
      <w:proofErr w:type="spellStart"/>
      <w:r>
        <w:rPr>
          <w:rFonts w:cs="Calibri"/>
          <w:sz w:val="22"/>
          <w:szCs w:val="22"/>
        </w:rPr>
        <w:t>seidr</w:t>
      </w:r>
      <w:proofErr w:type="spellEnd"/>
      <w:r>
        <w:rPr>
          <w:rFonts w:cs="Calibri"/>
          <w:sz w:val="22"/>
          <w:szCs w:val="22"/>
        </w:rPr>
        <w:t>’ aims to reflect ‘not only on what “insiders” do but also on academia and its practices and discourses’.</w:t>
      </w:r>
      <w:r>
        <w:rPr>
          <w:rStyle w:val="FootnoteReference"/>
          <w:rFonts w:cs="Calibri"/>
          <w:sz w:val="22"/>
          <w:szCs w:val="22"/>
        </w:rPr>
        <w:footnoteReference w:id="6"/>
      </w:r>
      <w:r>
        <w:rPr>
          <w:rFonts w:cs="Calibri"/>
          <w:sz w:val="22"/>
          <w:szCs w:val="22"/>
        </w:rPr>
        <w:t xml:space="preserve"> Several years after publishing this article, the author redefines ‘</w:t>
      </w:r>
      <w:proofErr w:type="spellStart"/>
      <w:r>
        <w:rPr>
          <w:rFonts w:cs="Calibri"/>
          <w:sz w:val="22"/>
          <w:szCs w:val="22"/>
        </w:rPr>
        <w:t>seidr</w:t>
      </w:r>
      <w:proofErr w:type="spellEnd"/>
      <w:r>
        <w:rPr>
          <w:rFonts w:cs="Calibri"/>
          <w:sz w:val="22"/>
          <w:szCs w:val="22"/>
        </w:rPr>
        <w:t>’ as a ‘form of altered consciousness/journey/oracular practice being (re)developed within Heathenry.</w:t>
      </w:r>
      <w:r>
        <w:rPr>
          <w:rStyle w:val="FootnoteReference"/>
          <w:rFonts w:cs="Calibri"/>
          <w:sz w:val="22"/>
          <w:szCs w:val="22"/>
        </w:rPr>
        <w:footnoteReference w:id="7"/>
      </w:r>
    </w:p>
    <w:p w:rsidR="00EE4C67" w:rsidRDefault="00EE4C67" w:rsidP="00EE4C67">
      <w:pPr>
        <w:pStyle w:val="NoSpacing"/>
        <w:rPr>
          <w:rFonts w:cs="Calibri"/>
          <w:sz w:val="22"/>
          <w:szCs w:val="22"/>
        </w:rPr>
      </w:pPr>
      <w:r>
        <w:rPr>
          <w:rFonts w:cs="Calibri"/>
          <w:sz w:val="22"/>
          <w:szCs w:val="22"/>
        </w:rPr>
        <w:t xml:space="preserve">Exploring a similar philosophy related to spiritual experiences, the second paper focuses on the sphere of folklore, tradition, and experience. The essay was written by </w:t>
      </w:r>
      <w:r>
        <w:rPr>
          <w:rFonts w:cs="Calibri"/>
          <w:color w:val="333333"/>
          <w:sz w:val="22"/>
          <w:szCs w:val="22"/>
        </w:rPr>
        <w:t xml:space="preserve">Gillian Bennett, the former editor of </w:t>
      </w:r>
      <w:r>
        <w:rPr>
          <w:rStyle w:val="Emphasis"/>
          <w:rFonts w:cs="Calibri"/>
          <w:color w:val="333333"/>
          <w:sz w:val="22"/>
          <w:szCs w:val="22"/>
        </w:rPr>
        <w:t>Folklore</w:t>
      </w:r>
      <w:r>
        <w:rPr>
          <w:rStyle w:val="apple-converted-space"/>
          <w:rFonts w:cs="Calibri"/>
          <w:color w:val="333333"/>
          <w:sz w:val="22"/>
          <w:szCs w:val="22"/>
        </w:rPr>
        <w:t> </w:t>
      </w:r>
      <w:r>
        <w:rPr>
          <w:rFonts w:cs="Calibri"/>
          <w:color w:val="333333"/>
          <w:sz w:val="22"/>
          <w:szCs w:val="22"/>
        </w:rPr>
        <w:t xml:space="preserve">(1994—2002), an academic of contemporary legends, supernatural beliefs, history of folklore scholarship, women folklorists, and author of numerous publications, including </w:t>
      </w:r>
      <w:r>
        <w:rPr>
          <w:rStyle w:val="Emphasis"/>
          <w:rFonts w:cs="Calibri"/>
          <w:color w:val="333333"/>
          <w:sz w:val="22"/>
          <w:szCs w:val="22"/>
        </w:rPr>
        <w:t>Traditions of Belief</w:t>
      </w:r>
      <w:r>
        <w:rPr>
          <w:rFonts w:cs="Calibri"/>
          <w:color w:val="333333"/>
          <w:sz w:val="22"/>
          <w:szCs w:val="22"/>
        </w:rPr>
        <w:t>.</w:t>
      </w:r>
      <w:r>
        <w:rPr>
          <w:rStyle w:val="FootnoteReference"/>
          <w:rFonts w:cs="Calibri"/>
          <w:color w:val="333333"/>
          <w:sz w:val="22"/>
          <w:szCs w:val="22"/>
        </w:rPr>
        <w:footnoteReference w:id="8"/>
      </w:r>
      <w:r>
        <w:rPr>
          <w:rFonts w:cs="Calibri"/>
          <w:color w:val="333333"/>
          <w:sz w:val="22"/>
          <w:szCs w:val="22"/>
        </w:rPr>
        <w:t xml:space="preserve">  Bowman regards Bennett as a ‘key figure in the movement towards the democratization, modernization, and professionalization’ of folklore studies in the UK in the 1980s and 1990s.</w:t>
      </w:r>
      <w:r>
        <w:rPr>
          <w:rStyle w:val="FootnoteReference"/>
          <w:rFonts w:cs="Calibri"/>
          <w:color w:val="333333"/>
          <w:sz w:val="22"/>
          <w:szCs w:val="22"/>
        </w:rPr>
        <w:footnoteReference w:id="9"/>
      </w:r>
      <w:r>
        <w:rPr>
          <w:rFonts w:cs="Calibri"/>
          <w:color w:val="333333"/>
          <w:sz w:val="22"/>
          <w:szCs w:val="22"/>
        </w:rPr>
        <w:t xml:space="preserve"> </w:t>
      </w:r>
    </w:p>
    <w:p w:rsidR="00EE4C67" w:rsidRDefault="00EE4C67" w:rsidP="00EE4C67">
      <w:pPr>
        <w:pStyle w:val="NoSpacing"/>
        <w:rPr>
          <w:rFonts w:cs="Calibri"/>
          <w:sz w:val="22"/>
          <w:szCs w:val="22"/>
        </w:rPr>
      </w:pPr>
      <w:r>
        <w:rPr>
          <w:rFonts w:cs="Calibri"/>
          <w:color w:val="1A1A19"/>
          <w:sz w:val="22"/>
          <w:szCs w:val="22"/>
          <w:shd w:val="clear" w:color="auto" w:fill="FAF9F7"/>
        </w:rPr>
        <w:t xml:space="preserve">The article, described by Johnston </w:t>
      </w:r>
      <w:r>
        <w:rPr>
          <w:rFonts w:cs="Calibri"/>
          <w:sz w:val="22"/>
          <w:szCs w:val="22"/>
        </w:rPr>
        <w:t>as a study of the ‘premonitions, prophetic dreams, omens, signs and visionary hunches,’</w:t>
      </w:r>
      <w:r>
        <w:rPr>
          <w:rStyle w:val="FootnoteReference"/>
          <w:rFonts w:cs="Calibri"/>
          <w:sz w:val="22"/>
          <w:szCs w:val="22"/>
        </w:rPr>
        <w:footnoteReference w:id="10"/>
      </w:r>
      <w:r>
        <w:rPr>
          <w:rFonts w:cs="Calibri"/>
          <w:sz w:val="22"/>
          <w:szCs w:val="22"/>
        </w:rPr>
        <w:t xml:space="preserve"> focuses on the ‘common consent and agreement’</w:t>
      </w:r>
      <w:r>
        <w:rPr>
          <w:rStyle w:val="FootnoteReference"/>
          <w:rFonts w:cs="Calibri"/>
          <w:sz w:val="22"/>
          <w:szCs w:val="22"/>
        </w:rPr>
        <w:footnoteReference w:id="11"/>
      </w:r>
      <w:r>
        <w:rPr>
          <w:rFonts w:cs="Calibri"/>
          <w:sz w:val="22"/>
          <w:szCs w:val="22"/>
        </w:rPr>
        <w:t xml:space="preserve"> about future insight and how social and moral norms shape the folklore shared by an elderly group of women in Bennett’s hometown.  Included in the book </w:t>
      </w:r>
      <w:r>
        <w:rPr>
          <w:rFonts w:cs="Calibri"/>
          <w:i/>
          <w:iCs/>
          <w:sz w:val="22"/>
          <w:szCs w:val="22"/>
        </w:rPr>
        <w:t>Out of The Ordinary: Folklore and the Supernatural</w:t>
      </w:r>
      <w:r>
        <w:rPr>
          <w:rFonts w:cs="Calibri"/>
          <w:sz w:val="22"/>
          <w:szCs w:val="22"/>
        </w:rPr>
        <w:t xml:space="preserve">, the article is aimed at readers willing to ‘stimulate and expand the conversation encompassing culture, folklore, belief, and the supernatural,’ as stated by </w:t>
      </w:r>
      <w:r w:rsidR="00FC3474">
        <w:rPr>
          <w:rFonts w:cs="Calibri"/>
          <w:sz w:val="22"/>
          <w:szCs w:val="22"/>
        </w:rPr>
        <w:t>the</w:t>
      </w:r>
      <w:r>
        <w:rPr>
          <w:rFonts w:cs="Calibri"/>
          <w:sz w:val="22"/>
          <w:szCs w:val="22"/>
        </w:rPr>
        <w:t xml:space="preserve"> editor.</w:t>
      </w:r>
      <w:r>
        <w:rPr>
          <w:rStyle w:val="FootnoteReference"/>
          <w:rFonts w:cs="Calibri"/>
          <w:sz w:val="22"/>
          <w:szCs w:val="22"/>
        </w:rPr>
        <w:footnoteReference w:id="12"/>
      </w:r>
    </w:p>
    <w:p w:rsidR="00EE4C67" w:rsidRDefault="00EE4C67" w:rsidP="00EE4C67">
      <w:pPr>
        <w:pStyle w:val="NoSpacing"/>
        <w:rPr>
          <w:rFonts w:cs="Calibri"/>
          <w:b/>
          <w:bCs/>
          <w:sz w:val="22"/>
          <w:szCs w:val="22"/>
        </w:rPr>
      </w:pPr>
    </w:p>
    <w:p w:rsidR="00EE4C67" w:rsidRDefault="00EE4C67" w:rsidP="00EE4C67">
      <w:pPr>
        <w:pStyle w:val="NoSpacing"/>
        <w:rPr>
          <w:rFonts w:cs="Calibri"/>
          <w:sz w:val="22"/>
          <w:szCs w:val="22"/>
        </w:rPr>
      </w:pPr>
      <w:r>
        <w:rPr>
          <w:rFonts w:cs="Calibri"/>
          <w:b/>
          <w:bCs/>
          <w:sz w:val="22"/>
          <w:szCs w:val="22"/>
        </w:rPr>
        <w:t xml:space="preserve">Research Methodology </w:t>
      </w:r>
    </w:p>
    <w:p w:rsidR="00EE4C67" w:rsidRDefault="00EE4C67" w:rsidP="00EE4C67">
      <w:pPr>
        <w:pStyle w:val="NoSpacing"/>
        <w:rPr>
          <w:rFonts w:cs="Calibri"/>
          <w:sz w:val="22"/>
          <w:szCs w:val="22"/>
        </w:rPr>
      </w:pPr>
      <w:r>
        <w:rPr>
          <w:rFonts w:cs="Calibri"/>
          <w:sz w:val="22"/>
          <w:szCs w:val="22"/>
        </w:rPr>
        <w:t xml:space="preserve">To achieve this goal of expanding upon folklore and belief in the supernatural, Bennett employed ethnography as a form of narrative inquiry, which, according to </w:t>
      </w:r>
      <w:proofErr w:type="spellStart"/>
      <w:r>
        <w:rPr>
          <w:rFonts w:cs="Calibri"/>
          <w:sz w:val="22"/>
          <w:szCs w:val="22"/>
        </w:rPr>
        <w:t>Braud</w:t>
      </w:r>
      <w:proofErr w:type="spellEnd"/>
      <w:r>
        <w:rPr>
          <w:rFonts w:cs="Calibri"/>
          <w:sz w:val="22"/>
          <w:szCs w:val="22"/>
        </w:rPr>
        <w:t xml:space="preserve"> and Anderson, ‘may contain life-changing impacts and offer ways of knowing other realities.’</w:t>
      </w:r>
      <w:r>
        <w:rPr>
          <w:rStyle w:val="FootnoteReference"/>
          <w:rFonts w:cs="Calibri"/>
          <w:sz w:val="22"/>
          <w:szCs w:val="22"/>
        </w:rPr>
        <w:footnoteReference w:id="13"/>
      </w:r>
      <w:r>
        <w:rPr>
          <w:rFonts w:cs="Calibri"/>
          <w:sz w:val="22"/>
          <w:szCs w:val="22"/>
        </w:rPr>
        <w:t xml:space="preserve"> While her approach was predominantly qualitative—drawing on interviews, conversations and storytelling—she also used quantitative elements, such as percentages and demographic information presented in Table 1.</w:t>
      </w:r>
      <w:r>
        <w:rPr>
          <w:rStyle w:val="FootnoteReference"/>
          <w:rFonts w:cs="Calibri"/>
          <w:sz w:val="22"/>
          <w:szCs w:val="22"/>
        </w:rPr>
        <w:footnoteReference w:id="14"/>
      </w:r>
      <w:r>
        <w:rPr>
          <w:rFonts w:cs="Calibri"/>
          <w:sz w:val="22"/>
          <w:szCs w:val="22"/>
        </w:rPr>
        <w:t xml:space="preserve"> According to</w:t>
      </w:r>
      <w:r>
        <w:rPr>
          <w:rFonts w:cs="Calibri"/>
          <w:color w:val="1D2125"/>
          <w:sz w:val="22"/>
          <w:szCs w:val="22"/>
        </w:rPr>
        <w:t> Bryman</w:t>
      </w:r>
      <w:r>
        <w:rPr>
          <w:rFonts w:cs="Calibri"/>
          <w:sz w:val="22"/>
          <w:szCs w:val="22"/>
        </w:rPr>
        <w:t>, the quantitative conveys a ‘view of social reality which is static in that it tends to neglect the impact and role of change in social life.’</w:t>
      </w:r>
      <w:r>
        <w:rPr>
          <w:rStyle w:val="FootnoteReference"/>
          <w:rFonts w:cs="Calibri"/>
          <w:sz w:val="22"/>
          <w:szCs w:val="22"/>
        </w:rPr>
        <w:footnoteReference w:id="15"/>
      </w:r>
      <w:r>
        <w:rPr>
          <w:rFonts w:cs="Calibri"/>
          <w:sz w:val="22"/>
          <w:szCs w:val="22"/>
        </w:rPr>
        <w:t xml:space="preserve"> He also noted that the qualitative approach offers the researcher a better position to view ‘the linkages between events and activities and to explore people’s interpretations of the factors which produce such connections.’</w:t>
      </w:r>
      <w:r>
        <w:rPr>
          <w:rStyle w:val="FootnoteReference"/>
          <w:rFonts w:cs="Calibri"/>
          <w:sz w:val="22"/>
          <w:szCs w:val="22"/>
        </w:rPr>
        <w:footnoteReference w:id="16"/>
      </w:r>
      <w:r>
        <w:rPr>
          <w:rFonts w:cs="Calibri"/>
          <w:sz w:val="22"/>
          <w:szCs w:val="22"/>
        </w:rPr>
        <w:t xml:space="preserve">  Bennett has blended the two methods: the quantified findings indicated that participants did not ‘equally’ value divinatory and visionary practices, and the in-depth analysis of conversations and narratives revealed that the women used their stories ‘as vehicles of moral judgements.’</w:t>
      </w:r>
      <w:r>
        <w:rPr>
          <w:rStyle w:val="FootnoteReference"/>
          <w:rFonts w:cs="Calibri"/>
          <w:sz w:val="22"/>
          <w:szCs w:val="22"/>
        </w:rPr>
        <w:footnoteReference w:id="17"/>
      </w:r>
      <w:r>
        <w:rPr>
          <w:rFonts w:cs="Calibri"/>
          <w:sz w:val="22"/>
          <w:szCs w:val="22"/>
        </w:rPr>
        <w:t xml:space="preserve"> Further, the quantitative findings confirmed that the patterns discussed in the paper were, indeed, characteristic of the focus group. In </w:t>
      </w:r>
      <w:proofErr w:type="spellStart"/>
      <w:r>
        <w:rPr>
          <w:rFonts w:cs="Calibri"/>
          <w:sz w:val="22"/>
          <w:szCs w:val="22"/>
        </w:rPr>
        <w:t>Jick’s</w:t>
      </w:r>
      <w:proofErr w:type="spellEnd"/>
      <w:r>
        <w:rPr>
          <w:rFonts w:cs="Calibri"/>
          <w:sz w:val="22"/>
          <w:szCs w:val="22"/>
        </w:rPr>
        <w:t xml:space="preserve"> opinion, this cross-check triangulation method can be used ‘not only to examine the same phenomenon from multiple </w:t>
      </w:r>
      <w:r>
        <w:rPr>
          <w:rFonts w:cs="Calibri"/>
          <w:sz w:val="22"/>
          <w:szCs w:val="22"/>
        </w:rPr>
        <w:lastRenderedPageBreak/>
        <w:t>perspectives but also to enrich our understanding by allowing for new or deeper dimensions to emerge.’</w:t>
      </w:r>
      <w:r>
        <w:rPr>
          <w:rStyle w:val="FootnoteReference"/>
          <w:rFonts w:cs="Calibri"/>
          <w:sz w:val="22"/>
          <w:szCs w:val="22"/>
        </w:rPr>
        <w:footnoteReference w:id="18"/>
      </w:r>
    </w:p>
    <w:p w:rsidR="00EE4C67" w:rsidRDefault="00EE4C67" w:rsidP="00EE4C67">
      <w:pPr>
        <w:pStyle w:val="NoSpacing"/>
        <w:rPr>
          <w:rFonts w:cs="Calibri"/>
          <w:sz w:val="22"/>
          <w:szCs w:val="22"/>
        </w:rPr>
      </w:pPr>
      <w:r>
        <w:rPr>
          <w:rFonts w:cs="Calibri"/>
          <w:sz w:val="22"/>
          <w:szCs w:val="22"/>
        </w:rPr>
        <w:t>Although both researchers use</w:t>
      </w:r>
      <w:r w:rsidR="00ED4E99">
        <w:rPr>
          <w:rFonts w:cs="Calibri"/>
          <w:sz w:val="22"/>
          <w:szCs w:val="22"/>
        </w:rPr>
        <w:t>d</w:t>
      </w:r>
      <w:r>
        <w:rPr>
          <w:rFonts w:cs="Calibri"/>
          <w:sz w:val="22"/>
          <w:szCs w:val="22"/>
        </w:rPr>
        <w:t xml:space="preserve"> in-depth and relational qualitative research methods, Blaine’s ethnographic exploration aligns more closely with phenomenology, as she emphasises lived experience and personal insight. </w:t>
      </w:r>
      <w:proofErr w:type="spellStart"/>
      <w:r>
        <w:rPr>
          <w:rFonts w:cs="Calibri"/>
          <w:sz w:val="22"/>
          <w:szCs w:val="22"/>
        </w:rPr>
        <w:t>Braud</w:t>
      </w:r>
      <w:proofErr w:type="spellEnd"/>
      <w:r>
        <w:rPr>
          <w:rFonts w:cs="Calibri"/>
          <w:sz w:val="22"/>
          <w:szCs w:val="22"/>
        </w:rPr>
        <w:t xml:space="preserve"> and Anderson explain</w:t>
      </w:r>
      <w:r w:rsidR="00826806">
        <w:rPr>
          <w:rFonts w:cs="Calibri"/>
          <w:sz w:val="22"/>
          <w:szCs w:val="22"/>
        </w:rPr>
        <w:t>ed</w:t>
      </w:r>
      <w:r w:rsidR="00250713">
        <w:rPr>
          <w:rFonts w:cs="Calibri"/>
          <w:sz w:val="22"/>
          <w:szCs w:val="22"/>
        </w:rPr>
        <w:t xml:space="preserve"> that </w:t>
      </w:r>
      <w:r>
        <w:rPr>
          <w:rFonts w:cs="Calibri"/>
          <w:sz w:val="22"/>
          <w:szCs w:val="22"/>
        </w:rPr>
        <w:t>the phenomenological approach aims to develop a ‘complete, accurate, clear, and articulate description and understanding of a particular human experience or experiential moment.’</w:t>
      </w:r>
      <w:r>
        <w:rPr>
          <w:rStyle w:val="FootnoteReference"/>
          <w:rFonts w:cs="Calibri"/>
          <w:sz w:val="22"/>
          <w:szCs w:val="22"/>
        </w:rPr>
        <w:footnoteReference w:id="19"/>
      </w:r>
      <w:r>
        <w:rPr>
          <w:rFonts w:cs="Calibri"/>
          <w:sz w:val="22"/>
          <w:szCs w:val="22"/>
        </w:rPr>
        <w:t xml:space="preserve"> This indicates that the research can provide a complete picture of lived experience, with findings that emerge organically rather than being imposed by the researcher. However, this approach has limitations, such as the subjective nature of interpretation, reliance on participants’ articulate skills, and a lack of focus on conceptualising the experience. </w:t>
      </w:r>
    </w:p>
    <w:p w:rsidR="00EE4C67" w:rsidRDefault="00EE4C67" w:rsidP="001F7249">
      <w:pPr>
        <w:pStyle w:val="NoSpacing"/>
        <w:rPr>
          <w:rFonts w:cs="Calibri"/>
          <w:sz w:val="22"/>
          <w:szCs w:val="22"/>
        </w:rPr>
      </w:pPr>
      <w:r>
        <w:rPr>
          <w:rFonts w:cs="Calibri"/>
          <w:sz w:val="22"/>
          <w:szCs w:val="22"/>
        </w:rPr>
        <w:t xml:space="preserve">Blain’s experiential methodology, which relies on direct experiences, interpretations and interaction with others with different perceptions, can be seen as a form of intuitive anthropology. The researcher immerses herself in the experiences of shamanistic rituals and personal insight, offering a deeper understanding of </w:t>
      </w:r>
      <w:proofErr w:type="spellStart"/>
      <w:r>
        <w:rPr>
          <w:rFonts w:cs="Calibri"/>
          <w:i/>
          <w:iCs/>
          <w:sz w:val="22"/>
          <w:szCs w:val="22"/>
        </w:rPr>
        <w:t>seidr</w:t>
      </w:r>
      <w:proofErr w:type="spellEnd"/>
      <w:r>
        <w:rPr>
          <w:rFonts w:cs="Calibri"/>
          <w:i/>
          <w:iCs/>
          <w:sz w:val="22"/>
          <w:szCs w:val="22"/>
        </w:rPr>
        <w:t xml:space="preserve"> </w:t>
      </w:r>
      <w:r>
        <w:rPr>
          <w:rFonts w:cs="Calibri"/>
          <w:sz w:val="22"/>
          <w:szCs w:val="22"/>
        </w:rPr>
        <w:t>practices through ’emic’</w:t>
      </w:r>
      <w:r>
        <w:rPr>
          <w:rStyle w:val="FootnoteReference"/>
          <w:rFonts w:cs="Calibri"/>
          <w:sz w:val="22"/>
          <w:szCs w:val="22"/>
        </w:rPr>
        <w:footnoteReference w:id="20"/>
      </w:r>
      <w:r>
        <w:rPr>
          <w:rFonts w:cs="Calibri"/>
          <w:sz w:val="22"/>
          <w:szCs w:val="22"/>
        </w:rPr>
        <w:t xml:space="preserve">  knowledge and applying autoethnography, extending beyond the traditional academic framework. Bryman asserted that qualitative researchers ‘often favour a research strategy which is ‘relatively open and unstructured’</w:t>
      </w:r>
      <w:r>
        <w:rPr>
          <w:rStyle w:val="FootnoteReference"/>
          <w:rFonts w:cs="Calibri"/>
          <w:sz w:val="22"/>
          <w:szCs w:val="22"/>
        </w:rPr>
        <w:footnoteReference w:id="21"/>
      </w:r>
      <w:r>
        <w:rPr>
          <w:rFonts w:cs="Calibri"/>
          <w:sz w:val="22"/>
          <w:szCs w:val="22"/>
        </w:rPr>
        <w:t xml:space="preserve">, such as Blain’s experience at a wedding, a shamanistic ceremony involving </w:t>
      </w:r>
      <w:proofErr w:type="spellStart"/>
      <w:r>
        <w:rPr>
          <w:rFonts w:cs="Calibri"/>
          <w:i/>
          <w:iCs/>
          <w:sz w:val="22"/>
          <w:szCs w:val="22"/>
        </w:rPr>
        <w:t>seidr</w:t>
      </w:r>
      <w:proofErr w:type="spellEnd"/>
      <w:r>
        <w:rPr>
          <w:rFonts w:cs="Calibri"/>
          <w:sz w:val="22"/>
          <w:szCs w:val="22"/>
        </w:rPr>
        <w:t xml:space="preserve"> practices. Scholars have argued that an open research strategy enhances the opportunity to encounter entirely unexpected issues that may interest the ethnographer. Whyte’s view—Bryman cited— is that ethnographic research ‘derives much of its strength from its flexibility, which allows new leads to be followed up.’</w:t>
      </w:r>
      <w:r>
        <w:rPr>
          <w:rStyle w:val="FootnoteReference"/>
          <w:rFonts w:cs="Calibri"/>
          <w:sz w:val="22"/>
          <w:szCs w:val="22"/>
        </w:rPr>
        <w:footnoteReference w:id="22"/>
      </w:r>
      <w:r>
        <w:rPr>
          <w:rFonts w:cs="Calibri"/>
          <w:sz w:val="22"/>
          <w:szCs w:val="22"/>
        </w:rPr>
        <w:t xml:space="preserve"> This, together with the fluidity in the temporal framework, positions Blain in an ongoing dialogue with the community, which requires continual ethical reflection and negotiation of researcher positioning.</w:t>
      </w:r>
    </w:p>
    <w:p w:rsidR="00EE4C67" w:rsidRDefault="00EE4C67" w:rsidP="001F7249">
      <w:pPr>
        <w:pStyle w:val="NoSpacing"/>
        <w:rPr>
          <w:rFonts w:cs="Calibri"/>
          <w:sz w:val="22"/>
          <w:szCs w:val="22"/>
        </w:rPr>
      </w:pPr>
    </w:p>
    <w:p w:rsidR="00EE4C67" w:rsidRDefault="00EE4C67" w:rsidP="001F7249">
      <w:pPr>
        <w:pStyle w:val="NoSpacing"/>
        <w:rPr>
          <w:rFonts w:cs="Calibri"/>
          <w:b/>
          <w:bCs/>
          <w:sz w:val="22"/>
          <w:szCs w:val="22"/>
        </w:rPr>
      </w:pPr>
      <w:r>
        <w:rPr>
          <w:rFonts w:cs="Calibri"/>
          <w:b/>
          <w:bCs/>
          <w:sz w:val="22"/>
          <w:szCs w:val="22"/>
        </w:rPr>
        <w:t>Ethical considerations and researcher positioning</w:t>
      </w:r>
    </w:p>
    <w:p w:rsidR="00EE4C67" w:rsidRDefault="00EE4C67" w:rsidP="001F7249">
      <w:pPr>
        <w:pStyle w:val="NoSpacing"/>
        <w:rPr>
          <w:rFonts w:cs="Calibri"/>
          <w:sz w:val="22"/>
          <w:szCs w:val="22"/>
        </w:rPr>
      </w:pPr>
      <w:r>
        <w:rPr>
          <w:rFonts w:cs="Calibri"/>
          <w:sz w:val="22"/>
          <w:szCs w:val="22"/>
        </w:rPr>
        <w:t>This ongoing dialogue with the community naturally brings ethical challenges. For example, Blain’s first narrative</w:t>
      </w:r>
      <w:r>
        <w:rPr>
          <w:rStyle w:val="FootnoteReference"/>
          <w:rFonts w:cs="Calibri"/>
          <w:sz w:val="22"/>
          <w:szCs w:val="22"/>
        </w:rPr>
        <w:footnoteReference w:id="23"/>
      </w:r>
      <w:r>
        <w:rPr>
          <w:rFonts w:cs="Calibri"/>
          <w:sz w:val="22"/>
          <w:szCs w:val="22"/>
        </w:rPr>
        <w:t xml:space="preserve">  lacks clear source attribution, raising concerns about reliability. </w:t>
      </w:r>
      <w:proofErr w:type="spellStart"/>
      <w:r>
        <w:rPr>
          <w:rFonts w:cs="Calibri"/>
          <w:sz w:val="22"/>
          <w:szCs w:val="22"/>
        </w:rPr>
        <w:t>Jordsvin</w:t>
      </w:r>
      <w:proofErr w:type="spellEnd"/>
      <w:r>
        <w:rPr>
          <w:rFonts w:cs="Calibri"/>
          <w:sz w:val="22"/>
          <w:szCs w:val="22"/>
        </w:rPr>
        <w:t xml:space="preserve">, whose name may be a pseudonym, offers the insider’s perspective based on personal experience. Although this can provide valuable depth and authenticity, it is important to ensure full transparency when incorporating personal accounts into research. The paper does not clarify whether permission was granted for its inclusion, and the absence of </w:t>
      </w:r>
      <w:proofErr w:type="spellStart"/>
      <w:r>
        <w:rPr>
          <w:rFonts w:cs="Calibri"/>
          <w:sz w:val="22"/>
          <w:szCs w:val="22"/>
        </w:rPr>
        <w:t>Jordsvin</w:t>
      </w:r>
      <w:proofErr w:type="spellEnd"/>
      <w:r>
        <w:rPr>
          <w:rFonts w:cs="Calibri"/>
          <w:sz w:val="22"/>
          <w:szCs w:val="22"/>
        </w:rPr>
        <w:t xml:space="preserve"> in the bibliography complicates the issue. Given the personal nature of the information, particularly the homophobic abuse,</w:t>
      </w:r>
      <w:r>
        <w:rPr>
          <w:rStyle w:val="FootnoteReference"/>
          <w:rFonts w:cs="Calibri"/>
          <w:sz w:val="22"/>
          <w:szCs w:val="22"/>
        </w:rPr>
        <w:footnoteReference w:id="24"/>
      </w:r>
      <w:r>
        <w:rPr>
          <w:rFonts w:cs="Calibri"/>
          <w:sz w:val="22"/>
          <w:szCs w:val="22"/>
        </w:rPr>
        <w:t xml:space="preserve"> this omission raises concerns regarding participant exposure. Without clear protocols regarding strict adherence to informant anonymity and consent, the research risks compromising both the participants’ welfare and the study’s credibility. Designed to immerse the reader in the speaker’s experience, the second account takes more protective measures for confidentiality—only two individuals have read the full chapter—and presents an opposing positional dilemma: Blain’s insider connection to the community versus her role as an objective academic analyst. However, the author’s concern for her own exposure explains the choice to rely on interview accounts for similar information. In terms of spiritual values, she is so close to the shamanistic focus group that her portrayal of them is, in some ways, a self-portrait. This helps explain why she prefers to interrogate her position by presenting others' theories </w:t>
      </w:r>
      <w:r>
        <w:rPr>
          <w:rFonts w:cs="Calibri"/>
          <w:sz w:val="22"/>
          <w:szCs w:val="22"/>
        </w:rPr>
        <w:lastRenderedPageBreak/>
        <w:t>rather than discussing her personal experiences. Reflexivity, a critical quality component in this study, involves ‘conscious self-reflection by researchers to assess whether their subjective knowledge, expectations or interpretations’</w:t>
      </w:r>
      <w:r>
        <w:rPr>
          <w:rStyle w:val="FootnoteReference"/>
          <w:rFonts w:cs="Calibri"/>
          <w:sz w:val="22"/>
          <w:szCs w:val="22"/>
        </w:rPr>
        <w:footnoteReference w:id="25"/>
      </w:r>
      <w:r>
        <w:rPr>
          <w:rFonts w:cs="Calibri"/>
          <w:sz w:val="22"/>
          <w:szCs w:val="22"/>
        </w:rPr>
        <w:t xml:space="preserve"> may have influenced the process. Blain declared that ‘to enter the world of the </w:t>
      </w:r>
      <w:proofErr w:type="spellStart"/>
      <w:r>
        <w:rPr>
          <w:rFonts w:cs="Calibri"/>
          <w:sz w:val="22"/>
          <w:szCs w:val="22"/>
        </w:rPr>
        <w:t>seidworker</w:t>
      </w:r>
      <w:proofErr w:type="spellEnd"/>
      <w:r>
        <w:rPr>
          <w:rFonts w:cs="Calibri"/>
          <w:sz w:val="22"/>
          <w:szCs w:val="22"/>
        </w:rPr>
        <w:t xml:space="preserve">…. but simply </w:t>
      </w:r>
      <w:r>
        <w:rPr>
          <w:rFonts w:cs="Calibri"/>
          <w:i/>
          <w:iCs/>
          <w:sz w:val="22"/>
          <w:szCs w:val="22"/>
        </w:rPr>
        <w:t>going native</w:t>
      </w:r>
      <w:r>
        <w:rPr>
          <w:rFonts w:cs="Calibri"/>
          <w:sz w:val="22"/>
          <w:szCs w:val="22"/>
        </w:rPr>
        <w:t>…. is not enough,’</w:t>
      </w:r>
      <w:r>
        <w:rPr>
          <w:rStyle w:val="FootnoteReference"/>
          <w:rFonts w:cs="Calibri"/>
          <w:sz w:val="22"/>
          <w:szCs w:val="22"/>
        </w:rPr>
        <w:footnoteReference w:id="26"/>
      </w:r>
      <w:r>
        <w:rPr>
          <w:rFonts w:cs="Calibri"/>
          <w:sz w:val="22"/>
          <w:szCs w:val="22"/>
        </w:rPr>
        <w:t xml:space="preserve"> highlighting the significance of critical awareness of her position within the community and the wider world. </w:t>
      </w:r>
    </w:p>
    <w:p w:rsidR="00EE4C67" w:rsidRDefault="00EE4C67" w:rsidP="00EE4C67">
      <w:pPr>
        <w:pStyle w:val="NoSpacing"/>
        <w:rPr>
          <w:rFonts w:cs="Calibri"/>
          <w:sz w:val="22"/>
          <w:szCs w:val="22"/>
        </w:rPr>
      </w:pPr>
      <w:r>
        <w:rPr>
          <w:rFonts w:cs="Calibri"/>
          <w:sz w:val="22"/>
          <w:szCs w:val="22"/>
        </w:rPr>
        <w:t xml:space="preserve">In contrast, Bennett does not explicitly discuss her reflexive positioning. However, her research suggests a level of insider status due to the shared cultural background and gender with her focus group. As she simultaneously occupies an outsider perspective as an academic, balancing both roles throughout her study, ethical considerations are brought into context. The author discusses the choice of a favourable context for conversation and the use of a gatekeeper—her father, a doctor—to gain access to the participants. While she stated that she asked for ‘their permission’ to record the interviews, there remains uncertainty about whether participants’ consent was truly voluntary or if they felt a form of coercion driven by the gatekeeper’s social expectations, such as feeling obliged to participate, especially since the clinic was used as a site for her project. Furthermore, anonymity is </w:t>
      </w:r>
      <w:r w:rsidR="00036DF7">
        <w:rPr>
          <w:rFonts w:cs="Calibri"/>
          <w:sz w:val="22"/>
          <w:szCs w:val="22"/>
        </w:rPr>
        <w:t xml:space="preserve">also </w:t>
      </w:r>
      <w:r>
        <w:rPr>
          <w:rFonts w:cs="Calibri"/>
          <w:sz w:val="22"/>
          <w:szCs w:val="22"/>
        </w:rPr>
        <w:t>an ethical concern due to the small size of the community under study, which is described as a ‘homogeneous social and cultural group.’</w:t>
      </w:r>
      <w:r>
        <w:rPr>
          <w:rStyle w:val="FootnoteReference"/>
          <w:rFonts w:cs="Calibri"/>
          <w:sz w:val="22"/>
          <w:szCs w:val="22"/>
        </w:rPr>
        <w:footnoteReference w:id="27"/>
      </w:r>
      <w:r>
        <w:rPr>
          <w:rFonts w:cs="Calibri"/>
          <w:sz w:val="22"/>
          <w:szCs w:val="22"/>
        </w:rPr>
        <w:t xml:space="preserve"> This highlights the complexities of maintaining privacy in small, interconnected groups and may pose challenges to full confidentiality, as individuals may recognise the </w:t>
      </w:r>
      <w:r w:rsidR="001F2EB3">
        <w:rPr>
          <w:rFonts w:cs="Calibri"/>
          <w:sz w:val="22"/>
          <w:szCs w:val="22"/>
        </w:rPr>
        <w:t>shared</w:t>
      </w:r>
      <w:r w:rsidR="001F2EB3">
        <w:rPr>
          <w:rFonts w:cs="Calibri"/>
          <w:sz w:val="22"/>
          <w:szCs w:val="22"/>
        </w:rPr>
        <w:t xml:space="preserve"> </w:t>
      </w:r>
      <w:r>
        <w:rPr>
          <w:rFonts w:cs="Calibri"/>
          <w:sz w:val="22"/>
          <w:szCs w:val="22"/>
        </w:rPr>
        <w:t xml:space="preserve">stories despite the precautions taken. </w:t>
      </w:r>
    </w:p>
    <w:p w:rsidR="00EE4C67" w:rsidRDefault="00EE4C67" w:rsidP="00EE4C67">
      <w:pPr>
        <w:rPr>
          <w:rFonts w:ascii="Calibri" w:hAnsi="Calibri" w:cs="Calibri"/>
          <w:sz w:val="22"/>
          <w:szCs w:val="22"/>
        </w:rPr>
      </w:pPr>
      <w:r>
        <w:rPr>
          <w:rFonts w:ascii="Calibri" w:hAnsi="Calibri" w:cs="Calibri"/>
          <w:sz w:val="22"/>
          <w:szCs w:val="22"/>
        </w:rPr>
        <w:t>Another ethical concern arises from the demographic information provided by the doctor, as the article does not specify whether data-sharing was explicitly stated in the doctor-patient agreement. However, Bennett took measures to minimise the potential harm by adhering to ethical research practices, such as assigning pseudonyms and codes to informants, as seen in the endnotes.’</w:t>
      </w:r>
      <w:r>
        <w:rPr>
          <w:rStyle w:val="FootnoteReference"/>
          <w:rFonts w:ascii="Calibri" w:hAnsi="Calibri" w:cs="Calibri"/>
          <w:sz w:val="22"/>
          <w:szCs w:val="22"/>
        </w:rPr>
        <w:footnoteReference w:id="28"/>
      </w:r>
      <w:r>
        <w:rPr>
          <w:rFonts w:ascii="Calibri" w:hAnsi="Calibri" w:cs="Calibri"/>
          <w:sz w:val="22"/>
          <w:szCs w:val="22"/>
        </w:rPr>
        <w:t xml:space="preserve">  The endnotes, as part of the paper’s structure and engagement with the literature, lead into the next section of this essay.</w:t>
      </w:r>
    </w:p>
    <w:p w:rsidR="00EE4C67" w:rsidRDefault="00EE4C67" w:rsidP="00EE4C67">
      <w:pPr>
        <w:pStyle w:val="NoSpacing"/>
        <w:rPr>
          <w:rFonts w:cs="Calibri"/>
          <w:b/>
          <w:bCs/>
          <w:sz w:val="22"/>
          <w:szCs w:val="22"/>
        </w:rPr>
      </w:pPr>
    </w:p>
    <w:p w:rsidR="00EE4C67" w:rsidRDefault="00EE4C67" w:rsidP="00EE4C67">
      <w:pPr>
        <w:pStyle w:val="NoSpacing"/>
        <w:rPr>
          <w:rFonts w:cs="Calibri"/>
          <w:b/>
          <w:bCs/>
          <w:sz w:val="22"/>
          <w:szCs w:val="22"/>
        </w:rPr>
      </w:pPr>
      <w:r>
        <w:rPr>
          <w:rFonts w:cs="Calibri"/>
          <w:b/>
          <w:bCs/>
          <w:sz w:val="22"/>
          <w:szCs w:val="22"/>
        </w:rPr>
        <w:t>Structure of the papers and literature review</w:t>
      </w:r>
    </w:p>
    <w:p w:rsidR="00EE4C67" w:rsidRDefault="00EE4C67" w:rsidP="00EE4C67">
      <w:pPr>
        <w:pStyle w:val="NoSpacing"/>
        <w:rPr>
          <w:rFonts w:cs="Calibri"/>
          <w:sz w:val="22"/>
          <w:szCs w:val="22"/>
        </w:rPr>
      </w:pPr>
      <w:r>
        <w:rPr>
          <w:rFonts w:cs="Calibri"/>
          <w:sz w:val="22"/>
          <w:szCs w:val="22"/>
        </w:rPr>
        <w:t xml:space="preserve">Bennett’s article starts with a quote that sets the context and the main theme: knowledge of the future and cultural perceptions about it. The following paragraph—serving as an introduction— clearly presents the essay’s focus and outlines the framework, which comprises a historical context followed by the research. Displaying a chronological approach, the first section discusses one significant work for each century, allowing for a strong and progressive argumentation. In line with </w:t>
      </w:r>
      <w:proofErr w:type="spellStart"/>
      <w:r>
        <w:rPr>
          <w:rFonts w:cs="Calibri"/>
          <w:sz w:val="22"/>
          <w:szCs w:val="22"/>
        </w:rPr>
        <w:t>Topolski’s</w:t>
      </w:r>
      <w:proofErr w:type="spellEnd"/>
      <w:r>
        <w:rPr>
          <w:rFonts w:cs="Calibri"/>
          <w:sz w:val="22"/>
          <w:szCs w:val="22"/>
        </w:rPr>
        <w:t xml:space="preserve"> interpretation, ‘the coherence of a narrative is one of the conditions of arriving at the truth.’</w:t>
      </w:r>
      <w:r>
        <w:rPr>
          <w:rStyle w:val="FootnoteReference"/>
          <w:rFonts w:cs="Calibri"/>
          <w:sz w:val="22"/>
          <w:szCs w:val="22"/>
        </w:rPr>
        <w:footnoteReference w:id="29"/>
      </w:r>
      <w:r>
        <w:rPr>
          <w:rFonts w:cs="Calibri"/>
          <w:sz w:val="22"/>
          <w:szCs w:val="22"/>
        </w:rPr>
        <w:t xml:space="preserve"> Therefore, the structured progression in this text strengthens the foundation of the main argument and ensures a coherent context for the findings. </w:t>
      </w:r>
    </w:p>
    <w:p w:rsidR="00EE4C67" w:rsidRDefault="00EE4C67" w:rsidP="00EE4C67">
      <w:pPr>
        <w:pStyle w:val="NoSpacing"/>
        <w:rPr>
          <w:rFonts w:cs="Calibri"/>
          <w:sz w:val="22"/>
          <w:szCs w:val="22"/>
        </w:rPr>
      </w:pPr>
      <w:r>
        <w:rPr>
          <w:rFonts w:cs="Calibri"/>
          <w:sz w:val="22"/>
          <w:szCs w:val="22"/>
        </w:rPr>
        <w:t xml:space="preserve">After describing the methodologies and ethics, Bennett presented quantitative data and discussed the findings about women’s stories as moral judgments. The following section explored traditional values and smoothly transitioned into the negative aspects of psychic power. Interestingly, Bennett considered that six of the stories, representing less than 6 per cent of her interviews, had a coherent pattern that deserved exploration. By relating to them in detail, she suggested they are valuable due to their complexity and the depths of experience revealed by the informants. The conclusion holds a rhetorical question that reinforces the structured progression of the text and prompts reflection on the study’s applicability in a broader context. However, introducing new data at this stage shifts the conclusion from reflecting the research to what seems to be a separate study within a study, a strategy reflected in the literature review </w:t>
      </w:r>
      <w:r>
        <w:rPr>
          <w:rFonts w:cs="Calibri"/>
          <w:sz w:val="22"/>
          <w:szCs w:val="22"/>
        </w:rPr>
        <w:lastRenderedPageBreak/>
        <w:t xml:space="preserve">choices. Her academic reviews extend nearly a decade beyond her fieldwork and incorporate foundational work to show how the field has evolved over time. This shows that Bennett’s work is grounded in historical and cutting-edge research, integrated into a current scholarly framework, a continuous dialogue between past and present with potential for further thematic progression. Self-referring to previous work suggests that women’s relationship with the supernatural was a continuous subject in her research. This, together with carefully selected foundational works to show how the field evolved over time, shows Bennett’s commitment </w:t>
      </w:r>
      <w:r w:rsidR="001F2EB3">
        <w:rPr>
          <w:rFonts w:cs="Calibri"/>
          <w:sz w:val="22"/>
          <w:szCs w:val="22"/>
        </w:rPr>
        <w:t>to</w:t>
      </w:r>
      <w:r>
        <w:rPr>
          <w:rFonts w:cs="Calibri"/>
          <w:sz w:val="22"/>
          <w:szCs w:val="22"/>
        </w:rPr>
        <w:t xml:space="preserve"> making her work as relevant and engaging as possible for contemporary researchers. </w:t>
      </w:r>
    </w:p>
    <w:p w:rsidR="00EE4C67" w:rsidRDefault="00EE4C67" w:rsidP="00EE4C67">
      <w:pPr>
        <w:pStyle w:val="NoSpacing"/>
        <w:rPr>
          <w:rFonts w:cs="Calibri"/>
          <w:sz w:val="22"/>
          <w:szCs w:val="22"/>
        </w:rPr>
      </w:pPr>
      <w:r>
        <w:rPr>
          <w:rFonts w:cs="Calibri"/>
          <w:sz w:val="22"/>
          <w:szCs w:val="22"/>
        </w:rPr>
        <w:t xml:space="preserve">Both studies ensure a link between sections and a rational academic flow. </w:t>
      </w:r>
      <w:r>
        <w:rPr>
          <w:rFonts w:cs="Calibri"/>
          <w:i/>
          <w:iCs/>
          <w:sz w:val="22"/>
          <w:szCs w:val="22"/>
        </w:rPr>
        <w:t xml:space="preserve">Speaking </w:t>
      </w:r>
      <w:proofErr w:type="spellStart"/>
      <w:r>
        <w:rPr>
          <w:rFonts w:cs="Calibri"/>
          <w:i/>
          <w:iCs/>
          <w:sz w:val="22"/>
          <w:szCs w:val="22"/>
        </w:rPr>
        <w:t>Shamanistically</w:t>
      </w:r>
      <w:proofErr w:type="spellEnd"/>
      <w:r>
        <w:rPr>
          <w:rFonts w:cs="Calibri"/>
          <w:sz w:val="22"/>
          <w:szCs w:val="22"/>
        </w:rPr>
        <w:t xml:space="preserve"> begins with an abstract and introduction outlining the type of research and methodology and discussing the séance. Departing from the conventional academic structure, the fluid text has an immersive structure. It is organised around two primary themes: one from the viewpoint of experiential anthropology and the other reflecting the author’s daily reality as an academic. This structure is reflected in the opening, where the text begins with a personal story, using the first person and engaging in self-reflection. Although it may look less formal, the flux between personal and academic is an essential characteristic of the article, ensuring a profound connection between the reader and the research theme while offering the perspective of a multi-layered research context from within. Passing from Yggdrasil’s theory and concepts, Blain moves the focus to anthropologists and generates a rhetorical question about their approach to the complex context of shamanism. Further, two case studies illustrate the subjectivity of rituals while introducing the fundamental questions presented in the introduction for exploration: ‘feminism’ and ‘critiques of ethnography.’</w:t>
      </w:r>
      <w:r>
        <w:rPr>
          <w:rStyle w:val="FootnoteReference"/>
          <w:rFonts w:cs="Calibri"/>
          <w:sz w:val="22"/>
          <w:szCs w:val="22"/>
        </w:rPr>
        <w:footnoteReference w:id="30"/>
      </w:r>
      <w:r>
        <w:rPr>
          <w:rFonts w:cs="Calibri"/>
          <w:sz w:val="22"/>
          <w:szCs w:val="22"/>
        </w:rPr>
        <w:t xml:space="preserve"> Lacking a formal conclusion, the paper resembles an ongoing essay, which expresses that the author finds herself caught between two worlds. Blain repeated the central theme of her work and closed the paper with the same anecdote, creating a cyclical structure. The framing device: ‘I'm an anthropologist; I'm going to dance at her wedding,’</w:t>
      </w:r>
      <w:r>
        <w:rPr>
          <w:rStyle w:val="FootnoteReference"/>
          <w:rFonts w:cs="Calibri"/>
          <w:sz w:val="22"/>
          <w:szCs w:val="22"/>
        </w:rPr>
        <w:footnoteReference w:id="31"/>
      </w:r>
      <w:r>
        <w:rPr>
          <w:rFonts w:cs="Calibri"/>
          <w:sz w:val="22"/>
          <w:szCs w:val="22"/>
        </w:rPr>
        <w:t xml:space="preserve"> suggests that the ethnographer and </w:t>
      </w:r>
      <w:r w:rsidR="001F2EB3">
        <w:rPr>
          <w:rFonts w:cs="Calibri"/>
          <w:sz w:val="22"/>
          <w:szCs w:val="22"/>
        </w:rPr>
        <w:t>her</w:t>
      </w:r>
      <w:r>
        <w:rPr>
          <w:rFonts w:cs="Calibri"/>
          <w:sz w:val="22"/>
          <w:szCs w:val="22"/>
        </w:rPr>
        <w:t xml:space="preserve"> participants are equally involved in constructing reality. </w:t>
      </w:r>
    </w:p>
    <w:p w:rsidR="00EE4C67" w:rsidRDefault="00EE4C67" w:rsidP="00EE4C67">
      <w:pPr>
        <w:pStyle w:val="NoSpacing"/>
        <w:rPr>
          <w:rFonts w:cs="Calibri"/>
          <w:sz w:val="22"/>
          <w:szCs w:val="22"/>
        </w:rPr>
      </w:pPr>
      <w:r>
        <w:rPr>
          <w:rFonts w:cs="Calibri"/>
          <w:sz w:val="22"/>
          <w:szCs w:val="22"/>
        </w:rPr>
        <w:t>As a natural continuation of ongoing research, the article contains five highly relevant references to Blain’s previous work, strengthening her arguments and supporting the theoretical framework. Notably, most of the sources were recent</w:t>
      </w:r>
      <w:r w:rsidR="00D21726">
        <w:rPr>
          <w:rFonts w:cs="Calibri"/>
          <w:sz w:val="22"/>
          <w:szCs w:val="22"/>
        </w:rPr>
        <w:t xml:space="preserve">, </w:t>
      </w:r>
      <w:r>
        <w:rPr>
          <w:rFonts w:cs="Calibri"/>
          <w:sz w:val="22"/>
          <w:szCs w:val="22"/>
        </w:rPr>
        <w:t xml:space="preserve">reflecting the author’s focus on contemporary scholarship. This ensures that theory is grounded in modern academic discourse, making the study relevant for understanding current trends in </w:t>
      </w:r>
      <w:proofErr w:type="spellStart"/>
      <w:r>
        <w:rPr>
          <w:rFonts w:cs="Calibri"/>
          <w:i/>
          <w:iCs/>
          <w:sz w:val="22"/>
          <w:szCs w:val="22"/>
        </w:rPr>
        <w:t>seidr</w:t>
      </w:r>
      <w:proofErr w:type="spellEnd"/>
      <w:r>
        <w:rPr>
          <w:rFonts w:cs="Calibri"/>
          <w:sz w:val="22"/>
          <w:szCs w:val="22"/>
        </w:rPr>
        <w:t>. While most sources focus on shamanist practices and ethnography, a 1984 article about psychology introduces an interdisciplinary perspective that enhances the understanding of altered states of consciousness in ritualistic contexts, thus enriching the study's theoretical framework.</w:t>
      </w:r>
    </w:p>
    <w:p w:rsidR="00EE4C67" w:rsidRDefault="00EE4C67" w:rsidP="00EE4C67">
      <w:pPr>
        <w:pStyle w:val="NoSpacing"/>
        <w:rPr>
          <w:rFonts w:cs="Calibri"/>
          <w:sz w:val="22"/>
          <w:szCs w:val="22"/>
        </w:rPr>
      </w:pPr>
    </w:p>
    <w:p w:rsidR="00EE4C67" w:rsidRDefault="00EE4C67" w:rsidP="00EE4C67">
      <w:pPr>
        <w:pStyle w:val="NoSpacing"/>
        <w:rPr>
          <w:rFonts w:cs="Calibri"/>
          <w:sz w:val="22"/>
          <w:szCs w:val="22"/>
        </w:rPr>
      </w:pPr>
      <w:r>
        <w:rPr>
          <w:rFonts w:cs="Calibri"/>
          <w:b/>
          <w:bCs/>
          <w:sz w:val="22"/>
          <w:szCs w:val="22"/>
        </w:rPr>
        <w:t>Conclusion</w:t>
      </w:r>
    </w:p>
    <w:p w:rsidR="00EE4C67" w:rsidRDefault="00EE4C67" w:rsidP="00EE4C67">
      <w:pPr>
        <w:rPr>
          <w:rFonts w:ascii="Calibri" w:hAnsi="Calibri" w:cs="Calibri"/>
          <w:sz w:val="22"/>
          <w:szCs w:val="22"/>
        </w:rPr>
      </w:pPr>
      <w:r>
        <w:rPr>
          <w:rFonts w:ascii="Calibri" w:hAnsi="Calibri" w:cs="Calibri"/>
          <w:sz w:val="22"/>
          <w:szCs w:val="22"/>
        </w:rPr>
        <w:t xml:space="preserve">In conclusion, both papers present ethnographic research, with the authors occupying insider and outsider positions while adhering to ethical considerations. However, their methodologies differ, reflecting the distinct philosophies and cultural contexts of each study. Bennett employed complementary methodologies, combining quantitative and qualitative approaches, to provide a valuable contribution to understanding belief systems in folklore and knowledge of the future. Similarly, Blaine opted for a mixture of methods yet approached them from a phenomenological and experiential perspective to explore individual experiences, offering comprehensive psychological insight into shamanistic rituals. Although both papers explored spiritual experiences, such as visionary practices, foretelling or heightened states of awareness, they did so within contrasting social and spiritual realms. Bennett’s research focused on everyday community life, whereas Blain’s work delved into esoteric rituals and the spirit world. Despite differences in how ethnography was applied, both articles exhibit strong structural coherence, </w:t>
      </w:r>
      <w:r>
        <w:rPr>
          <w:rFonts w:ascii="Calibri" w:hAnsi="Calibri" w:cs="Calibri"/>
          <w:sz w:val="22"/>
          <w:szCs w:val="22"/>
        </w:rPr>
        <w:lastRenderedPageBreak/>
        <w:t>with a clear link between sections and a rational academic flow. With no conclusion but featuring a circular structure, Blain's study subtly implies that research should be seen as an ongoing process. Similarly, with its robust conclusion, Bennett's work paves the way for future research, opening avenues for comparative studies. This organisational framework aligns with their distinct methodologies: Bennett favoured an organised progression from historical traditions to contemporary social context, and Blain adopted a more narrative-driven style, gradually immersing the reader into her ethnographic exploration. From this perspective</w:t>
      </w:r>
      <w:r>
        <w:rPr>
          <w:rFonts w:ascii="Calibri" w:hAnsi="Calibri" w:cs="Calibri"/>
          <w:i/>
          <w:iCs/>
          <w:sz w:val="22"/>
          <w:szCs w:val="22"/>
        </w:rPr>
        <w:t xml:space="preserve">, Speaking </w:t>
      </w:r>
      <w:proofErr w:type="spellStart"/>
      <w:r>
        <w:rPr>
          <w:rFonts w:ascii="Calibri" w:hAnsi="Calibri" w:cs="Calibri"/>
          <w:i/>
          <w:iCs/>
          <w:sz w:val="22"/>
          <w:szCs w:val="22"/>
        </w:rPr>
        <w:t>Shamanistically</w:t>
      </w:r>
      <w:proofErr w:type="spellEnd"/>
      <w:r>
        <w:rPr>
          <w:rFonts w:ascii="Calibri" w:hAnsi="Calibri" w:cs="Calibri"/>
          <w:sz w:val="22"/>
          <w:szCs w:val="22"/>
        </w:rPr>
        <w:t xml:space="preserve"> shares similarities with performative and reflexive anthropology, about whom Turner asserted that </w:t>
      </w:r>
      <w:r>
        <w:rPr>
          <w:rFonts w:ascii="Calibri" w:hAnsi="Calibri" w:cs="Calibri"/>
          <w:color w:val="000000"/>
          <w:sz w:val="22"/>
          <w:szCs w:val="22"/>
        </w:rPr>
        <w:t>‘To perform ethnography, then, is to bring the data home to us in their fullness, in the plenitude of their action-meaning.’</w:t>
      </w:r>
      <w:r>
        <w:rPr>
          <w:rStyle w:val="FootnoteReference"/>
          <w:rFonts w:ascii="Calibri" w:hAnsi="Calibri" w:cs="Calibri"/>
          <w:color w:val="000000"/>
          <w:sz w:val="22"/>
          <w:szCs w:val="22"/>
        </w:rPr>
        <w:footnoteReference w:id="32"/>
      </w:r>
    </w:p>
    <w:p w:rsidR="008D12F1" w:rsidRDefault="008D12F1" w:rsidP="00421DB5">
      <w:pPr>
        <w:rPr>
          <w:rFonts w:ascii="Calibri" w:hAnsi="Calibri" w:cs="Calibri"/>
          <w:sz w:val="22"/>
          <w:szCs w:val="22"/>
        </w:rPr>
      </w:pPr>
    </w:p>
    <w:p w:rsidR="00421DB5" w:rsidRDefault="00421DB5" w:rsidP="00421DB5">
      <w:pPr>
        <w:rPr>
          <w:rFonts w:ascii="Calibri" w:hAnsi="Calibri" w:cs="Calibri"/>
          <w:sz w:val="22"/>
          <w:szCs w:val="22"/>
        </w:rPr>
      </w:pPr>
      <w:r>
        <w:rPr>
          <w:rFonts w:ascii="Calibri" w:hAnsi="Calibri" w:cs="Calibri"/>
          <w:sz w:val="22"/>
          <w:szCs w:val="22"/>
        </w:rPr>
        <w:t>Bibliography</w:t>
      </w:r>
    </w:p>
    <w:p w:rsidR="00421DB5" w:rsidRDefault="00421DB5" w:rsidP="00421DB5">
      <w:pPr>
        <w:rPr>
          <w:rFonts w:ascii="Calibri" w:hAnsi="Calibri" w:cs="Calibri"/>
          <w:sz w:val="22"/>
          <w:szCs w:val="22"/>
        </w:rPr>
      </w:pPr>
    </w:p>
    <w:p w:rsidR="00421DB5" w:rsidRDefault="00421DB5" w:rsidP="00421DB5">
      <w:pPr>
        <w:rPr>
          <w:rFonts w:ascii="Calibri" w:hAnsi="Calibri" w:cs="Calibri"/>
          <w:color w:val="000000"/>
          <w:sz w:val="22"/>
          <w:szCs w:val="22"/>
        </w:rPr>
      </w:pPr>
      <w:r>
        <w:rPr>
          <w:rFonts w:ascii="Calibri" w:hAnsi="Calibri" w:cs="Calibri"/>
          <w:color w:val="000000"/>
          <w:sz w:val="22"/>
          <w:szCs w:val="22"/>
        </w:rPr>
        <w:t xml:space="preserve">Bennett, G. (1995). “If I Knew You Were Coming, I’d Have Baked a Cake”: The Folklore of Foreknowledge in a </w:t>
      </w:r>
      <w:proofErr w:type="spellStart"/>
      <w:r>
        <w:rPr>
          <w:rFonts w:ascii="Calibri" w:hAnsi="Calibri" w:cs="Calibri"/>
          <w:color w:val="000000"/>
          <w:sz w:val="22"/>
          <w:szCs w:val="22"/>
        </w:rPr>
        <w:t>Neighborhood</w:t>
      </w:r>
      <w:proofErr w:type="spellEnd"/>
      <w:r>
        <w:rPr>
          <w:rFonts w:ascii="Calibri" w:hAnsi="Calibri" w:cs="Calibri"/>
          <w:color w:val="000000"/>
          <w:sz w:val="22"/>
          <w:szCs w:val="22"/>
        </w:rPr>
        <w:t xml:space="preserve"> Group. In B. Walker (Ed.), </w:t>
      </w:r>
      <w:r>
        <w:rPr>
          <w:rFonts w:ascii="Calibri" w:hAnsi="Calibri" w:cs="Calibri"/>
          <w:i/>
          <w:iCs/>
          <w:color w:val="000000"/>
          <w:sz w:val="22"/>
          <w:szCs w:val="22"/>
        </w:rPr>
        <w:t xml:space="preserve">Out </w:t>
      </w:r>
      <w:proofErr w:type="gramStart"/>
      <w:r>
        <w:rPr>
          <w:rFonts w:ascii="Calibri" w:hAnsi="Calibri" w:cs="Calibri"/>
          <w:i/>
          <w:iCs/>
          <w:color w:val="000000"/>
          <w:sz w:val="22"/>
          <w:szCs w:val="22"/>
        </w:rPr>
        <w:t>Of</w:t>
      </w:r>
      <w:proofErr w:type="gramEnd"/>
      <w:r>
        <w:rPr>
          <w:rFonts w:ascii="Calibri" w:hAnsi="Calibri" w:cs="Calibri"/>
          <w:i/>
          <w:iCs/>
          <w:color w:val="000000"/>
          <w:sz w:val="22"/>
          <w:szCs w:val="22"/>
        </w:rPr>
        <w:t xml:space="preserve"> The Ordinary: Folklore and the Supernatural</w:t>
      </w:r>
      <w:r>
        <w:rPr>
          <w:rFonts w:ascii="Calibri" w:hAnsi="Calibri" w:cs="Calibri"/>
          <w:color w:val="000000"/>
          <w:sz w:val="22"/>
          <w:szCs w:val="22"/>
        </w:rPr>
        <w:t xml:space="preserve"> (pp. 122–142). University Press of Colorado. </w:t>
      </w:r>
      <w:hyperlink r:id="rId9" w:history="1">
        <w:r>
          <w:rPr>
            <w:rStyle w:val="Hyperlink"/>
            <w:rFonts w:ascii="Calibri" w:hAnsi="Calibri" w:cs="Calibri"/>
            <w:sz w:val="22"/>
            <w:szCs w:val="22"/>
          </w:rPr>
          <w:t>https://doi.org/10.2307/j.ctt46nwn8.13</w:t>
        </w:r>
      </w:hyperlink>
    </w:p>
    <w:p w:rsidR="00421DB5" w:rsidRDefault="00421DB5" w:rsidP="00421DB5">
      <w:pPr>
        <w:pStyle w:val="FootnoteText"/>
        <w:rPr>
          <w:rFonts w:cs="Calibri"/>
          <w:sz w:val="22"/>
          <w:szCs w:val="22"/>
        </w:rPr>
      </w:pPr>
    </w:p>
    <w:p w:rsidR="00421DB5" w:rsidRDefault="00421DB5" w:rsidP="00421DB5">
      <w:pPr>
        <w:pStyle w:val="FootnoteText"/>
        <w:rPr>
          <w:rFonts w:eastAsia="Times New Roman" w:cs="Calibri"/>
          <w:color w:val="0563C1"/>
          <w:kern w:val="0"/>
          <w:sz w:val="22"/>
          <w:szCs w:val="22"/>
          <w:u w:val="single"/>
          <w:lang w:eastAsia="en-GB"/>
        </w:rPr>
      </w:pPr>
      <w:r>
        <w:rPr>
          <w:rFonts w:cs="Calibri"/>
          <w:sz w:val="22"/>
          <w:szCs w:val="22"/>
        </w:rPr>
        <w:t xml:space="preserve">Blain, Jenny, Speaking </w:t>
      </w:r>
      <w:proofErr w:type="spellStart"/>
      <w:r>
        <w:rPr>
          <w:rFonts w:cs="Calibri"/>
          <w:sz w:val="22"/>
          <w:szCs w:val="22"/>
        </w:rPr>
        <w:t>Shamanistically</w:t>
      </w:r>
      <w:proofErr w:type="spellEnd"/>
      <w:r>
        <w:rPr>
          <w:rFonts w:cs="Calibri"/>
          <w:sz w:val="22"/>
          <w:szCs w:val="22"/>
        </w:rPr>
        <w:t xml:space="preserve">: </w:t>
      </w:r>
      <w:proofErr w:type="spellStart"/>
      <w:r>
        <w:rPr>
          <w:rFonts w:cs="Calibri"/>
          <w:sz w:val="22"/>
          <w:szCs w:val="22"/>
        </w:rPr>
        <w:t>Seidr</w:t>
      </w:r>
      <w:proofErr w:type="spellEnd"/>
      <w:r>
        <w:rPr>
          <w:rFonts w:cs="Calibri"/>
          <w:sz w:val="22"/>
          <w:szCs w:val="22"/>
        </w:rPr>
        <w:t>, Academia, and Rationality,</w:t>
      </w:r>
      <w:r>
        <w:rPr>
          <w:rFonts w:cs="Calibri"/>
          <w:color w:val="000000"/>
          <w:kern w:val="0"/>
          <w:sz w:val="22"/>
          <w:szCs w:val="22"/>
        </w:rPr>
        <w:t xml:space="preserve"> </w:t>
      </w:r>
      <w:r>
        <w:rPr>
          <w:rFonts w:eastAsia="Times New Roman" w:cs="Calibri"/>
          <w:color w:val="000000"/>
          <w:kern w:val="0"/>
          <w:sz w:val="22"/>
          <w:szCs w:val="22"/>
          <w:lang w:eastAsia="en-GB"/>
        </w:rPr>
        <w:t xml:space="preserve">DISKUS Volume 6 (2000), </w:t>
      </w:r>
      <w:hyperlink r:id="rId10" w:history="1">
        <w:r>
          <w:rPr>
            <w:rStyle w:val="Hyperlink"/>
            <w:rFonts w:eastAsia="Times New Roman" w:cs="Calibri"/>
            <w:kern w:val="0"/>
            <w:sz w:val="22"/>
            <w:szCs w:val="22"/>
            <w:lang w:eastAsia="en-GB"/>
          </w:rPr>
          <w:t>http://www.unimarburg.de/fb03/religionswissenschaft/journal/</w:t>
        </w:r>
      </w:hyperlink>
    </w:p>
    <w:p w:rsidR="00421DB5" w:rsidRDefault="00421DB5" w:rsidP="00421DB5">
      <w:pPr>
        <w:rPr>
          <w:rFonts w:ascii="Calibri" w:hAnsi="Calibri" w:cs="Calibri"/>
          <w:sz w:val="22"/>
          <w:szCs w:val="22"/>
        </w:rPr>
      </w:pPr>
    </w:p>
    <w:p w:rsidR="00421DB5" w:rsidRDefault="00421DB5" w:rsidP="00421DB5">
      <w:pPr>
        <w:rPr>
          <w:rFonts w:ascii="Calibri" w:hAnsi="Calibri" w:cs="Calibri"/>
          <w:color w:val="000000"/>
          <w:sz w:val="22"/>
          <w:szCs w:val="22"/>
        </w:rPr>
      </w:pPr>
      <w:r>
        <w:rPr>
          <w:rFonts w:ascii="Calibri" w:hAnsi="Calibri" w:cs="Calibri"/>
          <w:color w:val="000000"/>
          <w:sz w:val="22"/>
          <w:szCs w:val="22"/>
        </w:rPr>
        <w:t xml:space="preserve">Blain, J., &amp; Wallis, R. J. (2006). Ritual Reflections, Practitioner Meanings: Disputing </w:t>
      </w:r>
      <w:proofErr w:type="gramStart"/>
      <w:r>
        <w:rPr>
          <w:rFonts w:ascii="Calibri" w:hAnsi="Calibri" w:cs="Calibri"/>
          <w:color w:val="000000"/>
          <w:sz w:val="22"/>
          <w:szCs w:val="22"/>
        </w:rPr>
        <w:t>The</w:t>
      </w:r>
      <w:proofErr w:type="gramEnd"/>
      <w:r>
        <w:rPr>
          <w:rFonts w:ascii="Calibri" w:hAnsi="Calibri" w:cs="Calibri"/>
          <w:color w:val="000000"/>
          <w:sz w:val="22"/>
          <w:szCs w:val="22"/>
        </w:rPr>
        <w:t xml:space="preserve"> Terminology Of Neo-Shamanic “Performance.” </w:t>
      </w:r>
      <w:r>
        <w:rPr>
          <w:rFonts w:ascii="Calibri" w:hAnsi="Calibri" w:cs="Calibri"/>
          <w:i/>
          <w:iCs/>
          <w:color w:val="000000"/>
          <w:sz w:val="22"/>
          <w:szCs w:val="22"/>
        </w:rPr>
        <w:t>Journal of Ritual Studies</w:t>
      </w:r>
      <w:r>
        <w:rPr>
          <w:rFonts w:ascii="Calibri" w:hAnsi="Calibri" w:cs="Calibri"/>
          <w:color w:val="000000"/>
          <w:sz w:val="22"/>
          <w:szCs w:val="22"/>
        </w:rPr>
        <w:t>, </w:t>
      </w:r>
      <w:r>
        <w:rPr>
          <w:rFonts w:ascii="Calibri" w:hAnsi="Calibri" w:cs="Calibri"/>
          <w:i/>
          <w:iCs/>
          <w:color w:val="000000"/>
          <w:sz w:val="22"/>
          <w:szCs w:val="22"/>
        </w:rPr>
        <w:t>20</w:t>
      </w:r>
      <w:r>
        <w:rPr>
          <w:rFonts w:ascii="Calibri" w:hAnsi="Calibri" w:cs="Calibri"/>
          <w:color w:val="000000"/>
          <w:sz w:val="22"/>
          <w:szCs w:val="22"/>
        </w:rPr>
        <w:t xml:space="preserve">(1), 21–36, </w:t>
      </w:r>
      <w:hyperlink r:id="rId11" w:history="1">
        <w:r>
          <w:rPr>
            <w:rStyle w:val="Hyperlink"/>
            <w:rFonts w:ascii="Calibri" w:hAnsi="Calibri" w:cs="Calibri"/>
            <w:sz w:val="22"/>
            <w:szCs w:val="22"/>
          </w:rPr>
          <w:t>http://www.jstor.org/stable/44368751</w:t>
        </w:r>
      </w:hyperlink>
    </w:p>
    <w:p w:rsidR="00421DB5" w:rsidRDefault="00421DB5" w:rsidP="00421DB5">
      <w:pPr>
        <w:rPr>
          <w:rFonts w:ascii="Calibri" w:hAnsi="Calibri" w:cs="Calibri"/>
          <w:sz w:val="22"/>
          <w:szCs w:val="22"/>
        </w:rPr>
      </w:pPr>
    </w:p>
    <w:p w:rsidR="00421DB5" w:rsidRDefault="00421DB5" w:rsidP="00421DB5">
      <w:pPr>
        <w:pStyle w:val="FootnoteText"/>
        <w:rPr>
          <w:rFonts w:cs="Calibri"/>
          <w:sz w:val="22"/>
          <w:szCs w:val="22"/>
        </w:rPr>
      </w:pPr>
      <w:r>
        <w:rPr>
          <w:rFonts w:cs="Calibri"/>
          <w:color w:val="333333"/>
          <w:sz w:val="22"/>
          <w:szCs w:val="22"/>
          <w:shd w:val="clear" w:color="auto" w:fill="FFFFFF"/>
        </w:rPr>
        <w:t>Bowman, M. (2024). Gillian Clayton Bennett (née Lawley), 1939–2023.</w:t>
      </w:r>
      <w:r>
        <w:rPr>
          <w:rStyle w:val="apple-converted-space"/>
          <w:rFonts w:cs="Calibri"/>
          <w:color w:val="333333"/>
          <w:sz w:val="22"/>
          <w:szCs w:val="22"/>
          <w:shd w:val="clear" w:color="auto" w:fill="FFFFFF"/>
        </w:rPr>
        <w:t> </w:t>
      </w:r>
      <w:r>
        <w:rPr>
          <w:rFonts w:cs="Calibri"/>
          <w:i/>
          <w:iCs/>
          <w:color w:val="333333"/>
          <w:sz w:val="22"/>
          <w:szCs w:val="22"/>
        </w:rPr>
        <w:t>Folklore</w:t>
      </w:r>
      <w:r>
        <w:rPr>
          <w:rFonts w:cs="Calibri"/>
          <w:color w:val="333333"/>
          <w:sz w:val="22"/>
          <w:szCs w:val="22"/>
          <w:shd w:val="clear" w:color="auto" w:fill="FFFFFF"/>
        </w:rPr>
        <w:t>,</w:t>
      </w:r>
      <w:r>
        <w:rPr>
          <w:rStyle w:val="apple-converted-space"/>
          <w:rFonts w:cs="Calibri"/>
          <w:color w:val="333333"/>
          <w:sz w:val="22"/>
          <w:szCs w:val="22"/>
          <w:shd w:val="clear" w:color="auto" w:fill="FFFFFF"/>
        </w:rPr>
        <w:t> </w:t>
      </w:r>
      <w:r>
        <w:rPr>
          <w:rFonts w:cs="Calibri"/>
          <w:i/>
          <w:iCs/>
          <w:color w:val="333333"/>
          <w:sz w:val="22"/>
          <w:szCs w:val="22"/>
        </w:rPr>
        <w:t>135</w:t>
      </w:r>
      <w:r>
        <w:rPr>
          <w:rFonts w:cs="Calibri"/>
          <w:color w:val="333333"/>
          <w:sz w:val="22"/>
          <w:szCs w:val="22"/>
          <w:shd w:val="clear" w:color="auto" w:fill="FFFFFF"/>
        </w:rPr>
        <w:t xml:space="preserve">(4), 657–660. </w:t>
      </w:r>
      <w:hyperlink r:id="rId12" w:history="1">
        <w:r>
          <w:rPr>
            <w:rStyle w:val="Hyperlink"/>
            <w:rFonts w:cs="Calibri"/>
            <w:sz w:val="22"/>
            <w:szCs w:val="22"/>
            <w:shd w:val="clear" w:color="auto" w:fill="FFFFFF"/>
          </w:rPr>
          <w:t>https://doi.org/10.1080/0015587X.2024.2401266</w:t>
        </w:r>
      </w:hyperlink>
      <w:r>
        <w:rPr>
          <w:rFonts w:cs="Calibri"/>
          <w:color w:val="333333"/>
          <w:sz w:val="22"/>
          <w:szCs w:val="22"/>
          <w:shd w:val="clear" w:color="auto" w:fill="FFFFFF"/>
        </w:rPr>
        <w:t xml:space="preserve"> [Accessed on 27th February 2025].</w:t>
      </w:r>
    </w:p>
    <w:p w:rsidR="00421DB5" w:rsidRDefault="00421DB5" w:rsidP="00421DB5">
      <w:pPr>
        <w:rPr>
          <w:rFonts w:ascii="Calibri" w:hAnsi="Calibri" w:cs="Calibri"/>
          <w:sz w:val="22"/>
          <w:szCs w:val="22"/>
        </w:rPr>
      </w:pPr>
    </w:p>
    <w:p w:rsidR="00421DB5" w:rsidRDefault="00421DB5" w:rsidP="00421DB5">
      <w:pPr>
        <w:pStyle w:val="FootnoteText"/>
        <w:rPr>
          <w:rFonts w:cs="Calibri"/>
          <w:sz w:val="22"/>
          <w:szCs w:val="22"/>
        </w:rPr>
      </w:pPr>
      <w:proofErr w:type="spellStart"/>
      <w:r>
        <w:rPr>
          <w:rFonts w:cs="Calibri"/>
          <w:sz w:val="22"/>
          <w:szCs w:val="22"/>
        </w:rPr>
        <w:t>Braud</w:t>
      </w:r>
      <w:proofErr w:type="spellEnd"/>
      <w:r>
        <w:rPr>
          <w:rFonts w:cs="Calibri"/>
          <w:sz w:val="22"/>
          <w:szCs w:val="22"/>
        </w:rPr>
        <w:t>, William and Anderson, Rosemarie</w:t>
      </w:r>
      <w:r w:rsidR="00D21726">
        <w:rPr>
          <w:rFonts w:cs="Calibri"/>
          <w:sz w:val="22"/>
          <w:szCs w:val="22"/>
        </w:rPr>
        <w:t>,</w:t>
      </w:r>
      <w:r>
        <w:rPr>
          <w:rFonts w:cs="Calibri"/>
          <w:sz w:val="22"/>
          <w:szCs w:val="22"/>
        </w:rPr>
        <w:t xml:space="preserve"> Transpersonal Research Methods for the Social Sciences, </w:t>
      </w:r>
      <w:proofErr w:type="spellStart"/>
      <w:r>
        <w:rPr>
          <w:rFonts w:cs="Calibri"/>
          <w:sz w:val="22"/>
          <w:szCs w:val="22"/>
        </w:rPr>
        <w:t>Honoring</w:t>
      </w:r>
      <w:proofErr w:type="spellEnd"/>
      <w:r>
        <w:rPr>
          <w:rFonts w:cs="Calibri"/>
          <w:sz w:val="22"/>
          <w:szCs w:val="22"/>
        </w:rPr>
        <w:t xml:space="preserve"> Human Experience, Sage Publications, 1998.</w:t>
      </w:r>
    </w:p>
    <w:p w:rsidR="00421DB5" w:rsidRDefault="00421DB5" w:rsidP="00421DB5">
      <w:pPr>
        <w:pStyle w:val="FootnoteText"/>
        <w:rPr>
          <w:rFonts w:cs="Calibri"/>
          <w:sz w:val="22"/>
          <w:szCs w:val="22"/>
        </w:rPr>
      </w:pPr>
    </w:p>
    <w:p w:rsidR="00421DB5" w:rsidRDefault="00421DB5" w:rsidP="00421DB5">
      <w:pPr>
        <w:pStyle w:val="NoSpacing"/>
        <w:rPr>
          <w:rFonts w:cs="Calibri"/>
          <w:color w:val="000000"/>
          <w:sz w:val="22"/>
          <w:szCs w:val="22"/>
        </w:rPr>
      </w:pPr>
      <w:r>
        <w:rPr>
          <w:rFonts w:cs="Calibri"/>
          <w:color w:val="000000"/>
          <w:sz w:val="22"/>
          <w:szCs w:val="22"/>
        </w:rPr>
        <w:t xml:space="preserve">Bryman, Alan, </w:t>
      </w:r>
      <w:r>
        <w:rPr>
          <w:rFonts w:cs="Calibri"/>
          <w:i/>
          <w:iCs/>
          <w:color w:val="000000"/>
          <w:sz w:val="22"/>
          <w:szCs w:val="22"/>
        </w:rPr>
        <w:t>Quantity and Quality in Social Research</w:t>
      </w:r>
      <w:r>
        <w:rPr>
          <w:rFonts w:cs="Calibri"/>
          <w:color w:val="000000"/>
          <w:sz w:val="22"/>
          <w:szCs w:val="22"/>
        </w:rPr>
        <w:t>. London: Routledge. (1988)</w:t>
      </w:r>
      <w:r>
        <w:rPr>
          <w:rStyle w:val="apple-converted-space"/>
          <w:rFonts w:cs="Calibri"/>
          <w:color w:val="000000"/>
          <w:sz w:val="22"/>
          <w:szCs w:val="22"/>
        </w:rPr>
        <w:t xml:space="preserve">, </w:t>
      </w:r>
      <w:r>
        <w:rPr>
          <w:rFonts w:cs="Calibri"/>
          <w:color w:val="000000"/>
          <w:sz w:val="22"/>
          <w:szCs w:val="22"/>
        </w:rPr>
        <w:t>Available at: https://research-ebsco-com.ezproxy.uwtsd.ac.uk/linkprocessor/plink?id=21e8bdbd-af65-3351-a58d-8184dca647a1, p.66, [Accessed: 19 February 2025].</w:t>
      </w:r>
    </w:p>
    <w:p w:rsidR="00421DB5" w:rsidRDefault="00421DB5" w:rsidP="00421DB5">
      <w:pPr>
        <w:pStyle w:val="NoSpacing"/>
        <w:rPr>
          <w:rFonts w:cs="Calibri"/>
          <w:color w:val="000000"/>
          <w:sz w:val="22"/>
          <w:szCs w:val="22"/>
        </w:rPr>
      </w:pPr>
    </w:p>
    <w:p w:rsidR="00421DB5" w:rsidRDefault="00421DB5" w:rsidP="00421DB5">
      <w:pPr>
        <w:pStyle w:val="FootnoteText"/>
        <w:rPr>
          <w:rStyle w:val="Hyperlink"/>
          <w:rFonts w:cs="Calibri"/>
          <w:sz w:val="22"/>
          <w:szCs w:val="22"/>
          <w:shd w:val="clear" w:color="auto" w:fill="FAF9F7"/>
        </w:rPr>
      </w:pPr>
      <w:r>
        <w:rPr>
          <w:rFonts w:cs="Calibri"/>
          <w:sz w:val="22"/>
          <w:szCs w:val="22"/>
        </w:rPr>
        <w:t xml:space="preserve">Deseret Magazine,1996, </w:t>
      </w:r>
      <w:r>
        <w:rPr>
          <w:rStyle w:val="Hyperlink"/>
          <w:rFonts w:cs="Calibri"/>
          <w:sz w:val="22"/>
          <w:szCs w:val="22"/>
          <w:shd w:val="clear" w:color="auto" w:fill="FAF9F7"/>
        </w:rPr>
        <w:t>[Accessed 20</w:t>
      </w:r>
      <w:r>
        <w:rPr>
          <w:rStyle w:val="Hyperlink"/>
          <w:rFonts w:cs="Calibri"/>
          <w:sz w:val="22"/>
          <w:szCs w:val="22"/>
          <w:shd w:val="clear" w:color="auto" w:fill="FAF9F7"/>
          <w:vertAlign w:val="superscript"/>
        </w:rPr>
        <w:t>th</w:t>
      </w:r>
      <w:r>
        <w:rPr>
          <w:rStyle w:val="Hyperlink"/>
          <w:rFonts w:cs="Calibri"/>
          <w:sz w:val="22"/>
          <w:szCs w:val="22"/>
          <w:shd w:val="clear" w:color="auto" w:fill="FAF9F7"/>
        </w:rPr>
        <w:t xml:space="preserve"> February 2025].</w:t>
      </w:r>
    </w:p>
    <w:p w:rsidR="00421DB5" w:rsidRDefault="00421DB5" w:rsidP="00421DB5">
      <w:pPr>
        <w:pStyle w:val="FootnoteText"/>
        <w:rPr>
          <w:rStyle w:val="Hyperlink"/>
          <w:rFonts w:cs="Calibri"/>
          <w:sz w:val="22"/>
          <w:szCs w:val="22"/>
          <w:shd w:val="clear" w:color="auto" w:fill="FAF9F7"/>
        </w:rPr>
      </w:pPr>
      <w:r>
        <w:rPr>
          <w:rFonts w:cs="Calibri"/>
          <w:sz w:val="22"/>
          <w:szCs w:val="22"/>
        </w:rPr>
        <w:t xml:space="preserve"> </w:t>
      </w:r>
      <w:hyperlink r:id="rId13" w:history="1">
        <w:r>
          <w:rPr>
            <w:rStyle w:val="Hyperlink"/>
            <w:rFonts w:cs="Calibri"/>
            <w:sz w:val="22"/>
            <w:szCs w:val="22"/>
            <w:shd w:val="clear" w:color="auto" w:fill="FAF9F7"/>
          </w:rPr>
          <w:t>https://www.deseret.com/1996/3/29/19233597/if-you-ve-had-a-feeling-about-omens-read-on/</w:t>
        </w:r>
      </w:hyperlink>
      <w:r>
        <w:rPr>
          <w:rStyle w:val="Hyperlink"/>
          <w:rFonts w:cs="Calibri"/>
          <w:sz w:val="22"/>
          <w:szCs w:val="22"/>
          <w:shd w:val="clear" w:color="auto" w:fill="FAF9F7"/>
        </w:rPr>
        <w:t xml:space="preserve"> </w:t>
      </w:r>
    </w:p>
    <w:p w:rsidR="00421DB5" w:rsidRDefault="00421DB5" w:rsidP="00421DB5">
      <w:pPr>
        <w:pStyle w:val="FootnoteText"/>
        <w:rPr>
          <w:rFonts w:cs="Calibri"/>
          <w:sz w:val="22"/>
          <w:szCs w:val="22"/>
        </w:rPr>
      </w:pPr>
    </w:p>
    <w:p w:rsidR="00421DB5" w:rsidRDefault="00421DB5" w:rsidP="00421DB5">
      <w:pPr>
        <w:pStyle w:val="FootnoteText"/>
        <w:rPr>
          <w:rFonts w:cs="Calibri"/>
          <w:sz w:val="22"/>
          <w:szCs w:val="22"/>
        </w:rPr>
      </w:pPr>
      <w:proofErr w:type="spellStart"/>
      <w:r>
        <w:rPr>
          <w:rFonts w:cs="Calibri"/>
          <w:sz w:val="22"/>
          <w:szCs w:val="22"/>
        </w:rPr>
        <w:t>Hennink</w:t>
      </w:r>
      <w:proofErr w:type="spellEnd"/>
      <w:r>
        <w:rPr>
          <w:rFonts w:cs="Calibri"/>
          <w:sz w:val="22"/>
          <w:szCs w:val="22"/>
        </w:rPr>
        <w:t>, Monique and others, Qualitative Research Methods, SE, Sage Publications, 2020, p.497.</w:t>
      </w:r>
    </w:p>
    <w:p w:rsidR="00421DB5" w:rsidRDefault="00421DB5" w:rsidP="00421DB5">
      <w:pPr>
        <w:pStyle w:val="NoSpacing"/>
        <w:rPr>
          <w:rFonts w:cs="Calibri"/>
          <w:sz w:val="22"/>
          <w:szCs w:val="22"/>
        </w:rPr>
      </w:pPr>
    </w:p>
    <w:p w:rsidR="00421DB5" w:rsidRDefault="00421DB5" w:rsidP="00421DB5">
      <w:pPr>
        <w:rPr>
          <w:rFonts w:ascii="Calibri" w:hAnsi="Calibri" w:cs="Calibri"/>
          <w:color w:val="000000"/>
          <w:sz w:val="22"/>
          <w:szCs w:val="22"/>
        </w:rPr>
      </w:pPr>
      <w:proofErr w:type="spellStart"/>
      <w:r>
        <w:rPr>
          <w:rFonts w:ascii="Calibri" w:hAnsi="Calibri" w:cs="Calibri"/>
          <w:color w:val="000000"/>
          <w:sz w:val="22"/>
          <w:szCs w:val="22"/>
        </w:rPr>
        <w:t>Jick</w:t>
      </w:r>
      <w:proofErr w:type="spellEnd"/>
      <w:r>
        <w:rPr>
          <w:rFonts w:ascii="Calibri" w:hAnsi="Calibri" w:cs="Calibri"/>
          <w:color w:val="000000"/>
          <w:sz w:val="22"/>
          <w:szCs w:val="22"/>
        </w:rPr>
        <w:t xml:space="preserve">, T. D. Mixing Qualitative and Quantitative Methods: Triangulation in Action. (1979), </w:t>
      </w:r>
      <w:r>
        <w:rPr>
          <w:rFonts w:ascii="Calibri" w:hAnsi="Calibri" w:cs="Calibri"/>
          <w:i/>
          <w:iCs/>
          <w:color w:val="000000"/>
          <w:sz w:val="22"/>
          <w:szCs w:val="22"/>
        </w:rPr>
        <w:t>Administrative Science Quarterly</w:t>
      </w:r>
      <w:r>
        <w:rPr>
          <w:rFonts w:ascii="Calibri" w:hAnsi="Calibri" w:cs="Calibri"/>
          <w:color w:val="000000"/>
          <w:sz w:val="22"/>
          <w:szCs w:val="22"/>
        </w:rPr>
        <w:t>, </w:t>
      </w:r>
      <w:r>
        <w:rPr>
          <w:rFonts w:ascii="Calibri" w:hAnsi="Calibri" w:cs="Calibri"/>
          <w:i/>
          <w:iCs/>
          <w:color w:val="000000"/>
          <w:sz w:val="22"/>
          <w:szCs w:val="22"/>
        </w:rPr>
        <w:t>24</w:t>
      </w:r>
      <w:r>
        <w:rPr>
          <w:rFonts w:ascii="Calibri" w:hAnsi="Calibri" w:cs="Calibri"/>
          <w:color w:val="000000"/>
          <w:sz w:val="22"/>
          <w:szCs w:val="22"/>
        </w:rPr>
        <w:t xml:space="preserve">(4), 602–611,  </w:t>
      </w:r>
      <w:hyperlink r:id="rId14" w:history="1">
        <w:r>
          <w:rPr>
            <w:rStyle w:val="Hyperlink"/>
            <w:rFonts w:ascii="Calibri" w:hAnsi="Calibri" w:cs="Calibri"/>
            <w:sz w:val="22"/>
            <w:szCs w:val="22"/>
          </w:rPr>
          <w:t>https://doi.org/10.2307/2392366</w:t>
        </w:r>
      </w:hyperlink>
    </w:p>
    <w:p w:rsidR="00421DB5" w:rsidRDefault="00421DB5" w:rsidP="00421DB5">
      <w:pPr>
        <w:rPr>
          <w:rFonts w:ascii="Calibri" w:hAnsi="Calibri" w:cs="Calibri"/>
          <w:sz w:val="22"/>
          <w:szCs w:val="22"/>
        </w:rPr>
      </w:pPr>
    </w:p>
    <w:p w:rsidR="00421DB5" w:rsidRDefault="00421DB5" w:rsidP="00421DB5">
      <w:pPr>
        <w:rPr>
          <w:rFonts w:ascii="Calibri" w:hAnsi="Calibri" w:cs="Calibri"/>
          <w:color w:val="000000"/>
          <w:sz w:val="22"/>
          <w:szCs w:val="22"/>
        </w:rPr>
      </w:pPr>
      <w:r>
        <w:rPr>
          <w:rFonts w:ascii="Calibri" w:hAnsi="Calibri" w:cs="Calibri"/>
          <w:color w:val="000000"/>
          <w:sz w:val="22"/>
          <w:szCs w:val="22"/>
        </w:rPr>
        <w:t>Martin, M. (1993). Geertz and the Interpretive Approach in Anthropology.</w:t>
      </w:r>
      <w:r>
        <w:rPr>
          <w:rStyle w:val="apple-converted-space"/>
          <w:rFonts w:ascii="Calibri" w:hAnsi="Calibri" w:cs="Calibri"/>
          <w:color w:val="000000"/>
          <w:sz w:val="22"/>
          <w:szCs w:val="22"/>
        </w:rPr>
        <w:t> </w:t>
      </w:r>
      <w:proofErr w:type="spellStart"/>
      <w:r>
        <w:rPr>
          <w:rFonts w:ascii="Calibri" w:hAnsi="Calibri" w:cs="Calibri"/>
          <w:i/>
          <w:iCs/>
          <w:color w:val="000000"/>
          <w:sz w:val="22"/>
          <w:szCs w:val="22"/>
        </w:rPr>
        <w:t>Synthese</w:t>
      </w:r>
      <w:proofErr w:type="spellEnd"/>
      <w:r>
        <w:rPr>
          <w:rFonts w:ascii="Calibri" w:hAnsi="Calibri" w:cs="Calibri"/>
          <w:color w:val="000000"/>
          <w:sz w:val="22"/>
          <w:szCs w:val="22"/>
        </w:rPr>
        <w:t>,</w:t>
      </w:r>
      <w:r>
        <w:rPr>
          <w:rStyle w:val="apple-converted-space"/>
          <w:rFonts w:ascii="Calibri" w:hAnsi="Calibri" w:cs="Calibri"/>
          <w:color w:val="000000"/>
          <w:sz w:val="22"/>
          <w:szCs w:val="22"/>
        </w:rPr>
        <w:t> </w:t>
      </w:r>
      <w:r>
        <w:rPr>
          <w:rFonts w:ascii="Calibri" w:hAnsi="Calibri" w:cs="Calibri"/>
          <w:i/>
          <w:iCs/>
          <w:color w:val="000000"/>
          <w:sz w:val="22"/>
          <w:szCs w:val="22"/>
        </w:rPr>
        <w:t>97</w:t>
      </w:r>
      <w:r>
        <w:rPr>
          <w:rFonts w:ascii="Calibri" w:hAnsi="Calibri" w:cs="Calibri"/>
          <w:color w:val="000000"/>
          <w:sz w:val="22"/>
          <w:szCs w:val="22"/>
        </w:rPr>
        <w:t xml:space="preserve">(2), 269–286, </w:t>
      </w:r>
      <w:hyperlink r:id="rId15" w:history="1">
        <w:r>
          <w:rPr>
            <w:rStyle w:val="Hyperlink"/>
            <w:rFonts w:ascii="Calibri" w:hAnsi="Calibri" w:cs="Calibri"/>
            <w:sz w:val="22"/>
            <w:szCs w:val="22"/>
          </w:rPr>
          <w:t>http://www.jstor.org/stable/20117842</w:t>
        </w:r>
      </w:hyperlink>
      <w:r>
        <w:rPr>
          <w:rFonts w:ascii="Calibri" w:hAnsi="Calibri" w:cs="Calibri"/>
          <w:color w:val="000000"/>
          <w:sz w:val="22"/>
          <w:szCs w:val="22"/>
        </w:rPr>
        <w:t xml:space="preserve">  [Accessed on 9th March2025].</w:t>
      </w:r>
    </w:p>
    <w:p w:rsidR="00421DB5" w:rsidRDefault="00421DB5" w:rsidP="00421DB5">
      <w:pPr>
        <w:rPr>
          <w:rFonts w:ascii="Calibri" w:hAnsi="Calibri" w:cs="Calibri"/>
          <w:color w:val="000000"/>
          <w:sz w:val="22"/>
          <w:szCs w:val="22"/>
        </w:rPr>
      </w:pPr>
    </w:p>
    <w:p w:rsidR="00421DB5" w:rsidRDefault="00421DB5" w:rsidP="00421DB5">
      <w:pPr>
        <w:pStyle w:val="NoSpacing"/>
        <w:rPr>
          <w:rFonts w:cs="Calibri"/>
          <w:sz w:val="22"/>
          <w:szCs w:val="22"/>
        </w:rPr>
      </w:pPr>
      <w:proofErr w:type="spellStart"/>
      <w:r>
        <w:rPr>
          <w:rFonts w:cs="Calibri"/>
          <w:sz w:val="22"/>
          <w:szCs w:val="22"/>
        </w:rPr>
        <w:t>Mascall</w:t>
      </w:r>
      <w:proofErr w:type="spellEnd"/>
      <w:r>
        <w:rPr>
          <w:rFonts w:cs="Calibri"/>
          <w:sz w:val="22"/>
          <w:szCs w:val="22"/>
        </w:rPr>
        <w:t xml:space="preserve">, Joanne, Jenny Blain, a Heathen and Shamanic, is it witchcraft and spells?,  </w:t>
      </w:r>
      <w:hyperlink r:id="rId16" w:history="1">
        <w:r>
          <w:rPr>
            <w:rStyle w:val="Hyperlink"/>
            <w:rFonts w:cs="Calibri"/>
            <w:sz w:val="22"/>
            <w:szCs w:val="22"/>
          </w:rPr>
          <w:t>https://alternativelives.wordpress.com/alternative-lives/jenny-blain-a-heathen-and-shamanic-is-it-witchcraft-and-spells/</w:t>
        </w:r>
      </w:hyperlink>
      <w:r>
        <w:rPr>
          <w:rFonts w:cs="Calibri"/>
          <w:sz w:val="22"/>
          <w:szCs w:val="22"/>
        </w:rPr>
        <w:t xml:space="preserve"> [Accessed on 27</w:t>
      </w:r>
      <w:r>
        <w:rPr>
          <w:rFonts w:cs="Calibri"/>
          <w:sz w:val="22"/>
          <w:szCs w:val="22"/>
          <w:vertAlign w:val="superscript"/>
        </w:rPr>
        <w:t>th</w:t>
      </w:r>
      <w:r>
        <w:rPr>
          <w:rFonts w:cs="Calibri"/>
          <w:sz w:val="22"/>
          <w:szCs w:val="22"/>
        </w:rPr>
        <w:t xml:space="preserve"> February 2025].</w:t>
      </w:r>
    </w:p>
    <w:p w:rsidR="00421DB5" w:rsidRDefault="00421DB5" w:rsidP="00421DB5">
      <w:pPr>
        <w:pStyle w:val="NoSpacing"/>
        <w:rPr>
          <w:rFonts w:cs="Calibri"/>
          <w:sz w:val="22"/>
          <w:szCs w:val="22"/>
        </w:rPr>
      </w:pPr>
    </w:p>
    <w:p w:rsidR="00421DB5" w:rsidRDefault="00421DB5" w:rsidP="00421DB5">
      <w:pPr>
        <w:pStyle w:val="NoSpacing"/>
        <w:rPr>
          <w:rFonts w:cs="Calibri"/>
          <w:b/>
          <w:bCs/>
          <w:sz w:val="22"/>
          <w:szCs w:val="22"/>
        </w:rPr>
      </w:pPr>
      <w:r>
        <w:rPr>
          <w:rFonts w:cs="Calibri"/>
          <w:sz w:val="22"/>
          <w:szCs w:val="22"/>
        </w:rPr>
        <w:t xml:space="preserve">The folklore Society,  </w:t>
      </w:r>
      <w:hyperlink r:id="rId17" w:history="1">
        <w:r>
          <w:rPr>
            <w:rStyle w:val="Hyperlink"/>
            <w:rFonts w:cs="Calibri"/>
            <w:b/>
            <w:bCs/>
            <w:sz w:val="22"/>
            <w:szCs w:val="22"/>
          </w:rPr>
          <w:t>https://folklore-society.com/blog-post/dr-gillian-bennett-1939-2023/</w:t>
        </w:r>
      </w:hyperlink>
      <w:r>
        <w:rPr>
          <w:rStyle w:val="Hyperlink"/>
          <w:rFonts w:cs="Calibri"/>
          <w:b/>
          <w:bCs/>
          <w:sz w:val="22"/>
          <w:szCs w:val="22"/>
        </w:rPr>
        <w:t xml:space="preserve"> </w:t>
      </w:r>
      <w:r>
        <w:rPr>
          <w:rFonts w:cs="Calibri"/>
          <w:i/>
          <w:iCs/>
          <w:color w:val="212529"/>
          <w:sz w:val="22"/>
          <w:szCs w:val="22"/>
        </w:rPr>
        <w:t>posted on 13th December 2023, [Accessed on 27</w:t>
      </w:r>
      <w:r>
        <w:rPr>
          <w:rFonts w:cs="Calibri"/>
          <w:i/>
          <w:iCs/>
          <w:color w:val="212529"/>
          <w:sz w:val="22"/>
          <w:szCs w:val="22"/>
          <w:vertAlign w:val="superscript"/>
        </w:rPr>
        <w:t>th</w:t>
      </w:r>
      <w:r>
        <w:rPr>
          <w:rFonts w:cs="Calibri"/>
          <w:i/>
          <w:iCs/>
          <w:color w:val="212529"/>
          <w:sz w:val="22"/>
          <w:szCs w:val="22"/>
        </w:rPr>
        <w:t xml:space="preserve"> February 2025].</w:t>
      </w:r>
    </w:p>
    <w:p w:rsidR="00421DB5" w:rsidRDefault="00421DB5" w:rsidP="00421DB5">
      <w:pPr>
        <w:pStyle w:val="NoSpacing"/>
        <w:rPr>
          <w:rFonts w:cs="Calibri"/>
          <w:sz w:val="22"/>
          <w:szCs w:val="22"/>
        </w:rPr>
      </w:pPr>
    </w:p>
    <w:p w:rsidR="00421DB5" w:rsidRDefault="00421DB5" w:rsidP="00421DB5">
      <w:pPr>
        <w:rPr>
          <w:rFonts w:ascii="Calibri" w:hAnsi="Calibri" w:cs="Calibri"/>
          <w:color w:val="000000"/>
          <w:sz w:val="22"/>
          <w:szCs w:val="22"/>
        </w:rPr>
      </w:pPr>
      <w:proofErr w:type="spellStart"/>
      <w:r>
        <w:rPr>
          <w:rFonts w:ascii="Calibri" w:hAnsi="Calibri" w:cs="Calibri"/>
          <w:color w:val="000000"/>
          <w:sz w:val="22"/>
          <w:szCs w:val="22"/>
        </w:rPr>
        <w:t>Topolski</w:t>
      </w:r>
      <w:proofErr w:type="spellEnd"/>
      <w:r>
        <w:rPr>
          <w:rFonts w:ascii="Calibri" w:hAnsi="Calibri" w:cs="Calibri"/>
          <w:color w:val="000000"/>
          <w:sz w:val="22"/>
          <w:szCs w:val="22"/>
        </w:rPr>
        <w:t>, J. (1987). Historical Narrative: Towards a Coherent Structure. </w:t>
      </w:r>
      <w:r>
        <w:rPr>
          <w:rFonts w:ascii="Calibri" w:hAnsi="Calibri" w:cs="Calibri"/>
          <w:i/>
          <w:iCs/>
          <w:color w:val="000000"/>
          <w:sz w:val="22"/>
          <w:szCs w:val="22"/>
        </w:rPr>
        <w:t>History and Theory</w:t>
      </w:r>
      <w:r>
        <w:rPr>
          <w:rFonts w:ascii="Calibri" w:hAnsi="Calibri" w:cs="Calibri"/>
          <w:color w:val="000000"/>
          <w:sz w:val="22"/>
          <w:szCs w:val="22"/>
        </w:rPr>
        <w:t>, </w:t>
      </w:r>
      <w:r>
        <w:rPr>
          <w:rFonts w:ascii="Calibri" w:hAnsi="Calibri" w:cs="Calibri"/>
          <w:i/>
          <w:iCs/>
          <w:color w:val="000000"/>
          <w:sz w:val="22"/>
          <w:szCs w:val="22"/>
        </w:rPr>
        <w:t>26</w:t>
      </w:r>
      <w:r>
        <w:rPr>
          <w:rFonts w:ascii="Calibri" w:hAnsi="Calibri" w:cs="Calibri"/>
          <w:color w:val="000000"/>
          <w:sz w:val="22"/>
          <w:szCs w:val="22"/>
        </w:rPr>
        <w:t>(4), 75–86.</w:t>
      </w:r>
    </w:p>
    <w:p w:rsidR="00421DB5" w:rsidRDefault="00000000" w:rsidP="00421DB5">
      <w:pPr>
        <w:rPr>
          <w:rFonts w:ascii="Calibri" w:hAnsi="Calibri" w:cs="Calibri"/>
          <w:color w:val="000000"/>
          <w:sz w:val="22"/>
          <w:szCs w:val="22"/>
        </w:rPr>
      </w:pPr>
      <w:hyperlink r:id="rId18" w:history="1">
        <w:r w:rsidR="00421DB5">
          <w:rPr>
            <w:rStyle w:val="Hyperlink"/>
            <w:rFonts w:ascii="Calibri" w:hAnsi="Calibri" w:cs="Calibri"/>
            <w:sz w:val="22"/>
            <w:szCs w:val="22"/>
          </w:rPr>
          <w:t>https://doi.org/10.2307/2505046</w:t>
        </w:r>
      </w:hyperlink>
      <w:r w:rsidR="00421DB5">
        <w:rPr>
          <w:rFonts w:ascii="Calibri" w:hAnsi="Calibri" w:cs="Calibri"/>
          <w:color w:val="000000"/>
          <w:sz w:val="22"/>
          <w:szCs w:val="22"/>
        </w:rPr>
        <w:t xml:space="preserve"> </w:t>
      </w:r>
    </w:p>
    <w:p w:rsidR="000E0965" w:rsidRDefault="000E0965" w:rsidP="000E0965">
      <w:pPr>
        <w:rPr>
          <w:rFonts w:ascii="Calibri" w:hAnsi="Calibri" w:cs="Calibri"/>
          <w:color w:val="000000"/>
          <w:sz w:val="22"/>
          <w:szCs w:val="22"/>
        </w:rPr>
      </w:pPr>
    </w:p>
    <w:p w:rsidR="000E0965" w:rsidRDefault="000E0965" w:rsidP="000E0965">
      <w:pPr>
        <w:rPr>
          <w:rFonts w:ascii="Calibri" w:hAnsi="Calibri" w:cs="Calibri"/>
          <w:color w:val="000000"/>
          <w:sz w:val="22"/>
          <w:szCs w:val="22"/>
        </w:rPr>
      </w:pPr>
      <w:r>
        <w:rPr>
          <w:rFonts w:ascii="Calibri" w:hAnsi="Calibri" w:cs="Calibri"/>
          <w:color w:val="000000"/>
          <w:sz w:val="22"/>
          <w:szCs w:val="22"/>
        </w:rPr>
        <w:t>Turner, V. (1979). Dramatic Ritual/Ritual Drama: Performative and Reflexive Anthropology. </w:t>
      </w:r>
      <w:r>
        <w:rPr>
          <w:rFonts w:ascii="Calibri" w:hAnsi="Calibri" w:cs="Calibri"/>
          <w:i/>
          <w:iCs/>
          <w:color w:val="000000"/>
          <w:sz w:val="22"/>
          <w:szCs w:val="22"/>
        </w:rPr>
        <w:t>The Kenyon Review</w:t>
      </w:r>
      <w:r>
        <w:rPr>
          <w:rFonts w:ascii="Calibri" w:hAnsi="Calibri" w:cs="Calibri"/>
          <w:color w:val="000000"/>
          <w:sz w:val="22"/>
          <w:szCs w:val="22"/>
        </w:rPr>
        <w:t>, </w:t>
      </w:r>
      <w:r>
        <w:rPr>
          <w:rFonts w:ascii="Calibri" w:hAnsi="Calibri" w:cs="Calibri"/>
          <w:i/>
          <w:iCs/>
          <w:color w:val="000000"/>
          <w:sz w:val="22"/>
          <w:szCs w:val="22"/>
        </w:rPr>
        <w:t>1</w:t>
      </w:r>
      <w:r>
        <w:rPr>
          <w:rFonts w:ascii="Calibri" w:hAnsi="Calibri" w:cs="Calibri"/>
          <w:color w:val="000000"/>
          <w:sz w:val="22"/>
          <w:szCs w:val="22"/>
        </w:rPr>
        <w:t>(3), 80–93, http://www.jstor.org/stable/4335047</w:t>
      </w:r>
    </w:p>
    <w:p w:rsidR="00421DB5" w:rsidRDefault="00421DB5" w:rsidP="00421DB5">
      <w:pPr>
        <w:rPr>
          <w:rFonts w:ascii="Calibri" w:hAnsi="Calibri" w:cs="Calibri"/>
          <w:color w:val="000000"/>
          <w:sz w:val="22"/>
          <w:szCs w:val="22"/>
        </w:rPr>
      </w:pPr>
    </w:p>
    <w:p w:rsidR="00525070" w:rsidRDefault="00421DB5" w:rsidP="008D12F1">
      <w:pPr>
        <w:pStyle w:val="FootnoteText"/>
        <w:rPr>
          <w:rFonts w:cs="Calibri"/>
          <w:sz w:val="22"/>
          <w:szCs w:val="22"/>
        </w:rPr>
      </w:pPr>
      <w:r>
        <w:rPr>
          <w:rFonts w:cs="Calibri"/>
          <w:color w:val="000000"/>
          <w:sz w:val="22"/>
          <w:szCs w:val="22"/>
        </w:rPr>
        <w:t xml:space="preserve">Walker, B. (1995). Out of the ordinary: Folklore and the supernatural. Logan, Utah: Utah State University Press. </w:t>
      </w:r>
      <w:hyperlink r:id="rId19" w:history="1">
        <w:r>
          <w:rPr>
            <w:rStyle w:val="Hyperlink"/>
            <w:rFonts w:cs="Calibri"/>
            <w:sz w:val="22"/>
            <w:szCs w:val="22"/>
          </w:rPr>
          <w:t>https://digitalcommons.usu.edu/usupress_pubs</w:t>
        </w:r>
      </w:hyperlink>
    </w:p>
    <w:sectPr w:rsidR="00525070" w:rsidSect="00B462B1">
      <w:headerReference w:type="even" r:id="rId20"/>
      <w:headerReference w:type="default" r:id="rId21"/>
      <w:footerReference w:type="even" r:id="rId22"/>
      <w:footerReference w:type="default" r:id="rId23"/>
      <w:headerReference w:type="first" r:id="rId24"/>
      <w:footerReference w:type="first" r:id="rId25"/>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A6E52" w:rsidRDefault="00FA6E52" w:rsidP="00AD5D5A">
      <w:r>
        <w:separator/>
      </w:r>
    </w:p>
  </w:endnote>
  <w:endnote w:type="continuationSeparator" w:id="0">
    <w:p w:rsidR="00FA6E52" w:rsidRDefault="00FA6E52"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lbertus">
    <w:panose1 w:val="020B0604020202020204"/>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B347E" w:rsidRDefault="000B34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B347E" w:rsidRDefault="000B347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B347E" w:rsidRDefault="000B34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A6E52" w:rsidRDefault="00FA6E52" w:rsidP="00AD5D5A">
      <w:r>
        <w:separator/>
      </w:r>
    </w:p>
  </w:footnote>
  <w:footnote w:type="continuationSeparator" w:id="0">
    <w:p w:rsidR="00FA6E52" w:rsidRDefault="00FA6E52" w:rsidP="00AD5D5A">
      <w:r>
        <w:continuationSeparator/>
      </w:r>
    </w:p>
  </w:footnote>
  <w:footnote w:id="1">
    <w:p w:rsidR="00EE4C67" w:rsidRPr="00FC3474" w:rsidRDefault="00EE4C67" w:rsidP="00EE4C67">
      <w:pPr>
        <w:rPr>
          <w:rFonts w:asciiTheme="minorHAnsi" w:hAnsiTheme="minorHAnsi" w:cstheme="minorHAnsi"/>
          <w:color w:val="000000"/>
          <w:sz w:val="16"/>
          <w:szCs w:val="16"/>
        </w:rPr>
      </w:pPr>
      <w:r w:rsidRPr="00FC3474">
        <w:rPr>
          <w:rStyle w:val="FootnoteReference"/>
          <w:rFonts w:asciiTheme="minorHAnsi" w:hAnsiTheme="minorHAnsi" w:cstheme="minorHAnsi"/>
          <w:sz w:val="16"/>
          <w:szCs w:val="16"/>
        </w:rPr>
        <w:footnoteRef/>
      </w:r>
      <w:r w:rsidRPr="00FC3474">
        <w:rPr>
          <w:rFonts w:asciiTheme="minorHAnsi" w:hAnsiTheme="minorHAnsi" w:cstheme="minorHAnsi"/>
          <w:sz w:val="16"/>
          <w:szCs w:val="16"/>
        </w:rPr>
        <w:t xml:space="preserve"> </w:t>
      </w:r>
      <w:r w:rsidRPr="00FC3474">
        <w:rPr>
          <w:rFonts w:asciiTheme="minorHAnsi" w:hAnsiTheme="minorHAnsi" w:cstheme="minorHAnsi"/>
          <w:color w:val="000000"/>
          <w:sz w:val="16"/>
          <w:szCs w:val="16"/>
        </w:rPr>
        <w:t>Martin, M. (1993). Geertz and the Interpretive Approach in Anthropology.</w:t>
      </w:r>
      <w:r w:rsidRPr="00FC3474">
        <w:rPr>
          <w:rStyle w:val="apple-converted-space"/>
          <w:rFonts w:asciiTheme="minorHAnsi" w:hAnsiTheme="minorHAnsi" w:cstheme="minorHAnsi"/>
          <w:color w:val="000000"/>
          <w:sz w:val="16"/>
          <w:szCs w:val="16"/>
        </w:rPr>
        <w:t> </w:t>
      </w:r>
      <w:proofErr w:type="spellStart"/>
      <w:r w:rsidRPr="00FC3474">
        <w:rPr>
          <w:rFonts w:asciiTheme="minorHAnsi" w:hAnsiTheme="minorHAnsi" w:cstheme="minorHAnsi"/>
          <w:i/>
          <w:iCs/>
          <w:color w:val="000000"/>
          <w:sz w:val="16"/>
          <w:szCs w:val="16"/>
        </w:rPr>
        <w:t>Synthese</w:t>
      </w:r>
      <w:proofErr w:type="spellEnd"/>
      <w:r w:rsidRPr="00FC3474">
        <w:rPr>
          <w:rFonts w:asciiTheme="minorHAnsi" w:hAnsiTheme="minorHAnsi" w:cstheme="minorHAnsi"/>
          <w:color w:val="000000"/>
          <w:sz w:val="16"/>
          <w:szCs w:val="16"/>
        </w:rPr>
        <w:t>,</w:t>
      </w:r>
      <w:r w:rsidRPr="00FC3474">
        <w:rPr>
          <w:rStyle w:val="apple-converted-space"/>
          <w:rFonts w:asciiTheme="minorHAnsi" w:hAnsiTheme="minorHAnsi" w:cstheme="minorHAnsi"/>
          <w:color w:val="000000"/>
          <w:sz w:val="16"/>
          <w:szCs w:val="16"/>
        </w:rPr>
        <w:t> </w:t>
      </w:r>
      <w:r w:rsidRPr="00FC3474">
        <w:rPr>
          <w:rFonts w:asciiTheme="minorHAnsi" w:hAnsiTheme="minorHAnsi" w:cstheme="minorHAnsi"/>
          <w:i/>
          <w:iCs/>
          <w:color w:val="000000"/>
          <w:sz w:val="16"/>
          <w:szCs w:val="16"/>
        </w:rPr>
        <w:t>97</w:t>
      </w:r>
      <w:r w:rsidRPr="00FC3474">
        <w:rPr>
          <w:rFonts w:asciiTheme="minorHAnsi" w:hAnsiTheme="minorHAnsi" w:cstheme="minorHAnsi"/>
          <w:color w:val="000000"/>
          <w:sz w:val="16"/>
          <w:szCs w:val="16"/>
        </w:rPr>
        <w:t xml:space="preserve">(2), 269–286, p.270. </w:t>
      </w:r>
      <w:hyperlink r:id="rId1" w:history="1">
        <w:r w:rsidRPr="00FC3474">
          <w:rPr>
            <w:rStyle w:val="Hyperlink"/>
            <w:rFonts w:asciiTheme="minorHAnsi" w:hAnsiTheme="minorHAnsi" w:cstheme="minorHAnsi"/>
            <w:sz w:val="16"/>
            <w:szCs w:val="16"/>
          </w:rPr>
          <w:t>http://www.jstor.org/stable/20117842</w:t>
        </w:r>
      </w:hyperlink>
      <w:r w:rsidRPr="00FC3474">
        <w:rPr>
          <w:rFonts w:asciiTheme="minorHAnsi" w:hAnsiTheme="minorHAnsi" w:cstheme="minorHAnsi"/>
          <w:color w:val="000000"/>
          <w:sz w:val="16"/>
          <w:szCs w:val="16"/>
        </w:rPr>
        <w:t xml:space="preserve">  [Accessed on 9th March2025].</w:t>
      </w:r>
    </w:p>
  </w:footnote>
  <w:footnote w:id="2">
    <w:p w:rsidR="00EE4C67" w:rsidRPr="00FC3474" w:rsidRDefault="00EE4C67" w:rsidP="00EE4C67">
      <w:pPr>
        <w:rPr>
          <w:rFonts w:asciiTheme="minorHAnsi" w:hAnsiTheme="minorHAnsi" w:cstheme="minorHAnsi"/>
          <w:color w:val="000000"/>
          <w:sz w:val="16"/>
          <w:szCs w:val="16"/>
        </w:rPr>
      </w:pPr>
      <w:r w:rsidRPr="00FC3474">
        <w:rPr>
          <w:rStyle w:val="FootnoteReference"/>
          <w:rFonts w:asciiTheme="minorHAnsi" w:hAnsiTheme="minorHAnsi" w:cstheme="minorHAnsi"/>
          <w:sz w:val="16"/>
          <w:szCs w:val="16"/>
        </w:rPr>
        <w:footnoteRef/>
      </w:r>
      <w:r w:rsidRPr="00FC3474">
        <w:rPr>
          <w:rFonts w:asciiTheme="minorHAnsi" w:hAnsiTheme="minorHAnsi" w:cstheme="minorHAnsi"/>
          <w:sz w:val="16"/>
          <w:szCs w:val="16"/>
        </w:rPr>
        <w:t xml:space="preserve"> </w:t>
      </w:r>
      <w:r w:rsidRPr="00FC3474">
        <w:rPr>
          <w:rFonts w:asciiTheme="minorHAnsi" w:hAnsiTheme="minorHAnsi" w:cstheme="minorHAnsi"/>
          <w:color w:val="000000"/>
          <w:sz w:val="16"/>
          <w:szCs w:val="16"/>
        </w:rPr>
        <w:t xml:space="preserve">Bennett, G. (1995). “If I Knew You Were Coming, I’d Have Baked a Cake”: The Folklore of Foreknowledge in a </w:t>
      </w:r>
      <w:proofErr w:type="spellStart"/>
      <w:r w:rsidRPr="00FC3474">
        <w:rPr>
          <w:rFonts w:asciiTheme="minorHAnsi" w:hAnsiTheme="minorHAnsi" w:cstheme="minorHAnsi"/>
          <w:color w:val="000000"/>
          <w:sz w:val="16"/>
          <w:szCs w:val="16"/>
        </w:rPr>
        <w:t>Neighborhood</w:t>
      </w:r>
      <w:proofErr w:type="spellEnd"/>
      <w:r w:rsidRPr="00FC3474">
        <w:rPr>
          <w:rFonts w:asciiTheme="minorHAnsi" w:hAnsiTheme="minorHAnsi" w:cstheme="minorHAnsi"/>
          <w:color w:val="000000"/>
          <w:sz w:val="16"/>
          <w:szCs w:val="16"/>
        </w:rPr>
        <w:t xml:space="preserve"> Group. In B. Walker (Ed.), </w:t>
      </w:r>
      <w:r w:rsidRPr="00FC3474">
        <w:rPr>
          <w:rFonts w:asciiTheme="minorHAnsi" w:hAnsiTheme="minorHAnsi" w:cstheme="minorHAnsi"/>
          <w:i/>
          <w:iCs/>
          <w:color w:val="000000"/>
          <w:sz w:val="16"/>
          <w:szCs w:val="16"/>
        </w:rPr>
        <w:t xml:space="preserve">Out </w:t>
      </w:r>
      <w:proofErr w:type="gramStart"/>
      <w:r w:rsidRPr="00FC3474">
        <w:rPr>
          <w:rFonts w:asciiTheme="minorHAnsi" w:hAnsiTheme="minorHAnsi" w:cstheme="minorHAnsi"/>
          <w:i/>
          <w:iCs/>
          <w:color w:val="000000"/>
          <w:sz w:val="16"/>
          <w:szCs w:val="16"/>
        </w:rPr>
        <w:t>Of</w:t>
      </w:r>
      <w:proofErr w:type="gramEnd"/>
      <w:r w:rsidRPr="00FC3474">
        <w:rPr>
          <w:rFonts w:asciiTheme="minorHAnsi" w:hAnsiTheme="minorHAnsi" w:cstheme="minorHAnsi"/>
          <w:i/>
          <w:iCs/>
          <w:color w:val="000000"/>
          <w:sz w:val="16"/>
          <w:szCs w:val="16"/>
        </w:rPr>
        <w:t xml:space="preserve"> The Ordinary: Folklore and the Supernatural</w:t>
      </w:r>
      <w:r w:rsidRPr="00FC3474">
        <w:rPr>
          <w:rFonts w:asciiTheme="minorHAnsi" w:hAnsiTheme="minorHAnsi" w:cstheme="minorHAnsi"/>
          <w:color w:val="000000"/>
          <w:sz w:val="16"/>
          <w:szCs w:val="16"/>
        </w:rPr>
        <w:t xml:space="preserve"> (pp. 122–142). University Press of Colorado. </w:t>
      </w:r>
      <w:hyperlink r:id="rId2" w:history="1">
        <w:r w:rsidRPr="00FC3474">
          <w:rPr>
            <w:rStyle w:val="Hyperlink"/>
            <w:rFonts w:asciiTheme="minorHAnsi" w:hAnsiTheme="minorHAnsi" w:cstheme="minorHAnsi"/>
            <w:sz w:val="16"/>
            <w:szCs w:val="16"/>
          </w:rPr>
          <w:t>https://doi.org/10.2307/j.ctt46nwn8.13</w:t>
        </w:r>
      </w:hyperlink>
    </w:p>
  </w:footnote>
  <w:footnote w:id="3">
    <w:p w:rsidR="00EE4C67" w:rsidRPr="00FC3474" w:rsidRDefault="00EE4C67" w:rsidP="00EE4C67">
      <w:pPr>
        <w:pStyle w:val="FootnoteText"/>
        <w:rPr>
          <w:rFonts w:asciiTheme="minorHAnsi" w:eastAsia="Times New Roman" w:hAnsiTheme="minorHAnsi" w:cstheme="minorHAnsi"/>
          <w:color w:val="0563C1"/>
          <w:kern w:val="0"/>
          <w:sz w:val="16"/>
          <w:szCs w:val="16"/>
          <w:u w:val="single"/>
          <w:lang w:eastAsia="en-GB"/>
        </w:rPr>
      </w:pPr>
      <w:r w:rsidRPr="00FC3474">
        <w:rPr>
          <w:rStyle w:val="FootnoteReference"/>
          <w:rFonts w:asciiTheme="minorHAnsi" w:hAnsiTheme="minorHAnsi" w:cstheme="minorHAnsi"/>
          <w:sz w:val="16"/>
          <w:szCs w:val="16"/>
        </w:rPr>
        <w:footnoteRef/>
      </w:r>
      <w:r w:rsidRPr="00FC3474">
        <w:rPr>
          <w:rFonts w:asciiTheme="minorHAnsi" w:hAnsiTheme="minorHAnsi" w:cstheme="minorHAnsi"/>
          <w:sz w:val="16"/>
          <w:szCs w:val="16"/>
        </w:rPr>
        <w:t xml:space="preserve"> Jenny Blain, Speaking </w:t>
      </w:r>
      <w:proofErr w:type="spellStart"/>
      <w:r w:rsidRPr="00FC3474">
        <w:rPr>
          <w:rFonts w:asciiTheme="minorHAnsi" w:hAnsiTheme="minorHAnsi" w:cstheme="minorHAnsi"/>
          <w:sz w:val="16"/>
          <w:szCs w:val="16"/>
        </w:rPr>
        <w:t>Shamanistically</w:t>
      </w:r>
      <w:proofErr w:type="spellEnd"/>
      <w:r w:rsidRPr="00FC3474">
        <w:rPr>
          <w:rFonts w:asciiTheme="minorHAnsi" w:hAnsiTheme="minorHAnsi" w:cstheme="minorHAnsi"/>
          <w:sz w:val="16"/>
          <w:szCs w:val="16"/>
        </w:rPr>
        <w:t xml:space="preserve">: </w:t>
      </w:r>
      <w:proofErr w:type="spellStart"/>
      <w:r w:rsidRPr="00FC3474">
        <w:rPr>
          <w:rFonts w:asciiTheme="minorHAnsi" w:hAnsiTheme="minorHAnsi" w:cstheme="minorHAnsi"/>
          <w:sz w:val="16"/>
          <w:szCs w:val="16"/>
        </w:rPr>
        <w:t>Seidr</w:t>
      </w:r>
      <w:proofErr w:type="spellEnd"/>
      <w:r w:rsidRPr="00FC3474">
        <w:rPr>
          <w:rFonts w:asciiTheme="minorHAnsi" w:hAnsiTheme="minorHAnsi" w:cstheme="minorHAnsi"/>
          <w:sz w:val="16"/>
          <w:szCs w:val="16"/>
        </w:rPr>
        <w:t>, Academia, and Rationality,</w:t>
      </w:r>
      <w:r w:rsidRPr="00FC3474">
        <w:rPr>
          <w:rFonts w:asciiTheme="minorHAnsi" w:hAnsiTheme="minorHAnsi" w:cstheme="minorHAnsi"/>
          <w:color w:val="000000"/>
          <w:kern w:val="0"/>
          <w:sz w:val="16"/>
          <w:szCs w:val="16"/>
        </w:rPr>
        <w:t xml:space="preserve"> </w:t>
      </w:r>
      <w:r w:rsidRPr="00FC3474">
        <w:rPr>
          <w:rFonts w:asciiTheme="minorHAnsi" w:eastAsia="Times New Roman" w:hAnsiTheme="minorHAnsi" w:cstheme="minorHAnsi"/>
          <w:color w:val="000000"/>
          <w:kern w:val="0"/>
          <w:sz w:val="16"/>
          <w:szCs w:val="16"/>
          <w:lang w:eastAsia="en-GB"/>
        </w:rPr>
        <w:t xml:space="preserve">DISKUS Volume 6 (2000), </w:t>
      </w:r>
      <w:hyperlink r:id="rId3" w:history="1">
        <w:r w:rsidRPr="00FC3474">
          <w:rPr>
            <w:rStyle w:val="Hyperlink"/>
            <w:rFonts w:asciiTheme="minorHAnsi" w:eastAsia="Times New Roman" w:hAnsiTheme="minorHAnsi" w:cstheme="minorHAnsi"/>
            <w:kern w:val="0"/>
            <w:sz w:val="16"/>
            <w:szCs w:val="16"/>
            <w:lang w:eastAsia="en-GB"/>
          </w:rPr>
          <w:t>http://www.unimarburg.de/fb03/religionswissenschaft/journal/</w:t>
        </w:r>
      </w:hyperlink>
    </w:p>
  </w:footnote>
  <w:footnote w:id="4">
    <w:p w:rsidR="00EE4C67" w:rsidRPr="00FC3474" w:rsidRDefault="00EE4C67" w:rsidP="00EE4C67">
      <w:pPr>
        <w:pStyle w:val="NoSpacing"/>
        <w:rPr>
          <w:rFonts w:asciiTheme="minorHAnsi" w:hAnsiTheme="minorHAnsi" w:cstheme="minorHAnsi"/>
          <w:sz w:val="16"/>
          <w:szCs w:val="16"/>
        </w:rPr>
      </w:pPr>
      <w:r w:rsidRPr="00FC3474">
        <w:rPr>
          <w:rStyle w:val="FootnoteReference"/>
          <w:rFonts w:asciiTheme="minorHAnsi" w:hAnsiTheme="minorHAnsi" w:cstheme="minorHAnsi"/>
          <w:sz w:val="16"/>
          <w:szCs w:val="16"/>
        </w:rPr>
        <w:footnoteRef/>
      </w:r>
      <w:r w:rsidRPr="00FC3474">
        <w:rPr>
          <w:rFonts w:asciiTheme="minorHAnsi" w:hAnsiTheme="minorHAnsi" w:cstheme="minorHAnsi"/>
          <w:sz w:val="16"/>
          <w:szCs w:val="16"/>
        </w:rPr>
        <w:t xml:space="preserve"> Joanne </w:t>
      </w:r>
      <w:proofErr w:type="spellStart"/>
      <w:r w:rsidRPr="00FC3474">
        <w:rPr>
          <w:rFonts w:asciiTheme="minorHAnsi" w:hAnsiTheme="minorHAnsi" w:cstheme="minorHAnsi"/>
          <w:sz w:val="16"/>
          <w:szCs w:val="16"/>
        </w:rPr>
        <w:t>Mascall</w:t>
      </w:r>
      <w:proofErr w:type="spellEnd"/>
      <w:r w:rsidRPr="00FC3474">
        <w:rPr>
          <w:rFonts w:asciiTheme="minorHAnsi" w:hAnsiTheme="minorHAnsi" w:cstheme="minorHAnsi"/>
          <w:sz w:val="16"/>
          <w:szCs w:val="16"/>
        </w:rPr>
        <w:t xml:space="preserve">, Jenny Blain, a Heathen and Shamanic, is it witchcraft and spells?,  </w:t>
      </w:r>
      <w:hyperlink r:id="rId4" w:history="1">
        <w:r w:rsidRPr="00FC3474">
          <w:rPr>
            <w:rStyle w:val="Hyperlink"/>
            <w:rFonts w:asciiTheme="minorHAnsi" w:hAnsiTheme="minorHAnsi" w:cstheme="minorHAnsi"/>
            <w:sz w:val="16"/>
            <w:szCs w:val="16"/>
          </w:rPr>
          <w:t>https://alternativelives.wordpress.com/alternative-lives/jenny-blain-a-heathen-and-shamanic-is-it-witchcraft-and-spells/</w:t>
        </w:r>
      </w:hyperlink>
      <w:r w:rsidRPr="00FC3474">
        <w:rPr>
          <w:rFonts w:asciiTheme="minorHAnsi" w:hAnsiTheme="minorHAnsi" w:cstheme="minorHAnsi"/>
          <w:sz w:val="16"/>
          <w:szCs w:val="16"/>
        </w:rPr>
        <w:t xml:space="preserve"> [Accessed on 27</w:t>
      </w:r>
      <w:r w:rsidRPr="00FC3474">
        <w:rPr>
          <w:rFonts w:asciiTheme="minorHAnsi" w:hAnsiTheme="minorHAnsi" w:cstheme="minorHAnsi"/>
          <w:sz w:val="16"/>
          <w:szCs w:val="16"/>
          <w:vertAlign w:val="superscript"/>
        </w:rPr>
        <w:t>th</w:t>
      </w:r>
      <w:r w:rsidRPr="00FC3474">
        <w:rPr>
          <w:rFonts w:asciiTheme="minorHAnsi" w:hAnsiTheme="minorHAnsi" w:cstheme="minorHAnsi"/>
          <w:sz w:val="16"/>
          <w:szCs w:val="16"/>
        </w:rPr>
        <w:t xml:space="preserve"> February 2025].</w:t>
      </w:r>
    </w:p>
  </w:footnote>
  <w:footnote w:id="5">
    <w:p w:rsidR="00EE4C67" w:rsidRPr="00FC3474" w:rsidRDefault="00EE4C67" w:rsidP="00EE4C67">
      <w:pPr>
        <w:pStyle w:val="NoSpacing"/>
        <w:rPr>
          <w:rFonts w:asciiTheme="minorHAnsi" w:hAnsiTheme="minorHAnsi" w:cstheme="minorHAnsi"/>
          <w:sz w:val="16"/>
          <w:szCs w:val="16"/>
        </w:rPr>
      </w:pPr>
      <w:r w:rsidRPr="00FC3474">
        <w:rPr>
          <w:rStyle w:val="FootnoteReference"/>
          <w:rFonts w:asciiTheme="minorHAnsi" w:hAnsiTheme="minorHAnsi" w:cstheme="minorHAnsi"/>
          <w:sz w:val="16"/>
          <w:szCs w:val="16"/>
        </w:rPr>
        <w:footnoteRef/>
      </w:r>
      <w:r w:rsidRPr="00FC3474">
        <w:rPr>
          <w:rFonts w:asciiTheme="minorHAnsi" w:hAnsiTheme="minorHAnsi" w:cstheme="minorHAnsi"/>
          <w:sz w:val="16"/>
          <w:szCs w:val="16"/>
        </w:rPr>
        <w:t xml:space="preserve"> Jenny Blain, Nine worlds of </w:t>
      </w:r>
      <w:proofErr w:type="spellStart"/>
      <w:r w:rsidRPr="00FC3474">
        <w:rPr>
          <w:rFonts w:asciiTheme="minorHAnsi" w:hAnsiTheme="minorHAnsi" w:cstheme="minorHAnsi"/>
          <w:sz w:val="16"/>
          <w:szCs w:val="16"/>
        </w:rPr>
        <w:t>Seid</w:t>
      </w:r>
      <w:proofErr w:type="spellEnd"/>
      <w:r w:rsidRPr="00FC3474">
        <w:rPr>
          <w:rFonts w:asciiTheme="minorHAnsi" w:hAnsiTheme="minorHAnsi" w:cstheme="minorHAnsi"/>
          <w:sz w:val="16"/>
          <w:szCs w:val="16"/>
        </w:rPr>
        <w:t>-Magic, Ecstasy and Neo-shamanism in North European Paganism, Taylor &amp;Francis e-Library, 2004, p.17.</w:t>
      </w:r>
    </w:p>
  </w:footnote>
  <w:footnote w:id="6">
    <w:p w:rsidR="00EE4C67" w:rsidRDefault="00EE4C67" w:rsidP="00EE4C67">
      <w:pPr>
        <w:pStyle w:val="NoSpacing"/>
        <w:rPr>
          <w:rFonts w:cs="Calibri"/>
          <w:sz w:val="16"/>
          <w:szCs w:val="16"/>
        </w:rPr>
      </w:pPr>
      <w:r>
        <w:rPr>
          <w:rStyle w:val="FootnoteReference"/>
          <w:rFonts w:cs="Calibri"/>
          <w:sz w:val="16"/>
          <w:szCs w:val="16"/>
        </w:rPr>
        <w:footnoteRef/>
      </w:r>
      <w:r>
        <w:rPr>
          <w:rFonts w:cs="Calibri"/>
          <w:sz w:val="16"/>
          <w:szCs w:val="16"/>
        </w:rPr>
        <w:t xml:space="preserve"> Jenny Blain, Speaking </w:t>
      </w:r>
      <w:proofErr w:type="spellStart"/>
      <w:r>
        <w:rPr>
          <w:rFonts w:cs="Calibri"/>
          <w:sz w:val="16"/>
          <w:szCs w:val="16"/>
        </w:rPr>
        <w:t>Shamanistically</w:t>
      </w:r>
      <w:proofErr w:type="spellEnd"/>
    </w:p>
  </w:footnote>
  <w:footnote w:id="7">
    <w:p w:rsidR="00EE4C67" w:rsidRDefault="00EE4C67" w:rsidP="00EE4C67">
      <w:pPr>
        <w:rPr>
          <w:rFonts w:ascii="Calibri" w:hAnsi="Calibri" w:cs="Calibri"/>
          <w:color w:val="000000"/>
          <w:sz w:val="16"/>
          <w:szCs w:val="16"/>
        </w:rPr>
      </w:pPr>
      <w:r>
        <w:rPr>
          <w:rStyle w:val="FootnoteReference"/>
          <w:rFonts w:ascii="Calibri" w:hAnsi="Calibri" w:cs="Calibri"/>
          <w:sz w:val="16"/>
          <w:szCs w:val="16"/>
        </w:rPr>
        <w:footnoteRef/>
      </w:r>
      <w:r>
        <w:rPr>
          <w:rFonts w:ascii="Calibri" w:hAnsi="Calibri" w:cs="Calibri"/>
          <w:sz w:val="16"/>
          <w:szCs w:val="16"/>
        </w:rPr>
        <w:t xml:space="preserve"> </w:t>
      </w:r>
      <w:r>
        <w:rPr>
          <w:rFonts w:ascii="Calibri" w:hAnsi="Calibri" w:cs="Calibri"/>
          <w:color w:val="000000"/>
          <w:sz w:val="16"/>
          <w:szCs w:val="16"/>
        </w:rPr>
        <w:t>Blain, J., &amp; Wallis, R. J. (2006). Ritual Reflections, Practitioner Meanings: Disputing The Terminology Of Neo-Shamanic “Performance.” </w:t>
      </w:r>
      <w:r>
        <w:rPr>
          <w:rFonts w:ascii="Calibri" w:hAnsi="Calibri" w:cs="Calibri"/>
          <w:i/>
          <w:iCs/>
          <w:color w:val="000000"/>
          <w:sz w:val="16"/>
          <w:szCs w:val="16"/>
        </w:rPr>
        <w:t>Journal of Ritual Studies</w:t>
      </w:r>
      <w:r>
        <w:rPr>
          <w:rFonts w:ascii="Calibri" w:hAnsi="Calibri" w:cs="Calibri"/>
          <w:color w:val="000000"/>
          <w:sz w:val="16"/>
          <w:szCs w:val="16"/>
        </w:rPr>
        <w:t>, </w:t>
      </w:r>
      <w:r>
        <w:rPr>
          <w:rFonts w:ascii="Calibri" w:hAnsi="Calibri" w:cs="Calibri"/>
          <w:i/>
          <w:iCs/>
          <w:color w:val="000000"/>
          <w:sz w:val="16"/>
          <w:szCs w:val="16"/>
        </w:rPr>
        <w:t>20</w:t>
      </w:r>
      <w:r>
        <w:rPr>
          <w:rFonts w:ascii="Calibri" w:hAnsi="Calibri" w:cs="Calibri"/>
          <w:color w:val="000000"/>
          <w:sz w:val="16"/>
          <w:szCs w:val="16"/>
        </w:rPr>
        <w:t xml:space="preserve">(1), 21–36, p.26. </w:t>
      </w:r>
      <w:hyperlink r:id="rId5" w:history="1">
        <w:r>
          <w:rPr>
            <w:rStyle w:val="Hyperlink"/>
            <w:rFonts w:ascii="Calibri" w:hAnsi="Calibri" w:cs="Calibri"/>
            <w:sz w:val="16"/>
            <w:szCs w:val="16"/>
          </w:rPr>
          <w:t>http://www.jstor.org/stable/44368751</w:t>
        </w:r>
      </w:hyperlink>
    </w:p>
  </w:footnote>
  <w:footnote w:id="8">
    <w:p w:rsidR="00EE4C67" w:rsidRDefault="00EE4C67" w:rsidP="00EE4C67">
      <w:pPr>
        <w:pStyle w:val="NoSpacing"/>
        <w:rPr>
          <w:rFonts w:cs="Calibri"/>
          <w:b/>
          <w:bCs/>
          <w:sz w:val="16"/>
          <w:szCs w:val="16"/>
        </w:rPr>
      </w:pPr>
      <w:r>
        <w:rPr>
          <w:rStyle w:val="FootnoteReference"/>
          <w:rFonts w:cs="Calibri"/>
          <w:sz w:val="16"/>
          <w:szCs w:val="16"/>
        </w:rPr>
        <w:footnoteRef/>
      </w:r>
      <w:r>
        <w:rPr>
          <w:rFonts w:cs="Calibri"/>
          <w:sz w:val="16"/>
          <w:szCs w:val="16"/>
        </w:rPr>
        <w:t xml:space="preserve"> </w:t>
      </w:r>
      <w:hyperlink r:id="rId6" w:history="1">
        <w:r>
          <w:rPr>
            <w:rStyle w:val="Hyperlink"/>
            <w:rFonts w:cs="Calibri"/>
            <w:b/>
            <w:bCs/>
            <w:sz w:val="16"/>
            <w:szCs w:val="16"/>
          </w:rPr>
          <w:t>https://folklore-society.com/blog-post/dr-gillian-bennett-1939-2023/</w:t>
        </w:r>
      </w:hyperlink>
      <w:r>
        <w:rPr>
          <w:rStyle w:val="Hyperlink"/>
          <w:rFonts w:cs="Calibri"/>
          <w:b/>
          <w:bCs/>
          <w:sz w:val="16"/>
          <w:szCs w:val="16"/>
        </w:rPr>
        <w:t xml:space="preserve"> </w:t>
      </w:r>
      <w:r>
        <w:rPr>
          <w:rFonts w:cs="Calibri"/>
          <w:i/>
          <w:iCs/>
          <w:color w:val="212529"/>
          <w:sz w:val="16"/>
          <w:szCs w:val="16"/>
        </w:rPr>
        <w:t>posted on 13th December 2023, [Accessed on 27</w:t>
      </w:r>
      <w:r>
        <w:rPr>
          <w:rFonts w:cs="Calibri"/>
          <w:i/>
          <w:iCs/>
          <w:color w:val="212529"/>
          <w:sz w:val="16"/>
          <w:szCs w:val="16"/>
          <w:vertAlign w:val="superscript"/>
        </w:rPr>
        <w:t>th</w:t>
      </w:r>
      <w:r>
        <w:rPr>
          <w:rFonts w:cs="Calibri"/>
          <w:i/>
          <w:iCs/>
          <w:color w:val="212529"/>
          <w:sz w:val="16"/>
          <w:szCs w:val="16"/>
        </w:rPr>
        <w:t xml:space="preserve"> February 2025].</w:t>
      </w:r>
    </w:p>
  </w:footnote>
  <w:footnote w:id="9">
    <w:p w:rsidR="00EE4C67" w:rsidRDefault="00EE4C67" w:rsidP="00EE4C67">
      <w:pPr>
        <w:pStyle w:val="FootnoteText"/>
        <w:rPr>
          <w:rFonts w:cs="Calibri"/>
          <w:sz w:val="16"/>
          <w:szCs w:val="16"/>
        </w:rPr>
      </w:pPr>
      <w:r>
        <w:rPr>
          <w:rStyle w:val="FootnoteReference"/>
          <w:rFonts w:cs="Calibri"/>
          <w:sz w:val="16"/>
          <w:szCs w:val="16"/>
        </w:rPr>
        <w:footnoteRef/>
      </w:r>
      <w:r>
        <w:rPr>
          <w:rFonts w:cs="Calibri"/>
          <w:sz w:val="16"/>
          <w:szCs w:val="16"/>
        </w:rPr>
        <w:t xml:space="preserve"> </w:t>
      </w:r>
      <w:r>
        <w:rPr>
          <w:rFonts w:cs="Calibri"/>
          <w:color w:val="333333"/>
          <w:sz w:val="16"/>
          <w:szCs w:val="16"/>
          <w:shd w:val="clear" w:color="auto" w:fill="FFFFFF"/>
        </w:rPr>
        <w:t>Bowman, M. (2024). Gillian Clayton Bennett (née Lawley), 1939–2023.</w:t>
      </w:r>
      <w:r>
        <w:rPr>
          <w:rStyle w:val="apple-converted-space"/>
          <w:rFonts w:cs="Calibri"/>
          <w:color w:val="333333"/>
          <w:sz w:val="16"/>
          <w:szCs w:val="16"/>
          <w:shd w:val="clear" w:color="auto" w:fill="FFFFFF"/>
        </w:rPr>
        <w:t> </w:t>
      </w:r>
      <w:r>
        <w:rPr>
          <w:rFonts w:cs="Calibri"/>
          <w:i/>
          <w:iCs/>
          <w:color w:val="333333"/>
          <w:sz w:val="16"/>
          <w:szCs w:val="16"/>
        </w:rPr>
        <w:t>Folklore</w:t>
      </w:r>
      <w:r>
        <w:rPr>
          <w:rFonts w:cs="Calibri"/>
          <w:color w:val="333333"/>
          <w:sz w:val="16"/>
          <w:szCs w:val="16"/>
          <w:shd w:val="clear" w:color="auto" w:fill="FFFFFF"/>
        </w:rPr>
        <w:t>,</w:t>
      </w:r>
      <w:r>
        <w:rPr>
          <w:rStyle w:val="apple-converted-space"/>
          <w:rFonts w:cs="Calibri"/>
          <w:color w:val="333333"/>
          <w:sz w:val="16"/>
          <w:szCs w:val="16"/>
          <w:shd w:val="clear" w:color="auto" w:fill="FFFFFF"/>
        </w:rPr>
        <w:t> </w:t>
      </w:r>
      <w:r>
        <w:rPr>
          <w:rFonts w:cs="Calibri"/>
          <w:i/>
          <w:iCs/>
          <w:color w:val="333333"/>
          <w:sz w:val="16"/>
          <w:szCs w:val="16"/>
        </w:rPr>
        <w:t>135</w:t>
      </w:r>
      <w:r>
        <w:rPr>
          <w:rFonts w:cs="Calibri"/>
          <w:color w:val="333333"/>
          <w:sz w:val="16"/>
          <w:szCs w:val="16"/>
          <w:shd w:val="clear" w:color="auto" w:fill="FFFFFF"/>
        </w:rPr>
        <w:t xml:space="preserve">(4), 657–660. </w:t>
      </w:r>
      <w:hyperlink r:id="rId7" w:history="1">
        <w:r>
          <w:rPr>
            <w:rStyle w:val="Hyperlink"/>
            <w:rFonts w:cs="Calibri"/>
            <w:sz w:val="16"/>
            <w:szCs w:val="16"/>
            <w:shd w:val="clear" w:color="auto" w:fill="FFFFFF"/>
          </w:rPr>
          <w:t>https://doi.org/10.1080/0015587X.2024.2401266</w:t>
        </w:r>
      </w:hyperlink>
      <w:r>
        <w:rPr>
          <w:rFonts w:cs="Calibri"/>
          <w:color w:val="333333"/>
          <w:sz w:val="16"/>
          <w:szCs w:val="16"/>
          <w:shd w:val="clear" w:color="auto" w:fill="FFFFFF"/>
        </w:rPr>
        <w:t xml:space="preserve"> [Accessed on 27th February 2025].</w:t>
      </w:r>
    </w:p>
  </w:footnote>
  <w:footnote w:id="10">
    <w:p w:rsidR="00EE4C67" w:rsidRDefault="00EE4C67" w:rsidP="00EE4C67">
      <w:pPr>
        <w:pStyle w:val="FootnoteText"/>
        <w:rPr>
          <w:rFonts w:cs="Calibri"/>
          <w:sz w:val="16"/>
          <w:szCs w:val="16"/>
        </w:rPr>
      </w:pPr>
      <w:r>
        <w:rPr>
          <w:rStyle w:val="FootnoteReference"/>
          <w:rFonts w:cs="Calibri"/>
          <w:sz w:val="16"/>
          <w:szCs w:val="16"/>
        </w:rPr>
        <w:footnoteRef/>
      </w:r>
      <w:r>
        <w:rPr>
          <w:rFonts w:cs="Calibri"/>
          <w:sz w:val="16"/>
          <w:szCs w:val="16"/>
        </w:rPr>
        <w:t xml:space="preserve"> </w:t>
      </w:r>
      <w:hyperlink r:id="rId8" w:history="1">
        <w:r>
          <w:rPr>
            <w:rStyle w:val="Hyperlink"/>
            <w:rFonts w:cs="Calibri"/>
            <w:sz w:val="16"/>
            <w:szCs w:val="16"/>
            <w:shd w:val="clear" w:color="auto" w:fill="FAF9F7"/>
          </w:rPr>
          <w:t>https://www.deseret.com/1996/3/29/19233597/if-you-ve-had-a-feeling-about-omens-read-on/</w:t>
        </w:r>
      </w:hyperlink>
    </w:p>
  </w:footnote>
  <w:footnote w:id="11">
    <w:p w:rsidR="00EE4C67" w:rsidRDefault="00EE4C67" w:rsidP="00EE4C67">
      <w:pPr>
        <w:rPr>
          <w:rFonts w:ascii="Calibri" w:hAnsi="Calibri" w:cs="Calibri"/>
          <w:color w:val="000000"/>
          <w:sz w:val="16"/>
          <w:szCs w:val="16"/>
        </w:rPr>
      </w:pPr>
      <w:r>
        <w:rPr>
          <w:rStyle w:val="FootnoteReference"/>
          <w:rFonts w:ascii="Calibri" w:hAnsi="Calibri" w:cs="Calibri"/>
          <w:sz w:val="16"/>
          <w:szCs w:val="16"/>
        </w:rPr>
        <w:footnoteRef/>
      </w:r>
      <w:r>
        <w:rPr>
          <w:rFonts w:ascii="Calibri" w:hAnsi="Calibri" w:cs="Calibri"/>
          <w:sz w:val="16"/>
          <w:szCs w:val="16"/>
        </w:rPr>
        <w:t xml:space="preserve"> </w:t>
      </w:r>
      <w:r>
        <w:rPr>
          <w:rFonts w:ascii="Calibri" w:hAnsi="Calibri" w:cs="Calibri"/>
          <w:color w:val="000000"/>
          <w:sz w:val="16"/>
          <w:szCs w:val="16"/>
        </w:rPr>
        <w:t xml:space="preserve">Bennett, G. (1995). “If I Knew You Were Coming, I’d Have Baked a Cake”: The Folklore of Foreknowledge in a </w:t>
      </w:r>
      <w:proofErr w:type="spellStart"/>
      <w:r>
        <w:rPr>
          <w:rFonts w:ascii="Calibri" w:hAnsi="Calibri" w:cs="Calibri"/>
          <w:color w:val="000000"/>
          <w:sz w:val="16"/>
          <w:szCs w:val="16"/>
        </w:rPr>
        <w:t>Neighborhood</w:t>
      </w:r>
      <w:proofErr w:type="spellEnd"/>
      <w:r>
        <w:rPr>
          <w:rFonts w:ascii="Calibri" w:hAnsi="Calibri" w:cs="Calibri"/>
          <w:color w:val="000000"/>
          <w:sz w:val="16"/>
          <w:szCs w:val="16"/>
        </w:rPr>
        <w:t xml:space="preserve"> Group. In B. Walker (Ed.), </w:t>
      </w:r>
      <w:r>
        <w:rPr>
          <w:rFonts w:ascii="Calibri" w:hAnsi="Calibri" w:cs="Calibri"/>
          <w:i/>
          <w:iCs/>
          <w:color w:val="000000"/>
          <w:sz w:val="16"/>
          <w:szCs w:val="16"/>
        </w:rPr>
        <w:t>Out Of The Ordinary: Folklore and the Supernatural</w:t>
      </w:r>
      <w:r>
        <w:rPr>
          <w:rFonts w:ascii="Calibri" w:hAnsi="Calibri" w:cs="Calibri"/>
          <w:color w:val="000000"/>
          <w:sz w:val="16"/>
          <w:szCs w:val="16"/>
        </w:rPr>
        <w:t xml:space="preserve"> (pp. 122–142). University Press of Colorado. </w:t>
      </w:r>
      <w:hyperlink r:id="rId9" w:history="1">
        <w:r>
          <w:rPr>
            <w:rStyle w:val="Hyperlink"/>
            <w:rFonts w:ascii="Calibri" w:hAnsi="Calibri" w:cs="Calibri"/>
            <w:sz w:val="16"/>
            <w:szCs w:val="16"/>
          </w:rPr>
          <w:t>https://doi.org/10.2307/j.ctt46nwn8.13</w:t>
        </w:r>
      </w:hyperlink>
    </w:p>
  </w:footnote>
  <w:footnote w:id="12">
    <w:p w:rsidR="00EE4C67" w:rsidRDefault="00EE4C67" w:rsidP="00EE4C67">
      <w:pPr>
        <w:pStyle w:val="FootnoteText"/>
        <w:rPr>
          <w:rFonts w:cs="Calibri"/>
          <w:sz w:val="16"/>
          <w:szCs w:val="16"/>
        </w:rPr>
      </w:pPr>
      <w:r>
        <w:rPr>
          <w:rStyle w:val="FootnoteReference"/>
          <w:rFonts w:cs="Calibri"/>
          <w:sz w:val="16"/>
          <w:szCs w:val="16"/>
        </w:rPr>
        <w:footnoteRef/>
      </w:r>
      <w:r>
        <w:rPr>
          <w:rFonts w:cs="Calibri"/>
          <w:sz w:val="16"/>
          <w:szCs w:val="16"/>
        </w:rPr>
        <w:t xml:space="preserve"> </w:t>
      </w:r>
      <w:r>
        <w:rPr>
          <w:rFonts w:cs="Calibri"/>
          <w:color w:val="000000"/>
          <w:sz w:val="16"/>
          <w:szCs w:val="16"/>
        </w:rPr>
        <w:t xml:space="preserve">Walker, B. (1995). Out of the ordinary: Folklore and the supernatural. Logan, Utah: Utah State University Press, p.7 </w:t>
      </w:r>
      <w:hyperlink r:id="rId10" w:history="1">
        <w:r>
          <w:rPr>
            <w:rStyle w:val="Hyperlink"/>
            <w:rFonts w:cs="Calibri"/>
            <w:sz w:val="16"/>
            <w:szCs w:val="16"/>
          </w:rPr>
          <w:t>https://digitalcommons.usu.edu/usupress_pubs</w:t>
        </w:r>
      </w:hyperlink>
    </w:p>
  </w:footnote>
  <w:footnote w:id="13">
    <w:p w:rsidR="00EE4C67" w:rsidRDefault="00EE4C67" w:rsidP="00EE4C67">
      <w:pPr>
        <w:pStyle w:val="FootnoteText"/>
        <w:rPr>
          <w:rFonts w:cs="Calibri"/>
          <w:sz w:val="16"/>
          <w:szCs w:val="16"/>
        </w:rPr>
      </w:pPr>
      <w:r>
        <w:rPr>
          <w:rStyle w:val="FootnoteReference"/>
          <w:rFonts w:cs="Calibri"/>
          <w:sz w:val="16"/>
          <w:szCs w:val="16"/>
        </w:rPr>
        <w:footnoteRef/>
      </w:r>
      <w:r>
        <w:rPr>
          <w:rFonts w:cs="Calibri"/>
          <w:sz w:val="16"/>
          <w:szCs w:val="16"/>
        </w:rPr>
        <w:t xml:space="preserve"> William </w:t>
      </w:r>
      <w:proofErr w:type="spellStart"/>
      <w:r>
        <w:rPr>
          <w:rFonts w:cs="Calibri"/>
          <w:sz w:val="16"/>
          <w:szCs w:val="16"/>
        </w:rPr>
        <w:t>Braud</w:t>
      </w:r>
      <w:proofErr w:type="spellEnd"/>
      <w:r>
        <w:rPr>
          <w:rFonts w:cs="Calibri"/>
          <w:sz w:val="16"/>
          <w:szCs w:val="16"/>
        </w:rPr>
        <w:t xml:space="preserve">, Rosemarie Anderson, Transpersonal Research Methods for the Social Sciences, </w:t>
      </w:r>
      <w:proofErr w:type="spellStart"/>
      <w:r>
        <w:rPr>
          <w:rFonts w:cs="Calibri"/>
          <w:sz w:val="16"/>
          <w:szCs w:val="16"/>
        </w:rPr>
        <w:t>Honoring</w:t>
      </w:r>
      <w:proofErr w:type="spellEnd"/>
      <w:r>
        <w:rPr>
          <w:rFonts w:cs="Calibri"/>
          <w:sz w:val="16"/>
          <w:szCs w:val="16"/>
        </w:rPr>
        <w:t xml:space="preserve"> Human Experience, Sage Publications, 1998, p.262.</w:t>
      </w:r>
    </w:p>
  </w:footnote>
  <w:footnote w:id="14">
    <w:p w:rsidR="00EE4C67" w:rsidRDefault="00EE4C67" w:rsidP="00EE4C67">
      <w:pPr>
        <w:pStyle w:val="FootnoteText"/>
        <w:rPr>
          <w:rFonts w:cs="Calibri"/>
          <w:sz w:val="16"/>
          <w:szCs w:val="16"/>
        </w:rPr>
      </w:pPr>
      <w:r>
        <w:rPr>
          <w:rStyle w:val="FootnoteReference"/>
          <w:rFonts w:cs="Calibri"/>
          <w:sz w:val="16"/>
          <w:szCs w:val="16"/>
        </w:rPr>
        <w:footnoteRef/>
      </w:r>
      <w:r>
        <w:rPr>
          <w:rFonts w:cs="Calibri"/>
          <w:sz w:val="16"/>
          <w:szCs w:val="16"/>
        </w:rPr>
        <w:t xml:space="preserve"> </w:t>
      </w:r>
      <w:r>
        <w:rPr>
          <w:rFonts w:eastAsia="Times New Roman" w:cs="Calibri"/>
          <w:color w:val="000000"/>
          <w:kern w:val="0"/>
          <w:sz w:val="16"/>
          <w:szCs w:val="16"/>
          <w:lang w:eastAsia="en-GB"/>
        </w:rPr>
        <w:t>Bennett, G. (1995). “If I Knew You Were Coming, I’d Have Baked a Cake”, p.128.</w:t>
      </w:r>
    </w:p>
  </w:footnote>
  <w:footnote w:id="15">
    <w:p w:rsidR="00EE4C67" w:rsidRDefault="00EE4C67" w:rsidP="00EE4C67">
      <w:pPr>
        <w:pStyle w:val="NoSpacing"/>
        <w:rPr>
          <w:rFonts w:cs="Calibri"/>
          <w:sz w:val="16"/>
          <w:szCs w:val="16"/>
        </w:rPr>
      </w:pPr>
      <w:r>
        <w:rPr>
          <w:rStyle w:val="FootnoteReference"/>
          <w:rFonts w:cs="Calibri"/>
          <w:sz w:val="16"/>
          <w:szCs w:val="16"/>
        </w:rPr>
        <w:footnoteRef/>
      </w:r>
      <w:r>
        <w:rPr>
          <w:rFonts w:cs="Calibri"/>
          <w:sz w:val="16"/>
          <w:szCs w:val="16"/>
        </w:rPr>
        <w:t xml:space="preserve"> </w:t>
      </w:r>
      <w:r>
        <w:rPr>
          <w:rFonts w:cs="Calibri"/>
          <w:color w:val="1D2125"/>
          <w:sz w:val="16"/>
          <w:szCs w:val="16"/>
        </w:rPr>
        <w:t>Alan Bryman,</w:t>
      </w:r>
      <w:r>
        <w:rPr>
          <w:rStyle w:val="apple-converted-space"/>
          <w:rFonts w:cs="Calibri"/>
          <w:color w:val="1D2125"/>
          <w:sz w:val="16"/>
          <w:szCs w:val="16"/>
        </w:rPr>
        <w:t> </w:t>
      </w:r>
      <w:r>
        <w:rPr>
          <w:rStyle w:val="Emphasis"/>
          <w:rFonts w:cs="Calibri"/>
          <w:color w:val="1D2125"/>
          <w:sz w:val="16"/>
          <w:szCs w:val="16"/>
        </w:rPr>
        <w:t>Quantity and Quality in Social Research</w:t>
      </w:r>
      <w:r>
        <w:rPr>
          <w:rStyle w:val="apple-converted-space"/>
          <w:rFonts w:cs="Calibri"/>
          <w:color w:val="1D2125"/>
          <w:sz w:val="16"/>
          <w:szCs w:val="16"/>
        </w:rPr>
        <w:t> </w:t>
      </w:r>
      <w:r>
        <w:rPr>
          <w:rFonts w:cs="Calibri"/>
          <w:color w:val="1D2125"/>
          <w:sz w:val="16"/>
          <w:szCs w:val="16"/>
        </w:rPr>
        <w:t>(London: Routledge, 2001), p101.</w:t>
      </w:r>
    </w:p>
  </w:footnote>
  <w:footnote w:id="16">
    <w:p w:rsidR="00EE4C67" w:rsidRDefault="00EE4C67" w:rsidP="00EE4C67">
      <w:pPr>
        <w:pStyle w:val="FootnoteText"/>
        <w:rPr>
          <w:rFonts w:cs="Calibri"/>
          <w:sz w:val="16"/>
          <w:szCs w:val="16"/>
        </w:rPr>
      </w:pPr>
      <w:r>
        <w:rPr>
          <w:rStyle w:val="FootnoteReference"/>
          <w:rFonts w:cs="Calibri"/>
          <w:sz w:val="16"/>
          <w:szCs w:val="16"/>
        </w:rPr>
        <w:footnoteRef/>
      </w:r>
      <w:r>
        <w:rPr>
          <w:rFonts w:cs="Calibri"/>
          <w:sz w:val="16"/>
          <w:szCs w:val="16"/>
        </w:rPr>
        <w:t xml:space="preserve"> </w:t>
      </w:r>
      <w:r>
        <w:rPr>
          <w:rFonts w:cs="Calibri"/>
          <w:color w:val="1D2125"/>
          <w:sz w:val="16"/>
          <w:szCs w:val="16"/>
        </w:rPr>
        <w:t>Alan Bryman</w:t>
      </w:r>
      <w:r>
        <w:rPr>
          <w:rStyle w:val="apple-converted-space"/>
          <w:rFonts w:cs="Calibri"/>
          <w:color w:val="1D2125"/>
          <w:sz w:val="16"/>
          <w:szCs w:val="16"/>
        </w:rPr>
        <w:t>, p.102.</w:t>
      </w:r>
    </w:p>
  </w:footnote>
  <w:footnote w:id="17">
    <w:p w:rsidR="00EE4C67" w:rsidRDefault="00EE4C67" w:rsidP="00EE4C67">
      <w:pPr>
        <w:pStyle w:val="FootnoteText"/>
        <w:rPr>
          <w:rFonts w:cs="Calibri"/>
          <w:sz w:val="16"/>
          <w:szCs w:val="16"/>
        </w:rPr>
      </w:pPr>
      <w:r>
        <w:rPr>
          <w:rStyle w:val="FootnoteReference"/>
          <w:rFonts w:cs="Calibri"/>
          <w:sz w:val="16"/>
          <w:szCs w:val="16"/>
        </w:rPr>
        <w:footnoteRef/>
      </w:r>
      <w:r>
        <w:rPr>
          <w:rFonts w:cs="Calibri"/>
          <w:sz w:val="16"/>
          <w:szCs w:val="16"/>
        </w:rPr>
        <w:t xml:space="preserve"> </w:t>
      </w:r>
      <w:r>
        <w:rPr>
          <w:rFonts w:eastAsia="Times New Roman" w:cs="Calibri"/>
          <w:color w:val="000000"/>
          <w:kern w:val="0"/>
          <w:sz w:val="16"/>
          <w:szCs w:val="16"/>
          <w:lang w:eastAsia="en-GB"/>
        </w:rPr>
        <w:t xml:space="preserve">Bennett, G. (1995). “If I Knew You Were Coming, I’d Have Baked a Cake”, </w:t>
      </w:r>
      <w:r>
        <w:rPr>
          <w:rFonts w:cs="Calibri"/>
          <w:sz w:val="16"/>
          <w:szCs w:val="16"/>
        </w:rPr>
        <w:t>p.133.</w:t>
      </w:r>
    </w:p>
  </w:footnote>
  <w:footnote w:id="18">
    <w:p w:rsidR="00EE4C67" w:rsidRDefault="00EE4C67" w:rsidP="00EE4C67">
      <w:pPr>
        <w:rPr>
          <w:rFonts w:ascii="Calibri" w:hAnsi="Calibri" w:cs="Calibri"/>
          <w:color w:val="000000"/>
          <w:sz w:val="16"/>
          <w:szCs w:val="16"/>
        </w:rPr>
      </w:pPr>
      <w:r>
        <w:rPr>
          <w:rStyle w:val="FootnoteReference"/>
          <w:rFonts w:ascii="Calibri" w:hAnsi="Calibri" w:cs="Calibri"/>
          <w:sz w:val="16"/>
          <w:szCs w:val="16"/>
        </w:rPr>
        <w:footnoteRef/>
      </w:r>
      <w:r>
        <w:rPr>
          <w:rFonts w:ascii="Calibri" w:hAnsi="Calibri" w:cs="Calibri"/>
          <w:sz w:val="16"/>
          <w:szCs w:val="16"/>
        </w:rPr>
        <w:t xml:space="preserve"> </w:t>
      </w:r>
      <w:proofErr w:type="spellStart"/>
      <w:r>
        <w:rPr>
          <w:rFonts w:ascii="Calibri" w:hAnsi="Calibri" w:cs="Calibri"/>
          <w:color w:val="000000"/>
          <w:sz w:val="16"/>
          <w:szCs w:val="16"/>
        </w:rPr>
        <w:t>Jick</w:t>
      </w:r>
      <w:proofErr w:type="spellEnd"/>
      <w:r>
        <w:rPr>
          <w:rFonts w:ascii="Calibri" w:hAnsi="Calibri" w:cs="Calibri"/>
          <w:color w:val="000000"/>
          <w:sz w:val="16"/>
          <w:szCs w:val="16"/>
        </w:rPr>
        <w:t>, T. D. (1979). Mixing Qualitative and Quantitative Methods: Triangulation in Action. </w:t>
      </w:r>
      <w:r>
        <w:rPr>
          <w:rFonts w:ascii="Calibri" w:hAnsi="Calibri" w:cs="Calibri"/>
          <w:i/>
          <w:iCs/>
          <w:color w:val="000000"/>
          <w:sz w:val="16"/>
          <w:szCs w:val="16"/>
        </w:rPr>
        <w:t>Administrative Science Quarterly</w:t>
      </w:r>
      <w:r>
        <w:rPr>
          <w:rFonts w:ascii="Calibri" w:hAnsi="Calibri" w:cs="Calibri"/>
          <w:color w:val="000000"/>
          <w:sz w:val="16"/>
          <w:szCs w:val="16"/>
        </w:rPr>
        <w:t>, </w:t>
      </w:r>
      <w:r>
        <w:rPr>
          <w:rFonts w:ascii="Calibri" w:hAnsi="Calibri" w:cs="Calibri"/>
          <w:i/>
          <w:iCs/>
          <w:color w:val="000000"/>
          <w:sz w:val="16"/>
          <w:szCs w:val="16"/>
        </w:rPr>
        <w:t>24</w:t>
      </w:r>
      <w:r>
        <w:rPr>
          <w:rFonts w:ascii="Calibri" w:hAnsi="Calibri" w:cs="Calibri"/>
          <w:color w:val="000000"/>
          <w:sz w:val="16"/>
          <w:szCs w:val="16"/>
        </w:rPr>
        <w:t xml:space="preserve">(4), 602–611, p.2. </w:t>
      </w:r>
      <w:hyperlink r:id="rId11" w:history="1">
        <w:r>
          <w:rPr>
            <w:rStyle w:val="Hyperlink"/>
            <w:rFonts w:ascii="Calibri" w:hAnsi="Calibri" w:cs="Calibri"/>
            <w:sz w:val="16"/>
            <w:szCs w:val="16"/>
          </w:rPr>
          <w:t>https://doi.org/10.2307/2392366</w:t>
        </w:r>
      </w:hyperlink>
    </w:p>
  </w:footnote>
  <w:footnote w:id="19">
    <w:p w:rsidR="00EE4C67" w:rsidRDefault="00EE4C67" w:rsidP="00EE4C67">
      <w:pPr>
        <w:pStyle w:val="FootnoteText"/>
        <w:rPr>
          <w:rFonts w:cs="Calibri"/>
          <w:sz w:val="16"/>
          <w:szCs w:val="16"/>
        </w:rPr>
      </w:pPr>
      <w:r>
        <w:rPr>
          <w:rStyle w:val="FootnoteReference"/>
          <w:rFonts w:cs="Calibri"/>
          <w:sz w:val="16"/>
          <w:szCs w:val="16"/>
        </w:rPr>
        <w:footnoteRef/>
      </w:r>
      <w:r>
        <w:rPr>
          <w:rFonts w:cs="Calibri"/>
          <w:sz w:val="16"/>
          <w:szCs w:val="16"/>
        </w:rPr>
        <w:t xml:space="preserve"> William </w:t>
      </w:r>
      <w:proofErr w:type="spellStart"/>
      <w:r>
        <w:rPr>
          <w:rFonts w:cs="Calibri"/>
          <w:sz w:val="16"/>
          <w:szCs w:val="16"/>
        </w:rPr>
        <w:t>Braud</w:t>
      </w:r>
      <w:proofErr w:type="spellEnd"/>
      <w:r>
        <w:rPr>
          <w:rFonts w:cs="Calibri"/>
          <w:sz w:val="16"/>
          <w:szCs w:val="16"/>
        </w:rPr>
        <w:t>, Rosemarie Anderson, Transpersonal Research Methods for the Social Sciences, p.264.</w:t>
      </w:r>
    </w:p>
  </w:footnote>
  <w:footnote w:id="20">
    <w:p w:rsidR="00EE4C67" w:rsidRDefault="00EE4C67" w:rsidP="00EE4C6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sz w:val="16"/>
          <w:szCs w:val="16"/>
        </w:rPr>
      </w:pPr>
      <w:r>
        <w:rPr>
          <w:rStyle w:val="FootnoteReference"/>
          <w:rFonts w:ascii="Calibri" w:hAnsi="Calibri" w:cs="Calibri"/>
          <w:sz w:val="16"/>
          <w:szCs w:val="16"/>
        </w:rPr>
        <w:footnoteRef/>
      </w:r>
      <w:r>
        <w:rPr>
          <w:rFonts w:ascii="Calibri" w:hAnsi="Calibri" w:cs="Calibri"/>
          <w:sz w:val="16"/>
          <w:szCs w:val="16"/>
        </w:rPr>
        <w:t xml:space="preserve"> </w:t>
      </w:r>
      <w:r>
        <w:rPr>
          <w:rFonts w:ascii="Calibri" w:hAnsi="Calibri" w:cs="Calibri"/>
          <w:color w:val="000000"/>
          <w:sz w:val="16"/>
          <w:szCs w:val="16"/>
        </w:rPr>
        <w:t xml:space="preserve">Jenny Blain, Speaking </w:t>
      </w:r>
      <w:proofErr w:type="spellStart"/>
      <w:r>
        <w:rPr>
          <w:rFonts w:ascii="Calibri" w:hAnsi="Calibri" w:cs="Calibri"/>
          <w:color w:val="000000"/>
          <w:sz w:val="16"/>
          <w:szCs w:val="16"/>
        </w:rPr>
        <w:t>Shamanistically</w:t>
      </w:r>
      <w:proofErr w:type="spellEnd"/>
      <w:r>
        <w:rPr>
          <w:rFonts w:ascii="Calibri" w:hAnsi="Calibri" w:cs="Calibri"/>
          <w:color w:val="000000"/>
          <w:sz w:val="16"/>
          <w:szCs w:val="16"/>
        </w:rPr>
        <w:t xml:space="preserve">: </w:t>
      </w:r>
      <w:proofErr w:type="spellStart"/>
      <w:r>
        <w:rPr>
          <w:rFonts w:ascii="Calibri" w:hAnsi="Calibri" w:cs="Calibri"/>
          <w:color w:val="000000"/>
          <w:sz w:val="16"/>
          <w:szCs w:val="16"/>
        </w:rPr>
        <w:t>Seidr</w:t>
      </w:r>
      <w:proofErr w:type="spellEnd"/>
      <w:r>
        <w:rPr>
          <w:rFonts w:ascii="Calibri" w:hAnsi="Calibri" w:cs="Calibri"/>
          <w:color w:val="000000"/>
          <w:sz w:val="16"/>
          <w:szCs w:val="16"/>
        </w:rPr>
        <w:t xml:space="preserve">, Academia And Rationality, </w:t>
      </w:r>
      <w:proofErr w:type="spellStart"/>
      <w:r>
        <w:rPr>
          <w:rFonts w:ascii="Calibri" w:hAnsi="Calibri" w:cs="Calibri"/>
          <w:color w:val="000000"/>
          <w:sz w:val="16"/>
          <w:szCs w:val="16"/>
        </w:rPr>
        <w:t>Diskus</w:t>
      </w:r>
      <w:proofErr w:type="spellEnd"/>
      <w:r>
        <w:rPr>
          <w:rFonts w:ascii="Calibri" w:hAnsi="Calibri" w:cs="Calibri"/>
          <w:color w:val="000000"/>
          <w:sz w:val="16"/>
          <w:szCs w:val="16"/>
        </w:rPr>
        <w:t xml:space="preserve"> Volume 6 (2000), section </w:t>
      </w:r>
      <w:proofErr w:type="spellStart"/>
      <w:r>
        <w:rPr>
          <w:rFonts w:ascii="Calibri" w:hAnsi="Calibri" w:cs="Calibri"/>
          <w:color w:val="000000"/>
          <w:sz w:val="16"/>
          <w:szCs w:val="16"/>
        </w:rPr>
        <w:t>Seidr</w:t>
      </w:r>
      <w:proofErr w:type="spellEnd"/>
      <w:r>
        <w:rPr>
          <w:rFonts w:ascii="Calibri" w:hAnsi="Calibri" w:cs="Calibri"/>
          <w:color w:val="000000"/>
          <w:sz w:val="16"/>
          <w:szCs w:val="16"/>
        </w:rPr>
        <w:t xml:space="preserve"> and the Anthropologist, http://www.uni-marburg.de/fb03/religionswissenschaft/journal/p.6.</w:t>
      </w:r>
    </w:p>
  </w:footnote>
  <w:footnote w:id="21">
    <w:p w:rsidR="00EE4C67" w:rsidRDefault="00EE4C67" w:rsidP="00EE4C67">
      <w:pPr>
        <w:pStyle w:val="NoSpacing"/>
        <w:rPr>
          <w:rFonts w:cs="Calibri"/>
          <w:sz w:val="16"/>
          <w:szCs w:val="16"/>
        </w:rPr>
      </w:pPr>
      <w:r>
        <w:rPr>
          <w:rStyle w:val="FootnoteReference"/>
          <w:rFonts w:cs="Calibri"/>
          <w:sz w:val="16"/>
          <w:szCs w:val="16"/>
        </w:rPr>
        <w:footnoteRef/>
      </w:r>
      <w:r>
        <w:rPr>
          <w:rFonts w:cs="Calibri"/>
          <w:sz w:val="16"/>
          <w:szCs w:val="16"/>
        </w:rPr>
        <w:t xml:space="preserve"> </w:t>
      </w:r>
      <w:r>
        <w:rPr>
          <w:rFonts w:cs="Calibri"/>
          <w:color w:val="000000"/>
          <w:sz w:val="16"/>
          <w:szCs w:val="16"/>
        </w:rPr>
        <w:t>Alan Bryman, (1988)</w:t>
      </w:r>
      <w:r>
        <w:rPr>
          <w:rStyle w:val="apple-converted-space"/>
          <w:rFonts w:cs="Calibri"/>
          <w:color w:val="000000"/>
          <w:sz w:val="16"/>
          <w:szCs w:val="16"/>
        </w:rPr>
        <w:t> </w:t>
      </w:r>
      <w:r>
        <w:rPr>
          <w:rFonts w:cs="Calibri"/>
          <w:i/>
          <w:iCs/>
          <w:color w:val="000000"/>
          <w:sz w:val="16"/>
          <w:szCs w:val="16"/>
        </w:rPr>
        <w:t>Quantity and Quality in Social Research</w:t>
      </w:r>
      <w:r>
        <w:rPr>
          <w:rFonts w:cs="Calibri"/>
          <w:color w:val="000000"/>
          <w:sz w:val="16"/>
          <w:szCs w:val="16"/>
        </w:rPr>
        <w:t>. London: Routledge. Available at: https://research-ebsco-com.ezproxy.uwtsd.ac.uk/linkprocessor/plink?id=21e8bdbd-af65-3351-a58d-8184dca647a1, p.66, (Accessed: 19 February 2025)</w:t>
      </w:r>
    </w:p>
  </w:footnote>
  <w:footnote w:id="22">
    <w:p w:rsidR="00EE4C67" w:rsidRDefault="00EE4C67" w:rsidP="00EE4C67">
      <w:pPr>
        <w:pStyle w:val="FootnoteText"/>
        <w:rPr>
          <w:rFonts w:cs="Calibri"/>
          <w:sz w:val="16"/>
          <w:szCs w:val="16"/>
        </w:rPr>
      </w:pPr>
      <w:r>
        <w:rPr>
          <w:rStyle w:val="FootnoteReference"/>
          <w:rFonts w:cs="Calibri"/>
          <w:sz w:val="16"/>
          <w:szCs w:val="16"/>
        </w:rPr>
        <w:footnoteRef/>
      </w:r>
      <w:r>
        <w:rPr>
          <w:rFonts w:cs="Calibri"/>
          <w:sz w:val="16"/>
          <w:szCs w:val="16"/>
        </w:rPr>
        <w:t xml:space="preserve"> Alan Bryman (1988)</w:t>
      </w:r>
      <w:r>
        <w:rPr>
          <w:rStyle w:val="apple-converted-space"/>
          <w:rFonts w:cs="Calibri"/>
          <w:sz w:val="16"/>
          <w:szCs w:val="16"/>
        </w:rPr>
        <w:t> </w:t>
      </w:r>
      <w:r>
        <w:rPr>
          <w:rFonts w:cs="Calibri"/>
          <w:i/>
          <w:iCs/>
          <w:sz w:val="16"/>
          <w:szCs w:val="16"/>
        </w:rPr>
        <w:t>Quantity and Quality in Social Research</w:t>
      </w:r>
      <w:r>
        <w:rPr>
          <w:rFonts w:cs="Calibri"/>
          <w:sz w:val="16"/>
          <w:szCs w:val="16"/>
        </w:rPr>
        <w:t>,p.99.</w:t>
      </w:r>
    </w:p>
  </w:footnote>
  <w:footnote w:id="23">
    <w:p w:rsidR="00EE4C67" w:rsidRDefault="00EE4C67" w:rsidP="00EE4C6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sz w:val="16"/>
          <w:szCs w:val="16"/>
        </w:rPr>
      </w:pPr>
      <w:r>
        <w:rPr>
          <w:rStyle w:val="FootnoteReference"/>
          <w:rFonts w:ascii="Calibri" w:hAnsi="Calibri" w:cs="Calibri"/>
          <w:sz w:val="16"/>
          <w:szCs w:val="16"/>
        </w:rPr>
        <w:footnoteRef/>
      </w:r>
      <w:r>
        <w:rPr>
          <w:rFonts w:ascii="Calibri" w:hAnsi="Calibri" w:cs="Calibri"/>
          <w:sz w:val="16"/>
          <w:szCs w:val="16"/>
        </w:rPr>
        <w:t xml:space="preserve"> Jenny Blain, Speaking </w:t>
      </w:r>
      <w:proofErr w:type="spellStart"/>
      <w:r>
        <w:rPr>
          <w:rFonts w:ascii="Calibri" w:hAnsi="Calibri" w:cs="Calibri"/>
          <w:sz w:val="16"/>
          <w:szCs w:val="16"/>
        </w:rPr>
        <w:t>Shamanistically</w:t>
      </w:r>
      <w:proofErr w:type="spellEnd"/>
      <w:r>
        <w:rPr>
          <w:rFonts w:ascii="Calibri" w:hAnsi="Calibri" w:cs="Calibri"/>
          <w:sz w:val="16"/>
          <w:szCs w:val="16"/>
        </w:rPr>
        <w:t xml:space="preserve">: </w:t>
      </w:r>
      <w:proofErr w:type="spellStart"/>
      <w:r>
        <w:rPr>
          <w:rFonts w:ascii="Calibri" w:hAnsi="Calibri" w:cs="Calibri"/>
          <w:sz w:val="16"/>
          <w:szCs w:val="16"/>
        </w:rPr>
        <w:t>Seidr</w:t>
      </w:r>
      <w:proofErr w:type="spellEnd"/>
      <w:r>
        <w:rPr>
          <w:rFonts w:ascii="Calibri" w:hAnsi="Calibri" w:cs="Calibri"/>
          <w:sz w:val="16"/>
          <w:szCs w:val="16"/>
        </w:rPr>
        <w:t>, Academia And Rationality, p.5.</w:t>
      </w:r>
    </w:p>
  </w:footnote>
  <w:footnote w:id="24">
    <w:p w:rsidR="00EE4C67" w:rsidRDefault="00EE4C67" w:rsidP="00EE4C67">
      <w:pPr>
        <w:pStyle w:val="FootnoteText"/>
        <w:rPr>
          <w:rFonts w:cs="Calibri"/>
          <w:sz w:val="16"/>
          <w:szCs w:val="16"/>
        </w:rPr>
      </w:pPr>
      <w:r>
        <w:rPr>
          <w:rStyle w:val="FootnoteReference"/>
          <w:rFonts w:cs="Calibri"/>
          <w:sz w:val="16"/>
          <w:szCs w:val="16"/>
        </w:rPr>
        <w:footnoteRef/>
      </w:r>
      <w:r>
        <w:rPr>
          <w:rFonts w:cs="Calibri"/>
          <w:sz w:val="16"/>
          <w:szCs w:val="16"/>
        </w:rPr>
        <w:t xml:space="preserve"> Jenny Blain, Speaking </w:t>
      </w:r>
      <w:proofErr w:type="spellStart"/>
      <w:r>
        <w:rPr>
          <w:rFonts w:cs="Calibri"/>
          <w:sz w:val="16"/>
          <w:szCs w:val="16"/>
        </w:rPr>
        <w:t>Shamanistically</w:t>
      </w:r>
      <w:proofErr w:type="spellEnd"/>
      <w:r>
        <w:rPr>
          <w:rFonts w:cs="Calibri"/>
          <w:sz w:val="16"/>
          <w:szCs w:val="16"/>
        </w:rPr>
        <w:t>, p.6.</w:t>
      </w:r>
    </w:p>
  </w:footnote>
  <w:footnote w:id="25">
    <w:p w:rsidR="00EE4C67" w:rsidRDefault="00EE4C67" w:rsidP="00EE4C67">
      <w:pPr>
        <w:pStyle w:val="FootnoteText"/>
        <w:rPr>
          <w:rFonts w:cs="Calibri"/>
          <w:sz w:val="16"/>
          <w:szCs w:val="16"/>
        </w:rPr>
      </w:pPr>
      <w:r>
        <w:rPr>
          <w:rStyle w:val="FootnoteReference"/>
          <w:rFonts w:cs="Calibri"/>
          <w:sz w:val="16"/>
          <w:szCs w:val="16"/>
        </w:rPr>
        <w:footnoteRef/>
      </w:r>
      <w:r>
        <w:rPr>
          <w:rFonts w:cs="Calibri"/>
          <w:sz w:val="16"/>
          <w:szCs w:val="16"/>
        </w:rPr>
        <w:t xml:space="preserve"> Monique </w:t>
      </w:r>
      <w:proofErr w:type="spellStart"/>
      <w:r>
        <w:rPr>
          <w:rFonts w:cs="Calibri"/>
          <w:sz w:val="16"/>
          <w:szCs w:val="16"/>
        </w:rPr>
        <w:t>Hennink</w:t>
      </w:r>
      <w:proofErr w:type="spellEnd"/>
      <w:r>
        <w:rPr>
          <w:rFonts w:cs="Calibri"/>
          <w:sz w:val="16"/>
          <w:szCs w:val="16"/>
        </w:rPr>
        <w:t xml:space="preserve"> and others, Qualitative Research Methods, SE, Sage Publications, 2020, p.497.</w:t>
      </w:r>
    </w:p>
  </w:footnote>
  <w:footnote w:id="26">
    <w:p w:rsidR="00EE4C67" w:rsidRDefault="00EE4C67" w:rsidP="00EE4C6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sz w:val="16"/>
          <w:szCs w:val="16"/>
        </w:rPr>
      </w:pPr>
      <w:r>
        <w:rPr>
          <w:rStyle w:val="FootnoteReference"/>
          <w:rFonts w:ascii="Calibri" w:hAnsi="Calibri" w:cs="Calibri"/>
          <w:sz w:val="16"/>
          <w:szCs w:val="16"/>
        </w:rPr>
        <w:footnoteRef/>
      </w:r>
      <w:r>
        <w:rPr>
          <w:rFonts w:ascii="Calibri" w:hAnsi="Calibri" w:cs="Calibri"/>
          <w:sz w:val="16"/>
          <w:szCs w:val="16"/>
        </w:rPr>
        <w:t xml:space="preserve"> Jenny Blain, Speaking </w:t>
      </w:r>
      <w:proofErr w:type="spellStart"/>
      <w:r>
        <w:rPr>
          <w:rFonts w:ascii="Calibri" w:hAnsi="Calibri" w:cs="Calibri"/>
          <w:sz w:val="16"/>
          <w:szCs w:val="16"/>
        </w:rPr>
        <w:t>Shamanistically</w:t>
      </w:r>
      <w:proofErr w:type="spellEnd"/>
      <w:r>
        <w:rPr>
          <w:rFonts w:ascii="Calibri" w:hAnsi="Calibri" w:cs="Calibri"/>
          <w:sz w:val="16"/>
          <w:szCs w:val="16"/>
        </w:rPr>
        <w:t>, p.13</w:t>
      </w:r>
      <w:r w:rsidR="001F7249">
        <w:rPr>
          <w:rFonts w:ascii="Calibri" w:hAnsi="Calibri" w:cs="Calibri"/>
          <w:sz w:val="16"/>
          <w:szCs w:val="16"/>
        </w:rPr>
        <w:t>.</w:t>
      </w:r>
    </w:p>
  </w:footnote>
  <w:footnote w:id="27">
    <w:p w:rsidR="00EE4C67" w:rsidRDefault="00EE4C67" w:rsidP="00EE4C67">
      <w:pPr>
        <w:rPr>
          <w:rFonts w:ascii="Calibri" w:hAnsi="Calibri" w:cs="Calibri"/>
          <w:sz w:val="16"/>
          <w:szCs w:val="16"/>
        </w:rPr>
      </w:pPr>
      <w:r>
        <w:rPr>
          <w:rStyle w:val="FootnoteReference"/>
          <w:rFonts w:ascii="Calibri" w:hAnsi="Calibri" w:cs="Calibri"/>
          <w:sz w:val="16"/>
          <w:szCs w:val="16"/>
        </w:rPr>
        <w:footnoteRef/>
      </w:r>
      <w:r>
        <w:rPr>
          <w:rFonts w:ascii="Calibri" w:hAnsi="Calibri" w:cs="Calibri"/>
          <w:sz w:val="16"/>
          <w:szCs w:val="16"/>
        </w:rPr>
        <w:t xml:space="preserve"> Bennett, G. (1995). “If I Knew You Were Coming, I’d Have Baked a Cake, p.127.</w:t>
      </w:r>
    </w:p>
  </w:footnote>
  <w:footnote w:id="28">
    <w:p w:rsidR="00EE4C67" w:rsidRDefault="00EE4C67" w:rsidP="00EE4C6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sz w:val="16"/>
          <w:szCs w:val="16"/>
        </w:rPr>
      </w:pPr>
      <w:r>
        <w:rPr>
          <w:rStyle w:val="FootnoteReference"/>
          <w:rFonts w:ascii="Calibri" w:hAnsi="Calibri" w:cs="Calibri"/>
          <w:sz w:val="16"/>
          <w:szCs w:val="16"/>
        </w:rPr>
        <w:footnoteRef/>
      </w:r>
      <w:r>
        <w:rPr>
          <w:rFonts w:ascii="Calibri" w:hAnsi="Calibri" w:cs="Calibri"/>
          <w:sz w:val="16"/>
          <w:szCs w:val="16"/>
        </w:rPr>
        <w:t xml:space="preserve"> Walker, B. (1995). Out of the ordinary: Folklore and the supernatural. Logan, Utah: Utah State University Press, p.142. </w:t>
      </w:r>
      <w:hyperlink r:id="rId12" w:history="1">
        <w:r>
          <w:rPr>
            <w:rStyle w:val="Hyperlink"/>
            <w:rFonts w:ascii="Calibri" w:hAnsi="Calibri" w:cs="Calibri"/>
            <w:sz w:val="16"/>
            <w:szCs w:val="16"/>
          </w:rPr>
          <w:t>https://digitalcommons.usu.edu/usupress_pubs</w:t>
        </w:r>
      </w:hyperlink>
      <w:r>
        <w:rPr>
          <w:rFonts w:ascii="Calibri" w:hAnsi="Calibri" w:cs="Calibri"/>
          <w:sz w:val="16"/>
          <w:szCs w:val="16"/>
        </w:rPr>
        <w:t>.</w:t>
      </w:r>
    </w:p>
  </w:footnote>
  <w:footnote w:id="29">
    <w:p w:rsidR="00EE4C67" w:rsidRDefault="00EE4C67" w:rsidP="00EE4C67">
      <w:pPr>
        <w:rPr>
          <w:rFonts w:ascii="Calibri" w:hAnsi="Calibri" w:cs="Calibri"/>
          <w:color w:val="000000"/>
          <w:sz w:val="16"/>
          <w:szCs w:val="16"/>
        </w:rPr>
      </w:pPr>
      <w:r>
        <w:rPr>
          <w:rStyle w:val="FootnoteReference"/>
          <w:rFonts w:ascii="Calibri" w:hAnsi="Calibri" w:cs="Calibri"/>
          <w:sz w:val="16"/>
          <w:szCs w:val="16"/>
        </w:rPr>
        <w:footnoteRef/>
      </w:r>
      <w:r>
        <w:rPr>
          <w:rFonts w:ascii="Calibri" w:hAnsi="Calibri" w:cs="Calibri"/>
          <w:sz w:val="16"/>
          <w:szCs w:val="16"/>
        </w:rPr>
        <w:t xml:space="preserve"> </w:t>
      </w:r>
      <w:proofErr w:type="spellStart"/>
      <w:r>
        <w:rPr>
          <w:rFonts w:ascii="Calibri" w:hAnsi="Calibri" w:cs="Calibri"/>
          <w:color w:val="000000"/>
          <w:sz w:val="16"/>
          <w:szCs w:val="16"/>
        </w:rPr>
        <w:t>Topolski</w:t>
      </w:r>
      <w:proofErr w:type="spellEnd"/>
      <w:r>
        <w:rPr>
          <w:rFonts w:ascii="Calibri" w:hAnsi="Calibri" w:cs="Calibri"/>
          <w:color w:val="000000"/>
          <w:sz w:val="16"/>
          <w:szCs w:val="16"/>
        </w:rPr>
        <w:t>, J. (1987). Historical Narrative: Towards a Coherent Structure. </w:t>
      </w:r>
      <w:r>
        <w:rPr>
          <w:rFonts w:ascii="Calibri" w:hAnsi="Calibri" w:cs="Calibri"/>
          <w:i/>
          <w:iCs/>
          <w:color w:val="000000"/>
          <w:sz w:val="16"/>
          <w:szCs w:val="16"/>
        </w:rPr>
        <w:t>History and Theory</w:t>
      </w:r>
      <w:r>
        <w:rPr>
          <w:rFonts w:ascii="Calibri" w:hAnsi="Calibri" w:cs="Calibri"/>
          <w:color w:val="000000"/>
          <w:sz w:val="16"/>
          <w:szCs w:val="16"/>
        </w:rPr>
        <w:t>, </w:t>
      </w:r>
      <w:r>
        <w:rPr>
          <w:rFonts w:ascii="Calibri" w:hAnsi="Calibri" w:cs="Calibri"/>
          <w:i/>
          <w:iCs/>
          <w:color w:val="000000"/>
          <w:sz w:val="16"/>
          <w:szCs w:val="16"/>
        </w:rPr>
        <w:t>26</w:t>
      </w:r>
      <w:r>
        <w:rPr>
          <w:rFonts w:ascii="Calibri" w:hAnsi="Calibri" w:cs="Calibri"/>
          <w:color w:val="000000"/>
          <w:sz w:val="16"/>
          <w:szCs w:val="16"/>
        </w:rPr>
        <w:t xml:space="preserve">(4), 75–86, p.77. </w:t>
      </w:r>
      <w:hyperlink r:id="rId13" w:history="1">
        <w:r>
          <w:rPr>
            <w:rStyle w:val="Hyperlink"/>
            <w:rFonts w:ascii="Calibri" w:hAnsi="Calibri" w:cs="Calibri"/>
            <w:sz w:val="16"/>
            <w:szCs w:val="16"/>
          </w:rPr>
          <w:t>https://doi.org/10.2307/2505046</w:t>
        </w:r>
      </w:hyperlink>
      <w:r>
        <w:rPr>
          <w:rFonts w:ascii="Calibri" w:hAnsi="Calibri" w:cs="Calibri"/>
          <w:color w:val="000000"/>
          <w:sz w:val="16"/>
          <w:szCs w:val="16"/>
        </w:rPr>
        <w:t xml:space="preserve"> </w:t>
      </w:r>
    </w:p>
  </w:footnote>
  <w:footnote w:id="30">
    <w:p w:rsidR="00EE4C67" w:rsidRPr="008D12F1" w:rsidRDefault="00EE4C67" w:rsidP="00EE4C67">
      <w:pPr>
        <w:pStyle w:val="FootnoteText"/>
        <w:rPr>
          <w:sz w:val="16"/>
          <w:szCs w:val="16"/>
        </w:rPr>
      </w:pPr>
      <w:r w:rsidRPr="008D12F1">
        <w:rPr>
          <w:rStyle w:val="FootnoteReference"/>
          <w:sz w:val="16"/>
          <w:szCs w:val="16"/>
        </w:rPr>
        <w:footnoteRef/>
      </w:r>
      <w:r w:rsidRPr="008D12F1">
        <w:rPr>
          <w:sz w:val="16"/>
          <w:szCs w:val="16"/>
        </w:rPr>
        <w:t xml:space="preserve"> </w:t>
      </w:r>
      <w:r w:rsidRPr="008D12F1">
        <w:rPr>
          <w:rFonts w:cs="Calibri"/>
          <w:color w:val="000000"/>
          <w:sz w:val="16"/>
          <w:szCs w:val="16"/>
        </w:rPr>
        <w:t xml:space="preserve">Jenny Blain, Speaking </w:t>
      </w:r>
      <w:proofErr w:type="spellStart"/>
      <w:r w:rsidRPr="008D12F1">
        <w:rPr>
          <w:rFonts w:cs="Calibri"/>
          <w:color w:val="000000"/>
          <w:sz w:val="16"/>
          <w:szCs w:val="16"/>
        </w:rPr>
        <w:t>Shamanistically</w:t>
      </w:r>
      <w:proofErr w:type="spellEnd"/>
      <w:r w:rsidRPr="008D12F1">
        <w:rPr>
          <w:rFonts w:cs="Calibri"/>
          <w:color w:val="000000"/>
          <w:sz w:val="16"/>
          <w:szCs w:val="16"/>
        </w:rPr>
        <w:t xml:space="preserve">: </w:t>
      </w:r>
      <w:proofErr w:type="spellStart"/>
      <w:r w:rsidRPr="008D12F1">
        <w:rPr>
          <w:rFonts w:cs="Calibri"/>
          <w:color w:val="000000"/>
          <w:sz w:val="16"/>
          <w:szCs w:val="16"/>
        </w:rPr>
        <w:t>Seidr</w:t>
      </w:r>
      <w:proofErr w:type="spellEnd"/>
      <w:r w:rsidRPr="008D12F1">
        <w:rPr>
          <w:rFonts w:cs="Calibri"/>
          <w:color w:val="000000"/>
          <w:sz w:val="16"/>
          <w:szCs w:val="16"/>
        </w:rPr>
        <w:t xml:space="preserve">, Academia And Rationality, </w:t>
      </w:r>
      <w:proofErr w:type="spellStart"/>
      <w:r w:rsidRPr="008D12F1">
        <w:rPr>
          <w:rFonts w:cs="Calibri"/>
          <w:color w:val="000000"/>
          <w:sz w:val="16"/>
          <w:szCs w:val="16"/>
        </w:rPr>
        <w:t>Diskus</w:t>
      </w:r>
      <w:proofErr w:type="spellEnd"/>
      <w:r w:rsidRPr="008D12F1">
        <w:rPr>
          <w:rFonts w:cs="Calibri"/>
          <w:color w:val="000000"/>
          <w:sz w:val="16"/>
          <w:szCs w:val="16"/>
        </w:rPr>
        <w:t xml:space="preserve"> Volume 6 (2000), section </w:t>
      </w:r>
      <w:proofErr w:type="spellStart"/>
      <w:r w:rsidRPr="008D12F1">
        <w:rPr>
          <w:rFonts w:cs="Calibri"/>
          <w:color w:val="000000"/>
          <w:sz w:val="16"/>
          <w:szCs w:val="16"/>
        </w:rPr>
        <w:t>Seidr</w:t>
      </w:r>
      <w:proofErr w:type="spellEnd"/>
      <w:r w:rsidRPr="008D12F1">
        <w:rPr>
          <w:rFonts w:cs="Calibri"/>
          <w:color w:val="000000"/>
          <w:sz w:val="16"/>
          <w:szCs w:val="16"/>
        </w:rPr>
        <w:t xml:space="preserve"> and the Anthropologist, http://www.uni-marburg.de/fb03/religionswissenschaft/journal/ p.8.</w:t>
      </w:r>
    </w:p>
  </w:footnote>
  <w:footnote w:id="31">
    <w:p w:rsidR="00EE4C67" w:rsidRPr="008D12F1" w:rsidRDefault="00EE4C67" w:rsidP="00EE4C6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hAnsi="Calibri" w:cs="Calibri"/>
          <w:color w:val="000000"/>
          <w:sz w:val="16"/>
          <w:szCs w:val="16"/>
        </w:rPr>
      </w:pPr>
      <w:r w:rsidRPr="008D12F1">
        <w:rPr>
          <w:rStyle w:val="FootnoteReference"/>
          <w:rFonts w:ascii="Calibri" w:hAnsi="Calibri" w:cs="Calibri"/>
          <w:sz w:val="16"/>
          <w:szCs w:val="16"/>
        </w:rPr>
        <w:footnoteRef/>
      </w:r>
      <w:r w:rsidRPr="008D12F1">
        <w:rPr>
          <w:rFonts w:ascii="Calibri" w:hAnsi="Calibri" w:cs="Calibri"/>
          <w:sz w:val="16"/>
          <w:szCs w:val="16"/>
        </w:rPr>
        <w:t xml:space="preserve"> </w:t>
      </w:r>
      <w:r w:rsidRPr="008D12F1">
        <w:rPr>
          <w:rFonts w:ascii="Calibri" w:hAnsi="Calibri" w:cs="Calibri"/>
          <w:color w:val="000000"/>
          <w:sz w:val="16"/>
          <w:szCs w:val="16"/>
        </w:rPr>
        <w:t xml:space="preserve">Jenny Blain, Speaking </w:t>
      </w:r>
      <w:proofErr w:type="spellStart"/>
      <w:r w:rsidRPr="008D12F1">
        <w:rPr>
          <w:rFonts w:ascii="Calibri" w:hAnsi="Calibri" w:cs="Calibri"/>
          <w:color w:val="000000"/>
          <w:sz w:val="16"/>
          <w:szCs w:val="16"/>
        </w:rPr>
        <w:t>Shamanistically</w:t>
      </w:r>
      <w:proofErr w:type="spellEnd"/>
      <w:r w:rsidRPr="008D12F1">
        <w:rPr>
          <w:rFonts w:ascii="Calibri" w:hAnsi="Calibri" w:cs="Calibri"/>
          <w:color w:val="000000"/>
          <w:sz w:val="16"/>
          <w:szCs w:val="16"/>
        </w:rPr>
        <w:t>, p.2/13.</w:t>
      </w:r>
    </w:p>
  </w:footnote>
  <w:footnote w:id="32">
    <w:p w:rsidR="00EE4C67" w:rsidRPr="008D12F1" w:rsidRDefault="00EE4C67" w:rsidP="00EE4C67">
      <w:pPr>
        <w:rPr>
          <w:rFonts w:ascii="Calibri" w:hAnsi="Calibri" w:cs="Calibri"/>
          <w:color w:val="000000"/>
          <w:sz w:val="16"/>
          <w:szCs w:val="16"/>
        </w:rPr>
      </w:pPr>
      <w:r w:rsidRPr="008D12F1">
        <w:rPr>
          <w:rStyle w:val="FootnoteReference"/>
          <w:rFonts w:ascii="Calibri" w:hAnsi="Calibri" w:cs="Calibri"/>
          <w:sz w:val="16"/>
          <w:szCs w:val="16"/>
        </w:rPr>
        <w:footnoteRef/>
      </w:r>
      <w:r w:rsidRPr="008D12F1">
        <w:rPr>
          <w:rFonts w:ascii="Calibri" w:hAnsi="Calibri" w:cs="Calibri"/>
          <w:sz w:val="16"/>
          <w:szCs w:val="16"/>
        </w:rPr>
        <w:t xml:space="preserve"> </w:t>
      </w:r>
      <w:r w:rsidRPr="008D12F1">
        <w:rPr>
          <w:rFonts w:ascii="Calibri" w:hAnsi="Calibri" w:cs="Calibri"/>
          <w:color w:val="000000"/>
          <w:sz w:val="16"/>
          <w:szCs w:val="16"/>
        </w:rPr>
        <w:t>Turner, V. (1979). Dramatic Ritual/Ritual Drama: Performative and Reflexive Anthropology. </w:t>
      </w:r>
      <w:r w:rsidRPr="008D12F1">
        <w:rPr>
          <w:rFonts w:ascii="Calibri" w:hAnsi="Calibri" w:cs="Calibri"/>
          <w:i/>
          <w:iCs/>
          <w:color w:val="000000"/>
          <w:sz w:val="16"/>
          <w:szCs w:val="16"/>
        </w:rPr>
        <w:t>The Kenyon Review</w:t>
      </w:r>
      <w:r w:rsidRPr="008D12F1">
        <w:rPr>
          <w:rFonts w:ascii="Calibri" w:hAnsi="Calibri" w:cs="Calibri"/>
          <w:color w:val="000000"/>
          <w:sz w:val="16"/>
          <w:szCs w:val="16"/>
        </w:rPr>
        <w:t>, </w:t>
      </w:r>
      <w:r w:rsidRPr="008D12F1">
        <w:rPr>
          <w:rFonts w:ascii="Calibri" w:hAnsi="Calibri" w:cs="Calibri"/>
          <w:i/>
          <w:iCs/>
          <w:color w:val="000000"/>
          <w:sz w:val="16"/>
          <w:szCs w:val="16"/>
        </w:rPr>
        <w:t>1</w:t>
      </w:r>
      <w:r w:rsidRPr="008D12F1">
        <w:rPr>
          <w:rFonts w:ascii="Calibri" w:hAnsi="Calibri" w:cs="Calibri"/>
          <w:color w:val="000000"/>
          <w:sz w:val="16"/>
          <w:szCs w:val="16"/>
        </w:rPr>
        <w:t>(3), 80–93, p.82. http://www.jstor.org/stable/4335047</w:t>
      </w:r>
    </w:p>
    <w:p w:rsidR="00EE4C67" w:rsidRPr="008D12F1" w:rsidRDefault="00EE4C67" w:rsidP="00EE4C67">
      <w:pPr>
        <w:pStyle w:val="FootnoteText"/>
        <w:rPr>
          <w:sz w:val="16"/>
          <w:szCs w:val="16"/>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B347E" w:rsidRDefault="000B347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rsidR="000B347E" w:rsidRDefault="000B347E" w:rsidP="000B347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B347E" w:rsidRDefault="000B347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p w:rsidR="000B347E" w:rsidRDefault="000B347E" w:rsidP="000B347E">
    <w:pPr>
      <w:pStyle w:val="Header"/>
      <w:tabs>
        <w:tab w:val="clear" w:pos="4513"/>
        <w:tab w:val="clear" w:pos="9026"/>
        <w:tab w:val="center" w:pos="4323"/>
        <w:tab w:val="right" w:pos="8646"/>
      </w:tabs>
      <w:ind w:right="360"/>
    </w:pPr>
    <w:r>
      <w:rPr>
        <w:lang w:val="en-GB"/>
      </w:rPr>
      <w:t>Cristina-Felicia Rosca 2420397</w:t>
    </w: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B347E" w:rsidRDefault="000B34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920557235">
    <w:abstractNumId w:val="18"/>
  </w:num>
  <w:num w:numId="2" w16cid:durableId="2127045732">
    <w:abstractNumId w:val="20"/>
  </w:num>
  <w:num w:numId="3" w16cid:durableId="1238202309">
    <w:abstractNumId w:val="9"/>
  </w:num>
  <w:num w:numId="4" w16cid:durableId="133186527">
    <w:abstractNumId w:val="6"/>
  </w:num>
  <w:num w:numId="5" w16cid:durableId="367678762">
    <w:abstractNumId w:val="2"/>
  </w:num>
  <w:num w:numId="6" w16cid:durableId="1831676605">
    <w:abstractNumId w:val="4"/>
  </w:num>
  <w:num w:numId="7" w16cid:durableId="1382511123">
    <w:abstractNumId w:val="13"/>
  </w:num>
  <w:num w:numId="8" w16cid:durableId="50735991">
    <w:abstractNumId w:val="21"/>
  </w:num>
  <w:num w:numId="9" w16cid:durableId="933510312">
    <w:abstractNumId w:val="23"/>
  </w:num>
  <w:num w:numId="10" w16cid:durableId="972783324">
    <w:abstractNumId w:val="5"/>
  </w:num>
  <w:num w:numId="11" w16cid:durableId="126048517">
    <w:abstractNumId w:val="19"/>
  </w:num>
  <w:num w:numId="12" w16cid:durableId="1493597903">
    <w:abstractNumId w:val="22"/>
  </w:num>
  <w:num w:numId="13" w16cid:durableId="581843043">
    <w:abstractNumId w:val="11"/>
  </w:num>
  <w:num w:numId="14" w16cid:durableId="1820268770">
    <w:abstractNumId w:val="14"/>
  </w:num>
  <w:num w:numId="15" w16cid:durableId="1581790879">
    <w:abstractNumId w:val="16"/>
  </w:num>
  <w:num w:numId="16" w16cid:durableId="1010109890">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2013993339">
    <w:abstractNumId w:val="10"/>
  </w:num>
  <w:num w:numId="18" w16cid:durableId="1063215110">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440417373">
    <w:abstractNumId w:val="12"/>
  </w:num>
  <w:num w:numId="20" w16cid:durableId="66608912">
    <w:abstractNumId w:val="17"/>
  </w:num>
  <w:num w:numId="21" w16cid:durableId="760876937">
    <w:abstractNumId w:val="3"/>
  </w:num>
  <w:num w:numId="22" w16cid:durableId="965428376">
    <w:abstractNumId w:val="7"/>
  </w:num>
  <w:num w:numId="23" w16cid:durableId="1141850815">
    <w:abstractNumId w:val="15"/>
  </w:num>
  <w:num w:numId="24" w16cid:durableId="1616670126">
    <w:abstractNumId w:val="8"/>
  </w:num>
  <w:num w:numId="25" w16cid:durableId="21077979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3"/>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3545"/>
    <w:rsid w:val="00022345"/>
    <w:rsid w:val="00026363"/>
    <w:rsid w:val="00036DF7"/>
    <w:rsid w:val="00043549"/>
    <w:rsid w:val="00046A16"/>
    <w:rsid w:val="00047074"/>
    <w:rsid w:val="00076A0B"/>
    <w:rsid w:val="000854DF"/>
    <w:rsid w:val="000A6D49"/>
    <w:rsid w:val="000B347E"/>
    <w:rsid w:val="000E0965"/>
    <w:rsid w:val="000E3682"/>
    <w:rsid w:val="000E3751"/>
    <w:rsid w:val="000E5DBF"/>
    <w:rsid w:val="0010199D"/>
    <w:rsid w:val="00101E29"/>
    <w:rsid w:val="001070F2"/>
    <w:rsid w:val="00111283"/>
    <w:rsid w:val="0011161A"/>
    <w:rsid w:val="00116190"/>
    <w:rsid w:val="00165047"/>
    <w:rsid w:val="00172497"/>
    <w:rsid w:val="001C0B52"/>
    <w:rsid w:val="001C4B2D"/>
    <w:rsid w:val="001E0E06"/>
    <w:rsid w:val="001F2EB3"/>
    <w:rsid w:val="001F4CE1"/>
    <w:rsid w:val="001F7249"/>
    <w:rsid w:val="00211F90"/>
    <w:rsid w:val="002132DC"/>
    <w:rsid w:val="00216211"/>
    <w:rsid w:val="00224B95"/>
    <w:rsid w:val="00230F35"/>
    <w:rsid w:val="00232520"/>
    <w:rsid w:val="00250713"/>
    <w:rsid w:val="0025530E"/>
    <w:rsid w:val="002715FA"/>
    <w:rsid w:val="00276002"/>
    <w:rsid w:val="00277421"/>
    <w:rsid w:val="00290783"/>
    <w:rsid w:val="002A4954"/>
    <w:rsid w:val="002D2A04"/>
    <w:rsid w:val="002E2BA0"/>
    <w:rsid w:val="002E67CE"/>
    <w:rsid w:val="002F1475"/>
    <w:rsid w:val="002F467C"/>
    <w:rsid w:val="00305185"/>
    <w:rsid w:val="00307B22"/>
    <w:rsid w:val="00325FA3"/>
    <w:rsid w:val="00326631"/>
    <w:rsid w:val="00336200"/>
    <w:rsid w:val="00337A70"/>
    <w:rsid w:val="00341D2F"/>
    <w:rsid w:val="00351F4B"/>
    <w:rsid w:val="0038342D"/>
    <w:rsid w:val="003C3F4F"/>
    <w:rsid w:val="003C7F6F"/>
    <w:rsid w:val="003D6255"/>
    <w:rsid w:val="003E08F3"/>
    <w:rsid w:val="003F0AD2"/>
    <w:rsid w:val="003F737B"/>
    <w:rsid w:val="00402DB0"/>
    <w:rsid w:val="0040732D"/>
    <w:rsid w:val="00421DB5"/>
    <w:rsid w:val="004250DD"/>
    <w:rsid w:val="0043758C"/>
    <w:rsid w:val="0044129B"/>
    <w:rsid w:val="00447497"/>
    <w:rsid w:val="00460A5C"/>
    <w:rsid w:val="004627BA"/>
    <w:rsid w:val="004724D6"/>
    <w:rsid w:val="004741A7"/>
    <w:rsid w:val="00475C78"/>
    <w:rsid w:val="004A024B"/>
    <w:rsid w:val="004B73BA"/>
    <w:rsid w:val="004C79CE"/>
    <w:rsid w:val="004F2B31"/>
    <w:rsid w:val="00521E0F"/>
    <w:rsid w:val="00525070"/>
    <w:rsid w:val="00531109"/>
    <w:rsid w:val="00537B4C"/>
    <w:rsid w:val="0054127F"/>
    <w:rsid w:val="005429EF"/>
    <w:rsid w:val="005627D4"/>
    <w:rsid w:val="0058726A"/>
    <w:rsid w:val="00590E9A"/>
    <w:rsid w:val="005942E9"/>
    <w:rsid w:val="005C1302"/>
    <w:rsid w:val="005C6560"/>
    <w:rsid w:val="00610318"/>
    <w:rsid w:val="00631B2A"/>
    <w:rsid w:val="00632937"/>
    <w:rsid w:val="0065654E"/>
    <w:rsid w:val="00662A40"/>
    <w:rsid w:val="006805EC"/>
    <w:rsid w:val="00691819"/>
    <w:rsid w:val="00693C4D"/>
    <w:rsid w:val="006A1486"/>
    <w:rsid w:val="006A205D"/>
    <w:rsid w:val="006A65E9"/>
    <w:rsid w:val="006C0A3A"/>
    <w:rsid w:val="006C5E96"/>
    <w:rsid w:val="006E4B0D"/>
    <w:rsid w:val="006E4F24"/>
    <w:rsid w:val="006F6900"/>
    <w:rsid w:val="00751BE2"/>
    <w:rsid w:val="00765417"/>
    <w:rsid w:val="00770733"/>
    <w:rsid w:val="00773D0E"/>
    <w:rsid w:val="00790E2F"/>
    <w:rsid w:val="007B721A"/>
    <w:rsid w:val="007C098A"/>
    <w:rsid w:val="007C6F33"/>
    <w:rsid w:val="007D7715"/>
    <w:rsid w:val="007F4AA1"/>
    <w:rsid w:val="00823895"/>
    <w:rsid w:val="00826806"/>
    <w:rsid w:val="0083442E"/>
    <w:rsid w:val="00840B95"/>
    <w:rsid w:val="0084272E"/>
    <w:rsid w:val="00843DE9"/>
    <w:rsid w:val="00860711"/>
    <w:rsid w:val="0089447F"/>
    <w:rsid w:val="008A4DCC"/>
    <w:rsid w:val="008B3A97"/>
    <w:rsid w:val="008D03F0"/>
    <w:rsid w:val="008D03F5"/>
    <w:rsid w:val="008D12F1"/>
    <w:rsid w:val="008D674F"/>
    <w:rsid w:val="008E525C"/>
    <w:rsid w:val="00901157"/>
    <w:rsid w:val="00914769"/>
    <w:rsid w:val="009706EF"/>
    <w:rsid w:val="00973B44"/>
    <w:rsid w:val="009801D3"/>
    <w:rsid w:val="009A2DD6"/>
    <w:rsid w:val="009A3D0A"/>
    <w:rsid w:val="009B2D10"/>
    <w:rsid w:val="009C01A3"/>
    <w:rsid w:val="009C1A08"/>
    <w:rsid w:val="009C396A"/>
    <w:rsid w:val="009F2623"/>
    <w:rsid w:val="00A02C62"/>
    <w:rsid w:val="00A06B94"/>
    <w:rsid w:val="00A2073F"/>
    <w:rsid w:val="00A303FE"/>
    <w:rsid w:val="00A41032"/>
    <w:rsid w:val="00A41AF9"/>
    <w:rsid w:val="00A507E4"/>
    <w:rsid w:val="00A62E68"/>
    <w:rsid w:val="00A745B6"/>
    <w:rsid w:val="00A972E4"/>
    <w:rsid w:val="00A9744A"/>
    <w:rsid w:val="00AC36E3"/>
    <w:rsid w:val="00AC6213"/>
    <w:rsid w:val="00AD5D5A"/>
    <w:rsid w:val="00AE1FFC"/>
    <w:rsid w:val="00AE3217"/>
    <w:rsid w:val="00B11E29"/>
    <w:rsid w:val="00B33FBC"/>
    <w:rsid w:val="00B34964"/>
    <w:rsid w:val="00B36F4A"/>
    <w:rsid w:val="00B42501"/>
    <w:rsid w:val="00B45FEF"/>
    <w:rsid w:val="00B462B1"/>
    <w:rsid w:val="00B56E7B"/>
    <w:rsid w:val="00B72F46"/>
    <w:rsid w:val="00B81E5D"/>
    <w:rsid w:val="00B82538"/>
    <w:rsid w:val="00B96983"/>
    <w:rsid w:val="00B9724B"/>
    <w:rsid w:val="00BC17F1"/>
    <w:rsid w:val="00BE0BB9"/>
    <w:rsid w:val="00BE7B7A"/>
    <w:rsid w:val="00BF22DC"/>
    <w:rsid w:val="00BF3D29"/>
    <w:rsid w:val="00BF6291"/>
    <w:rsid w:val="00C129C7"/>
    <w:rsid w:val="00C22A88"/>
    <w:rsid w:val="00C65E7F"/>
    <w:rsid w:val="00C93CD4"/>
    <w:rsid w:val="00CB5E37"/>
    <w:rsid w:val="00CC52A3"/>
    <w:rsid w:val="00CE3B79"/>
    <w:rsid w:val="00CE76EC"/>
    <w:rsid w:val="00D0754F"/>
    <w:rsid w:val="00D21726"/>
    <w:rsid w:val="00D328AB"/>
    <w:rsid w:val="00D429CC"/>
    <w:rsid w:val="00D459DC"/>
    <w:rsid w:val="00D56EFA"/>
    <w:rsid w:val="00D67BF8"/>
    <w:rsid w:val="00DA3217"/>
    <w:rsid w:val="00DA3E0F"/>
    <w:rsid w:val="00DB185F"/>
    <w:rsid w:val="00DB43BB"/>
    <w:rsid w:val="00DD363B"/>
    <w:rsid w:val="00DE54B1"/>
    <w:rsid w:val="00E2190E"/>
    <w:rsid w:val="00E22A1C"/>
    <w:rsid w:val="00E251B2"/>
    <w:rsid w:val="00E3766D"/>
    <w:rsid w:val="00E502BA"/>
    <w:rsid w:val="00E57529"/>
    <w:rsid w:val="00E67719"/>
    <w:rsid w:val="00E84F5D"/>
    <w:rsid w:val="00EC7546"/>
    <w:rsid w:val="00ED4E99"/>
    <w:rsid w:val="00EE4C67"/>
    <w:rsid w:val="00EF4535"/>
    <w:rsid w:val="00F1661E"/>
    <w:rsid w:val="00F2453C"/>
    <w:rsid w:val="00F346BE"/>
    <w:rsid w:val="00F73533"/>
    <w:rsid w:val="00F90A8B"/>
    <w:rsid w:val="00FA07E9"/>
    <w:rsid w:val="00FA2A4C"/>
    <w:rsid w:val="00FA6E52"/>
    <w:rsid w:val="00FC3474"/>
    <w:rsid w:val="00FE126C"/>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2B82147"/>
  <w15:chartTrackingRefBased/>
  <w15:docId w15:val="{614EF391-2E2B-BF49-97DB-5B8D9C3A8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Hyperlink" w:uiPriority="99"/>
    <w:lsdException w:name="Strong" w:qFormat="1"/>
    <w:lsdException w:name="Emphasis" w:uiPriority="20"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uiPriority w:val="99"/>
    <w:unhideWhenUsed/>
    <w:rsid w:val="006F6900"/>
    <w:rPr>
      <w:color w:val="0563C1"/>
      <w:u w:val="single"/>
    </w:rPr>
  </w:style>
  <w:style w:type="character" w:customStyle="1" w:styleId="apple-converted-space">
    <w:name w:val="apple-converted-space"/>
    <w:basedOn w:val="DefaultParagraphFont"/>
    <w:rsid w:val="006F6900"/>
  </w:style>
  <w:style w:type="character" w:styleId="Emphasis">
    <w:name w:val="Emphasis"/>
    <w:uiPriority w:val="20"/>
    <w:qFormat/>
    <w:rsid w:val="006F6900"/>
    <w:rPr>
      <w:i/>
      <w:iCs/>
    </w:rPr>
  </w:style>
  <w:style w:type="paragraph" w:styleId="NoSpacing">
    <w:name w:val="No Spacing"/>
    <w:uiPriority w:val="1"/>
    <w:qFormat/>
    <w:rsid w:val="006F6900"/>
    <w:rPr>
      <w:rFonts w:ascii="Calibri" w:eastAsia="Calibri" w:hAnsi="Calibri"/>
      <w:kern w:val="2"/>
      <w:sz w:val="24"/>
      <w:szCs w:val="24"/>
      <w:lang w:eastAsia="en-US"/>
    </w:rPr>
  </w:style>
  <w:style w:type="paragraph" w:styleId="FootnoteText">
    <w:name w:val="footnote text"/>
    <w:basedOn w:val="Normal"/>
    <w:link w:val="FootnoteTextChar"/>
    <w:uiPriority w:val="99"/>
    <w:unhideWhenUsed/>
    <w:rsid w:val="006F6900"/>
    <w:rPr>
      <w:rFonts w:ascii="Calibri" w:eastAsia="Calibri" w:hAnsi="Calibri"/>
      <w:kern w:val="2"/>
      <w:sz w:val="20"/>
      <w:szCs w:val="20"/>
      <w:lang w:eastAsia="en-US"/>
    </w:rPr>
  </w:style>
  <w:style w:type="character" w:customStyle="1" w:styleId="FootnoteTextChar">
    <w:name w:val="Footnote Text Char"/>
    <w:link w:val="FootnoteText"/>
    <w:uiPriority w:val="99"/>
    <w:rsid w:val="006F6900"/>
    <w:rPr>
      <w:rFonts w:ascii="Calibri" w:eastAsia="Calibri" w:hAnsi="Calibri"/>
      <w:kern w:val="2"/>
      <w:lang w:eastAsia="en-US"/>
    </w:rPr>
  </w:style>
  <w:style w:type="character" w:styleId="FootnoteReference">
    <w:name w:val="footnote reference"/>
    <w:uiPriority w:val="99"/>
    <w:unhideWhenUsed/>
    <w:rsid w:val="006F6900"/>
    <w:rPr>
      <w:vertAlign w:val="superscript"/>
    </w:rPr>
  </w:style>
  <w:style w:type="character" w:styleId="FollowedHyperlink">
    <w:name w:val="FollowedHyperlink"/>
    <w:rsid w:val="006F6900"/>
    <w:rPr>
      <w:color w:val="954F72"/>
      <w:u w:val="single"/>
    </w:rPr>
  </w:style>
  <w:style w:type="character" w:styleId="PageNumber">
    <w:name w:val="page number"/>
    <w:basedOn w:val="DefaultParagraphFont"/>
    <w:rsid w:val="000B34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435115">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14196159">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seret.com/1996/3/29/19233597/if-you-ve-had-a-feeling-about-omens-read-on/" TargetMode="External"/><Relationship Id="rId18" Type="http://schemas.openxmlformats.org/officeDocument/2006/relationships/hyperlink" Target="https://doi.org/10.2307/2505046"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doi.org/10.1080/0015587X.2024.2401266" TargetMode="External"/><Relationship Id="rId17" Type="http://schemas.openxmlformats.org/officeDocument/2006/relationships/hyperlink" Target="https://folklore-society.com/blog-post/dr-gillian-bennett-1939-2023/"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alternativelives.wordpress.com/alternative-lives/jenny-blain-a-heathen-and-shamanic-is-it-witchcraft-and-spell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44368751"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www.jstor.org/stable/20117842" TargetMode="External"/><Relationship Id="rId23" Type="http://schemas.openxmlformats.org/officeDocument/2006/relationships/footer" Target="footer2.xml"/><Relationship Id="rId10" Type="http://schemas.openxmlformats.org/officeDocument/2006/relationships/hyperlink" Target="http://www.unimarburg.de/fb03/religionswissenschaft/journal/" TargetMode="External"/><Relationship Id="rId19" Type="http://schemas.openxmlformats.org/officeDocument/2006/relationships/hyperlink" Target="https://digitalcommons.usu.edu/usupress_pubs" TargetMode="External"/><Relationship Id="rId4" Type="http://schemas.openxmlformats.org/officeDocument/2006/relationships/settings" Target="settings.xml"/><Relationship Id="rId9" Type="http://schemas.openxmlformats.org/officeDocument/2006/relationships/hyperlink" Target="https://doi.org/10.2307/j.ctt46nwn8.13" TargetMode="External"/><Relationship Id="rId14" Type="http://schemas.openxmlformats.org/officeDocument/2006/relationships/hyperlink" Target="https://doi.org/10.2307/2392366" TargetMode="External"/><Relationship Id="rId22" Type="http://schemas.openxmlformats.org/officeDocument/2006/relationships/footer" Target="footer1.xml"/><Relationship Id="rId27"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deseret.com/1996/3/29/19233597/if-you-ve-had-a-feeling-about-omens-read-on/" TargetMode="External"/><Relationship Id="rId13" Type="http://schemas.openxmlformats.org/officeDocument/2006/relationships/hyperlink" Target="https://doi.org/10.2307/2505046" TargetMode="External"/><Relationship Id="rId3" Type="http://schemas.openxmlformats.org/officeDocument/2006/relationships/hyperlink" Target="http://www.unimarburg.de/fb03/religionswissenschaft/journal/" TargetMode="External"/><Relationship Id="rId7" Type="http://schemas.openxmlformats.org/officeDocument/2006/relationships/hyperlink" Target="https://doi.org/10.1080/0015587X.2024.2401266" TargetMode="External"/><Relationship Id="rId12" Type="http://schemas.openxmlformats.org/officeDocument/2006/relationships/hyperlink" Target="https://digitalcommons.usu.edu/usupress_pubs" TargetMode="External"/><Relationship Id="rId2" Type="http://schemas.openxmlformats.org/officeDocument/2006/relationships/hyperlink" Target="https://doi.org/10.2307/j.ctt46nwn8.13" TargetMode="External"/><Relationship Id="rId1" Type="http://schemas.openxmlformats.org/officeDocument/2006/relationships/hyperlink" Target="http://www.jstor.org/stable/20117842" TargetMode="External"/><Relationship Id="rId6" Type="http://schemas.openxmlformats.org/officeDocument/2006/relationships/hyperlink" Target="https://folklore-society.com/blog-post/dr-gillian-bennett-1939-2023/" TargetMode="External"/><Relationship Id="rId11" Type="http://schemas.openxmlformats.org/officeDocument/2006/relationships/hyperlink" Target="https://doi.org/10.2307/2392366" TargetMode="External"/><Relationship Id="rId5" Type="http://schemas.openxmlformats.org/officeDocument/2006/relationships/hyperlink" Target="http://www.jstor.org/stable/44368751" TargetMode="External"/><Relationship Id="rId10" Type="http://schemas.openxmlformats.org/officeDocument/2006/relationships/hyperlink" Target="https://digitalcommons.usu.edu/usupress_pubs" TargetMode="External"/><Relationship Id="rId4" Type="http://schemas.openxmlformats.org/officeDocument/2006/relationships/hyperlink" Target="https://alternativelives.wordpress.com/alternative-lives/jenny-blain-a-heathen-and-shamanic-is-it-witchcraft-and-spells/" TargetMode="External"/><Relationship Id="rId9" Type="http://schemas.openxmlformats.org/officeDocument/2006/relationships/hyperlink" Target="https://doi.org/10.2307/j.ctt46nwn8.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582F01-4593-4356-99BC-0EA21F411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9</Pages>
  <Words>3450</Words>
  <Characters>19671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23075</CharactersWithSpaces>
  <SharedDoc>false</SharedDoc>
  <HLinks>
    <vt:vector size="144" baseType="variant">
      <vt:variant>
        <vt:i4>2752520</vt:i4>
      </vt:variant>
      <vt:variant>
        <vt:i4>42</vt:i4>
      </vt:variant>
      <vt:variant>
        <vt:i4>0</vt:i4>
      </vt:variant>
      <vt:variant>
        <vt:i4>5</vt:i4>
      </vt:variant>
      <vt:variant>
        <vt:lpwstr>https://digitalcommons.usu.edu/usupress_pubs</vt:lpwstr>
      </vt:variant>
      <vt:variant>
        <vt:lpwstr/>
      </vt:variant>
      <vt:variant>
        <vt:i4>2359404</vt:i4>
      </vt:variant>
      <vt:variant>
        <vt:i4>39</vt:i4>
      </vt:variant>
      <vt:variant>
        <vt:i4>0</vt:i4>
      </vt:variant>
      <vt:variant>
        <vt:i4>5</vt:i4>
      </vt:variant>
      <vt:variant>
        <vt:lpwstr>https://doi.org/10.2307/2505046</vt:lpwstr>
      </vt:variant>
      <vt:variant>
        <vt:lpwstr/>
      </vt:variant>
      <vt:variant>
        <vt:i4>5963789</vt:i4>
      </vt:variant>
      <vt:variant>
        <vt:i4>36</vt:i4>
      </vt:variant>
      <vt:variant>
        <vt:i4>0</vt:i4>
      </vt:variant>
      <vt:variant>
        <vt:i4>5</vt:i4>
      </vt:variant>
      <vt:variant>
        <vt:lpwstr>https://folklore-society.com/blog-post/dr-gillian-bennett-1939-2023/</vt:lpwstr>
      </vt:variant>
      <vt:variant>
        <vt:lpwstr/>
      </vt:variant>
      <vt:variant>
        <vt:i4>4456472</vt:i4>
      </vt:variant>
      <vt:variant>
        <vt:i4>33</vt:i4>
      </vt:variant>
      <vt:variant>
        <vt:i4>0</vt:i4>
      </vt:variant>
      <vt:variant>
        <vt:i4>5</vt:i4>
      </vt:variant>
      <vt:variant>
        <vt:lpwstr>https://alternativelives.wordpress.com/alternative-lives/jenny-blain-a-heathen-and-shamanic-is-it-witchcraft-and-spells/</vt:lpwstr>
      </vt:variant>
      <vt:variant>
        <vt:lpwstr/>
      </vt:variant>
      <vt:variant>
        <vt:i4>1376332</vt:i4>
      </vt:variant>
      <vt:variant>
        <vt:i4>30</vt:i4>
      </vt:variant>
      <vt:variant>
        <vt:i4>0</vt:i4>
      </vt:variant>
      <vt:variant>
        <vt:i4>5</vt:i4>
      </vt:variant>
      <vt:variant>
        <vt:lpwstr>http://www.jstor.org/stable/20117842</vt:lpwstr>
      </vt:variant>
      <vt:variant>
        <vt:lpwstr/>
      </vt:variant>
      <vt:variant>
        <vt:i4>2556006</vt:i4>
      </vt:variant>
      <vt:variant>
        <vt:i4>27</vt:i4>
      </vt:variant>
      <vt:variant>
        <vt:i4>0</vt:i4>
      </vt:variant>
      <vt:variant>
        <vt:i4>5</vt:i4>
      </vt:variant>
      <vt:variant>
        <vt:lpwstr>https://doi.org/10.2307/2392366</vt:lpwstr>
      </vt:variant>
      <vt:variant>
        <vt:lpwstr/>
      </vt:variant>
      <vt:variant>
        <vt:i4>3801128</vt:i4>
      </vt:variant>
      <vt:variant>
        <vt:i4>24</vt:i4>
      </vt:variant>
      <vt:variant>
        <vt:i4>0</vt:i4>
      </vt:variant>
      <vt:variant>
        <vt:i4>5</vt:i4>
      </vt:variant>
      <vt:variant>
        <vt:lpwstr>https://www.deseret.com/1996/3/29/19233597/if-you-ve-had-a-feeling-about-omens-read-on/</vt:lpwstr>
      </vt:variant>
      <vt:variant>
        <vt:lpwstr/>
      </vt:variant>
      <vt:variant>
        <vt:i4>4390979</vt:i4>
      </vt:variant>
      <vt:variant>
        <vt:i4>21</vt:i4>
      </vt:variant>
      <vt:variant>
        <vt:i4>0</vt:i4>
      </vt:variant>
      <vt:variant>
        <vt:i4>5</vt:i4>
      </vt:variant>
      <vt:variant>
        <vt:lpwstr>https://doi.org/10.1080/0015587X.2024.2401266</vt:lpwstr>
      </vt:variant>
      <vt:variant>
        <vt:lpwstr/>
      </vt:variant>
      <vt:variant>
        <vt:i4>1704006</vt:i4>
      </vt:variant>
      <vt:variant>
        <vt:i4>18</vt:i4>
      </vt:variant>
      <vt:variant>
        <vt:i4>0</vt:i4>
      </vt:variant>
      <vt:variant>
        <vt:i4>5</vt:i4>
      </vt:variant>
      <vt:variant>
        <vt:lpwstr>http://www.jstor.org/stable/44368751</vt:lpwstr>
      </vt:variant>
      <vt:variant>
        <vt:lpwstr/>
      </vt:variant>
      <vt:variant>
        <vt:i4>2031699</vt:i4>
      </vt:variant>
      <vt:variant>
        <vt:i4>15</vt:i4>
      </vt:variant>
      <vt:variant>
        <vt:i4>0</vt:i4>
      </vt:variant>
      <vt:variant>
        <vt:i4>5</vt:i4>
      </vt:variant>
      <vt:variant>
        <vt:lpwstr>http://www.unimarburg.de/fb03/religionswissenschaft/journal/</vt:lpwstr>
      </vt:variant>
      <vt:variant>
        <vt:lpwstr/>
      </vt:variant>
      <vt:variant>
        <vt:i4>6488171</vt:i4>
      </vt:variant>
      <vt:variant>
        <vt:i4>12</vt:i4>
      </vt:variant>
      <vt:variant>
        <vt:i4>0</vt:i4>
      </vt:variant>
      <vt:variant>
        <vt:i4>5</vt:i4>
      </vt:variant>
      <vt:variant>
        <vt:lpwstr>https://doi.org/10.2307/j.ctt46nwn8.13</vt:lpwstr>
      </vt:variant>
      <vt:variant>
        <vt:lpwstr/>
      </vt:variant>
      <vt:variant>
        <vt:i4>2359404</vt:i4>
      </vt:variant>
      <vt:variant>
        <vt:i4>36</vt:i4>
      </vt:variant>
      <vt:variant>
        <vt:i4>0</vt:i4>
      </vt:variant>
      <vt:variant>
        <vt:i4>5</vt:i4>
      </vt:variant>
      <vt:variant>
        <vt:lpwstr>https://doi.org/10.2307/2505046</vt:lpwstr>
      </vt:variant>
      <vt:variant>
        <vt:lpwstr/>
      </vt:variant>
      <vt:variant>
        <vt:i4>2752520</vt:i4>
      </vt:variant>
      <vt:variant>
        <vt:i4>33</vt:i4>
      </vt:variant>
      <vt:variant>
        <vt:i4>0</vt:i4>
      </vt:variant>
      <vt:variant>
        <vt:i4>5</vt:i4>
      </vt:variant>
      <vt:variant>
        <vt:lpwstr>https://digitalcommons.usu.edu/usupress_pubs</vt:lpwstr>
      </vt:variant>
      <vt:variant>
        <vt:lpwstr/>
      </vt:variant>
      <vt:variant>
        <vt:i4>2556006</vt:i4>
      </vt:variant>
      <vt:variant>
        <vt:i4>30</vt:i4>
      </vt:variant>
      <vt:variant>
        <vt:i4>0</vt:i4>
      </vt:variant>
      <vt:variant>
        <vt:i4>5</vt:i4>
      </vt:variant>
      <vt:variant>
        <vt:lpwstr>https://doi.org/10.2307/2392366</vt:lpwstr>
      </vt:variant>
      <vt:variant>
        <vt:lpwstr/>
      </vt:variant>
      <vt:variant>
        <vt:i4>2752520</vt:i4>
      </vt:variant>
      <vt:variant>
        <vt:i4>27</vt:i4>
      </vt:variant>
      <vt:variant>
        <vt:i4>0</vt:i4>
      </vt:variant>
      <vt:variant>
        <vt:i4>5</vt:i4>
      </vt:variant>
      <vt:variant>
        <vt:lpwstr>https://digitalcommons.usu.edu/usupress_pubs</vt:lpwstr>
      </vt:variant>
      <vt:variant>
        <vt:lpwstr/>
      </vt:variant>
      <vt:variant>
        <vt:i4>6488171</vt:i4>
      </vt:variant>
      <vt:variant>
        <vt:i4>24</vt:i4>
      </vt:variant>
      <vt:variant>
        <vt:i4>0</vt:i4>
      </vt:variant>
      <vt:variant>
        <vt:i4>5</vt:i4>
      </vt:variant>
      <vt:variant>
        <vt:lpwstr>https://doi.org/10.2307/j.ctt46nwn8.13</vt:lpwstr>
      </vt:variant>
      <vt:variant>
        <vt:lpwstr/>
      </vt:variant>
      <vt:variant>
        <vt:i4>3801128</vt:i4>
      </vt:variant>
      <vt:variant>
        <vt:i4>21</vt:i4>
      </vt:variant>
      <vt:variant>
        <vt:i4>0</vt:i4>
      </vt:variant>
      <vt:variant>
        <vt:i4>5</vt:i4>
      </vt:variant>
      <vt:variant>
        <vt:lpwstr>https://www.deseret.com/1996/3/29/19233597/if-you-ve-had-a-feeling-about-omens-read-on/</vt:lpwstr>
      </vt:variant>
      <vt:variant>
        <vt:lpwstr/>
      </vt:variant>
      <vt:variant>
        <vt:i4>4390979</vt:i4>
      </vt:variant>
      <vt:variant>
        <vt:i4>18</vt:i4>
      </vt:variant>
      <vt:variant>
        <vt:i4>0</vt:i4>
      </vt:variant>
      <vt:variant>
        <vt:i4>5</vt:i4>
      </vt:variant>
      <vt:variant>
        <vt:lpwstr>https://doi.org/10.1080/0015587X.2024.2401266</vt:lpwstr>
      </vt:variant>
      <vt:variant>
        <vt:lpwstr/>
      </vt:variant>
      <vt:variant>
        <vt:i4>5963789</vt:i4>
      </vt:variant>
      <vt:variant>
        <vt:i4>15</vt:i4>
      </vt:variant>
      <vt:variant>
        <vt:i4>0</vt:i4>
      </vt:variant>
      <vt:variant>
        <vt:i4>5</vt:i4>
      </vt:variant>
      <vt:variant>
        <vt:lpwstr>https://folklore-society.com/blog-post/dr-gillian-bennett-1939-2023/</vt:lpwstr>
      </vt:variant>
      <vt:variant>
        <vt:lpwstr/>
      </vt:variant>
      <vt:variant>
        <vt:i4>1704006</vt:i4>
      </vt:variant>
      <vt:variant>
        <vt:i4>12</vt:i4>
      </vt:variant>
      <vt:variant>
        <vt:i4>0</vt:i4>
      </vt:variant>
      <vt:variant>
        <vt:i4>5</vt:i4>
      </vt:variant>
      <vt:variant>
        <vt:lpwstr>http://www.jstor.org/stable/44368751</vt:lpwstr>
      </vt:variant>
      <vt:variant>
        <vt:lpwstr/>
      </vt:variant>
      <vt:variant>
        <vt:i4>4456472</vt:i4>
      </vt:variant>
      <vt:variant>
        <vt:i4>9</vt:i4>
      </vt:variant>
      <vt:variant>
        <vt:i4>0</vt:i4>
      </vt:variant>
      <vt:variant>
        <vt:i4>5</vt:i4>
      </vt:variant>
      <vt:variant>
        <vt:lpwstr>https://alternativelives.wordpress.com/alternative-lives/jenny-blain-a-heathen-and-shamanic-is-it-witchcraft-and-spells/</vt:lpwstr>
      </vt:variant>
      <vt:variant>
        <vt:lpwstr/>
      </vt:variant>
      <vt:variant>
        <vt:i4>2031699</vt:i4>
      </vt:variant>
      <vt:variant>
        <vt:i4>6</vt:i4>
      </vt:variant>
      <vt:variant>
        <vt:i4>0</vt:i4>
      </vt:variant>
      <vt:variant>
        <vt:i4>5</vt:i4>
      </vt:variant>
      <vt:variant>
        <vt:lpwstr>http://www.unimarburg.de/fb03/religionswissenschaft/journal/</vt:lpwstr>
      </vt:variant>
      <vt:variant>
        <vt:lpwstr/>
      </vt:variant>
      <vt:variant>
        <vt:i4>6488171</vt:i4>
      </vt:variant>
      <vt:variant>
        <vt:i4>3</vt:i4>
      </vt:variant>
      <vt:variant>
        <vt:i4>0</vt:i4>
      </vt:variant>
      <vt:variant>
        <vt:i4>5</vt:i4>
      </vt:variant>
      <vt:variant>
        <vt:lpwstr>https://doi.org/10.2307/j.ctt46nwn8.13</vt:lpwstr>
      </vt:variant>
      <vt:variant>
        <vt:lpwstr/>
      </vt:variant>
      <vt:variant>
        <vt:i4>1376332</vt:i4>
      </vt:variant>
      <vt:variant>
        <vt:i4>0</vt:i4>
      </vt:variant>
      <vt:variant>
        <vt:i4>0</vt:i4>
      </vt:variant>
      <vt:variant>
        <vt:i4>5</vt:i4>
      </vt:variant>
      <vt:variant>
        <vt:lpwstr>http://www.jstor.org/stable/20117842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Cristina Rosca</cp:lastModifiedBy>
  <cp:revision>12</cp:revision>
  <cp:lastPrinted>2011-03-31T13:57:00Z</cp:lastPrinted>
  <dcterms:created xsi:type="dcterms:W3CDTF">2025-03-13T22:31:00Z</dcterms:created>
  <dcterms:modified xsi:type="dcterms:W3CDTF">2025-03-14T16:21:00Z</dcterms:modified>
</cp:coreProperties>
</file>