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9368B30" w:rsidP="19368B30" w:rsidRDefault="19368B30" w14:paraId="12C31735" w14:textId="7F493B88">
      <w:pPr>
        <w:rPr>
          <w:sz w:val="40"/>
          <w:szCs w:val="40"/>
        </w:rPr>
      </w:pPr>
    </w:p>
    <w:p w:rsidR="19368B30" w:rsidP="19368B30" w:rsidRDefault="19368B30" w14:paraId="6E1E2CBA" w14:textId="39C47B37">
      <w:pPr>
        <w:rPr>
          <w:sz w:val="40"/>
          <w:szCs w:val="40"/>
        </w:rPr>
      </w:pPr>
    </w:p>
    <w:p xmlns:wp14="http://schemas.microsoft.com/office/word/2010/wordml" w:rsidP="49C85284" wp14:paraId="5E5787A5" wp14:textId="26DBB3F3">
      <w:pPr>
        <w:pStyle w:val="Normal"/>
        <w:rPr>
          <w:sz w:val="96"/>
          <w:szCs w:val="96"/>
        </w:rPr>
      </w:pPr>
      <w:r w:rsidRPr="49C85284" w:rsidR="04FF8609">
        <w:rPr>
          <w:sz w:val="96"/>
          <w:szCs w:val="96"/>
        </w:rPr>
        <w:t>Title slide</w:t>
      </w:r>
    </w:p>
    <w:p w:rsidR="24D8B23A" w:rsidP="49C85284" w:rsidRDefault="24D8B23A" w14:paraId="6B2DD58F" w14:textId="668BF9B3">
      <w:pPr>
        <w:rPr>
          <w:sz w:val="56"/>
          <w:szCs w:val="56"/>
        </w:rPr>
      </w:pPr>
      <w:r w:rsidRPr="49C85284" w:rsidR="04FF8609">
        <w:rPr>
          <w:sz w:val="56"/>
          <w:szCs w:val="56"/>
        </w:rPr>
        <w:t>Student Name</w:t>
      </w:r>
      <w:r w:rsidRPr="49C85284" w:rsidR="15DEB7EE">
        <w:rPr>
          <w:sz w:val="56"/>
          <w:szCs w:val="56"/>
        </w:rPr>
        <w:t>: Shofi Miah</w:t>
      </w:r>
    </w:p>
    <w:p w:rsidR="1002FCC4" w:rsidP="49C85284" w:rsidRDefault="1002FCC4" w14:paraId="1D8B5866" w14:textId="07E43B60">
      <w:pPr>
        <w:rPr>
          <w:sz w:val="56"/>
          <w:szCs w:val="56"/>
        </w:rPr>
      </w:pPr>
      <w:r w:rsidRPr="49C85284" w:rsidR="15DEB7EE">
        <w:rPr>
          <w:sz w:val="56"/>
          <w:szCs w:val="56"/>
        </w:rPr>
        <w:t>Student Number: 2245200</w:t>
      </w:r>
    </w:p>
    <w:p w:rsidR="1002FCC4" w:rsidP="49C85284" w:rsidRDefault="1002FCC4" w14:paraId="53D8D7D1" w14:textId="06D564E3">
      <w:pPr>
        <w:pStyle w:val="Normal"/>
        <w:suppressLineNumbers w:val="0"/>
        <w:bidi w:val="0"/>
        <w:spacing w:before="0" w:beforeAutospacing="off" w:after="160" w:afterAutospacing="off" w:line="279" w:lineRule="auto"/>
        <w:ind w:left="0" w:right="0"/>
        <w:jc w:val="left"/>
        <w:rPr>
          <w:sz w:val="56"/>
          <w:szCs w:val="56"/>
        </w:rPr>
      </w:pPr>
      <w:r w:rsidRPr="49C85284" w:rsidR="15DEB7EE">
        <w:rPr>
          <w:sz w:val="56"/>
          <w:szCs w:val="56"/>
        </w:rPr>
        <w:t>Module Name: Health, Wellbeing and Sustainable Development</w:t>
      </w:r>
    </w:p>
    <w:p w:rsidR="1002FCC4" w:rsidP="49C85284" w:rsidRDefault="1002FCC4" w14:paraId="1849A301" w14:textId="2C534D6A">
      <w:pPr>
        <w:pStyle w:val="Normal"/>
        <w:suppressLineNumbers w:val="0"/>
        <w:bidi w:val="0"/>
        <w:spacing w:before="0" w:beforeAutospacing="off" w:after="160" w:afterAutospacing="off" w:line="279" w:lineRule="auto"/>
        <w:ind w:left="0" w:right="0"/>
        <w:jc w:val="left"/>
        <w:rPr>
          <w:sz w:val="56"/>
          <w:szCs w:val="56"/>
        </w:rPr>
      </w:pPr>
      <w:r w:rsidRPr="49C85284" w:rsidR="15DEB7EE">
        <w:rPr>
          <w:sz w:val="56"/>
          <w:szCs w:val="56"/>
        </w:rPr>
        <w:t>Module Code: BMHP6030</w:t>
      </w:r>
    </w:p>
    <w:p w:rsidR="1002FCC4" w:rsidP="49C85284" w:rsidRDefault="1002FCC4" w14:paraId="7E986AC2" w14:textId="3A926543">
      <w:pPr>
        <w:pStyle w:val="Normal"/>
        <w:suppressLineNumbers w:val="0"/>
        <w:bidi w:val="0"/>
        <w:spacing w:before="0" w:beforeAutospacing="off" w:after="160" w:afterAutospacing="off" w:line="279" w:lineRule="auto"/>
        <w:ind w:left="0" w:right="0"/>
        <w:jc w:val="left"/>
        <w:rPr>
          <w:sz w:val="56"/>
          <w:szCs w:val="56"/>
        </w:rPr>
      </w:pPr>
      <w:r w:rsidRPr="49C85284" w:rsidR="15DEB7EE">
        <w:rPr>
          <w:sz w:val="56"/>
          <w:szCs w:val="56"/>
        </w:rPr>
        <w:t xml:space="preserve">Lecturer Name: Tommy </w:t>
      </w:r>
      <w:r w:rsidRPr="49C85284" w:rsidR="15DEB7EE">
        <w:rPr>
          <w:sz w:val="56"/>
          <w:szCs w:val="56"/>
        </w:rPr>
        <w:t>Adattu</w:t>
      </w:r>
    </w:p>
    <w:p w:rsidR="1002FCC4" w:rsidP="49C85284" w:rsidRDefault="1002FCC4" w14:paraId="4E1B3FF3" w14:textId="0F1FC9DD">
      <w:pPr>
        <w:pStyle w:val="Normal"/>
        <w:suppressLineNumbers w:val="0"/>
        <w:bidi w:val="0"/>
        <w:spacing w:before="0" w:beforeAutospacing="off" w:after="160" w:afterAutospacing="off" w:line="279" w:lineRule="auto"/>
        <w:ind w:left="0" w:right="0"/>
        <w:jc w:val="left"/>
        <w:rPr>
          <w:sz w:val="56"/>
          <w:szCs w:val="56"/>
        </w:rPr>
      </w:pPr>
      <w:r w:rsidRPr="49C85284" w:rsidR="15DEB7EE">
        <w:rPr>
          <w:sz w:val="56"/>
          <w:szCs w:val="56"/>
        </w:rPr>
        <w:t xml:space="preserve">Assignment Title: Assignment 2 </w:t>
      </w:r>
      <w:r w:rsidRPr="49C85284" w:rsidR="22D737D7">
        <w:rPr>
          <w:sz w:val="56"/>
          <w:szCs w:val="56"/>
        </w:rPr>
        <w:t>(Report)</w:t>
      </w:r>
    </w:p>
    <w:p w:rsidR="678AE5DD" w:rsidRDefault="678AE5DD" w14:paraId="49F93438" w14:textId="43AB8148"/>
    <w:p w:rsidR="678AE5DD" w:rsidRDefault="678AE5DD" w14:paraId="2A3E912A" w14:textId="7A835CA3"/>
    <w:p w:rsidR="678AE5DD" w:rsidRDefault="678AE5DD" w14:paraId="0641A8B6" w14:textId="0AF956AB"/>
    <w:p w:rsidR="678AE5DD" w:rsidRDefault="678AE5DD" w14:paraId="367264EE" w14:textId="2315F63A"/>
    <w:p w:rsidR="678AE5DD" w:rsidRDefault="678AE5DD" w14:paraId="57352626" w14:textId="4A84A824"/>
    <w:p w:rsidR="678AE5DD" w:rsidRDefault="678AE5DD" w14:paraId="69EABB60" w14:textId="1530F9B1"/>
    <w:p w:rsidR="678AE5DD" w:rsidRDefault="678AE5DD" w14:paraId="4988B459" w14:textId="75FDADCE"/>
    <w:p w:rsidR="678AE5DD" w:rsidRDefault="678AE5DD" w14:paraId="195D9FBB" w14:textId="0185975C"/>
    <w:p w:rsidR="24D8B23A" w:rsidP="678AE5DD" w:rsidRDefault="24D8B23A" w14:paraId="4423542C" w14:textId="28D65FFA">
      <w:pPr>
        <w:pStyle w:val="Normal"/>
      </w:pPr>
    </w:p>
    <w:p w:rsidR="24D8B23A" w:rsidP="678AE5DD" w:rsidRDefault="24D8B23A" w14:paraId="2CCF682D" w14:textId="65A423B4">
      <w:pPr>
        <w:pStyle w:val="Normal"/>
      </w:pPr>
      <w:r w:rsidR="04FF8609">
        <w:rPr/>
        <w:t>Introduction</w:t>
      </w:r>
    </w:p>
    <w:p w:rsidR="24D8B23A" w:rsidP="19368B30" w:rsidRDefault="24D8B23A" w14:paraId="0EB138C9" w14:textId="5D81CAD8">
      <w:pPr>
        <w:spacing w:before="240" w:beforeAutospacing="off" w:after="240" w:afterAutospacing="off"/>
      </w:pPr>
      <w:r w:rsidRPr="19368B30" w:rsidR="01FD5A5F">
        <w:rPr>
          <w:rFonts w:ascii="Aptos" w:hAnsi="Aptos" w:eastAsia="Aptos" w:cs="Aptos"/>
          <w:noProof w:val="0"/>
          <w:sz w:val="24"/>
          <w:szCs w:val="24"/>
          <w:lang w:val="en-GB"/>
        </w:rPr>
        <w:t xml:space="preserve">Sustainable development refers to development that meets the needs of the present without compromising the ability of future generations to meet their own needs, integrating economic growth, social </w:t>
      </w:r>
      <w:r w:rsidRPr="19368B30" w:rsidR="01FD5A5F">
        <w:rPr>
          <w:rFonts w:ascii="Aptos" w:hAnsi="Aptos" w:eastAsia="Aptos" w:cs="Aptos"/>
          <w:noProof w:val="0"/>
          <w:sz w:val="24"/>
          <w:szCs w:val="24"/>
          <w:lang w:val="en-GB"/>
        </w:rPr>
        <w:t>inclusion</w:t>
      </w:r>
      <w:r w:rsidRPr="19368B30" w:rsidR="01FD5A5F">
        <w:rPr>
          <w:rFonts w:ascii="Aptos" w:hAnsi="Aptos" w:eastAsia="Aptos" w:cs="Aptos"/>
          <w:noProof w:val="0"/>
          <w:sz w:val="24"/>
          <w:szCs w:val="24"/>
          <w:lang w:val="en-GB"/>
        </w:rPr>
        <w:t xml:space="preserve"> and environmental protection (Brundtland Commission, 1987). Recognising the interconnected nature of global challenges such as poverty, inequality, health disparities and climate change, the United Nations adopted the 2030 Agenda for Sustainable Development in 2015, which includes 17 Sustainable Development Goals (SDGs) to guide global development (United Nations, 2015). These goals provide a universal framework for governments, </w:t>
      </w:r>
      <w:r w:rsidRPr="19368B30" w:rsidR="01FD5A5F">
        <w:rPr>
          <w:rFonts w:ascii="Aptos" w:hAnsi="Aptos" w:eastAsia="Aptos" w:cs="Aptos"/>
          <w:noProof w:val="0"/>
          <w:sz w:val="24"/>
          <w:szCs w:val="24"/>
          <w:lang w:val="en-GB"/>
        </w:rPr>
        <w:t>organisations</w:t>
      </w:r>
      <w:r w:rsidRPr="19368B30" w:rsidR="01FD5A5F">
        <w:rPr>
          <w:rFonts w:ascii="Aptos" w:hAnsi="Aptos" w:eastAsia="Aptos" w:cs="Aptos"/>
          <w:noProof w:val="0"/>
          <w:sz w:val="24"/>
          <w:szCs w:val="24"/>
          <w:lang w:val="en-GB"/>
        </w:rPr>
        <w:t xml:space="preserve"> and communities to address global challenges while promoting long-term sustainability and equity (Sachs et al., 2019).</w:t>
      </w:r>
    </w:p>
    <w:p w:rsidR="24D8B23A" w:rsidP="19368B30" w:rsidRDefault="24D8B23A" w14:paraId="40A950A8" w14:textId="02D74C87">
      <w:pPr>
        <w:spacing w:before="240" w:beforeAutospacing="off" w:after="240" w:afterAutospacing="off"/>
        <w:rPr>
          <w:rFonts w:ascii="Aptos" w:hAnsi="Aptos" w:eastAsia="Aptos" w:cs="Aptos"/>
          <w:noProof w:val="0"/>
          <w:sz w:val="24"/>
          <w:szCs w:val="24"/>
          <w:lang w:val="en-GB"/>
        </w:rPr>
      </w:pPr>
      <w:r w:rsidRPr="19368B30" w:rsidR="01FD5A5F">
        <w:rPr>
          <w:rFonts w:ascii="Aptos" w:hAnsi="Aptos" w:eastAsia="Aptos" w:cs="Aptos"/>
          <w:noProof w:val="0"/>
          <w:sz w:val="24"/>
          <w:szCs w:val="24"/>
          <w:lang w:val="en-GB"/>
        </w:rPr>
        <w:t xml:space="preserve">Among these goals, </w:t>
      </w:r>
      <w:r w:rsidRPr="19368B30" w:rsidR="01FD5A5F">
        <w:rPr>
          <w:rFonts w:ascii="Aptos" w:hAnsi="Aptos" w:eastAsia="Aptos" w:cs="Aptos"/>
          <w:b w:val="0"/>
          <w:bCs w:val="0"/>
          <w:noProof w:val="0"/>
          <w:sz w:val="24"/>
          <w:szCs w:val="24"/>
          <w:lang w:val="en-GB"/>
        </w:rPr>
        <w:t xml:space="preserve">SDG 3 </w:t>
      </w:r>
      <w:r w:rsidRPr="19368B30" w:rsidR="5CCCCD6D">
        <w:rPr>
          <w:rFonts w:ascii="Aptos" w:hAnsi="Aptos" w:eastAsia="Aptos" w:cs="Aptos"/>
          <w:b w:val="0"/>
          <w:bCs w:val="0"/>
          <w:noProof w:val="0"/>
          <w:sz w:val="24"/>
          <w:szCs w:val="24"/>
          <w:lang w:val="en-GB"/>
        </w:rPr>
        <w:t>(</w:t>
      </w:r>
      <w:r w:rsidRPr="19368B30" w:rsidR="01FD5A5F">
        <w:rPr>
          <w:rFonts w:ascii="Aptos" w:hAnsi="Aptos" w:eastAsia="Aptos" w:cs="Aptos"/>
          <w:b w:val="0"/>
          <w:bCs w:val="0"/>
          <w:noProof w:val="0"/>
          <w:sz w:val="24"/>
          <w:szCs w:val="24"/>
          <w:lang w:val="en-GB"/>
        </w:rPr>
        <w:t>Good Health and Well-being</w:t>
      </w:r>
      <w:r w:rsidRPr="19368B30" w:rsidR="48CB9CBB">
        <w:rPr>
          <w:rFonts w:ascii="Aptos" w:hAnsi="Aptos" w:eastAsia="Aptos" w:cs="Aptos"/>
          <w:b w:val="0"/>
          <w:bCs w:val="0"/>
          <w:noProof w:val="0"/>
          <w:sz w:val="24"/>
          <w:szCs w:val="24"/>
          <w:lang w:val="en-GB"/>
        </w:rPr>
        <w:t>)</w:t>
      </w:r>
      <w:r w:rsidRPr="19368B30" w:rsidR="01FD5A5F">
        <w:rPr>
          <w:rFonts w:ascii="Aptos" w:hAnsi="Aptos" w:eastAsia="Aptos" w:cs="Aptos"/>
          <w:b w:val="0"/>
          <w:bCs w:val="0"/>
          <w:noProof w:val="0"/>
          <w:sz w:val="24"/>
          <w:szCs w:val="24"/>
          <w:lang w:val="en-GB"/>
        </w:rPr>
        <w:t xml:space="preserve"> and </w:t>
      </w:r>
      <w:r w:rsidRPr="19368B30" w:rsidR="01FD5A5F">
        <w:rPr>
          <w:rFonts w:ascii="Aptos" w:hAnsi="Aptos" w:eastAsia="Aptos" w:cs="Aptos"/>
          <w:b w:val="0"/>
          <w:bCs w:val="0"/>
          <w:noProof w:val="0"/>
          <w:sz w:val="24"/>
          <w:szCs w:val="24"/>
          <w:lang w:val="en-GB"/>
        </w:rPr>
        <w:t xml:space="preserve">SDG 13 </w:t>
      </w:r>
      <w:r w:rsidRPr="19368B30" w:rsidR="14488146">
        <w:rPr>
          <w:rFonts w:ascii="Aptos" w:hAnsi="Aptos" w:eastAsia="Aptos" w:cs="Aptos"/>
          <w:b w:val="0"/>
          <w:bCs w:val="0"/>
          <w:noProof w:val="0"/>
          <w:sz w:val="24"/>
          <w:szCs w:val="24"/>
          <w:lang w:val="en-GB"/>
        </w:rPr>
        <w:t>(</w:t>
      </w:r>
      <w:r w:rsidRPr="19368B30" w:rsidR="01FD5A5F">
        <w:rPr>
          <w:rFonts w:ascii="Aptos" w:hAnsi="Aptos" w:eastAsia="Aptos" w:cs="Aptos"/>
          <w:b w:val="0"/>
          <w:bCs w:val="0"/>
          <w:noProof w:val="0"/>
          <w:sz w:val="24"/>
          <w:szCs w:val="24"/>
          <w:lang w:val="en-GB"/>
        </w:rPr>
        <w:t>Climate Action</w:t>
      </w:r>
      <w:r w:rsidRPr="19368B30" w:rsidR="3C7EE775">
        <w:rPr>
          <w:rFonts w:ascii="Aptos" w:hAnsi="Aptos" w:eastAsia="Aptos" w:cs="Aptos"/>
          <w:b w:val="0"/>
          <w:bCs w:val="0"/>
          <w:noProof w:val="0"/>
          <w:sz w:val="24"/>
          <w:szCs w:val="24"/>
          <w:lang w:val="en-GB"/>
        </w:rPr>
        <w:t>)</w:t>
      </w:r>
      <w:r w:rsidRPr="19368B30" w:rsidR="01FD5A5F">
        <w:rPr>
          <w:rFonts w:ascii="Aptos" w:hAnsi="Aptos" w:eastAsia="Aptos" w:cs="Aptos"/>
          <w:b w:val="0"/>
          <w:bCs w:val="0"/>
          <w:noProof w:val="0"/>
          <w:sz w:val="24"/>
          <w:szCs w:val="24"/>
          <w:lang w:val="en-GB"/>
        </w:rPr>
        <w:t xml:space="preserve"> are particula</w:t>
      </w:r>
      <w:r w:rsidRPr="19368B30" w:rsidR="01FD5A5F">
        <w:rPr>
          <w:rFonts w:ascii="Aptos" w:hAnsi="Aptos" w:eastAsia="Aptos" w:cs="Aptos"/>
          <w:noProof w:val="0"/>
          <w:sz w:val="24"/>
          <w:szCs w:val="24"/>
          <w:lang w:val="en-GB"/>
        </w:rPr>
        <w:t xml:space="preserve">rly significant. SDG 3 focuses on ensuring healthy lives and promoting well-being for people of all ages, addressing issues such as communicable diseases, non-communicable diseases, maternal </w:t>
      </w:r>
      <w:r w:rsidRPr="19368B30" w:rsidR="01FD5A5F">
        <w:rPr>
          <w:rFonts w:ascii="Aptos" w:hAnsi="Aptos" w:eastAsia="Aptos" w:cs="Aptos"/>
          <w:noProof w:val="0"/>
          <w:sz w:val="24"/>
          <w:szCs w:val="24"/>
          <w:lang w:val="en-GB"/>
        </w:rPr>
        <w:t>health</w:t>
      </w:r>
      <w:r w:rsidRPr="19368B30" w:rsidR="01FD5A5F">
        <w:rPr>
          <w:rFonts w:ascii="Aptos" w:hAnsi="Aptos" w:eastAsia="Aptos" w:cs="Aptos"/>
          <w:noProof w:val="0"/>
          <w:sz w:val="24"/>
          <w:szCs w:val="24"/>
          <w:lang w:val="en-GB"/>
        </w:rPr>
        <w:t xml:space="preserve"> and universal health coverage (World Health Organization, 2018). Meanwhile, SDG 13 highlights the urgent need to address climate change and its impacts, recognising that environmental changes directly affect human health, economic </w:t>
      </w:r>
      <w:r w:rsidRPr="19368B30" w:rsidR="01FD5A5F">
        <w:rPr>
          <w:rFonts w:ascii="Aptos" w:hAnsi="Aptos" w:eastAsia="Aptos" w:cs="Aptos"/>
          <w:noProof w:val="0"/>
          <w:sz w:val="24"/>
          <w:szCs w:val="24"/>
          <w:lang w:val="en-GB"/>
        </w:rPr>
        <w:t>stability</w:t>
      </w:r>
      <w:r w:rsidRPr="19368B30" w:rsidR="01FD5A5F">
        <w:rPr>
          <w:rFonts w:ascii="Aptos" w:hAnsi="Aptos" w:eastAsia="Aptos" w:cs="Aptos"/>
          <w:noProof w:val="0"/>
          <w:sz w:val="24"/>
          <w:szCs w:val="24"/>
          <w:lang w:val="en-GB"/>
        </w:rPr>
        <w:t xml:space="preserve"> and ecosystems (IPCC, 2023). </w:t>
      </w:r>
    </w:p>
    <w:p w:rsidR="24D8B23A" w:rsidP="19368B30" w:rsidRDefault="24D8B23A" w14:paraId="3E6DD8EC" w14:textId="3668ED66">
      <w:pPr>
        <w:spacing w:before="240" w:beforeAutospacing="off" w:after="240" w:afterAutospacing="off"/>
      </w:pPr>
      <w:r w:rsidRPr="19368B30" w:rsidR="01FD5A5F">
        <w:rPr>
          <w:rFonts w:ascii="Aptos" w:hAnsi="Aptos" w:eastAsia="Aptos" w:cs="Aptos"/>
          <w:noProof w:val="0"/>
          <w:sz w:val="24"/>
          <w:szCs w:val="24"/>
          <w:lang w:val="en-GB"/>
        </w:rPr>
        <w:t>This report critically evaluates SDG 3 and SDG 13 by examining relevant global policies and initiatives, as well as national and local examples. It also applies theoretical frameworks to analyse policy effectiveness and proposes evidence-based recommendations to improve the implementation of these goals.</w:t>
      </w:r>
    </w:p>
    <w:p w:rsidR="24D8B23A" w:rsidP="19368B30" w:rsidRDefault="24D8B23A" w14:paraId="67F56675" w14:textId="490786FB">
      <w:pPr>
        <w:spacing w:before="240" w:beforeAutospacing="off" w:after="240" w:afterAutospacing="off"/>
        <w:rPr>
          <w:rFonts w:ascii="Aptos" w:hAnsi="Aptos" w:eastAsia="Aptos" w:cs="Aptos"/>
          <w:noProof w:val="0"/>
          <w:sz w:val="24"/>
          <w:szCs w:val="24"/>
          <w:lang w:val="en-GB"/>
        </w:rPr>
      </w:pPr>
    </w:p>
    <w:p w:rsidR="24D8B23A" w:rsidP="19368B30" w:rsidRDefault="24D8B23A" w14:paraId="5DA52B32" w14:textId="310C4B64">
      <w:pPr>
        <w:pStyle w:val="Normal"/>
        <w:rPr>
          <w:sz w:val="32"/>
          <w:szCs w:val="32"/>
        </w:rPr>
      </w:pPr>
      <w:r w:rsidRPr="19368B30" w:rsidR="2B1D51F4">
        <w:rPr>
          <w:sz w:val="32"/>
          <w:szCs w:val="32"/>
        </w:rPr>
        <w:t xml:space="preserve">Section 1: </w:t>
      </w:r>
      <w:r w:rsidRPr="19368B30" w:rsidR="2A59B3A6">
        <w:rPr>
          <w:sz w:val="32"/>
          <w:szCs w:val="32"/>
        </w:rPr>
        <w:t xml:space="preserve">SDG 3- Good Health </w:t>
      </w:r>
      <w:r w:rsidRPr="19368B30" w:rsidR="2A59B3A6">
        <w:rPr>
          <w:sz w:val="32"/>
          <w:szCs w:val="32"/>
        </w:rPr>
        <w:t>and</w:t>
      </w:r>
      <w:r w:rsidRPr="19368B30" w:rsidR="2A59B3A6">
        <w:rPr>
          <w:sz w:val="32"/>
          <w:szCs w:val="32"/>
        </w:rPr>
        <w:t xml:space="preserve"> Wellbeing</w:t>
      </w:r>
    </w:p>
    <w:p w:rsidR="7088F0A8" w:rsidP="678AE5DD" w:rsidRDefault="7088F0A8" w14:paraId="27199F7C" w14:textId="3F802244">
      <w:pPr>
        <w:pStyle w:val="Normal"/>
      </w:pPr>
      <w:r w:rsidRPr="678AE5DD" w:rsidR="7088F0A8">
        <w:rPr>
          <w:noProof w:val="0"/>
          <w:lang w:val="en-GB"/>
        </w:rPr>
        <w:t>Sustainable Development Goal (SDG) 3 seeks to “ensure healthy lives and promote well-being for all at all ages” (UN, 2015). It encompasses essential health-related targets, including reducing maternal and child mortality, eradicating epidemics such as AIDS, tuberculosis, and malaria, addressing non-communicable diseases (NCDs), improving mental health, achieving universal health coverage (UHC), and ensuring access to affordable medicines and vaccines (UN, 2015). SDG 3 is pivotal to global development, as improved health outcomes drive social and economic progress while reducing inequities and poverty.</w:t>
      </w:r>
    </w:p>
    <w:p w:rsidR="7088F0A8" w:rsidP="678AE5DD" w:rsidRDefault="7088F0A8" w14:paraId="6B365FDD" w14:textId="49BC03E6">
      <w:pPr>
        <w:spacing w:before="240" w:beforeAutospacing="off" w:after="240" w:afterAutospacing="off"/>
      </w:pPr>
      <w:r w:rsidRPr="19368B30" w:rsidR="285AB03B">
        <w:rPr>
          <w:rFonts w:ascii="Aptos" w:hAnsi="Aptos" w:eastAsia="Aptos" w:cs="Aptos"/>
          <w:noProof w:val="0"/>
          <w:sz w:val="24"/>
          <w:szCs w:val="24"/>
          <w:lang w:val="en-GB"/>
        </w:rPr>
        <w:t xml:space="preserve">The </w:t>
      </w:r>
      <w:r w:rsidRPr="19368B30" w:rsidR="285AB03B">
        <w:rPr>
          <w:rFonts w:ascii="Aptos" w:hAnsi="Aptos" w:eastAsia="Aptos" w:cs="Aptos"/>
          <w:i w:val="1"/>
          <w:iCs w:val="1"/>
          <w:noProof w:val="0"/>
          <w:sz w:val="24"/>
          <w:szCs w:val="24"/>
          <w:lang w:val="en-GB"/>
        </w:rPr>
        <w:t>social determinants of health</w:t>
      </w:r>
      <w:r w:rsidRPr="19368B30" w:rsidR="285AB03B">
        <w:rPr>
          <w:rFonts w:ascii="Aptos" w:hAnsi="Aptos" w:eastAsia="Aptos" w:cs="Aptos"/>
          <w:noProof w:val="0"/>
          <w:sz w:val="24"/>
          <w:szCs w:val="24"/>
          <w:lang w:val="en-GB"/>
        </w:rPr>
        <w:t xml:space="preserve"> framework </w:t>
      </w:r>
      <w:r w:rsidRPr="19368B30" w:rsidR="047CAE98">
        <w:rPr>
          <w:rFonts w:ascii="Aptos" w:hAnsi="Aptos" w:eastAsia="Aptos" w:cs="Aptos"/>
          <w:noProof w:val="0"/>
          <w:sz w:val="24"/>
          <w:szCs w:val="24"/>
          <w:lang w:val="en-GB"/>
        </w:rPr>
        <w:t>highlight</w:t>
      </w:r>
      <w:r w:rsidRPr="19368B30" w:rsidR="285AB03B">
        <w:rPr>
          <w:rFonts w:ascii="Aptos" w:hAnsi="Aptos" w:eastAsia="Aptos" w:cs="Aptos"/>
          <w:noProof w:val="0"/>
          <w:sz w:val="24"/>
          <w:szCs w:val="24"/>
          <w:lang w:val="en-GB"/>
        </w:rPr>
        <w:t xml:space="preserve"> the role of structural factors</w:t>
      </w:r>
      <w:r w:rsidRPr="19368B30" w:rsidR="20F83A35">
        <w:rPr>
          <w:rFonts w:ascii="Aptos" w:hAnsi="Aptos" w:eastAsia="Aptos" w:cs="Aptos"/>
          <w:noProof w:val="0"/>
          <w:sz w:val="24"/>
          <w:szCs w:val="24"/>
          <w:lang w:val="en-GB"/>
        </w:rPr>
        <w:t xml:space="preserve"> </w:t>
      </w:r>
      <w:r w:rsidRPr="19368B30" w:rsidR="285AB03B">
        <w:rPr>
          <w:rFonts w:ascii="Aptos" w:hAnsi="Aptos" w:eastAsia="Aptos" w:cs="Aptos"/>
          <w:noProof w:val="0"/>
          <w:sz w:val="24"/>
          <w:szCs w:val="24"/>
          <w:lang w:val="en-GB"/>
        </w:rPr>
        <w:t>such as income, education, and access to healthcare</w:t>
      </w:r>
      <w:r w:rsidRPr="19368B30" w:rsidR="7FAC3493">
        <w:rPr>
          <w:rFonts w:ascii="Aptos" w:hAnsi="Aptos" w:eastAsia="Aptos" w:cs="Aptos"/>
          <w:noProof w:val="0"/>
          <w:sz w:val="24"/>
          <w:szCs w:val="24"/>
          <w:lang w:val="en-GB"/>
        </w:rPr>
        <w:t xml:space="preserve"> </w:t>
      </w:r>
      <w:r w:rsidRPr="19368B30" w:rsidR="285AB03B">
        <w:rPr>
          <w:rFonts w:ascii="Aptos" w:hAnsi="Aptos" w:eastAsia="Aptos" w:cs="Aptos"/>
          <w:noProof w:val="0"/>
          <w:sz w:val="24"/>
          <w:szCs w:val="24"/>
          <w:lang w:val="en-GB"/>
        </w:rPr>
        <w:t xml:space="preserve">in shaping health outcomes and equity (Solar </w:t>
      </w:r>
      <w:r w:rsidRPr="19368B30" w:rsidR="250D5F7C">
        <w:rPr>
          <w:rFonts w:ascii="Aptos" w:hAnsi="Aptos" w:eastAsia="Aptos" w:cs="Aptos"/>
          <w:noProof w:val="0"/>
          <w:sz w:val="24"/>
          <w:szCs w:val="24"/>
          <w:lang w:val="en-GB"/>
        </w:rPr>
        <w:t>and</w:t>
      </w:r>
      <w:r w:rsidRPr="19368B30" w:rsidR="285AB03B">
        <w:rPr>
          <w:rFonts w:ascii="Aptos" w:hAnsi="Aptos" w:eastAsia="Aptos" w:cs="Aptos"/>
          <w:noProof w:val="0"/>
          <w:sz w:val="24"/>
          <w:szCs w:val="24"/>
          <w:lang w:val="en-GB"/>
        </w:rPr>
        <w:t xml:space="preserve"> Irwin, 2010). Further, proximal risk factors like individual </w:t>
      </w:r>
      <w:r w:rsidRPr="19368B30" w:rsidR="012DC647">
        <w:rPr>
          <w:rFonts w:ascii="Aptos" w:hAnsi="Aptos" w:eastAsia="Aptos" w:cs="Aptos"/>
          <w:noProof w:val="0"/>
          <w:sz w:val="24"/>
          <w:szCs w:val="24"/>
          <w:lang w:val="en-GB"/>
        </w:rPr>
        <w:t>behaviours</w:t>
      </w:r>
      <w:r w:rsidRPr="19368B30" w:rsidR="285AB03B">
        <w:rPr>
          <w:rFonts w:ascii="Aptos" w:hAnsi="Aptos" w:eastAsia="Aptos" w:cs="Aptos"/>
          <w:noProof w:val="0"/>
          <w:sz w:val="24"/>
          <w:szCs w:val="24"/>
          <w:lang w:val="en-GB"/>
        </w:rPr>
        <w:t xml:space="preserve"> and biological predispositions interact with these structural determinants to influence health. This theoretical understanding underscores the need for comprehensive, multisectoral approaches to health policy (WHO, 2008). Addressing both structural and proximal drivers is essential for achieving SDG 3’s ambitious targets.</w:t>
      </w:r>
    </w:p>
    <w:p w:rsidR="678AE5DD" w:rsidRDefault="678AE5DD" w14:paraId="1BEC0C4F" w14:textId="6B00F5E4"/>
    <w:p w:rsidR="7088F0A8" w:rsidP="678AE5DD" w:rsidRDefault="7088F0A8" w14:paraId="129BC38A" w14:textId="348994D1">
      <w:pPr>
        <w:pStyle w:val="Normal"/>
        <w:rPr>
          <w:noProof w:val="0"/>
          <w:sz w:val="32"/>
          <w:szCs w:val="32"/>
          <w:lang w:val="en-GB"/>
        </w:rPr>
      </w:pPr>
      <w:r w:rsidRPr="678AE5DD" w:rsidR="7088F0A8">
        <w:rPr>
          <w:noProof w:val="0"/>
          <w:sz w:val="32"/>
          <w:szCs w:val="32"/>
          <w:lang w:val="en-GB"/>
        </w:rPr>
        <w:t>Critical Evaluation of Global Policies and Initiatives</w:t>
      </w:r>
    </w:p>
    <w:p w:rsidR="7088F0A8" w:rsidP="678AE5DD" w:rsidRDefault="7088F0A8" w14:paraId="41A42E93" w14:textId="00CBD2CF">
      <w:pPr>
        <w:spacing w:before="240" w:beforeAutospacing="off" w:after="24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At the international level, the </w:t>
      </w:r>
      <w:r w:rsidRPr="678AE5DD" w:rsidR="7088F0A8">
        <w:rPr>
          <w:rFonts w:ascii="Aptos" w:hAnsi="Aptos" w:eastAsia="Aptos" w:cs="Aptos"/>
          <w:b w:val="0"/>
          <w:bCs w:val="0"/>
          <w:noProof w:val="0"/>
          <w:sz w:val="24"/>
          <w:szCs w:val="24"/>
          <w:lang w:val="en-GB"/>
        </w:rPr>
        <w:t>WHO Global Action Plan for the Prevention and Control of NCDs (2013–2020)</w:t>
      </w:r>
      <w:r w:rsidRPr="678AE5DD" w:rsidR="7088F0A8">
        <w:rPr>
          <w:rFonts w:ascii="Aptos" w:hAnsi="Aptos" w:eastAsia="Aptos" w:cs="Aptos"/>
          <w:b w:val="0"/>
          <w:bCs w:val="0"/>
          <w:noProof w:val="0"/>
          <w:sz w:val="24"/>
          <w:szCs w:val="24"/>
          <w:lang w:val="en-GB"/>
        </w:rPr>
        <w:t xml:space="preserve"> has been a cornerstone of SDG 3 implementation. Central to this initiative are “best buys,” or cost-effective interventions, targeting key risk factors such as tobacco use, unhealthy diets, physical inactivity, and harmful alcohol consumption (WHO, 2013). Positive outcomes have been </w:t>
      </w:r>
      <w:r w:rsidRPr="678AE5DD" w:rsidR="7088F0A8">
        <w:rPr>
          <w:rFonts w:ascii="Aptos" w:hAnsi="Aptos" w:eastAsia="Aptos" w:cs="Aptos"/>
          <w:b w:val="0"/>
          <w:bCs w:val="0"/>
          <w:noProof w:val="0"/>
          <w:sz w:val="24"/>
          <w:szCs w:val="24"/>
          <w:lang w:val="en-GB"/>
        </w:rPr>
        <w:t>observed</w:t>
      </w:r>
      <w:r w:rsidRPr="678AE5DD" w:rsidR="7088F0A8">
        <w:rPr>
          <w:rFonts w:ascii="Aptos" w:hAnsi="Aptos" w:eastAsia="Aptos" w:cs="Aptos"/>
          <w:b w:val="0"/>
          <w:bCs w:val="0"/>
          <w:noProof w:val="0"/>
          <w:sz w:val="24"/>
          <w:szCs w:val="24"/>
          <w:lang w:val="en-GB"/>
        </w:rPr>
        <w:t>, particularly in tobacco control, where taxation and smoke-free legislation have reduced cardiovascular risks globally (</w:t>
      </w:r>
      <w:r w:rsidRPr="678AE5DD" w:rsidR="7088F0A8">
        <w:rPr>
          <w:rFonts w:ascii="Aptos" w:hAnsi="Aptos" w:eastAsia="Aptos" w:cs="Aptos"/>
          <w:b w:val="0"/>
          <w:bCs w:val="0"/>
          <w:noProof w:val="0"/>
          <w:sz w:val="24"/>
          <w:szCs w:val="24"/>
          <w:lang w:val="en-GB"/>
        </w:rPr>
        <w:t>Gakidou</w:t>
      </w:r>
      <w:r w:rsidRPr="678AE5DD" w:rsidR="7088F0A8">
        <w:rPr>
          <w:rFonts w:ascii="Aptos" w:hAnsi="Aptos" w:eastAsia="Aptos" w:cs="Aptos"/>
          <w:b w:val="0"/>
          <w:bCs w:val="0"/>
          <w:noProof w:val="0"/>
          <w:sz w:val="24"/>
          <w:szCs w:val="24"/>
          <w:lang w:val="en-GB"/>
        </w:rPr>
        <w:t xml:space="preserve"> et al., 2017). However, progress </w:t>
      </w:r>
      <w:r w:rsidRPr="678AE5DD" w:rsidR="7088F0A8">
        <w:rPr>
          <w:rFonts w:ascii="Aptos" w:hAnsi="Aptos" w:eastAsia="Aptos" w:cs="Aptos"/>
          <w:b w:val="0"/>
          <w:bCs w:val="0"/>
          <w:noProof w:val="0"/>
          <w:sz w:val="24"/>
          <w:szCs w:val="24"/>
          <w:lang w:val="en-GB"/>
        </w:rPr>
        <w:t>remains</w:t>
      </w:r>
      <w:r w:rsidRPr="678AE5DD" w:rsidR="7088F0A8">
        <w:rPr>
          <w:rFonts w:ascii="Aptos" w:hAnsi="Aptos" w:eastAsia="Aptos" w:cs="Aptos"/>
          <w:b w:val="0"/>
          <w:bCs w:val="0"/>
          <w:noProof w:val="0"/>
          <w:sz w:val="24"/>
          <w:szCs w:val="24"/>
          <w:lang w:val="en-GB"/>
        </w:rPr>
        <w:t xml:space="preserve"> uneven, with low- and middle-income countries (LMICs) experiencing increasing NCD burdens due to limited policy implementation and financial constraints (</w:t>
      </w:r>
      <w:r w:rsidRPr="678AE5DD" w:rsidR="7088F0A8">
        <w:rPr>
          <w:rFonts w:ascii="Aptos" w:hAnsi="Aptos" w:eastAsia="Aptos" w:cs="Aptos"/>
          <w:b w:val="0"/>
          <w:bCs w:val="0"/>
          <w:noProof w:val="0"/>
          <w:sz w:val="24"/>
          <w:szCs w:val="24"/>
          <w:lang w:val="en-GB"/>
        </w:rPr>
        <w:t>Naghavi</w:t>
      </w:r>
      <w:r w:rsidRPr="678AE5DD" w:rsidR="7088F0A8">
        <w:rPr>
          <w:rFonts w:ascii="Aptos" w:hAnsi="Aptos" w:eastAsia="Aptos" w:cs="Aptos"/>
          <w:b w:val="0"/>
          <w:bCs w:val="0"/>
          <w:noProof w:val="0"/>
          <w:sz w:val="24"/>
          <w:szCs w:val="24"/>
          <w:lang w:val="en-GB"/>
        </w:rPr>
        <w:t xml:space="preserve"> et al., 2018).</w:t>
      </w:r>
    </w:p>
    <w:p w:rsidR="7088F0A8" w:rsidP="678AE5DD" w:rsidRDefault="7088F0A8" w14:paraId="36545C9C" w14:textId="7F799B51">
      <w:pPr>
        <w:spacing w:before="240" w:beforeAutospacing="off" w:after="24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The </w:t>
      </w:r>
      <w:r w:rsidRPr="678AE5DD" w:rsidR="0F83A1A6">
        <w:rPr>
          <w:rFonts w:ascii="Aptos" w:hAnsi="Aptos" w:eastAsia="Aptos" w:cs="Aptos"/>
          <w:b w:val="0"/>
          <w:bCs w:val="0"/>
          <w:noProof w:val="0"/>
          <w:sz w:val="24"/>
          <w:szCs w:val="24"/>
          <w:lang w:val="en-GB"/>
        </w:rPr>
        <w:t>UNAIDS targets</w:t>
      </w:r>
      <w:r w:rsidRPr="678AE5DD" w:rsidR="7088F0A8">
        <w:rPr>
          <w:rFonts w:ascii="Aptos" w:hAnsi="Aptos" w:eastAsia="Aptos" w:cs="Aptos"/>
          <w:b w:val="0"/>
          <w:bCs w:val="0"/>
          <w:noProof w:val="0"/>
          <w:sz w:val="24"/>
          <w:szCs w:val="24"/>
          <w:lang w:val="en-GB"/>
        </w:rPr>
        <w:t xml:space="preserve"> </w:t>
      </w:r>
      <w:r w:rsidRPr="678AE5DD" w:rsidR="7088F0A8">
        <w:rPr>
          <w:rFonts w:ascii="Aptos" w:hAnsi="Aptos" w:eastAsia="Aptos" w:cs="Aptos"/>
          <w:b w:val="0"/>
          <w:bCs w:val="0"/>
          <w:noProof w:val="0"/>
          <w:sz w:val="24"/>
          <w:szCs w:val="24"/>
          <w:lang w:val="en-GB"/>
        </w:rPr>
        <w:t>represent</w:t>
      </w:r>
      <w:r w:rsidRPr="678AE5DD" w:rsidR="7088F0A8">
        <w:rPr>
          <w:rFonts w:ascii="Aptos" w:hAnsi="Aptos" w:eastAsia="Aptos" w:cs="Aptos"/>
          <w:b w:val="0"/>
          <w:bCs w:val="0"/>
          <w:noProof w:val="0"/>
          <w:sz w:val="24"/>
          <w:szCs w:val="24"/>
          <w:lang w:val="en-GB"/>
        </w:rPr>
        <w:t xml:space="preserve"> another significant global initiative, aiming to diagnose 95% of people living with HIV, ensure 95% of them are on treatment, and achieve viral suppression for 95% of those treated by 2030 (UNAIDS, 2021). This framework has driven progress in expanding antiretroviral treatment (ART), particularly in Sub-Saharan Africa. Nevertheless, disparities persist, as marginalized groups</w:t>
      </w:r>
      <w:r w:rsidRPr="678AE5DD" w:rsidR="376FA974">
        <w:rPr>
          <w:rFonts w:ascii="Aptos" w:hAnsi="Aptos" w:eastAsia="Aptos" w:cs="Aptos"/>
          <w:b w:val="0"/>
          <w:bCs w:val="0"/>
          <w:noProof w:val="0"/>
          <w:sz w:val="24"/>
          <w:szCs w:val="24"/>
          <w:lang w:val="en-GB"/>
        </w:rPr>
        <w:t xml:space="preserve"> </w:t>
      </w:r>
      <w:r w:rsidRPr="678AE5DD" w:rsidR="7088F0A8">
        <w:rPr>
          <w:rFonts w:ascii="Aptos" w:hAnsi="Aptos" w:eastAsia="Aptos" w:cs="Aptos"/>
          <w:b w:val="0"/>
          <w:bCs w:val="0"/>
          <w:noProof w:val="0"/>
          <w:sz w:val="24"/>
          <w:szCs w:val="24"/>
          <w:lang w:val="en-GB"/>
        </w:rPr>
        <w:t>such as women and youth</w:t>
      </w:r>
      <w:r w:rsidRPr="678AE5DD" w:rsidR="5CCAEE66">
        <w:rPr>
          <w:rFonts w:ascii="Aptos" w:hAnsi="Aptos" w:eastAsia="Aptos" w:cs="Aptos"/>
          <w:b w:val="0"/>
          <w:bCs w:val="0"/>
          <w:noProof w:val="0"/>
          <w:sz w:val="24"/>
          <w:szCs w:val="24"/>
          <w:lang w:val="en-GB"/>
        </w:rPr>
        <w:t xml:space="preserve"> </w:t>
      </w:r>
      <w:r w:rsidRPr="678AE5DD" w:rsidR="7088F0A8">
        <w:rPr>
          <w:rFonts w:ascii="Aptos" w:hAnsi="Aptos" w:eastAsia="Aptos" w:cs="Aptos"/>
          <w:b w:val="0"/>
          <w:bCs w:val="0"/>
          <w:noProof w:val="0"/>
          <w:sz w:val="24"/>
          <w:szCs w:val="24"/>
          <w:lang w:val="en-GB"/>
        </w:rPr>
        <w:t>face barriers to testing and treatment due to stigma, poverty, and entrenched gender norms (Katz et al., 2018). Critically, global health governance often prioritizes donor-driven agendas, which may undermine local health needs and sustainability (</w:t>
      </w:r>
      <w:r w:rsidRPr="678AE5DD" w:rsidR="7088F0A8">
        <w:rPr>
          <w:rFonts w:ascii="Aptos" w:hAnsi="Aptos" w:eastAsia="Aptos" w:cs="Aptos"/>
          <w:b w:val="0"/>
          <w:bCs w:val="0"/>
          <w:noProof w:val="0"/>
          <w:sz w:val="24"/>
          <w:szCs w:val="24"/>
          <w:lang w:val="en-GB"/>
        </w:rPr>
        <w:t>Kapilashrami</w:t>
      </w:r>
      <w:r w:rsidRPr="678AE5DD" w:rsidR="7088F0A8">
        <w:rPr>
          <w:rFonts w:ascii="Aptos" w:hAnsi="Aptos" w:eastAsia="Aptos" w:cs="Aptos"/>
          <w:b w:val="0"/>
          <w:bCs w:val="0"/>
          <w:noProof w:val="0"/>
          <w:sz w:val="24"/>
          <w:szCs w:val="24"/>
          <w:lang w:val="en-GB"/>
        </w:rPr>
        <w:t xml:space="preserve"> &amp; Marsden, 2018).</w:t>
      </w:r>
    </w:p>
    <w:p w:rsidR="7088F0A8" w:rsidP="678AE5DD" w:rsidRDefault="7088F0A8" w14:paraId="181F47A4" w14:textId="2B0D498C">
      <w:pPr>
        <w:spacing w:before="240" w:beforeAutospacing="off" w:after="24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Global health strategies also face challenges in accountability and cultural adaptability. For example, the </w:t>
      </w:r>
      <w:r w:rsidRPr="678AE5DD" w:rsidR="7088F0A8">
        <w:rPr>
          <w:rFonts w:ascii="Aptos" w:hAnsi="Aptos" w:eastAsia="Aptos" w:cs="Aptos"/>
          <w:b w:val="0"/>
          <w:bCs w:val="0"/>
          <w:i w:val="1"/>
          <w:iCs w:val="1"/>
          <w:noProof w:val="0"/>
          <w:sz w:val="24"/>
          <w:szCs w:val="24"/>
          <w:lang w:val="en-GB"/>
        </w:rPr>
        <w:t>Framework Convention on Tobacco Control</w:t>
      </w:r>
      <w:r w:rsidRPr="678AE5DD" w:rsidR="7088F0A8">
        <w:rPr>
          <w:rFonts w:ascii="Aptos" w:hAnsi="Aptos" w:eastAsia="Aptos" w:cs="Aptos"/>
          <w:b w:val="0"/>
          <w:bCs w:val="0"/>
          <w:noProof w:val="0"/>
          <w:sz w:val="24"/>
          <w:szCs w:val="24"/>
          <w:lang w:val="en-GB"/>
        </w:rPr>
        <w:t xml:space="preserve"> has effectively set global norms for tobacco regulation, but its lack of enforceable mechanisms results in variable national implementation. Additionally, one-size-fits-all approaches to health interventions often </w:t>
      </w:r>
      <w:r w:rsidRPr="678AE5DD" w:rsidR="7088F0A8">
        <w:rPr>
          <w:rFonts w:ascii="Aptos" w:hAnsi="Aptos" w:eastAsia="Aptos" w:cs="Aptos"/>
          <w:b w:val="0"/>
          <w:bCs w:val="0"/>
          <w:noProof w:val="0"/>
          <w:sz w:val="24"/>
          <w:szCs w:val="24"/>
          <w:lang w:val="en-GB"/>
        </w:rPr>
        <w:t>fail to</w:t>
      </w:r>
      <w:r w:rsidRPr="678AE5DD" w:rsidR="7088F0A8">
        <w:rPr>
          <w:rFonts w:ascii="Aptos" w:hAnsi="Aptos" w:eastAsia="Aptos" w:cs="Aptos"/>
          <w:b w:val="0"/>
          <w:bCs w:val="0"/>
          <w:noProof w:val="0"/>
          <w:sz w:val="24"/>
          <w:szCs w:val="24"/>
          <w:lang w:val="en-GB"/>
        </w:rPr>
        <w:t xml:space="preserve"> consider cultural, social, and economic diversity, limiting their relevance and effectiveness in specific contexts (Shiffman, 2015).</w:t>
      </w:r>
    </w:p>
    <w:p w:rsidR="678AE5DD" w:rsidRDefault="678AE5DD" w14:paraId="0D9CCC2E" w14:textId="2B571773">
      <w:pPr>
        <w:rPr>
          <w:b w:val="0"/>
          <w:bCs w:val="0"/>
        </w:rPr>
      </w:pPr>
    </w:p>
    <w:p w:rsidR="7088F0A8" w:rsidP="678AE5DD" w:rsidRDefault="7088F0A8" w14:paraId="7CD75516" w14:textId="347F6668">
      <w:pPr>
        <w:pStyle w:val="Heading3"/>
        <w:spacing w:before="281" w:beforeAutospacing="off" w:after="281" w:afterAutospacing="off"/>
        <w:rPr>
          <w:rFonts w:ascii="Aptos" w:hAnsi="Aptos" w:eastAsia="Aptos" w:cs="Aptos"/>
          <w:b w:val="0"/>
          <w:bCs w:val="0"/>
          <w:noProof w:val="0"/>
          <w:color w:val="000000" w:themeColor="text1" w:themeTint="FF" w:themeShade="FF"/>
          <w:sz w:val="32"/>
          <w:szCs w:val="32"/>
          <w:lang w:val="en-GB"/>
        </w:rPr>
      </w:pPr>
      <w:r w:rsidRPr="678AE5DD" w:rsidR="7088F0A8">
        <w:rPr>
          <w:rFonts w:ascii="Aptos" w:hAnsi="Aptos" w:eastAsia="Aptos" w:cs="Aptos"/>
          <w:b w:val="0"/>
          <w:bCs w:val="0"/>
          <w:noProof w:val="0"/>
          <w:color w:val="000000" w:themeColor="text1" w:themeTint="FF" w:themeShade="FF"/>
          <w:sz w:val="32"/>
          <w:szCs w:val="32"/>
          <w:lang w:val="en-GB"/>
        </w:rPr>
        <w:t>Critical Evaluation of National and Local Efforts</w:t>
      </w:r>
    </w:p>
    <w:p w:rsidR="7088F0A8" w:rsidP="678AE5DD" w:rsidRDefault="7088F0A8" w14:paraId="375EC29D" w14:textId="7D77E2E9">
      <w:pPr>
        <w:spacing w:before="240" w:beforeAutospacing="off" w:after="24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At the national level, the United Kingdom’s </w:t>
      </w:r>
      <w:r w:rsidRPr="678AE5DD" w:rsidR="7088F0A8">
        <w:rPr>
          <w:rFonts w:ascii="Aptos" w:hAnsi="Aptos" w:eastAsia="Aptos" w:cs="Aptos"/>
          <w:b w:val="0"/>
          <w:bCs w:val="0"/>
          <w:noProof w:val="0"/>
          <w:sz w:val="24"/>
          <w:szCs w:val="24"/>
          <w:lang w:val="en-GB"/>
        </w:rPr>
        <w:t>National Health Service (NHS) Long Term Plan (2019)</w:t>
      </w:r>
      <w:r w:rsidRPr="678AE5DD" w:rsidR="7088F0A8">
        <w:rPr>
          <w:rFonts w:ascii="Aptos" w:hAnsi="Aptos" w:eastAsia="Aptos" w:cs="Aptos"/>
          <w:b w:val="0"/>
          <w:bCs w:val="0"/>
          <w:noProof w:val="0"/>
          <w:sz w:val="24"/>
          <w:szCs w:val="24"/>
          <w:lang w:val="en-GB"/>
        </w:rPr>
        <w:t xml:space="preserve"> exemplifies SDG 3 principles by emphasizing prevention, reducing health inequalities, and enhancing mental health services. A key strength of this plan is its universal health coverage model, which minimizes financial barriers to essential healthcare services and aligns with SDG 3.8 (NHS England, 2019). However, evidence suggests persistent inequities within the UK’s health outcomes. For instance, preventable mortality and life expectancy remain significantly worse in deprived regions compared to affluent ones, highlighting the need to address structural determinants such as housing, income, and education (Marmot et al., 2020).</w:t>
      </w:r>
    </w:p>
    <w:p w:rsidR="7088F0A8" w:rsidP="678AE5DD" w:rsidRDefault="7088F0A8" w14:paraId="6C90C9BB" w14:textId="2A90BAAA">
      <w:pPr>
        <w:spacing w:before="240" w:beforeAutospacing="off" w:after="24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On a local scale, community health initiatives like the Lambeth Early Action Partnership in London </w:t>
      </w:r>
      <w:r w:rsidRPr="678AE5DD" w:rsidR="7088F0A8">
        <w:rPr>
          <w:rFonts w:ascii="Aptos" w:hAnsi="Aptos" w:eastAsia="Aptos" w:cs="Aptos"/>
          <w:b w:val="0"/>
          <w:bCs w:val="0"/>
          <w:noProof w:val="0"/>
          <w:sz w:val="24"/>
          <w:szCs w:val="24"/>
          <w:lang w:val="en-GB"/>
        </w:rPr>
        <w:t>provide</w:t>
      </w:r>
      <w:r w:rsidRPr="678AE5DD" w:rsidR="7088F0A8">
        <w:rPr>
          <w:rFonts w:ascii="Aptos" w:hAnsi="Aptos" w:eastAsia="Aptos" w:cs="Aptos"/>
          <w:b w:val="0"/>
          <w:bCs w:val="0"/>
          <w:noProof w:val="0"/>
          <w:sz w:val="24"/>
          <w:szCs w:val="24"/>
          <w:lang w:val="en-GB"/>
        </w:rPr>
        <w:t xml:space="preserve"> strong examples of addressing health inequities. This program integrates early childhood development interventions with social services, targeting risk factors that shape health outcomes over a lifetime (GLA, 2020). These efforts draw on the </w:t>
      </w:r>
      <w:r w:rsidRPr="678AE5DD" w:rsidR="7088F0A8">
        <w:rPr>
          <w:rFonts w:ascii="Aptos" w:hAnsi="Aptos" w:eastAsia="Aptos" w:cs="Aptos"/>
          <w:b w:val="0"/>
          <w:bCs w:val="0"/>
          <w:i w:val="1"/>
          <w:iCs w:val="1"/>
          <w:noProof w:val="0"/>
          <w:sz w:val="24"/>
          <w:szCs w:val="24"/>
          <w:lang w:val="en-GB"/>
        </w:rPr>
        <w:t>ecological model of health</w:t>
      </w:r>
      <w:r w:rsidRPr="678AE5DD" w:rsidR="7088F0A8">
        <w:rPr>
          <w:rFonts w:ascii="Aptos" w:hAnsi="Aptos" w:eastAsia="Aptos" w:cs="Aptos"/>
          <w:b w:val="0"/>
          <w:bCs w:val="0"/>
          <w:noProof w:val="0"/>
          <w:sz w:val="24"/>
          <w:szCs w:val="24"/>
          <w:lang w:val="en-GB"/>
        </w:rPr>
        <w:t xml:space="preserve">, which posits that individual health </w:t>
      </w:r>
      <w:r w:rsidRPr="678AE5DD" w:rsidR="2D676A5A">
        <w:rPr>
          <w:rFonts w:ascii="Aptos" w:hAnsi="Aptos" w:eastAsia="Aptos" w:cs="Aptos"/>
          <w:b w:val="0"/>
          <w:bCs w:val="0"/>
          <w:noProof w:val="0"/>
          <w:sz w:val="24"/>
          <w:szCs w:val="24"/>
          <w:lang w:val="en-GB"/>
        </w:rPr>
        <w:t>behaviours</w:t>
      </w:r>
      <w:r w:rsidRPr="678AE5DD" w:rsidR="7088F0A8">
        <w:rPr>
          <w:rFonts w:ascii="Aptos" w:hAnsi="Aptos" w:eastAsia="Aptos" w:cs="Aptos"/>
          <w:b w:val="0"/>
          <w:bCs w:val="0"/>
          <w:noProof w:val="0"/>
          <w:sz w:val="24"/>
          <w:szCs w:val="24"/>
          <w:lang w:val="en-GB"/>
        </w:rPr>
        <w:t xml:space="preserve"> are influenced by community and policy-level environments (Bronfenbrenner, 1977). However, local initiatives often face challenges in securing consistent funding and aligning with national priorities, which can hinder their long-term sustainability.</w:t>
      </w:r>
    </w:p>
    <w:p w:rsidR="678AE5DD" w:rsidRDefault="678AE5DD" w14:paraId="3B51AA8B" w14:textId="414AFF59">
      <w:pPr>
        <w:rPr>
          <w:b w:val="0"/>
          <w:bCs w:val="0"/>
        </w:rPr>
      </w:pPr>
    </w:p>
    <w:p w:rsidR="7088F0A8" w:rsidP="19368B30" w:rsidRDefault="7088F0A8" w14:paraId="2CECC13C" w14:textId="637C9721">
      <w:pPr>
        <w:pStyle w:val="Heading3"/>
        <w:spacing w:before="281" w:beforeAutospacing="off" w:after="281" w:afterAutospacing="off"/>
        <w:rPr>
          <w:rFonts w:ascii="Aptos" w:hAnsi="Aptos" w:eastAsia="Aptos" w:cs="Aptos"/>
          <w:b w:val="0"/>
          <w:bCs w:val="0"/>
          <w:noProof w:val="0"/>
          <w:color w:val="auto"/>
          <w:sz w:val="28"/>
          <w:szCs w:val="28"/>
          <w:lang w:val="en-GB"/>
        </w:rPr>
      </w:pPr>
      <w:r w:rsidRPr="19368B30" w:rsidR="285AB03B">
        <w:rPr>
          <w:rFonts w:ascii="Aptos" w:hAnsi="Aptos" w:eastAsia="Aptos" w:cs="Aptos"/>
          <w:b w:val="0"/>
          <w:bCs w:val="0"/>
          <w:noProof w:val="0"/>
          <w:color w:val="auto"/>
          <w:sz w:val="28"/>
          <w:szCs w:val="28"/>
          <w:lang w:val="en-GB"/>
        </w:rPr>
        <w:t>Theoretical Integration</w:t>
      </w:r>
    </w:p>
    <w:p w:rsidR="7088F0A8" w:rsidP="678AE5DD" w:rsidRDefault="7088F0A8" w14:paraId="1F2AE5A5" w14:textId="7CDA26D1">
      <w:pPr>
        <w:spacing w:before="240" w:beforeAutospacing="off" w:after="24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The health equity framework highlights that achieving SDG 3 requires addressing social stratification, redistributing resources, and empowering marginalized populations (Solar </w:t>
      </w:r>
      <w:r w:rsidRPr="678AE5DD" w:rsidR="065FCDB3">
        <w:rPr>
          <w:rFonts w:ascii="Aptos" w:hAnsi="Aptos" w:eastAsia="Aptos" w:cs="Aptos"/>
          <w:b w:val="0"/>
          <w:bCs w:val="0"/>
          <w:noProof w:val="0"/>
          <w:sz w:val="24"/>
          <w:szCs w:val="24"/>
          <w:lang w:val="en-GB"/>
        </w:rPr>
        <w:t>and</w:t>
      </w:r>
      <w:r w:rsidRPr="678AE5DD" w:rsidR="7088F0A8">
        <w:rPr>
          <w:rFonts w:ascii="Aptos" w:hAnsi="Aptos" w:eastAsia="Aptos" w:cs="Aptos"/>
          <w:b w:val="0"/>
          <w:bCs w:val="0"/>
          <w:noProof w:val="0"/>
          <w:sz w:val="24"/>
          <w:szCs w:val="24"/>
          <w:lang w:val="en-GB"/>
        </w:rPr>
        <w:t xml:space="preserve"> Irwin, 2010). National strategies like the NHS Long Term Plan operationalize universal health coverage but often fall short in addressing upstream determinants of health. Conversely, global policies that focus narrowly on disease-specific targets risk neglecting broader socioeconomic factors, resulting in fragmented progress. A more integrative approach is needed to bridge these gaps.</w:t>
      </w:r>
    </w:p>
    <w:p w:rsidR="678AE5DD" w:rsidRDefault="678AE5DD" w14:paraId="62C791AB" w14:textId="47AFB7E4">
      <w:pPr>
        <w:rPr>
          <w:b w:val="0"/>
          <w:bCs w:val="0"/>
        </w:rPr>
      </w:pPr>
    </w:p>
    <w:p w:rsidR="7088F0A8" w:rsidP="19368B30" w:rsidRDefault="7088F0A8" w14:paraId="07A71CA1" w14:textId="5541D8E2">
      <w:pPr>
        <w:pStyle w:val="Heading3"/>
        <w:spacing w:before="281" w:beforeAutospacing="off" w:after="281" w:afterAutospacing="off"/>
        <w:rPr>
          <w:rFonts w:ascii="Aptos" w:hAnsi="Aptos" w:eastAsia="Aptos" w:cs="Aptos"/>
          <w:b w:val="0"/>
          <w:bCs w:val="0"/>
          <w:noProof w:val="0"/>
          <w:color w:val="auto"/>
          <w:sz w:val="28"/>
          <w:szCs w:val="28"/>
          <w:lang w:val="en-GB"/>
        </w:rPr>
      </w:pPr>
      <w:r w:rsidRPr="19368B30" w:rsidR="285AB03B">
        <w:rPr>
          <w:rFonts w:ascii="Aptos" w:hAnsi="Aptos" w:eastAsia="Aptos" w:cs="Aptos"/>
          <w:b w:val="0"/>
          <w:bCs w:val="0"/>
          <w:noProof w:val="0"/>
          <w:color w:val="auto"/>
          <w:sz w:val="28"/>
          <w:szCs w:val="28"/>
          <w:lang w:val="en-GB"/>
        </w:rPr>
        <w:t>Recommendations</w:t>
      </w:r>
    </w:p>
    <w:p w:rsidR="7088F0A8" w:rsidP="678AE5DD" w:rsidRDefault="7088F0A8" w14:paraId="41865EB2" w14:textId="163427E8">
      <w:pPr>
        <w:pStyle w:val="ListParagraph"/>
        <w:numPr>
          <w:ilvl w:val="0"/>
          <w:numId w:val="2"/>
        </w:numPr>
        <w:spacing w:before="0" w:beforeAutospacing="off" w:after="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Incorporate measurable indicators linking health outcomes to social determinants (e.g., income inequality, education access) in SDG reporting frameworks.</w:t>
      </w:r>
    </w:p>
    <w:p w:rsidR="7088F0A8" w:rsidP="19368B30" w:rsidRDefault="7088F0A8" w14:paraId="6E237F22" w14:textId="2EF38500">
      <w:pPr>
        <w:pStyle w:val="ListParagraph"/>
        <w:numPr>
          <w:ilvl w:val="0"/>
          <w:numId w:val="2"/>
        </w:numPr>
        <w:spacing w:before="0" w:beforeAutospacing="off" w:after="0" w:afterAutospacing="off"/>
        <w:rPr>
          <w:rFonts w:ascii="Aptos" w:hAnsi="Aptos" w:eastAsia="Aptos" w:cs="Aptos"/>
          <w:b w:val="0"/>
          <w:bCs w:val="0"/>
          <w:noProof w:val="0"/>
          <w:sz w:val="24"/>
          <w:szCs w:val="24"/>
          <w:lang w:val="en-GB"/>
        </w:rPr>
      </w:pPr>
      <w:r w:rsidRPr="19368B30" w:rsidR="285AB03B">
        <w:rPr>
          <w:rFonts w:ascii="Aptos" w:hAnsi="Aptos" w:eastAsia="Aptos" w:cs="Aptos"/>
          <w:b w:val="0"/>
          <w:bCs w:val="0"/>
          <w:noProof w:val="0"/>
          <w:sz w:val="24"/>
          <w:szCs w:val="24"/>
          <w:lang w:val="en-GB"/>
        </w:rPr>
        <w:t>Establish binding commitments with clear timelines and monitoring systems to ensure effective implementation and accountability (Shiffman, 2015).</w:t>
      </w:r>
    </w:p>
    <w:p w:rsidR="7088F0A8" w:rsidP="678AE5DD" w:rsidRDefault="7088F0A8" w14:paraId="632F2058" w14:textId="4F8E2FAA">
      <w:pPr>
        <w:pStyle w:val="ListParagraph"/>
        <w:numPr>
          <w:ilvl w:val="0"/>
          <w:numId w:val="3"/>
        </w:numPr>
        <w:spacing w:before="0" w:beforeAutospacing="off" w:after="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Expand resources for local health programs targeting social determinants, such as early childhood development and housing interventions.</w:t>
      </w:r>
    </w:p>
    <w:p w:rsidR="7088F0A8" w:rsidP="19368B30" w:rsidRDefault="7088F0A8" w14:paraId="03D6EE7C" w14:textId="0EF3A920">
      <w:pPr>
        <w:pStyle w:val="ListParagraph"/>
        <w:numPr>
          <w:ilvl w:val="0"/>
          <w:numId w:val="3"/>
        </w:numPr>
        <w:spacing w:before="0" w:beforeAutospacing="off" w:after="0" w:afterAutospacing="off"/>
        <w:rPr>
          <w:rFonts w:ascii="Aptos" w:hAnsi="Aptos" w:eastAsia="Aptos" w:cs="Aptos"/>
          <w:b w:val="0"/>
          <w:bCs w:val="0"/>
          <w:noProof w:val="0"/>
          <w:sz w:val="24"/>
          <w:szCs w:val="24"/>
          <w:lang w:val="en-GB"/>
        </w:rPr>
      </w:pPr>
      <w:r w:rsidRPr="19368B30" w:rsidR="285AB03B">
        <w:rPr>
          <w:rFonts w:ascii="Aptos" w:hAnsi="Aptos" w:eastAsia="Aptos" w:cs="Aptos"/>
          <w:b w:val="0"/>
          <w:bCs w:val="0"/>
          <w:noProof w:val="0"/>
          <w:sz w:val="24"/>
          <w:szCs w:val="24"/>
          <w:lang w:val="en-GB"/>
        </w:rPr>
        <w:t xml:space="preserve">Foster partnerships across health, education, housing, and employment sectors to reduce inequities (Solar </w:t>
      </w:r>
      <w:r w:rsidRPr="19368B30" w:rsidR="42032923">
        <w:rPr>
          <w:rFonts w:ascii="Aptos" w:hAnsi="Aptos" w:eastAsia="Aptos" w:cs="Aptos"/>
          <w:b w:val="0"/>
          <w:bCs w:val="0"/>
          <w:noProof w:val="0"/>
          <w:sz w:val="24"/>
          <w:szCs w:val="24"/>
          <w:lang w:val="en-GB"/>
        </w:rPr>
        <w:t>and</w:t>
      </w:r>
      <w:r w:rsidRPr="19368B30" w:rsidR="285AB03B">
        <w:rPr>
          <w:rFonts w:ascii="Aptos" w:hAnsi="Aptos" w:eastAsia="Aptos" w:cs="Aptos"/>
          <w:b w:val="0"/>
          <w:bCs w:val="0"/>
          <w:noProof w:val="0"/>
          <w:sz w:val="24"/>
          <w:szCs w:val="24"/>
          <w:lang w:val="en-GB"/>
        </w:rPr>
        <w:t xml:space="preserve"> Irwin, 2010).</w:t>
      </w:r>
    </w:p>
    <w:p w:rsidR="7088F0A8" w:rsidP="19368B30" w:rsidRDefault="7088F0A8" w14:paraId="3AC75E8C" w14:textId="5586D67A">
      <w:pPr>
        <w:pStyle w:val="ListParagraph"/>
        <w:numPr>
          <w:ilvl w:val="0"/>
          <w:numId w:val="4"/>
        </w:numPr>
        <w:spacing w:before="0" w:beforeAutospacing="off" w:after="0" w:afterAutospacing="off"/>
        <w:rPr>
          <w:rFonts w:ascii="Aptos" w:hAnsi="Aptos" w:eastAsia="Aptos" w:cs="Aptos"/>
          <w:b w:val="0"/>
          <w:bCs w:val="0"/>
          <w:noProof w:val="0"/>
          <w:sz w:val="24"/>
          <w:szCs w:val="24"/>
          <w:lang w:val="en-GB"/>
        </w:rPr>
      </w:pPr>
      <w:r w:rsidRPr="19368B30" w:rsidR="285AB03B">
        <w:rPr>
          <w:rFonts w:ascii="Aptos" w:hAnsi="Aptos" w:eastAsia="Aptos" w:cs="Aptos"/>
          <w:b w:val="0"/>
          <w:bCs w:val="0"/>
          <w:noProof w:val="0"/>
          <w:sz w:val="24"/>
          <w:szCs w:val="24"/>
          <w:lang w:val="en-GB"/>
        </w:rPr>
        <w:t>Ensure donor funding aligns with local health priorities, particularly in LMICs, to enhance policy ownership and address financing gaps (</w:t>
      </w:r>
      <w:r w:rsidRPr="19368B30" w:rsidR="285AB03B">
        <w:rPr>
          <w:rFonts w:ascii="Aptos" w:hAnsi="Aptos" w:eastAsia="Aptos" w:cs="Aptos"/>
          <w:b w:val="0"/>
          <w:bCs w:val="0"/>
          <w:noProof w:val="0"/>
          <w:sz w:val="24"/>
          <w:szCs w:val="24"/>
          <w:lang w:val="en-GB"/>
        </w:rPr>
        <w:t>Kapilashrami</w:t>
      </w:r>
      <w:r w:rsidRPr="19368B30" w:rsidR="285AB03B">
        <w:rPr>
          <w:rFonts w:ascii="Aptos" w:hAnsi="Aptos" w:eastAsia="Aptos" w:cs="Aptos"/>
          <w:b w:val="0"/>
          <w:bCs w:val="0"/>
          <w:noProof w:val="0"/>
          <w:sz w:val="24"/>
          <w:szCs w:val="24"/>
          <w:lang w:val="en-GB"/>
        </w:rPr>
        <w:t xml:space="preserve"> </w:t>
      </w:r>
      <w:r w:rsidRPr="19368B30" w:rsidR="55DEC89C">
        <w:rPr>
          <w:rFonts w:ascii="Aptos" w:hAnsi="Aptos" w:eastAsia="Aptos" w:cs="Aptos"/>
          <w:b w:val="0"/>
          <w:bCs w:val="0"/>
          <w:noProof w:val="0"/>
          <w:sz w:val="24"/>
          <w:szCs w:val="24"/>
          <w:lang w:val="en-GB"/>
        </w:rPr>
        <w:t xml:space="preserve">and </w:t>
      </w:r>
      <w:r w:rsidRPr="19368B30" w:rsidR="285AB03B">
        <w:rPr>
          <w:rFonts w:ascii="Aptos" w:hAnsi="Aptos" w:eastAsia="Aptos" w:cs="Aptos"/>
          <w:b w:val="0"/>
          <w:bCs w:val="0"/>
          <w:noProof w:val="0"/>
          <w:sz w:val="24"/>
          <w:szCs w:val="24"/>
          <w:lang w:val="en-GB"/>
        </w:rPr>
        <w:t>Marsden, 2018).</w:t>
      </w:r>
    </w:p>
    <w:p w:rsidR="7088F0A8" w:rsidP="678AE5DD" w:rsidRDefault="7088F0A8" w14:paraId="7015511B" w14:textId="79126A28">
      <w:pPr>
        <w:pStyle w:val="ListParagraph"/>
        <w:numPr>
          <w:ilvl w:val="0"/>
          <w:numId w:val="5"/>
        </w:numPr>
        <w:spacing w:before="0" w:beforeAutospacing="off" w:after="0" w:afterAutospacing="off"/>
        <w:rPr>
          <w:rFonts w:ascii="Aptos" w:hAnsi="Aptos" w:eastAsia="Aptos" w:cs="Aptos"/>
          <w:b w:val="0"/>
          <w:bCs w:val="0"/>
          <w:noProof w:val="0"/>
          <w:sz w:val="24"/>
          <w:szCs w:val="24"/>
          <w:lang w:val="en-GB"/>
        </w:rPr>
      </w:pPr>
      <w:r w:rsidRPr="678AE5DD" w:rsidR="7088F0A8">
        <w:rPr>
          <w:rFonts w:ascii="Aptos" w:hAnsi="Aptos" w:eastAsia="Aptos" w:cs="Aptos"/>
          <w:b w:val="0"/>
          <w:bCs w:val="0"/>
          <w:noProof w:val="0"/>
          <w:sz w:val="24"/>
          <w:szCs w:val="24"/>
          <w:lang w:val="en-GB"/>
        </w:rPr>
        <w:t xml:space="preserve">Develop systems for disaggregating health data by socioeconomic status, gender, and geography to </w:t>
      </w:r>
      <w:r w:rsidRPr="678AE5DD" w:rsidR="7088F0A8">
        <w:rPr>
          <w:rFonts w:ascii="Aptos" w:hAnsi="Aptos" w:eastAsia="Aptos" w:cs="Aptos"/>
          <w:b w:val="0"/>
          <w:bCs w:val="0"/>
          <w:noProof w:val="0"/>
          <w:sz w:val="24"/>
          <w:szCs w:val="24"/>
          <w:lang w:val="en-GB"/>
        </w:rPr>
        <w:t>identify</w:t>
      </w:r>
      <w:r w:rsidRPr="678AE5DD" w:rsidR="7088F0A8">
        <w:rPr>
          <w:rFonts w:ascii="Aptos" w:hAnsi="Aptos" w:eastAsia="Aptos" w:cs="Aptos"/>
          <w:b w:val="0"/>
          <w:bCs w:val="0"/>
          <w:noProof w:val="0"/>
          <w:sz w:val="24"/>
          <w:szCs w:val="24"/>
          <w:lang w:val="en-GB"/>
        </w:rPr>
        <w:t xml:space="preserve"> inequities and tailor interventions appropriately.</w:t>
      </w:r>
    </w:p>
    <w:p w:rsidR="678AE5DD" w:rsidP="678AE5DD" w:rsidRDefault="678AE5DD" w14:paraId="32587746" w14:textId="39AF3A33">
      <w:pPr>
        <w:pStyle w:val="Normal"/>
        <w:spacing w:before="0" w:beforeAutospacing="off" w:after="0" w:afterAutospacing="off"/>
        <w:rPr>
          <w:rFonts w:ascii="Aptos" w:hAnsi="Aptos" w:eastAsia="Aptos" w:cs="Aptos"/>
          <w:b w:val="0"/>
          <w:bCs w:val="0"/>
          <w:noProof w:val="0"/>
          <w:sz w:val="24"/>
          <w:szCs w:val="24"/>
          <w:lang w:val="en-GB"/>
        </w:rPr>
      </w:pPr>
    </w:p>
    <w:p w:rsidR="678AE5DD" w:rsidP="678AE5DD" w:rsidRDefault="678AE5DD" w14:paraId="3D92E9EA" w14:textId="00C53530">
      <w:pPr>
        <w:spacing w:before="240" w:beforeAutospacing="off" w:after="240" w:afterAutospacing="off"/>
        <w:rPr>
          <w:rFonts w:ascii="Aptos" w:hAnsi="Aptos" w:eastAsia="Aptos" w:cs="Aptos"/>
          <w:b w:val="0"/>
          <w:bCs w:val="0"/>
          <w:noProof w:val="0"/>
          <w:sz w:val="24"/>
          <w:szCs w:val="24"/>
          <w:lang w:val="en-GB"/>
        </w:rPr>
      </w:pPr>
    </w:p>
    <w:p w:rsidR="678AE5DD" w:rsidP="678AE5DD" w:rsidRDefault="678AE5DD" w14:paraId="7A3A0BDC" w14:textId="7CAD6A3A">
      <w:pPr>
        <w:spacing w:before="240" w:beforeAutospacing="off" w:after="240" w:afterAutospacing="off"/>
        <w:rPr>
          <w:rFonts w:ascii="Aptos" w:hAnsi="Aptos" w:eastAsia="Aptos" w:cs="Aptos"/>
          <w:noProof w:val="0"/>
          <w:sz w:val="24"/>
          <w:szCs w:val="24"/>
          <w:lang w:val="en-GB"/>
        </w:rPr>
      </w:pPr>
    </w:p>
    <w:p w:rsidR="369394C9" w:rsidP="678AE5DD" w:rsidRDefault="369394C9" w14:paraId="02D84DE7" w14:textId="0E530106">
      <w:pPr>
        <w:spacing w:before="240" w:beforeAutospacing="off" w:after="240" w:afterAutospacing="off"/>
        <w:rPr>
          <w:rFonts w:ascii="Aptos" w:hAnsi="Aptos" w:eastAsia="Aptos" w:cs="Aptos"/>
          <w:b w:val="1"/>
          <w:bCs w:val="1"/>
          <w:noProof w:val="0"/>
          <w:sz w:val="36"/>
          <w:szCs w:val="36"/>
          <w:lang w:val="en-GB"/>
        </w:rPr>
      </w:pPr>
      <w:r w:rsidRPr="19368B30" w:rsidR="4797414B">
        <w:rPr>
          <w:rFonts w:ascii="Aptos" w:hAnsi="Aptos" w:eastAsia="Aptos" w:cs="Aptos"/>
          <w:b w:val="1"/>
          <w:bCs w:val="1"/>
          <w:noProof w:val="0"/>
          <w:sz w:val="36"/>
          <w:szCs w:val="36"/>
          <w:lang w:val="en-GB"/>
        </w:rPr>
        <w:t xml:space="preserve">Section 2: </w:t>
      </w:r>
      <w:r w:rsidRPr="19368B30" w:rsidR="62B2C66E">
        <w:rPr>
          <w:rFonts w:ascii="Aptos" w:hAnsi="Aptos" w:eastAsia="Aptos" w:cs="Aptos"/>
          <w:b w:val="1"/>
          <w:bCs w:val="1"/>
          <w:noProof w:val="0"/>
          <w:sz w:val="36"/>
          <w:szCs w:val="36"/>
          <w:lang w:val="en-GB"/>
        </w:rPr>
        <w:t xml:space="preserve">SDG 13 – Climate </w:t>
      </w:r>
      <w:r w:rsidRPr="19368B30" w:rsidR="0E8751B3">
        <w:rPr>
          <w:rFonts w:ascii="Aptos" w:hAnsi="Aptos" w:eastAsia="Aptos" w:cs="Aptos"/>
          <w:b w:val="1"/>
          <w:bCs w:val="1"/>
          <w:noProof w:val="0"/>
          <w:sz w:val="36"/>
          <w:szCs w:val="36"/>
          <w:lang w:val="en-GB"/>
        </w:rPr>
        <w:t>Action</w:t>
      </w:r>
    </w:p>
    <w:p w:rsidR="369394C9" w:rsidP="678AE5DD" w:rsidRDefault="369394C9" w14:paraId="1DEAC540" w14:textId="66402037">
      <w:pPr>
        <w:spacing w:before="240" w:beforeAutospacing="off" w:after="240" w:afterAutospacing="off"/>
      </w:pPr>
      <w:r w:rsidRPr="678AE5DD" w:rsidR="369394C9">
        <w:rPr>
          <w:rFonts w:ascii="Aptos" w:hAnsi="Aptos" w:eastAsia="Aptos" w:cs="Aptos"/>
          <w:noProof w:val="0"/>
          <w:sz w:val="24"/>
          <w:szCs w:val="24"/>
          <w:lang w:val="en-GB"/>
        </w:rPr>
        <w:t xml:space="preserve">Sustainable Development Goal (SDG) 13, Climate Action, calls for urgent measures to combat climate change and its impacts by enhancing resilience, integrating climate policies, and building global capacity for climate planning and management (UN, </w:t>
      </w:r>
      <w:r w:rsidRPr="678AE5DD" w:rsidR="733E1EF7">
        <w:rPr>
          <w:rFonts w:ascii="Aptos" w:hAnsi="Aptos" w:eastAsia="Aptos" w:cs="Aptos"/>
          <w:noProof w:val="0"/>
          <w:sz w:val="24"/>
          <w:szCs w:val="24"/>
          <w:lang w:val="en-GB"/>
        </w:rPr>
        <w:t>2015</w:t>
      </w:r>
      <w:r w:rsidRPr="678AE5DD" w:rsidR="369394C9">
        <w:rPr>
          <w:rFonts w:ascii="Aptos" w:hAnsi="Aptos" w:eastAsia="Aptos" w:cs="Aptos"/>
          <w:noProof w:val="0"/>
          <w:sz w:val="24"/>
          <w:szCs w:val="24"/>
          <w:lang w:val="en-GB"/>
        </w:rPr>
        <w:t xml:space="preserve">). Climate change, driven primarily by anthropogenic greenhouse gas emissions, poses a critical threat to ecosystems, human development, and economic stability (Leal Filho et al., 2023). The goal aligns with the Paris Agreement’s </w:t>
      </w:r>
      <w:r w:rsidRPr="678AE5DD" w:rsidR="369394C9">
        <w:rPr>
          <w:rFonts w:ascii="Aptos" w:hAnsi="Aptos" w:eastAsia="Aptos" w:cs="Aptos"/>
          <w:noProof w:val="0"/>
          <w:sz w:val="24"/>
          <w:szCs w:val="24"/>
          <w:lang w:val="en-GB"/>
        </w:rPr>
        <w:t>objective</w:t>
      </w:r>
      <w:r w:rsidRPr="678AE5DD" w:rsidR="369394C9">
        <w:rPr>
          <w:rFonts w:ascii="Aptos" w:hAnsi="Aptos" w:eastAsia="Aptos" w:cs="Aptos"/>
          <w:noProof w:val="0"/>
          <w:sz w:val="24"/>
          <w:szCs w:val="24"/>
          <w:lang w:val="en-GB"/>
        </w:rPr>
        <w:t xml:space="preserve"> of limiting global temperature rise to below 1.5°C, emphasizing both mitigation and adaptation strategies to address the inevitable impacts of climate change (IPCC, 2023).</w:t>
      </w:r>
    </w:p>
    <w:p w:rsidR="369394C9" w:rsidP="678AE5DD" w:rsidRDefault="369394C9" w14:paraId="6CB401D5" w14:textId="5B1763E5">
      <w:pPr>
        <w:spacing w:before="240" w:beforeAutospacing="off" w:after="240" w:afterAutospacing="off"/>
      </w:pPr>
      <w:r w:rsidRPr="678AE5DD" w:rsidR="369394C9">
        <w:rPr>
          <w:rFonts w:ascii="Aptos" w:hAnsi="Aptos" w:eastAsia="Aptos" w:cs="Aptos"/>
          <w:noProof w:val="0"/>
          <w:sz w:val="24"/>
          <w:szCs w:val="24"/>
          <w:lang w:val="en-GB"/>
        </w:rPr>
        <w:t>Climate action intersects with other SDGs, such as poverty reduction, health, and sustainable energy, highlighting its cross-cutting implications (Leal Filho et al., 2023). However, achieving SDG 13 requires overcoming significant challenges, including insufficient global cooperation, inadequate financing, and gaps in policy implementation.</w:t>
      </w:r>
    </w:p>
    <w:p w:rsidR="678AE5DD" w:rsidRDefault="678AE5DD" w14:paraId="61AE9F67" w14:textId="7845A0DB"/>
    <w:p w:rsidR="369394C9" w:rsidP="19368B30" w:rsidRDefault="369394C9" w14:paraId="170AADF5" w14:textId="1D2DECC9">
      <w:pPr>
        <w:pStyle w:val="Heading3"/>
        <w:spacing w:before="281" w:beforeAutospacing="off" w:after="281" w:afterAutospacing="off"/>
        <w:rPr>
          <w:rFonts w:ascii="Aptos" w:hAnsi="Aptos" w:eastAsia="Aptos" w:cs="Aptos"/>
          <w:b w:val="0"/>
          <w:bCs w:val="0"/>
          <w:noProof w:val="0"/>
          <w:color w:val="auto"/>
          <w:sz w:val="28"/>
          <w:szCs w:val="28"/>
          <w:lang w:val="en-GB"/>
        </w:rPr>
      </w:pPr>
      <w:r w:rsidRPr="19368B30" w:rsidR="62B2C66E">
        <w:rPr>
          <w:rFonts w:ascii="Aptos" w:hAnsi="Aptos" w:eastAsia="Aptos" w:cs="Aptos"/>
          <w:b w:val="0"/>
          <w:bCs w:val="0"/>
          <w:noProof w:val="0"/>
          <w:color w:val="auto"/>
          <w:sz w:val="28"/>
          <w:szCs w:val="28"/>
          <w:lang w:val="en-GB"/>
        </w:rPr>
        <w:t>Critical Evaluation of Global Policies and Initiatives</w:t>
      </w:r>
    </w:p>
    <w:p w:rsidR="369394C9" w:rsidP="678AE5DD" w:rsidRDefault="369394C9" w14:paraId="3CFA0E84" w14:textId="503887F3">
      <w:pPr>
        <w:spacing w:before="240" w:beforeAutospacing="off" w:after="240" w:afterAutospacing="off"/>
      </w:pPr>
      <w:r w:rsidRPr="19368B30" w:rsidR="62B2C66E">
        <w:rPr>
          <w:rFonts w:ascii="Aptos" w:hAnsi="Aptos" w:eastAsia="Aptos" w:cs="Aptos"/>
          <w:b w:val="0"/>
          <w:bCs w:val="0"/>
          <w:noProof w:val="0"/>
          <w:color w:val="auto"/>
          <w:sz w:val="24"/>
          <w:szCs w:val="24"/>
          <w:lang w:val="en-GB"/>
        </w:rPr>
        <w:t xml:space="preserve">The </w:t>
      </w:r>
      <w:r w:rsidRPr="19368B30" w:rsidR="62B2C66E">
        <w:rPr>
          <w:rFonts w:ascii="Aptos" w:hAnsi="Aptos" w:eastAsia="Aptos" w:cs="Aptos"/>
          <w:b w:val="0"/>
          <w:bCs w:val="0"/>
          <w:noProof w:val="0"/>
          <w:color w:val="auto"/>
          <w:sz w:val="24"/>
          <w:szCs w:val="24"/>
          <w:lang w:val="en-GB"/>
        </w:rPr>
        <w:t>Paris Agreement (2015)</w:t>
      </w:r>
      <w:r w:rsidRPr="19368B30" w:rsidR="62B2C66E">
        <w:rPr>
          <w:rFonts w:ascii="Aptos" w:hAnsi="Aptos" w:eastAsia="Aptos" w:cs="Aptos"/>
          <w:b w:val="0"/>
          <w:bCs w:val="0"/>
          <w:noProof w:val="0"/>
          <w:color w:val="auto"/>
          <w:sz w:val="24"/>
          <w:szCs w:val="24"/>
          <w:lang w:val="en-GB"/>
        </w:rPr>
        <w:t xml:space="preserve"> </w:t>
      </w:r>
      <w:r w:rsidRPr="19368B30" w:rsidR="62B2C66E">
        <w:rPr>
          <w:rFonts w:ascii="Aptos" w:hAnsi="Aptos" w:eastAsia="Aptos" w:cs="Aptos"/>
          <w:noProof w:val="0"/>
          <w:sz w:val="24"/>
          <w:szCs w:val="24"/>
          <w:lang w:val="en-GB"/>
        </w:rPr>
        <w:t>remains</w:t>
      </w:r>
      <w:r w:rsidRPr="19368B30" w:rsidR="62B2C66E">
        <w:rPr>
          <w:rFonts w:ascii="Aptos" w:hAnsi="Aptos" w:eastAsia="Aptos" w:cs="Aptos"/>
          <w:noProof w:val="0"/>
          <w:sz w:val="24"/>
          <w:szCs w:val="24"/>
          <w:lang w:val="en-GB"/>
        </w:rPr>
        <w:t xml:space="preserve"> the cornerstone of global climate action, requiring countries to </w:t>
      </w:r>
      <w:r w:rsidRPr="19368B30" w:rsidR="62B2C66E">
        <w:rPr>
          <w:rFonts w:ascii="Aptos" w:hAnsi="Aptos" w:eastAsia="Aptos" w:cs="Aptos"/>
          <w:noProof w:val="0"/>
          <w:sz w:val="24"/>
          <w:szCs w:val="24"/>
          <w:lang w:val="en-GB"/>
        </w:rPr>
        <w:t>submit</w:t>
      </w:r>
      <w:r w:rsidRPr="19368B30" w:rsidR="62B2C66E">
        <w:rPr>
          <w:rFonts w:ascii="Aptos" w:hAnsi="Aptos" w:eastAsia="Aptos" w:cs="Aptos"/>
          <w:noProof w:val="0"/>
          <w:sz w:val="24"/>
          <w:szCs w:val="24"/>
          <w:lang w:val="en-GB"/>
        </w:rPr>
        <w:t xml:space="preserve"> </w:t>
      </w:r>
      <w:r w:rsidRPr="19368B30" w:rsidR="62B2C66E">
        <w:rPr>
          <w:rFonts w:ascii="Aptos" w:hAnsi="Aptos" w:eastAsia="Aptos" w:cs="Aptos"/>
          <w:i w:val="1"/>
          <w:iCs w:val="1"/>
          <w:noProof w:val="0"/>
          <w:sz w:val="24"/>
          <w:szCs w:val="24"/>
          <w:lang w:val="en-GB"/>
        </w:rPr>
        <w:t>Nationally Determined Contributions</w:t>
      </w:r>
      <w:r w:rsidRPr="19368B30" w:rsidR="62B2C66E">
        <w:rPr>
          <w:rFonts w:ascii="Aptos" w:hAnsi="Aptos" w:eastAsia="Aptos" w:cs="Aptos"/>
          <w:noProof w:val="0"/>
          <w:sz w:val="24"/>
          <w:szCs w:val="24"/>
          <w:lang w:val="en-GB"/>
        </w:rPr>
        <w:t xml:space="preserve"> (NDCs) outlining their mitigation and adaptation commitments. While the agreement has fostered international cooperation, current NDCs are insufficient to limit warming to 1.5°C, with many countries falling short of their targets due to financial and political constraints (Stevenson et al., 2021). The Intergovernmental Panel on Climate Change (IPCC) has repeatedly emphasized the need for transformative action, as outlined in its Sixth Assessment Report, which highlights the urgency of both mitigation and adaptation (IPCC, 2023).</w:t>
      </w:r>
    </w:p>
    <w:p w:rsidR="369394C9" w:rsidP="678AE5DD" w:rsidRDefault="369394C9" w14:paraId="11B266B1" w14:textId="3B7B8922">
      <w:pPr>
        <w:spacing w:before="240" w:beforeAutospacing="off" w:after="240" w:afterAutospacing="off"/>
      </w:pPr>
      <w:r w:rsidRPr="678AE5DD" w:rsidR="369394C9">
        <w:rPr>
          <w:rFonts w:ascii="Aptos" w:hAnsi="Aptos" w:eastAsia="Aptos" w:cs="Aptos"/>
          <w:noProof w:val="0"/>
          <w:sz w:val="24"/>
          <w:szCs w:val="24"/>
          <w:lang w:val="en-GB"/>
        </w:rPr>
        <w:t>Despite these frameworks, global progress has been hindered by climate finance shortfalls. For instance, the $100 billion annual commitment by developed nations to support developing countries remains unmet, limiting the capacity of low-income nations to implement climate strategies (Ahmed et al., 2023). Additionally, post-pandemic recovery spending has often prioritized short-term economic growth over long-term climate goals, further delaying progress (Ahmed et al., 2023).</w:t>
      </w:r>
    </w:p>
    <w:p w:rsidR="369394C9" w:rsidP="678AE5DD" w:rsidRDefault="369394C9" w14:paraId="73FF13B2" w14:textId="3EE3F029">
      <w:pPr>
        <w:spacing w:before="240" w:beforeAutospacing="off" w:after="240" w:afterAutospacing="off"/>
      </w:pPr>
      <w:r w:rsidRPr="678AE5DD" w:rsidR="369394C9">
        <w:rPr>
          <w:rFonts w:ascii="Aptos" w:hAnsi="Aptos" w:eastAsia="Aptos" w:cs="Aptos"/>
          <w:noProof w:val="0"/>
          <w:sz w:val="24"/>
          <w:szCs w:val="24"/>
          <w:lang w:val="en-GB"/>
        </w:rPr>
        <w:t xml:space="preserve">The </w:t>
      </w:r>
      <w:r w:rsidRPr="678AE5DD" w:rsidR="369394C9">
        <w:rPr>
          <w:rFonts w:ascii="Aptos" w:hAnsi="Aptos" w:eastAsia="Aptos" w:cs="Aptos"/>
          <w:i w:val="1"/>
          <w:iCs w:val="1"/>
          <w:noProof w:val="0"/>
          <w:sz w:val="24"/>
          <w:szCs w:val="24"/>
          <w:lang w:val="en-GB"/>
        </w:rPr>
        <w:t>policy capacity framework</w:t>
      </w:r>
      <w:r w:rsidRPr="678AE5DD" w:rsidR="369394C9">
        <w:rPr>
          <w:rFonts w:ascii="Aptos" w:hAnsi="Aptos" w:eastAsia="Aptos" w:cs="Aptos"/>
          <w:noProof w:val="0"/>
          <w:sz w:val="24"/>
          <w:szCs w:val="24"/>
          <w:lang w:val="en-GB"/>
        </w:rPr>
        <w:t xml:space="preserve"> explains these challenges, suggesting that without sufficient governance infrastructure and economic incentives, countries often adopt incremental rather than transformational policies (Holmes </w:t>
      </w:r>
      <w:r w:rsidRPr="678AE5DD" w:rsidR="38C323D4">
        <w:rPr>
          <w:rFonts w:ascii="Aptos" w:hAnsi="Aptos" w:eastAsia="Aptos" w:cs="Aptos"/>
          <w:noProof w:val="0"/>
          <w:sz w:val="24"/>
          <w:szCs w:val="24"/>
          <w:lang w:val="en-GB"/>
        </w:rPr>
        <w:t xml:space="preserve">and </w:t>
      </w:r>
      <w:r w:rsidRPr="678AE5DD" w:rsidR="369394C9">
        <w:rPr>
          <w:rFonts w:ascii="Aptos" w:hAnsi="Aptos" w:eastAsia="Aptos" w:cs="Aptos"/>
          <w:noProof w:val="0"/>
          <w:sz w:val="24"/>
          <w:szCs w:val="24"/>
          <w:lang w:val="en-GB"/>
        </w:rPr>
        <w:t>Willison, 2024). Furthermore, the voluntary nature of the United Nations Framework Convention on Climate Change (UNFCCC) mechanisms limits enforceability, relying heavily on political will rather than binding compliance measures (</w:t>
      </w:r>
      <w:r w:rsidRPr="678AE5DD" w:rsidR="369394C9">
        <w:rPr>
          <w:rFonts w:ascii="Aptos" w:hAnsi="Aptos" w:eastAsia="Aptos" w:cs="Aptos"/>
          <w:noProof w:val="0"/>
          <w:sz w:val="24"/>
          <w:szCs w:val="24"/>
          <w:lang w:val="en-GB"/>
        </w:rPr>
        <w:t>Matland</w:t>
      </w:r>
      <w:r w:rsidRPr="678AE5DD" w:rsidR="369394C9">
        <w:rPr>
          <w:rFonts w:ascii="Aptos" w:hAnsi="Aptos" w:eastAsia="Aptos" w:cs="Aptos"/>
          <w:noProof w:val="0"/>
          <w:sz w:val="24"/>
          <w:szCs w:val="24"/>
          <w:lang w:val="en-GB"/>
        </w:rPr>
        <w:t>, 1995).</w:t>
      </w:r>
    </w:p>
    <w:p w:rsidR="678AE5DD" w:rsidRDefault="678AE5DD" w14:paraId="25B850D8" w14:textId="63B43A4C"/>
    <w:p w:rsidR="369394C9" w:rsidP="19368B30" w:rsidRDefault="369394C9" w14:paraId="38544C41" w14:textId="359C8ACE">
      <w:pPr>
        <w:pStyle w:val="Heading3"/>
        <w:spacing w:before="281" w:beforeAutospacing="off" w:after="281" w:afterAutospacing="off"/>
        <w:rPr>
          <w:rFonts w:ascii="Aptos" w:hAnsi="Aptos" w:eastAsia="Aptos" w:cs="Aptos"/>
          <w:b w:val="0"/>
          <w:bCs w:val="0"/>
          <w:noProof w:val="0"/>
          <w:color w:val="auto"/>
          <w:sz w:val="28"/>
          <w:szCs w:val="28"/>
          <w:lang w:val="en-GB"/>
        </w:rPr>
      </w:pPr>
      <w:r w:rsidRPr="19368B30" w:rsidR="62B2C66E">
        <w:rPr>
          <w:rFonts w:ascii="Aptos" w:hAnsi="Aptos" w:eastAsia="Aptos" w:cs="Aptos"/>
          <w:b w:val="0"/>
          <w:bCs w:val="0"/>
          <w:noProof w:val="0"/>
          <w:color w:val="auto"/>
          <w:sz w:val="28"/>
          <w:szCs w:val="28"/>
          <w:lang w:val="en-GB"/>
        </w:rPr>
        <w:t>Critical Evaluation of National and Local Examples</w:t>
      </w:r>
    </w:p>
    <w:p w:rsidR="369394C9" w:rsidP="19368B30" w:rsidRDefault="369394C9" w14:paraId="1DAE3375" w14:textId="0888348A">
      <w:pPr>
        <w:pStyle w:val="Heading4"/>
        <w:spacing w:before="319" w:beforeAutospacing="off" w:after="319" w:afterAutospacing="off"/>
        <w:rPr>
          <w:rFonts w:ascii="Aptos" w:hAnsi="Aptos" w:eastAsia="Aptos" w:cs="Aptos"/>
          <w:b w:val="0"/>
          <w:bCs w:val="0"/>
          <w:i w:val="0"/>
          <w:iCs w:val="0"/>
          <w:noProof w:val="0"/>
          <w:color w:val="auto"/>
          <w:sz w:val="24"/>
          <w:szCs w:val="24"/>
          <w:lang w:val="en-GB"/>
        </w:rPr>
      </w:pPr>
      <w:r w:rsidRPr="19368B30" w:rsidR="62B2C66E">
        <w:rPr>
          <w:rFonts w:ascii="Aptos" w:hAnsi="Aptos" w:eastAsia="Aptos" w:cs="Aptos"/>
          <w:b w:val="0"/>
          <w:bCs w:val="0"/>
          <w:i w:val="0"/>
          <w:iCs w:val="0"/>
          <w:noProof w:val="0"/>
          <w:color w:val="auto"/>
          <w:sz w:val="24"/>
          <w:szCs w:val="24"/>
          <w:lang w:val="en-GB"/>
        </w:rPr>
        <w:t>National (United Kingdom)</w:t>
      </w:r>
    </w:p>
    <w:p w:rsidR="369394C9" w:rsidP="678AE5DD" w:rsidRDefault="369394C9" w14:paraId="37117EF8" w14:textId="448D145A">
      <w:pPr>
        <w:spacing w:before="240" w:beforeAutospacing="off" w:after="240" w:afterAutospacing="off"/>
      </w:pPr>
      <w:r w:rsidRPr="19368B30" w:rsidR="62B2C66E">
        <w:rPr>
          <w:rFonts w:ascii="Aptos" w:hAnsi="Aptos" w:eastAsia="Aptos" w:cs="Aptos"/>
          <w:b w:val="0"/>
          <w:bCs w:val="0"/>
          <w:noProof w:val="0"/>
          <w:color w:val="auto"/>
          <w:sz w:val="24"/>
          <w:szCs w:val="24"/>
          <w:lang w:val="en-GB"/>
        </w:rPr>
        <w:t xml:space="preserve">The United Kingdom has </w:t>
      </w:r>
      <w:r w:rsidRPr="19368B30" w:rsidR="62B2C66E">
        <w:rPr>
          <w:rFonts w:ascii="Aptos" w:hAnsi="Aptos" w:eastAsia="Aptos" w:cs="Aptos"/>
          <w:b w:val="0"/>
          <w:bCs w:val="0"/>
          <w:noProof w:val="0"/>
          <w:color w:val="auto"/>
          <w:sz w:val="24"/>
          <w:szCs w:val="24"/>
          <w:lang w:val="en-GB"/>
        </w:rPr>
        <w:t>demonstrated</w:t>
      </w:r>
      <w:r w:rsidRPr="19368B30" w:rsidR="62B2C66E">
        <w:rPr>
          <w:rFonts w:ascii="Aptos" w:hAnsi="Aptos" w:eastAsia="Aptos" w:cs="Aptos"/>
          <w:b w:val="0"/>
          <w:bCs w:val="0"/>
          <w:noProof w:val="0"/>
          <w:color w:val="auto"/>
          <w:sz w:val="24"/>
          <w:szCs w:val="24"/>
          <w:lang w:val="en-GB"/>
        </w:rPr>
        <w:t xml:space="preserve"> leadership in climate action through the </w:t>
      </w:r>
      <w:r w:rsidRPr="19368B30" w:rsidR="62B2C66E">
        <w:rPr>
          <w:rFonts w:ascii="Aptos" w:hAnsi="Aptos" w:eastAsia="Aptos" w:cs="Aptos"/>
          <w:b w:val="0"/>
          <w:bCs w:val="0"/>
          <w:noProof w:val="0"/>
          <w:color w:val="auto"/>
          <w:sz w:val="24"/>
          <w:szCs w:val="24"/>
          <w:lang w:val="en-GB"/>
        </w:rPr>
        <w:t>Climate Change Act 2008</w:t>
      </w:r>
      <w:r w:rsidRPr="19368B30" w:rsidR="62B2C66E">
        <w:rPr>
          <w:rFonts w:ascii="Aptos" w:hAnsi="Aptos" w:eastAsia="Aptos" w:cs="Aptos"/>
          <w:b w:val="0"/>
          <w:bCs w:val="0"/>
          <w:noProof w:val="0"/>
          <w:color w:val="auto"/>
          <w:sz w:val="24"/>
          <w:szCs w:val="24"/>
          <w:lang w:val="en-GB"/>
        </w:rPr>
        <w:t>,</w:t>
      </w:r>
      <w:r w:rsidRPr="19368B30" w:rsidR="62B2C66E">
        <w:rPr>
          <w:rFonts w:ascii="Aptos" w:hAnsi="Aptos" w:eastAsia="Aptos" w:cs="Aptos"/>
          <w:noProof w:val="0"/>
          <w:sz w:val="24"/>
          <w:szCs w:val="24"/>
          <w:lang w:val="en-GB"/>
        </w:rPr>
        <w:t xml:space="preserve"> which mandates legally binding emissions reductions and carbon budgets. The UK’s commitment to achieving net zero emissions by 2050 is supported by independent oversight from the Climate Change Committee (CCC), which </w:t>
      </w:r>
      <w:r w:rsidRPr="19368B30" w:rsidR="62B2C66E">
        <w:rPr>
          <w:rFonts w:ascii="Aptos" w:hAnsi="Aptos" w:eastAsia="Aptos" w:cs="Aptos"/>
          <w:noProof w:val="0"/>
          <w:sz w:val="24"/>
          <w:szCs w:val="24"/>
          <w:lang w:val="en-GB"/>
        </w:rPr>
        <w:t>monitors</w:t>
      </w:r>
      <w:r w:rsidRPr="19368B30" w:rsidR="62B2C66E">
        <w:rPr>
          <w:rFonts w:ascii="Aptos" w:hAnsi="Aptos" w:eastAsia="Aptos" w:cs="Aptos"/>
          <w:noProof w:val="0"/>
          <w:sz w:val="24"/>
          <w:szCs w:val="24"/>
          <w:lang w:val="en-GB"/>
        </w:rPr>
        <w:t xml:space="preserve"> progress and provides policy recommendations (Gov.uk, </w:t>
      </w:r>
      <w:r w:rsidRPr="19368B30" w:rsidR="76781A76">
        <w:rPr>
          <w:rFonts w:ascii="Aptos" w:hAnsi="Aptos" w:eastAsia="Aptos" w:cs="Aptos"/>
          <w:noProof w:val="0"/>
          <w:sz w:val="24"/>
          <w:szCs w:val="24"/>
          <w:lang w:val="en-GB"/>
        </w:rPr>
        <w:t>2023</w:t>
      </w:r>
      <w:r w:rsidRPr="19368B30" w:rsidR="62B2C66E">
        <w:rPr>
          <w:rFonts w:ascii="Aptos" w:hAnsi="Aptos" w:eastAsia="Aptos" w:cs="Aptos"/>
          <w:noProof w:val="0"/>
          <w:sz w:val="24"/>
          <w:szCs w:val="24"/>
          <w:lang w:val="en-GB"/>
        </w:rPr>
        <w:t xml:space="preserve">). However, implementation gaps persist. In 2024, the UK High Court ruled the government’s </w:t>
      </w:r>
      <w:r w:rsidRPr="19368B30" w:rsidR="62B2C66E">
        <w:rPr>
          <w:rFonts w:ascii="Aptos" w:hAnsi="Aptos" w:eastAsia="Aptos" w:cs="Aptos"/>
          <w:i w:val="1"/>
          <w:iCs w:val="1"/>
          <w:noProof w:val="0"/>
          <w:sz w:val="24"/>
          <w:szCs w:val="24"/>
          <w:lang w:val="en-GB"/>
        </w:rPr>
        <w:t>Carbon Budget Delivery Plan</w:t>
      </w:r>
      <w:r w:rsidRPr="19368B30" w:rsidR="62B2C66E">
        <w:rPr>
          <w:rFonts w:ascii="Aptos" w:hAnsi="Aptos" w:eastAsia="Aptos" w:cs="Aptos"/>
          <w:noProof w:val="0"/>
          <w:sz w:val="24"/>
          <w:szCs w:val="24"/>
          <w:lang w:val="en-GB"/>
        </w:rPr>
        <w:t xml:space="preserve"> unlawful, citing insufficient evidence that proposed measures would meet legally binding targets (AP News, 2024). Critics argue that the UK’s reliance on unproven technologies, such as carbon capture and storage, undermines the credibility of its climate strategy (FT, 2024).</w:t>
      </w:r>
    </w:p>
    <w:p w:rsidR="369394C9" w:rsidP="678AE5DD" w:rsidRDefault="369394C9" w14:paraId="4443440E" w14:textId="7C1860DE">
      <w:pPr>
        <w:spacing w:before="240" w:beforeAutospacing="off" w:after="240" w:afterAutospacing="off"/>
      </w:pPr>
      <w:r w:rsidRPr="678AE5DD" w:rsidR="369394C9">
        <w:rPr>
          <w:rFonts w:ascii="Aptos" w:hAnsi="Aptos" w:eastAsia="Aptos" w:cs="Aptos"/>
          <w:noProof w:val="0"/>
          <w:sz w:val="24"/>
          <w:szCs w:val="24"/>
          <w:lang w:val="en-GB"/>
        </w:rPr>
        <w:t xml:space="preserve">Independent assessments, such as those by Climate Action Tracker, reveal that current policies cover only a fraction of the emissions reductions needed to meet the UK’s targets, highlighting the need for more robust and actionable plans (Climate Action Tracker, </w:t>
      </w:r>
      <w:r w:rsidRPr="678AE5DD" w:rsidR="18E4AB11">
        <w:rPr>
          <w:rFonts w:ascii="Aptos" w:hAnsi="Aptos" w:eastAsia="Aptos" w:cs="Aptos"/>
          <w:noProof w:val="0"/>
          <w:sz w:val="24"/>
          <w:szCs w:val="24"/>
          <w:lang w:val="en-GB"/>
        </w:rPr>
        <w:t>2023</w:t>
      </w:r>
      <w:r w:rsidRPr="678AE5DD" w:rsidR="369394C9">
        <w:rPr>
          <w:rFonts w:ascii="Aptos" w:hAnsi="Aptos" w:eastAsia="Aptos" w:cs="Aptos"/>
          <w:noProof w:val="0"/>
          <w:sz w:val="24"/>
          <w:szCs w:val="24"/>
          <w:lang w:val="en-GB"/>
        </w:rPr>
        <w:t>). These challenges underscore the importance of aligning policy design with implementation capacity and ensuring that ambitious targets are supported by credible, evidence-based measures.</w:t>
      </w:r>
    </w:p>
    <w:p w:rsidR="369394C9" w:rsidP="19368B30" w:rsidRDefault="369394C9" w14:paraId="3F210796" w14:textId="5D44F575">
      <w:pPr>
        <w:pStyle w:val="Heading4"/>
        <w:spacing w:before="319" w:beforeAutospacing="off" w:after="319" w:afterAutospacing="off"/>
        <w:rPr>
          <w:rFonts w:ascii="Aptos" w:hAnsi="Aptos" w:eastAsia="Aptos" w:cs="Aptos"/>
          <w:b w:val="0"/>
          <w:bCs w:val="0"/>
          <w:i w:val="0"/>
          <w:iCs w:val="0"/>
          <w:noProof w:val="0"/>
          <w:color w:val="auto"/>
          <w:sz w:val="24"/>
          <w:szCs w:val="24"/>
          <w:lang w:val="en-GB"/>
        </w:rPr>
      </w:pPr>
      <w:r w:rsidRPr="19368B30" w:rsidR="62B2C66E">
        <w:rPr>
          <w:rFonts w:ascii="Aptos" w:hAnsi="Aptos" w:eastAsia="Aptos" w:cs="Aptos"/>
          <w:b w:val="0"/>
          <w:bCs w:val="0"/>
          <w:i w:val="0"/>
          <w:iCs w:val="0"/>
          <w:noProof w:val="0"/>
          <w:color w:val="auto"/>
          <w:sz w:val="24"/>
          <w:szCs w:val="24"/>
          <w:lang w:val="en-GB"/>
        </w:rPr>
        <w:t xml:space="preserve">Local (Oxford City Council </w:t>
      </w:r>
      <w:r w:rsidRPr="19368B30" w:rsidR="7FA1EBE3">
        <w:rPr>
          <w:rFonts w:ascii="Aptos" w:hAnsi="Aptos" w:eastAsia="Aptos" w:cs="Aptos"/>
          <w:b w:val="0"/>
          <w:bCs w:val="0"/>
          <w:i w:val="0"/>
          <w:iCs w:val="0"/>
          <w:noProof w:val="0"/>
          <w:color w:val="auto"/>
          <w:sz w:val="24"/>
          <w:szCs w:val="24"/>
          <w:lang w:val="en-GB"/>
        </w:rPr>
        <w:t>and</w:t>
      </w:r>
      <w:r w:rsidRPr="19368B30" w:rsidR="62B2C66E">
        <w:rPr>
          <w:rFonts w:ascii="Aptos" w:hAnsi="Aptos" w:eastAsia="Aptos" w:cs="Aptos"/>
          <w:b w:val="0"/>
          <w:bCs w:val="0"/>
          <w:i w:val="0"/>
          <w:iCs w:val="0"/>
          <w:noProof w:val="0"/>
          <w:color w:val="auto"/>
          <w:sz w:val="24"/>
          <w:szCs w:val="24"/>
          <w:lang w:val="en-GB"/>
        </w:rPr>
        <w:t xml:space="preserve"> London)</w:t>
      </w:r>
    </w:p>
    <w:p w:rsidR="369394C9" w:rsidP="678AE5DD" w:rsidRDefault="369394C9" w14:paraId="43BEECEC" w14:textId="098B5E1F">
      <w:pPr>
        <w:spacing w:before="240" w:beforeAutospacing="off" w:after="240" w:afterAutospacing="off"/>
      </w:pPr>
      <w:r w:rsidRPr="19368B30" w:rsidR="62B2C66E">
        <w:rPr>
          <w:rFonts w:ascii="Aptos" w:hAnsi="Aptos" w:eastAsia="Aptos" w:cs="Aptos"/>
          <w:b w:val="0"/>
          <w:bCs w:val="0"/>
          <w:i w:val="0"/>
          <w:iCs w:val="0"/>
          <w:noProof w:val="0"/>
          <w:color w:val="auto"/>
          <w:sz w:val="24"/>
          <w:szCs w:val="24"/>
          <w:lang w:val="en-GB"/>
        </w:rPr>
        <w:t xml:space="preserve">At the local level, </w:t>
      </w:r>
      <w:r w:rsidRPr="19368B30" w:rsidR="62B2C66E">
        <w:rPr>
          <w:rFonts w:ascii="Aptos" w:hAnsi="Aptos" w:eastAsia="Aptos" w:cs="Aptos"/>
          <w:b w:val="0"/>
          <w:bCs w:val="0"/>
          <w:i w:val="0"/>
          <w:iCs w:val="0"/>
          <w:noProof w:val="0"/>
          <w:color w:val="auto"/>
          <w:sz w:val="24"/>
          <w:szCs w:val="24"/>
          <w:lang w:val="en-GB"/>
        </w:rPr>
        <w:t>Oxford City Council</w:t>
      </w:r>
      <w:r w:rsidRPr="19368B30" w:rsidR="62B2C66E">
        <w:rPr>
          <w:rFonts w:ascii="Aptos" w:hAnsi="Aptos" w:eastAsia="Aptos" w:cs="Aptos"/>
          <w:b w:val="0"/>
          <w:bCs w:val="0"/>
          <w:i w:val="0"/>
          <w:iCs w:val="0"/>
          <w:noProof w:val="0"/>
          <w:color w:val="auto"/>
          <w:sz w:val="24"/>
          <w:szCs w:val="24"/>
          <w:lang w:val="en-GB"/>
        </w:rPr>
        <w:t xml:space="preserve"> has adopted a proactive approach to climate action, declaring a climate emergency in 2019 and implementing a comprehensive net zero action plan. The council’s initiatives include zero-emission zones, renewable energy projects, and community engagement through a Citizens’ Assembly (Oxford City Council, </w:t>
      </w:r>
      <w:r w:rsidRPr="19368B30" w:rsidR="67972043">
        <w:rPr>
          <w:rFonts w:ascii="Aptos" w:hAnsi="Aptos" w:eastAsia="Aptos" w:cs="Aptos"/>
          <w:b w:val="0"/>
          <w:bCs w:val="0"/>
          <w:i w:val="0"/>
          <w:iCs w:val="0"/>
          <w:noProof w:val="0"/>
          <w:color w:val="auto"/>
          <w:sz w:val="24"/>
          <w:szCs w:val="24"/>
          <w:lang w:val="en-GB"/>
        </w:rPr>
        <w:t>2020</w:t>
      </w:r>
      <w:r w:rsidRPr="19368B30" w:rsidR="62B2C66E">
        <w:rPr>
          <w:rFonts w:ascii="Aptos" w:hAnsi="Aptos" w:eastAsia="Aptos" w:cs="Aptos"/>
          <w:b w:val="0"/>
          <w:bCs w:val="0"/>
          <w:i w:val="0"/>
          <w:iCs w:val="0"/>
          <w:noProof w:val="0"/>
          <w:color w:val="auto"/>
          <w:sz w:val="24"/>
          <w:szCs w:val="24"/>
          <w:lang w:val="en-GB"/>
        </w:rPr>
        <w:t xml:space="preserve">). Similarly, the </w:t>
      </w:r>
      <w:r w:rsidRPr="19368B30" w:rsidR="62B2C66E">
        <w:rPr>
          <w:rFonts w:ascii="Aptos" w:hAnsi="Aptos" w:eastAsia="Aptos" w:cs="Aptos"/>
          <w:b w:val="0"/>
          <w:bCs w:val="0"/>
          <w:i w:val="0"/>
          <w:iCs w:val="0"/>
          <w:noProof w:val="0"/>
          <w:color w:val="auto"/>
          <w:sz w:val="24"/>
          <w:szCs w:val="24"/>
          <w:lang w:val="en-GB"/>
        </w:rPr>
        <w:t>London 1.5°C Compatible Climate Action Plan</w:t>
      </w:r>
      <w:r w:rsidRPr="19368B30" w:rsidR="62B2C66E">
        <w:rPr>
          <w:rFonts w:ascii="Aptos" w:hAnsi="Aptos" w:eastAsia="Aptos" w:cs="Aptos"/>
          <w:b w:val="0"/>
          <w:bCs w:val="0"/>
          <w:i w:val="0"/>
          <w:iCs w:val="0"/>
          <w:noProof w:val="0"/>
          <w:color w:val="auto"/>
          <w:sz w:val="24"/>
          <w:szCs w:val="24"/>
          <w:lang w:val="en-GB"/>
        </w:rPr>
        <w:t xml:space="preserve"> </w:t>
      </w:r>
      <w:r w:rsidRPr="19368B30" w:rsidR="62B2C66E">
        <w:rPr>
          <w:rFonts w:ascii="Aptos" w:hAnsi="Aptos" w:eastAsia="Aptos" w:cs="Aptos"/>
          <w:noProof w:val="0"/>
          <w:sz w:val="24"/>
          <w:szCs w:val="24"/>
          <w:lang w:val="en-GB"/>
        </w:rPr>
        <w:t xml:space="preserve">integrates participatory planning and advanced modelling to align local actions with global targets (Greater London Authority, </w:t>
      </w:r>
      <w:r w:rsidRPr="19368B30" w:rsidR="318BF575">
        <w:rPr>
          <w:rFonts w:ascii="Aptos" w:hAnsi="Aptos" w:eastAsia="Aptos" w:cs="Aptos"/>
          <w:noProof w:val="0"/>
          <w:sz w:val="24"/>
          <w:szCs w:val="24"/>
          <w:lang w:val="en-GB"/>
        </w:rPr>
        <w:t>2018</w:t>
      </w:r>
      <w:r w:rsidRPr="19368B30" w:rsidR="62B2C66E">
        <w:rPr>
          <w:rFonts w:ascii="Aptos" w:hAnsi="Aptos" w:eastAsia="Aptos" w:cs="Aptos"/>
          <w:noProof w:val="0"/>
          <w:sz w:val="24"/>
          <w:szCs w:val="24"/>
          <w:lang w:val="en-GB"/>
        </w:rPr>
        <w:t>).</w:t>
      </w:r>
    </w:p>
    <w:p w:rsidR="369394C9" w:rsidP="678AE5DD" w:rsidRDefault="369394C9" w14:paraId="75CBB73E" w14:textId="4673D059">
      <w:pPr>
        <w:spacing w:before="240" w:beforeAutospacing="off" w:after="240" w:afterAutospacing="off"/>
      </w:pPr>
      <w:r w:rsidRPr="678AE5DD" w:rsidR="369394C9">
        <w:rPr>
          <w:rFonts w:ascii="Aptos" w:hAnsi="Aptos" w:eastAsia="Aptos" w:cs="Aptos"/>
          <w:noProof w:val="0"/>
          <w:sz w:val="24"/>
          <w:szCs w:val="24"/>
          <w:lang w:val="en-GB"/>
        </w:rPr>
        <w:t>These local examples highlight the potential of municipal leadership in driving climate action. However, resource limitations and inconsistencies between national and local policies often constrain their impact. For instance, local governments frequently lack the funding and technical support needed to implement ambitious climate strategies, creating a disconnect between national goals and local execution (CCC, 2025).</w:t>
      </w:r>
    </w:p>
    <w:p w:rsidR="678AE5DD" w:rsidRDefault="678AE5DD" w14:paraId="4091908C" w14:textId="2AE5F092"/>
    <w:p w:rsidR="369394C9" w:rsidP="19368B30" w:rsidRDefault="369394C9" w14:paraId="685F4C21" w14:textId="3E5C0E37">
      <w:pPr>
        <w:pStyle w:val="Heading3"/>
        <w:spacing w:before="281" w:beforeAutospacing="off" w:after="281" w:afterAutospacing="off"/>
        <w:rPr>
          <w:rFonts w:ascii="Aptos" w:hAnsi="Aptos" w:eastAsia="Aptos" w:cs="Aptos"/>
          <w:b w:val="0"/>
          <w:bCs w:val="0"/>
          <w:noProof w:val="0"/>
          <w:color w:val="auto"/>
          <w:sz w:val="28"/>
          <w:szCs w:val="28"/>
          <w:lang w:val="en-GB"/>
        </w:rPr>
      </w:pPr>
      <w:r w:rsidRPr="19368B30" w:rsidR="62B2C66E">
        <w:rPr>
          <w:rFonts w:ascii="Aptos" w:hAnsi="Aptos" w:eastAsia="Aptos" w:cs="Aptos"/>
          <w:b w:val="0"/>
          <w:bCs w:val="0"/>
          <w:noProof w:val="0"/>
          <w:color w:val="auto"/>
          <w:sz w:val="28"/>
          <w:szCs w:val="28"/>
          <w:lang w:val="en-GB"/>
        </w:rPr>
        <w:t>Theoretical Integration</w:t>
      </w:r>
    </w:p>
    <w:p w:rsidR="6D314369" w:rsidP="19368B30" w:rsidRDefault="6D314369" w14:paraId="13088ED9" w14:textId="2CAD637A">
      <w:pPr>
        <w:pStyle w:val="ListParagraph"/>
        <w:numPr>
          <w:ilvl w:val="0"/>
          <w:numId w:val="7"/>
        </w:numPr>
        <w:spacing w:before="240" w:beforeAutospacing="off" w:after="240" w:afterAutospacing="off"/>
        <w:rPr>
          <w:rFonts w:ascii="Aptos" w:hAnsi="Aptos" w:eastAsia="Aptos" w:cs="Aptos"/>
          <w:b w:val="0"/>
          <w:bCs w:val="0"/>
          <w:noProof w:val="0"/>
          <w:color w:val="auto"/>
          <w:sz w:val="24"/>
          <w:szCs w:val="24"/>
          <w:lang w:val="en-GB"/>
        </w:rPr>
      </w:pPr>
      <w:r w:rsidRPr="19368B30" w:rsidR="4F41C346">
        <w:rPr>
          <w:rFonts w:ascii="Aptos" w:hAnsi="Aptos" w:eastAsia="Aptos" w:cs="Aptos"/>
          <w:b w:val="0"/>
          <w:bCs w:val="0"/>
          <w:noProof w:val="0"/>
          <w:color w:val="auto"/>
          <w:sz w:val="24"/>
          <w:szCs w:val="24"/>
          <w:lang w:val="en-GB"/>
        </w:rPr>
        <w:t>Policy implementation theory</w:t>
      </w:r>
      <w:r w:rsidRPr="19368B30" w:rsidR="4F41C346">
        <w:rPr>
          <w:rFonts w:ascii="Aptos" w:hAnsi="Aptos" w:eastAsia="Aptos" w:cs="Aptos"/>
          <w:b w:val="0"/>
          <w:bCs w:val="0"/>
          <w:noProof w:val="0"/>
          <w:color w:val="auto"/>
          <w:sz w:val="24"/>
          <w:szCs w:val="24"/>
          <w:lang w:val="en-GB"/>
        </w:rPr>
        <w:t xml:space="preserve"> suggests that even strong legislative frameworks, such as the UK’s Climate Change Act, may </w:t>
      </w:r>
      <w:r w:rsidRPr="19368B30" w:rsidR="4F41C346">
        <w:rPr>
          <w:rFonts w:ascii="Aptos" w:hAnsi="Aptos" w:eastAsia="Aptos" w:cs="Aptos"/>
          <w:b w:val="0"/>
          <w:bCs w:val="0"/>
          <w:noProof w:val="0"/>
          <w:color w:val="auto"/>
          <w:sz w:val="24"/>
          <w:szCs w:val="24"/>
          <w:lang w:val="en-GB"/>
        </w:rPr>
        <w:t>fail to</w:t>
      </w:r>
      <w:r w:rsidRPr="19368B30" w:rsidR="4F41C346">
        <w:rPr>
          <w:rFonts w:ascii="Aptos" w:hAnsi="Aptos" w:eastAsia="Aptos" w:cs="Aptos"/>
          <w:b w:val="0"/>
          <w:bCs w:val="0"/>
          <w:noProof w:val="0"/>
          <w:color w:val="auto"/>
          <w:sz w:val="24"/>
          <w:szCs w:val="24"/>
          <w:lang w:val="en-GB"/>
        </w:rPr>
        <w:t xml:space="preserve"> achieve intended outcomes without adequate resources, stakeholder </w:t>
      </w:r>
      <w:r w:rsidRPr="19368B30" w:rsidR="4F41C346">
        <w:rPr>
          <w:rFonts w:ascii="Aptos" w:hAnsi="Aptos" w:eastAsia="Aptos" w:cs="Aptos"/>
          <w:b w:val="0"/>
          <w:bCs w:val="0"/>
          <w:noProof w:val="0"/>
          <w:color w:val="auto"/>
          <w:sz w:val="24"/>
          <w:szCs w:val="24"/>
          <w:lang w:val="en-GB"/>
        </w:rPr>
        <w:t>engagement</w:t>
      </w:r>
      <w:r w:rsidRPr="19368B30" w:rsidR="4F41C346">
        <w:rPr>
          <w:rFonts w:ascii="Aptos" w:hAnsi="Aptos" w:eastAsia="Aptos" w:cs="Aptos"/>
          <w:b w:val="0"/>
          <w:bCs w:val="0"/>
          <w:noProof w:val="0"/>
          <w:color w:val="auto"/>
          <w:sz w:val="24"/>
          <w:szCs w:val="24"/>
          <w:lang w:val="en-GB"/>
        </w:rPr>
        <w:t xml:space="preserve"> and robust monitoring mechanisms (</w:t>
      </w:r>
      <w:r w:rsidRPr="19368B30" w:rsidR="4F41C346">
        <w:rPr>
          <w:rFonts w:ascii="Aptos" w:hAnsi="Aptos" w:eastAsia="Aptos" w:cs="Aptos"/>
          <w:b w:val="0"/>
          <w:bCs w:val="0"/>
          <w:noProof w:val="0"/>
          <w:color w:val="auto"/>
          <w:sz w:val="24"/>
          <w:szCs w:val="24"/>
          <w:lang w:val="en-GB"/>
        </w:rPr>
        <w:t>Matland</w:t>
      </w:r>
      <w:r w:rsidRPr="19368B30" w:rsidR="4F41C346">
        <w:rPr>
          <w:rFonts w:ascii="Aptos" w:hAnsi="Aptos" w:eastAsia="Aptos" w:cs="Aptos"/>
          <w:b w:val="0"/>
          <w:bCs w:val="0"/>
          <w:noProof w:val="0"/>
          <w:color w:val="auto"/>
          <w:sz w:val="24"/>
          <w:szCs w:val="24"/>
          <w:lang w:val="en-GB"/>
        </w:rPr>
        <w:t>, 1995).</w:t>
      </w:r>
    </w:p>
    <w:p w:rsidR="6D314369" w:rsidP="19368B30" w:rsidRDefault="6D314369" w14:paraId="33934945" w14:textId="1DFD2574">
      <w:pPr>
        <w:pStyle w:val="ListParagraph"/>
        <w:numPr>
          <w:ilvl w:val="0"/>
          <w:numId w:val="7"/>
        </w:numPr>
        <w:spacing w:before="240" w:beforeAutospacing="off" w:after="240" w:afterAutospacing="off"/>
        <w:rPr>
          <w:rFonts w:ascii="Aptos" w:hAnsi="Aptos" w:eastAsia="Aptos" w:cs="Aptos"/>
          <w:b w:val="0"/>
          <w:bCs w:val="0"/>
          <w:noProof w:val="0"/>
          <w:color w:val="auto"/>
          <w:sz w:val="24"/>
          <w:szCs w:val="24"/>
          <w:lang w:val="en-GB"/>
        </w:rPr>
      </w:pPr>
      <w:r w:rsidRPr="19368B30" w:rsidR="4F41C346">
        <w:rPr>
          <w:rFonts w:ascii="Aptos" w:hAnsi="Aptos" w:eastAsia="Aptos" w:cs="Aptos"/>
          <w:b w:val="0"/>
          <w:bCs w:val="0"/>
          <w:noProof w:val="0"/>
          <w:color w:val="auto"/>
          <w:sz w:val="24"/>
          <w:szCs w:val="24"/>
          <w:lang w:val="en-GB"/>
        </w:rPr>
        <w:t>Multi-level governance frameworks</w:t>
      </w:r>
      <w:r w:rsidRPr="19368B30" w:rsidR="4F41C346">
        <w:rPr>
          <w:rFonts w:ascii="Aptos" w:hAnsi="Aptos" w:eastAsia="Aptos" w:cs="Aptos"/>
          <w:b w:val="0"/>
          <w:bCs w:val="0"/>
          <w:noProof w:val="0"/>
          <w:color w:val="auto"/>
          <w:sz w:val="24"/>
          <w:szCs w:val="24"/>
          <w:lang w:val="en-GB"/>
        </w:rPr>
        <w:t xml:space="preserve"> emphasise the importance of coordination across global, </w:t>
      </w:r>
      <w:r w:rsidRPr="19368B30" w:rsidR="4F41C346">
        <w:rPr>
          <w:rFonts w:ascii="Aptos" w:hAnsi="Aptos" w:eastAsia="Aptos" w:cs="Aptos"/>
          <w:b w:val="0"/>
          <w:bCs w:val="0"/>
          <w:noProof w:val="0"/>
          <w:color w:val="auto"/>
          <w:sz w:val="24"/>
          <w:szCs w:val="24"/>
          <w:lang w:val="en-GB"/>
        </w:rPr>
        <w:t>national</w:t>
      </w:r>
      <w:r w:rsidRPr="19368B30" w:rsidR="4F41C346">
        <w:rPr>
          <w:rFonts w:ascii="Aptos" w:hAnsi="Aptos" w:eastAsia="Aptos" w:cs="Aptos"/>
          <w:b w:val="0"/>
          <w:bCs w:val="0"/>
          <w:noProof w:val="0"/>
          <w:color w:val="auto"/>
          <w:sz w:val="24"/>
          <w:szCs w:val="24"/>
          <w:lang w:val="en-GB"/>
        </w:rPr>
        <w:t xml:space="preserve"> and local levels, enabling context-specific adaptation strategies that strengthen overall policy effectiveness (</w:t>
      </w:r>
      <w:r w:rsidRPr="19368B30" w:rsidR="4F41C346">
        <w:rPr>
          <w:rFonts w:ascii="Aptos" w:hAnsi="Aptos" w:eastAsia="Aptos" w:cs="Aptos"/>
          <w:b w:val="0"/>
          <w:bCs w:val="0"/>
          <w:noProof w:val="0"/>
          <w:color w:val="auto"/>
          <w:sz w:val="24"/>
          <w:szCs w:val="24"/>
          <w:lang w:val="en-GB"/>
        </w:rPr>
        <w:t>Hooghe</w:t>
      </w:r>
      <w:r w:rsidRPr="19368B30" w:rsidR="4F41C346">
        <w:rPr>
          <w:rFonts w:ascii="Aptos" w:hAnsi="Aptos" w:eastAsia="Aptos" w:cs="Aptos"/>
          <w:b w:val="0"/>
          <w:bCs w:val="0"/>
          <w:noProof w:val="0"/>
          <w:color w:val="auto"/>
          <w:sz w:val="24"/>
          <w:szCs w:val="24"/>
          <w:lang w:val="en-GB"/>
        </w:rPr>
        <w:t xml:space="preserve"> and Marks, 2001).</w:t>
      </w:r>
    </w:p>
    <w:p w:rsidR="6D314369" w:rsidP="19368B30" w:rsidRDefault="6D314369" w14:paraId="7E488AFC" w14:textId="507FFB31">
      <w:pPr>
        <w:pStyle w:val="ListParagraph"/>
        <w:numPr>
          <w:ilvl w:val="0"/>
          <w:numId w:val="7"/>
        </w:numPr>
        <w:spacing w:before="240" w:beforeAutospacing="off" w:after="240" w:afterAutospacing="off"/>
        <w:rPr>
          <w:rFonts w:ascii="Aptos" w:hAnsi="Aptos" w:eastAsia="Aptos" w:cs="Aptos"/>
          <w:b w:val="0"/>
          <w:bCs w:val="0"/>
          <w:noProof w:val="0"/>
          <w:color w:val="auto"/>
          <w:sz w:val="24"/>
          <w:szCs w:val="24"/>
          <w:lang w:val="en-GB"/>
        </w:rPr>
      </w:pPr>
      <w:r w:rsidRPr="19368B30" w:rsidR="4F41C346">
        <w:rPr>
          <w:rFonts w:ascii="Aptos" w:hAnsi="Aptos" w:eastAsia="Aptos" w:cs="Aptos"/>
          <w:b w:val="0"/>
          <w:bCs w:val="0"/>
          <w:noProof w:val="0"/>
          <w:color w:val="auto"/>
          <w:sz w:val="24"/>
          <w:szCs w:val="24"/>
          <w:lang w:val="en-GB"/>
        </w:rPr>
        <w:t>Common pool resource theory</w:t>
      </w:r>
      <w:r w:rsidRPr="19368B30" w:rsidR="4F41C346">
        <w:rPr>
          <w:rFonts w:ascii="Aptos" w:hAnsi="Aptos" w:eastAsia="Aptos" w:cs="Aptos"/>
          <w:b w:val="0"/>
          <w:bCs w:val="0"/>
          <w:noProof w:val="0"/>
          <w:color w:val="auto"/>
          <w:sz w:val="24"/>
          <w:szCs w:val="24"/>
          <w:lang w:val="en-GB"/>
        </w:rPr>
        <w:t xml:space="preserve"> frames climate change as a global public good problem, where collective action is often constrained by free-rider dynamics and unequal national capacities, highlighting the need for governance models that balance international cooperation with locally responsive implementation (Ostrom, 1990).</w:t>
      </w:r>
    </w:p>
    <w:p w:rsidR="678AE5DD" w:rsidP="19368B30" w:rsidRDefault="678AE5DD" w14:paraId="79945947" w14:textId="05176B7D">
      <w:pPr>
        <w:rPr>
          <w:b w:val="0"/>
          <w:bCs w:val="0"/>
          <w:color w:val="auto"/>
        </w:rPr>
      </w:pPr>
    </w:p>
    <w:p w:rsidR="7B1450EE" w:rsidP="19368B30" w:rsidRDefault="7B1450EE" w14:paraId="028F9A00" w14:textId="70283CA7">
      <w:pPr>
        <w:pStyle w:val="Heading3"/>
        <w:spacing w:before="281" w:beforeAutospacing="off" w:after="281" w:afterAutospacing="off"/>
        <w:rPr>
          <w:rFonts w:ascii="Aptos" w:hAnsi="Aptos" w:eastAsia="Aptos" w:cs="Aptos"/>
          <w:b w:val="0"/>
          <w:bCs w:val="0"/>
          <w:noProof w:val="0"/>
          <w:color w:val="auto"/>
          <w:sz w:val="28"/>
          <w:szCs w:val="28"/>
          <w:lang w:val="en-GB"/>
        </w:rPr>
      </w:pPr>
      <w:r w:rsidRPr="19368B30" w:rsidR="69729DA2">
        <w:rPr>
          <w:rFonts w:ascii="Aptos" w:hAnsi="Aptos" w:eastAsia="Aptos" w:cs="Aptos"/>
          <w:b w:val="0"/>
          <w:bCs w:val="0"/>
          <w:noProof w:val="0"/>
          <w:color w:val="auto"/>
          <w:sz w:val="28"/>
          <w:szCs w:val="28"/>
          <w:lang w:val="en-GB"/>
        </w:rPr>
        <w:t>Recommendations</w:t>
      </w:r>
    </w:p>
    <w:p w:rsidR="369394C9" w:rsidP="678AE5DD" w:rsidRDefault="369394C9" w14:paraId="75B3B2FE" w14:textId="25236C7A">
      <w:pPr>
        <w:pStyle w:val="ListParagraph"/>
        <w:numPr>
          <w:ilvl w:val="0"/>
          <w:numId w:val="8"/>
        </w:numPr>
        <w:spacing w:before="240" w:beforeAutospacing="off" w:after="240" w:afterAutospacing="off"/>
        <w:rPr>
          <w:rFonts w:ascii="Aptos" w:hAnsi="Aptos" w:eastAsia="Aptos" w:cs="Aptos"/>
          <w:noProof w:val="0"/>
          <w:sz w:val="24"/>
          <w:szCs w:val="24"/>
          <w:lang w:val="en-GB"/>
        </w:rPr>
      </w:pPr>
      <w:r w:rsidRPr="678AE5DD" w:rsidR="369394C9">
        <w:rPr>
          <w:rFonts w:ascii="Aptos" w:hAnsi="Aptos" w:eastAsia="Aptos" w:cs="Aptos"/>
          <w:noProof w:val="0"/>
          <w:sz w:val="24"/>
          <w:szCs w:val="24"/>
          <w:lang w:val="en-GB"/>
        </w:rPr>
        <w:t>Introduce binding mid-term benchmarks for NDCs, with independent verification to enhance transparency and credibility.</w:t>
      </w:r>
    </w:p>
    <w:p w:rsidR="369394C9" w:rsidP="678AE5DD" w:rsidRDefault="369394C9" w14:paraId="59812602" w14:textId="431039F1">
      <w:pPr>
        <w:pStyle w:val="ListParagraph"/>
        <w:numPr>
          <w:ilvl w:val="0"/>
          <w:numId w:val="8"/>
        </w:numPr>
        <w:spacing w:before="240" w:beforeAutospacing="off" w:after="240" w:afterAutospacing="off"/>
        <w:rPr>
          <w:rFonts w:ascii="Aptos" w:hAnsi="Aptos" w:eastAsia="Aptos" w:cs="Aptos"/>
          <w:noProof w:val="0"/>
          <w:sz w:val="24"/>
          <w:szCs w:val="24"/>
          <w:lang w:val="en-GB"/>
        </w:rPr>
      </w:pPr>
      <w:r w:rsidRPr="678AE5DD" w:rsidR="369394C9">
        <w:rPr>
          <w:rFonts w:ascii="Aptos" w:hAnsi="Aptos" w:eastAsia="Aptos" w:cs="Aptos"/>
          <w:noProof w:val="0"/>
          <w:sz w:val="24"/>
          <w:szCs w:val="24"/>
          <w:lang w:val="en-GB"/>
        </w:rPr>
        <w:t>Expand international funding mechanisms, such as the Green Climate Fund, to support low-income countries in implementing climate strategies.</w:t>
      </w:r>
    </w:p>
    <w:p w:rsidR="369394C9" w:rsidP="678AE5DD" w:rsidRDefault="369394C9" w14:paraId="65715C5A" w14:textId="2D7D5D11">
      <w:pPr>
        <w:pStyle w:val="ListParagraph"/>
        <w:numPr>
          <w:ilvl w:val="0"/>
          <w:numId w:val="8"/>
        </w:numPr>
        <w:spacing w:before="240" w:beforeAutospacing="off" w:after="240" w:afterAutospacing="off"/>
        <w:rPr>
          <w:rFonts w:ascii="Aptos" w:hAnsi="Aptos" w:eastAsia="Aptos" w:cs="Aptos"/>
          <w:noProof w:val="0"/>
          <w:sz w:val="24"/>
          <w:szCs w:val="24"/>
          <w:lang w:val="en-GB"/>
        </w:rPr>
      </w:pPr>
      <w:r w:rsidRPr="678AE5DD" w:rsidR="369394C9">
        <w:rPr>
          <w:rFonts w:ascii="Aptos" w:hAnsi="Aptos" w:eastAsia="Aptos" w:cs="Aptos"/>
          <w:noProof w:val="0"/>
          <w:sz w:val="24"/>
          <w:szCs w:val="24"/>
          <w:lang w:val="en-GB"/>
        </w:rPr>
        <w:t>Develop mechanisms to align national carbon budgets with local action plans, providing targeted funding and technical support to municipalities.</w:t>
      </w:r>
    </w:p>
    <w:p w:rsidR="369394C9" w:rsidP="678AE5DD" w:rsidRDefault="369394C9" w14:paraId="41824288" w14:textId="655A50B8">
      <w:pPr>
        <w:pStyle w:val="ListParagraph"/>
        <w:numPr>
          <w:ilvl w:val="0"/>
          <w:numId w:val="8"/>
        </w:numPr>
        <w:spacing w:before="240" w:beforeAutospacing="off" w:after="240" w:afterAutospacing="off"/>
        <w:rPr>
          <w:rFonts w:ascii="Aptos" w:hAnsi="Aptos" w:eastAsia="Aptos" w:cs="Aptos"/>
          <w:noProof w:val="0"/>
          <w:sz w:val="24"/>
          <w:szCs w:val="24"/>
          <w:lang w:val="en-GB"/>
        </w:rPr>
      </w:pPr>
      <w:r w:rsidRPr="678AE5DD" w:rsidR="369394C9">
        <w:rPr>
          <w:rFonts w:ascii="Aptos" w:hAnsi="Aptos" w:eastAsia="Aptos" w:cs="Aptos"/>
          <w:noProof w:val="0"/>
          <w:sz w:val="24"/>
          <w:szCs w:val="24"/>
          <w:lang w:val="en-GB"/>
        </w:rPr>
        <w:t>Invest in institutional capacity, stakeholder engagement, and data infrastructure to improve policy planning and implementation.</w:t>
      </w:r>
    </w:p>
    <w:p w:rsidR="369394C9" w:rsidP="678AE5DD" w:rsidRDefault="369394C9" w14:paraId="2B2C16D3" w14:textId="02614482">
      <w:pPr>
        <w:pStyle w:val="ListParagraph"/>
        <w:numPr>
          <w:ilvl w:val="0"/>
          <w:numId w:val="8"/>
        </w:numPr>
        <w:spacing w:before="240" w:beforeAutospacing="off" w:after="240" w:afterAutospacing="off"/>
        <w:rPr>
          <w:rFonts w:ascii="Aptos" w:hAnsi="Aptos" w:eastAsia="Aptos" w:cs="Aptos"/>
          <w:noProof w:val="0"/>
          <w:sz w:val="24"/>
          <w:szCs w:val="24"/>
          <w:lang w:val="en-GB"/>
        </w:rPr>
      </w:pPr>
      <w:r w:rsidRPr="678AE5DD" w:rsidR="369394C9">
        <w:rPr>
          <w:rFonts w:ascii="Aptos" w:hAnsi="Aptos" w:eastAsia="Aptos" w:cs="Aptos"/>
          <w:noProof w:val="0"/>
          <w:sz w:val="24"/>
          <w:szCs w:val="24"/>
          <w:lang w:val="en-GB"/>
        </w:rPr>
        <w:t>Implement dynamic learning approaches that allow policies to evolve based on feedback and emerging scientific evidence.</w:t>
      </w:r>
    </w:p>
    <w:p w:rsidR="678AE5DD" w:rsidRDefault="678AE5DD" w14:paraId="754B3982" w14:textId="00C45CBE"/>
    <w:p w:rsidR="6C0FD052" w:rsidP="19368B30" w:rsidRDefault="6C0FD052" w14:paraId="35327697" w14:textId="4A32F8D6">
      <w:pPr>
        <w:spacing w:before="240" w:beforeAutospacing="off" w:after="240" w:afterAutospacing="off"/>
        <w:rPr>
          <w:rFonts w:ascii="Aptos" w:hAnsi="Aptos" w:eastAsia="Aptos" w:cs="Aptos"/>
          <w:noProof w:val="0"/>
          <w:sz w:val="32"/>
          <w:szCs w:val="32"/>
          <w:lang w:val="en-GB"/>
        </w:rPr>
      </w:pPr>
      <w:r w:rsidRPr="19368B30" w:rsidR="6C0FD052">
        <w:rPr>
          <w:rFonts w:ascii="Aptos" w:hAnsi="Aptos" w:eastAsia="Aptos" w:cs="Aptos"/>
          <w:noProof w:val="0"/>
          <w:sz w:val="32"/>
          <w:szCs w:val="32"/>
          <w:lang w:val="en-GB"/>
        </w:rPr>
        <w:t>Conclusion</w:t>
      </w:r>
    </w:p>
    <w:p w:rsidR="2AAF0966" w:rsidP="19368B30" w:rsidRDefault="2AAF0966" w14:paraId="11FBC6F0" w14:textId="24D3518C">
      <w:pPr>
        <w:spacing w:before="240" w:beforeAutospacing="off" w:after="240" w:afterAutospacing="off"/>
        <w:rPr>
          <w:rFonts w:ascii="Aptos" w:hAnsi="Aptos" w:eastAsia="Aptos" w:cs="Aptos"/>
          <w:noProof w:val="0"/>
          <w:sz w:val="24"/>
          <w:szCs w:val="24"/>
          <w:lang w:val="en-GB"/>
        </w:rPr>
      </w:pPr>
      <w:r w:rsidRPr="19368B30" w:rsidR="2AAF0966">
        <w:rPr>
          <w:rFonts w:ascii="Aptos" w:hAnsi="Aptos" w:eastAsia="Aptos" w:cs="Aptos"/>
          <w:noProof w:val="0"/>
          <w:sz w:val="24"/>
          <w:szCs w:val="24"/>
          <w:lang w:val="en-GB"/>
        </w:rPr>
        <w:t xml:space="preserve">Sustainable development provides a comprehensive framework for addressing global challenges by balancing social, </w:t>
      </w:r>
      <w:r w:rsidRPr="19368B30" w:rsidR="2AAF0966">
        <w:rPr>
          <w:rFonts w:ascii="Aptos" w:hAnsi="Aptos" w:eastAsia="Aptos" w:cs="Aptos"/>
          <w:noProof w:val="0"/>
          <w:sz w:val="24"/>
          <w:szCs w:val="24"/>
          <w:lang w:val="en-GB"/>
        </w:rPr>
        <w:t>economic</w:t>
      </w:r>
      <w:r w:rsidRPr="19368B30" w:rsidR="2AAF0966">
        <w:rPr>
          <w:rFonts w:ascii="Aptos" w:hAnsi="Aptos" w:eastAsia="Aptos" w:cs="Aptos"/>
          <w:noProof w:val="0"/>
          <w:sz w:val="24"/>
          <w:szCs w:val="24"/>
          <w:lang w:val="en-GB"/>
        </w:rPr>
        <w:t xml:space="preserve"> and environmental priorities. The Sustainable Development Goals (SDGs) </w:t>
      </w:r>
      <w:r w:rsidRPr="19368B30" w:rsidR="2AAF0966">
        <w:rPr>
          <w:rFonts w:ascii="Aptos" w:hAnsi="Aptos" w:eastAsia="Aptos" w:cs="Aptos"/>
          <w:noProof w:val="0"/>
          <w:sz w:val="24"/>
          <w:szCs w:val="24"/>
          <w:lang w:val="en-GB"/>
        </w:rPr>
        <w:t>established</w:t>
      </w:r>
      <w:r w:rsidRPr="19368B30" w:rsidR="2AAF0966">
        <w:rPr>
          <w:rFonts w:ascii="Aptos" w:hAnsi="Aptos" w:eastAsia="Aptos" w:cs="Aptos"/>
          <w:noProof w:val="0"/>
          <w:sz w:val="24"/>
          <w:szCs w:val="24"/>
          <w:lang w:val="en-GB"/>
        </w:rPr>
        <w:t xml:space="preserve"> by the United Nations highlight the need for coordinated global action between 2015 and 2030 to achieve inclusive and sustainable development. This report critically evaluated SDG 3 (Good Health and Well-being) and SDG 13 (Climate Action), </w:t>
      </w:r>
      <w:r w:rsidRPr="19368B30" w:rsidR="2AAF0966">
        <w:rPr>
          <w:rFonts w:ascii="Aptos" w:hAnsi="Aptos" w:eastAsia="Aptos" w:cs="Aptos"/>
          <w:noProof w:val="0"/>
          <w:sz w:val="24"/>
          <w:szCs w:val="24"/>
          <w:lang w:val="en-GB"/>
        </w:rPr>
        <w:t>demonstrating</w:t>
      </w:r>
      <w:r w:rsidRPr="19368B30" w:rsidR="2AAF0966">
        <w:rPr>
          <w:rFonts w:ascii="Aptos" w:hAnsi="Aptos" w:eastAsia="Aptos" w:cs="Aptos"/>
          <w:noProof w:val="0"/>
          <w:sz w:val="24"/>
          <w:szCs w:val="24"/>
          <w:lang w:val="en-GB"/>
        </w:rPr>
        <w:t xml:space="preserve"> how both goals are closely interconnected and essential for improving global health and environmental sustainability. The analysis of global initiatives, national policies and local programmes illustrated progress in areas such as healthcare access and climate mitigation strategies, but also revealed significant implementation gaps, funding </w:t>
      </w:r>
      <w:r w:rsidRPr="19368B30" w:rsidR="2AAF0966">
        <w:rPr>
          <w:rFonts w:ascii="Aptos" w:hAnsi="Aptos" w:eastAsia="Aptos" w:cs="Aptos"/>
          <w:noProof w:val="0"/>
          <w:sz w:val="24"/>
          <w:szCs w:val="24"/>
          <w:lang w:val="en-GB"/>
        </w:rPr>
        <w:t>challenges</w:t>
      </w:r>
      <w:r w:rsidRPr="19368B30" w:rsidR="2AAF0966">
        <w:rPr>
          <w:rFonts w:ascii="Aptos" w:hAnsi="Aptos" w:eastAsia="Aptos" w:cs="Aptos"/>
          <w:noProof w:val="0"/>
          <w:sz w:val="24"/>
          <w:szCs w:val="24"/>
          <w:lang w:val="en-GB"/>
        </w:rPr>
        <w:t xml:space="preserve"> and inequalities. The application of theoretical frameworks, including policy implementation theory and multi-level governance, highlighted the importance of effective coordination, stakeholder </w:t>
      </w:r>
      <w:r w:rsidRPr="19368B30" w:rsidR="2AAF0966">
        <w:rPr>
          <w:rFonts w:ascii="Aptos" w:hAnsi="Aptos" w:eastAsia="Aptos" w:cs="Aptos"/>
          <w:noProof w:val="0"/>
          <w:sz w:val="24"/>
          <w:szCs w:val="24"/>
          <w:lang w:val="en-GB"/>
        </w:rPr>
        <w:t>engagement</w:t>
      </w:r>
      <w:r w:rsidRPr="19368B30" w:rsidR="2AAF0966">
        <w:rPr>
          <w:rFonts w:ascii="Aptos" w:hAnsi="Aptos" w:eastAsia="Aptos" w:cs="Aptos"/>
          <w:noProof w:val="0"/>
          <w:sz w:val="24"/>
          <w:szCs w:val="24"/>
          <w:lang w:val="en-GB"/>
        </w:rPr>
        <w:t xml:space="preserve"> and strong monitoring systems. Strengthening accountability, enhancing community-based </w:t>
      </w:r>
      <w:r w:rsidRPr="19368B30" w:rsidR="2AAF0966">
        <w:rPr>
          <w:rFonts w:ascii="Aptos" w:hAnsi="Aptos" w:eastAsia="Aptos" w:cs="Aptos"/>
          <w:noProof w:val="0"/>
          <w:sz w:val="24"/>
          <w:szCs w:val="24"/>
          <w:lang w:val="en-GB"/>
        </w:rPr>
        <w:t>interventions</w:t>
      </w:r>
      <w:r w:rsidRPr="19368B30" w:rsidR="2AAF0966">
        <w:rPr>
          <w:rFonts w:ascii="Aptos" w:hAnsi="Aptos" w:eastAsia="Aptos" w:cs="Aptos"/>
          <w:noProof w:val="0"/>
          <w:sz w:val="24"/>
          <w:szCs w:val="24"/>
          <w:lang w:val="en-GB"/>
        </w:rPr>
        <w:t xml:space="preserve"> and increasing investment in climate and health initiatives will be crucial to accelerate progress and ensure the successful achievement of these goals by 2030.</w:t>
      </w:r>
    </w:p>
    <w:p w:rsidR="19368B30" w:rsidP="19368B30" w:rsidRDefault="19368B30" w14:paraId="3712DAC3" w14:textId="48A5D3C4">
      <w:pPr>
        <w:spacing w:before="240" w:beforeAutospacing="off" w:after="240" w:afterAutospacing="off"/>
        <w:rPr>
          <w:rFonts w:ascii="Aptos" w:hAnsi="Aptos" w:eastAsia="Aptos" w:cs="Aptos"/>
          <w:noProof w:val="0"/>
          <w:sz w:val="24"/>
          <w:szCs w:val="24"/>
          <w:lang w:val="en-GB"/>
        </w:rPr>
      </w:pPr>
    </w:p>
    <w:p w:rsidR="678AE5DD" w:rsidP="678AE5DD" w:rsidRDefault="678AE5DD" w14:paraId="415F8709" w14:textId="52106B0E">
      <w:pPr>
        <w:spacing w:before="240" w:beforeAutospacing="off" w:after="240" w:afterAutospacing="off"/>
        <w:rPr>
          <w:rFonts w:ascii="Aptos" w:hAnsi="Aptos" w:eastAsia="Aptos" w:cs="Aptos"/>
          <w:noProof w:val="0"/>
          <w:sz w:val="24"/>
          <w:szCs w:val="24"/>
          <w:lang w:val="en-GB"/>
        </w:rPr>
      </w:pPr>
    </w:p>
    <w:p w:rsidR="678AE5DD" w:rsidP="678AE5DD" w:rsidRDefault="678AE5DD" w14:paraId="339E3E7E" w14:textId="56D1522F">
      <w:pPr>
        <w:spacing w:before="240" w:beforeAutospacing="off" w:after="240" w:afterAutospacing="off"/>
        <w:rPr>
          <w:rFonts w:ascii="Aptos" w:hAnsi="Aptos" w:eastAsia="Aptos" w:cs="Aptos"/>
          <w:noProof w:val="0"/>
          <w:sz w:val="24"/>
          <w:szCs w:val="24"/>
          <w:lang w:val="en-GB"/>
        </w:rPr>
      </w:pPr>
    </w:p>
    <w:p w:rsidR="678AE5DD" w:rsidP="678AE5DD" w:rsidRDefault="678AE5DD" w14:paraId="65C9D2BC" w14:textId="63B5D933">
      <w:pPr>
        <w:spacing w:before="240" w:beforeAutospacing="off" w:after="240" w:afterAutospacing="off"/>
        <w:rPr>
          <w:rFonts w:ascii="Aptos" w:hAnsi="Aptos" w:eastAsia="Aptos" w:cs="Aptos"/>
          <w:noProof w:val="0"/>
          <w:sz w:val="24"/>
          <w:szCs w:val="24"/>
          <w:lang w:val="en-GB"/>
        </w:rPr>
      </w:pPr>
    </w:p>
    <w:p w:rsidR="678AE5DD" w:rsidP="678AE5DD" w:rsidRDefault="678AE5DD" w14:paraId="3EA7663C" w14:textId="042CA16B">
      <w:pPr>
        <w:spacing w:before="240" w:beforeAutospacing="off" w:after="240" w:afterAutospacing="off"/>
        <w:rPr>
          <w:rFonts w:ascii="Aptos" w:hAnsi="Aptos" w:eastAsia="Aptos" w:cs="Aptos"/>
          <w:noProof w:val="0"/>
          <w:sz w:val="24"/>
          <w:szCs w:val="24"/>
          <w:lang w:val="en-GB"/>
        </w:rPr>
      </w:pPr>
    </w:p>
    <w:p w:rsidR="678AE5DD" w:rsidP="678AE5DD" w:rsidRDefault="678AE5DD" w14:paraId="42799F09" w14:textId="10DAF02E">
      <w:pPr>
        <w:spacing w:before="240" w:beforeAutospacing="off" w:after="240" w:afterAutospacing="off"/>
        <w:rPr>
          <w:rFonts w:ascii="Aptos" w:hAnsi="Aptos" w:eastAsia="Aptos" w:cs="Aptos"/>
          <w:noProof w:val="0"/>
          <w:sz w:val="24"/>
          <w:szCs w:val="24"/>
          <w:lang w:val="en-GB"/>
        </w:rPr>
      </w:pPr>
    </w:p>
    <w:p w:rsidR="28B9D195" w:rsidP="19368B30" w:rsidRDefault="28B9D195" w14:paraId="23D6A871" w14:textId="7C37871F">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67B561F2" w14:textId="416AE5E2">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331F0EF9" w14:textId="575D2C9D">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3BFA4F39" w14:textId="77FF92DE">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71BCA9EE" w14:textId="4D3E6ED8">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1A7B0AFA" w14:textId="6DBD86AD">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1F7CA02A" w14:textId="207FD0A4">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2B9359AA" w14:textId="3F46845F">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361635AF" w14:textId="48A6C0A7">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6438B4C5" w14:textId="72DC2E75">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23407DB6" w14:textId="6462E640">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34DF1E1D" w14:textId="088694F0">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1013DEC9" w14:textId="78828D65">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1D39619C" w14:textId="4AA63477">
      <w:pPr>
        <w:pStyle w:val="Normal"/>
        <w:spacing w:before="240" w:beforeAutospacing="off" w:after="240" w:afterAutospacing="off"/>
        <w:rPr>
          <w:rFonts w:ascii="Aptos" w:hAnsi="Aptos" w:eastAsia="Aptos" w:cs="Aptos"/>
          <w:noProof w:val="0"/>
          <w:sz w:val="24"/>
          <w:szCs w:val="24"/>
          <w:lang w:val="en-GB"/>
        </w:rPr>
      </w:pPr>
    </w:p>
    <w:p w:rsidR="28B9D195" w:rsidP="19368B30" w:rsidRDefault="28B9D195" w14:paraId="488974DD" w14:textId="28BE3147">
      <w:pPr>
        <w:pStyle w:val="Normal"/>
        <w:spacing w:before="240" w:beforeAutospacing="off" w:after="240" w:afterAutospacing="off"/>
        <w:rPr>
          <w:rFonts w:ascii="Aptos" w:hAnsi="Aptos" w:eastAsia="Aptos" w:cs="Aptos"/>
          <w:noProof w:val="0"/>
          <w:sz w:val="24"/>
          <w:szCs w:val="24"/>
          <w:lang w:val="en-GB"/>
        </w:rPr>
      </w:pPr>
    </w:p>
    <w:p w:rsidR="28B9D195" w:rsidP="678AE5DD" w:rsidRDefault="28B9D195" w14:paraId="7FEC4AD2" w14:textId="3E0668D8">
      <w:pPr>
        <w:pStyle w:val="Normal"/>
        <w:spacing w:before="240" w:beforeAutospacing="off" w:after="240" w:afterAutospacing="off"/>
        <w:rPr>
          <w:rFonts w:ascii="Aptos" w:hAnsi="Aptos" w:eastAsia="Aptos" w:cs="Aptos"/>
          <w:noProof w:val="0"/>
          <w:sz w:val="24"/>
          <w:szCs w:val="24"/>
          <w:lang w:val="en-GB"/>
        </w:rPr>
      </w:pPr>
      <w:r w:rsidRPr="19368B30" w:rsidR="5506E935">
        <w:rPr>
          <w:rFonts w:ascii="Aptos" w:hAnsi="Aptos" w:eastAsia="Aptos" w:cs="Aptos"/>
          <w:noProof w:val="0"/>
          <w:sz w:val="24"/>
          <w:szCs w:val="24"/>
          <w:lang w:val="en-GB"/>
        </w:rPr>
        <w:t>References</w:t>
      </w:r>
    </w:p>
    <w:p w:rsidR="28B9D195" w:rsidP="678AE5DD" w:rsidRDefault="28B9D195" w14:paraId="6C03AD40" w14:textId="349F2C25">
      <w:pPr>
        <w:spacing w:before="240" w:beforeAutospacing="off" w:after="240" w:afterAutospacing="off"/>
      </w:pPr>
      <w:r w:rsidRPr="19368B30" w:rsidR="12F322A8">
        <w:rPr>
          <w:rFonts w:ascii="Aptos" w:hAnsi="Aptos" w:eastAsia="Aptos" w:cs="Aptos"/>
          <w:noProof w:val="0"/>
          <w:sz w:val="24"/>
          <w:szCs w:val="24"/>
          <w:lang w:val="en-GB"/>
        </w:rPr>
        <w:t>Brundtland Commission</w:t>
      </w:r>
      <w:r w:rsidRPr="19368B30" w:rsidR="779CAC60">
        <w:rPr>
          <w:rFonts w:ascii="Aptos" w:hAnsi="Aptos" w:eastAsia="Aptos" w:cs="Aptos"/>
          <w:noProof w:val="0"/>
          <w:sz w:val="24"/>
          <w:szCs w:val="24"/>
          <w:lang w:val="en-GB"/>
        </w:rPr>
        <w:t>. (</w:t>
      </w:r>
      <w:r w:rsidRPr="19368B30" w:rsidR="12F322A8">
        <w:rPr>
          <w:rFonts w:ascii="Aptos" w:hAnsi="Aptos" w:eastAsia="Aptos" w:cs="Aptos"/>
          <w:noProof w:val="0"/>
          <w:sz w:val="24"/>
          <w:szCs w:val="24"/>
          <w:lang w:val="en-GB"/>
        </w:rPr>
        <w:t>1987</w:t>
      </w:r>
      <w:r w:rsidRPr="19368B30" w:rsidR="6DF25EAF">
        <w:rPr>
          <w:rFonts w:ascii="Aptos" w:hAnsi="Aptos" w:eastAsia="Aptos" w:cs="Aptos"/>
          <w:noProof w:val="0"/>
          <w:sz w:val="24"/>
          <w:szCs w:val="24"/>
          <w:lang w:val="en-GB"/>
        </w:rPr>
        <w:t>)</w:t>
      </w:r>
      <w:r w:rsidRPr="19368B30" w:rsidR="12F322A8">
        <w:rPr>
          <w:rFonts w:ascii="Aptos" w:hAnsi="Aptos" w:eastAsia="Aptos" w:cs="Aptos"/>
          <w:noProof w:val="0"/>
          <w:sz w:val="24"/>
          <w:szCs w:val="24"/>
          <w:lang w:val="en-GB"/>
        </w:rPr>
        <w:t xml:space="preserve">. </w:t>
      </w:r>
      <w:r w:rsidRPr="19368B30" w:rsidR="12F322A8">
        <w:rPr>
          <w:rFonts w:ascii="Aptos" w:hAnsi="Aptos" w:eastAsia="Aptos" w:cs="Aptos"/>
          <w:i w:val="1"/>
          <w:iCs w:val="1"/>
          <w:noProof w:val="0"/>
          <w:sz w:val="24"/>
          <w:szCs w:val="24"/>
          <w:lang w:val="en-GB"/>
        </w:rPr>
        <w:t>Our Common Future</w:t>
      </w:r>
      <w:r w:rsidRPr="19368B30" w:rsidR="12F322A8">
        <w:rPr>
          <w:rFonts w:ascii="Aptos" w:hAnsi="Aptos" w:eastAsia="Aptos" w:cs="Aptos"/>
          <w:noProof w:val="0"/>
          <w:sz w:val="24"/>
          <w:szCs w:val="24"/>
          <w:lang w:val="en-GB"/>
        </w:rPr>
        <w:t xml:space="preserve">. Oxford: Oxford University Press. Available at: </w:t>
      </w:r>
      <w:hyperlink r:id="Rb04f6dfd93294505">
        <w:r w:rsidRPr="19368B30" w:rsidR="12F322A8">
          <w:rPr>
            <w:rStyle w:val="Hyperlink"/>
            <w:rFonts w:ascii="Aptos" w:hAnsi="Aptos" w:eastAsia="Aptos" w:cs="Aptos"/>
            <w:noProof w:val="0"/>
            <w:sz w:val="24"/>
            <w:szCs w:val="24"/>
            <w:lang w:val="en-GB"/>
          </w:rPr>
          <w:t>https://sustainabledevelopment.un.org/content/documents/5987our-common-future.pdf</w:t>
        </w:r>
      </w:hyperlink>
      <w:r w:rsidRPr="19368B30" w:rsidR="2A49BA6C">
        <w:rPr>
          <w:rFonts w:ascii="Aptos" w:hAnsi="Aptos" w:eastAsia="Aptos" w:cs="Aptos"/>
          <w:noProof w:val="0"/>
          <w:sz w:val="24"/>
          <w:szCs w:val="24"/>
          <w:lang w:val="en-GB"/>
        </w:rPr>
        <w:t xml:space="preserve"> (Accessed: 15 February 2026).</w:t>
      </w:r>
    </w:p>
    <w:p w:rsidR="28B9D195" w:rsidP="678AE5DD" w:rsidRDefault="28B9D195" w14:paraId="2A47F103" w14:textId="338C3034">
      <w:pPr>
        <w:spacing w:before="240" w:beforeAutospacing="off" w:after="240" w:afterAutospacing="off"/>
      </w:pPr>
      <w:r w:rsidRPr="46363B90" w:rsidR="1CB222AB">
        <w:rPr>
          <w:rFonts w:ascii="Aptos" w:hAnsi="Aptos" w:eastAsia="Aptos" w:cs="Aptos"/>
          <w:noProof w:val="0"/>
          <w:sz w:val="24"/>
          <w:szCs w:val="24"/>
          <w:lang w:val="en-GB"/>
        </w:rPr>
        <w:t>IPCC</w:t>
      </w:r>
      <w:r w:rsidRPr="46363B90" w:rsidR="2B13A9CC">
        <w:rPr>
          <w:rFonts w:ascii="Aptos" w:hAnsi="Aptos" w:eastAsia="Aptos" w:cs="Aptos"/>
          <w:noProof w:val="0"/>
          <w:sz w:val="24"/>
          <w:szCs w:val="24"/>
          <w:lang w:val="en-GB"/>
        </w:rPr>
        <w:t>. (</w:t>
      </w:r>
      <w:r w:rsidRPr="46363B90" w:rsidR="1CB222AB">
        <w:rPr>
          <w:rFonts w:ascii="Aptos" w:hAnsi="Aptos" w:eastAsia="Aptos" w:cs="Aptos"/>
          <w:noProof w:val="0"/>
          <w:sz w:val="24"/>
          <w:szCs w:val="24"/>
          <w:lang w:val="en-GB"/>
        </w:rPr>
        <w:t>2023</w:t>
      </w:r>
      <w:r w:rsidRPr="46363B90" w:rsidR="6FA9AD75">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 xml:space="preserve">. </w:t>
      </w:r>
      <w:r w:rsidRPr="46363B90" w:rsidR="1CB222AB">
        <w:rPr>
          <w:rFonts w:ascii="Aptos" w:hAnsi="Aptos" w:eastAsia="Aptos" w:cs="Aptos"/>
          <w:i w:val="1"/>
          <w:iCs w:val="1"/>
          <w:noProof w:val="0"/>
          <w:sz w:val="24"/>
          <w:szCs w:val="24"/>
          <w:lang w:val="en-GB"/>
        </w:rPr>
        <w:t>Sixth Assessment Report: Climate Change 2023</w:t>
      </w:r>
      <w:r w:rsidRPr="46363B90" w:rsidR="1CB222AB">
        <w:rPr>
          <w:rFonts w:ascii="Aptos" w:hAnsi="Aptos" w:eastAsia="Aptos" w:cs="Aptos"/>
          <w:noProof w:val="0"/>
          <w:sz w:val="24"/>
          <w:szCs w:val="24"/>
          <w:lang w:val="en-GB"/>
        </w:rPr>
        <w:t xml:space="preserve">. Geneva: Intergovernmental Panel on Climate Change. Available at: </w:t>
      </w:r>
      <w:hyperlink r:id="R4015c4c911774e27">
        <w:r w:rsidRPr="46363B90" w:rsidR="1CB222AB">
          <w:rPr>
            <w:rStyle w:val="Hyperlink"/>
            <w:rFonts w:ascii="Aptos" w:hAnsi="Aptos" w:eastAsia="Aptos" w:cs="Aptos"/>
            <w:noProof w:val="0"/>
            <w:sz w:val="24"/>
            <w:szCs w:val="24"/>
            <w:lang w:val="en-GB"/>
          </w:rPr>
          <w:t>https://www.ipcc.ch/report/ar6/syr/</w:t>
        </w:r>
      </w:hyperlink>
      <w:r w:rsidRPr="46363B90" w:rsidR="6279B6CD">
        <w:rPr>
          <w:rFonts w:ascii="Aptos" w:hAnsi="Aptos" w:eastAsia="Aptos" w:cs="Aptos"/>
          <w:noProof w:val="0"/>
          <w:sz w:val="24"/>
          <w:szCs w:val="24"/>
          <w:lang w:val="en-GB"/>
        </w:rPr>
        <w:t xml:space="preserve"> (Accessed: 15 February 2026).</w:t>
      </w:r>
    </w:p>
    <w:p w:rsidR="28B9D195" w:rsidP="678AE5DD" w:rsidRDefault="28B9D195" w14:paraId="0825BD62" w14:textId="3D3224C8">
      <w:pPr>
        <w:spacing w:before="240" w:beforeAutospacing="off" w:after="240" w:afterAutospacing="off"/>
      </w:pPr>
      <w:r w:rsidRPr="46363B90" w:rsidR="1CB222AB">
        <w:rPr>
          <w:rFonts w:ascii="Aptos" w:hAnsi="Aptos" w:eastAsia="Aptos" w:cs="Aptos"/>
          <w:noProof w:val="0"/>
          <w:sz w:val="24"/>
          <w:szCs w:val="24"/>
          <w:lang w:val="en-GB"/>
        </w:rPr>
        <w:t xml:space="preserve">Sachs, J.D., Schmidt-Traub, G., Kroll, C., Lafortune, G. and Fuller, G., </w:t>
      </w:r>
      <w:r w:rsidRPr="46363B90" w:rsidR="0C19D618">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2019</w:t>
      </w:r>
      <w:r w:rsidRPr="46363B90" w:rsidR="74906D55">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 xml:space="preserve">. Sustainable development report 2019. </w:t>
      </w:r>
      <w:r w:rsidRPr="46363B90" w:rsidR="1CB222AB">
        <w:rPr>
          <w:rFonts w:ascii="Aptos" w:hAnsi="Aptos" w:eastAsia="Aptos" w:cs="Aptos"/>
          <w:i w:val="1"/>
          <w:iCs w:val="1"/>
          <w:noProof w:val="0"/>
          <w:sz w:val="24"/>
          <w:szCs w:val="24"/>
          <w:lang w:val="en-GB"/>
        </w:rPr>
        <w:t>Bertelsmann Stiftung and SDSN</w:t>
      </w:r>
      <w:r w:rsidRPr="46363B90" w:rsidR="1CB222AB">
        <w:rPr>
          <w:rFonts w:ascii="Aptos" w:hAnsi="Aptos" w:eastAsia="Aptos" w:cs="Aptos"/>
          <w:noProof w:val="0"/>
          <w:sz w:val="24"/>
          <w:szCs w:val="24"/>
          <w:lang w:val="en-GB"/>
        </w:rPr>
        <w:t xml:space="preserve">. Available at: </w:t>
      </w:r>
      <w:hyperlink r:id="R3f52199915954011">
        <w:r w:rsidRPr="46363B90" w:rsidR="1CB222AB">
          <w:rPr>
            <w:rStyle w:val="Hyperlink"/>
            <w:rFonts w:ascii="Aptos" w:hAnsi="Aptos" w:eastAsia="Aptos" w:cs="Aptos"/>
            <w:noProof w:val="0"/>
            <w:sz w:val="24"/>
            <w:szCs w:val="24"/>
            <w:lang w:val="en-GB"/>
          </w:rPr>
          <w:t>https://sdgindex.org/reports/sustainable-development-report-2019/</w:t>
        </w:r>
      </w:hyperlink>
      <w:r w:rsidRPr="46363B90" w:rsidR="689E6B90">
        <w:rPr>
          <w:rFonts w:ascii="Aptos" w:hAnsi="Aptos" w:eastAsia="Aptos" w:cs="Aptos"/>
          <w:noProof w:val="0"/>
          <w:sz w:val="24"/>
          <w:szCs w:val="24"/>
          <w:lang w:val="en-GB"/>
        </w:rPr>
        <w:t xml:space="preserve"> (Accessed: 15</w:t>
      </w:r>
      <w:r w:rsidRPr="46363B90" w:rsidR="6AF47FD5">
        <w:rPr>
          <w:rFonts w:ascii="Aptos" w:hAnsi="Aptos" w:eastAsia="Aptos" w:cs="Aptos"/>
          <w:noProof w:val="0"/>
          <w:sz w:val="24"/>
          <w:szCs w:val="24"/>
          <w:lang w:val="en-GB"/>
        </w:rPr>
        <w:t xml:space="preserve"> February 2026)</w:t>
      </w:r>
    </w:p>
    <w:p w:rsidR="28B9D195" w:rsidP="678AE5DD" w:rsidRDefault="28B9D195" w14:paraId="429DE07B" w14:textId="1E6CCE6F">
      <w:pPr>
        <w:spacing w:before="240" w:beforeAutospacing="off" w:after="240" w:afterAutospacing="off"/>
      </w:pPr>
      <w:r w:rsidRPr="46363B90" w:rsidR="1CB222AB">
        <w:rPr>
          <w:rFonts w:ascii="Aptos" w:hAnsi="Aptos" w:eastAsia="Aptos" w:cs="Aptos"/>
          <w:noProof w:val="0"/>
          <w:sz w:val="24"/>
          <w:szCs w:val="24"/>
          <w:lang w:val="en-GB"/>
        </w:rPr>
        <w:t>United Nations</w:t>
      </w:r>
      <w:r w:rsidRPr="46363B90" w:rsidR="63276D89">
        <w:rPr>
          <w:rFonts w:ascii="Aptos" w:hAnsi="Aptos" w:eastAsia="Aptos" w:cs="Aptos"/>
          <w:noProof w:val="0"/>
          <w:sz w:val="24"/>
          <w:szCs w:val="24"/>
          <w:lang w:val="en-GB"/>
        </w:rPr>
        <w:t>. (</w:t>
      </w:r>
      <w:r w:rsidRPr="46363B90" w:rsidR="1CB222AB">
        <w:rPr>
          <w:rFonts w:ascii="Aptos" w:hAnsi="Aptos" w:eastAsia="Aptos" w:cs="Aptos"/>
          <w:noProof w:val="0"/>
          <w:sz w:val="24"/>
          <w:szCs w:val="24"/>
          <w:lang w:val="en-GB"/>
        </w:rPr>
        <w:t>2015</w:t>
      </w:r>
      <w:r w:rsidRPr="46363B90" w:rsidR="37E2F9B7">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 xml:space="preserve">. </w:t>
      </w:r>
      <w:r w:rsidRPr="46363B90" w:rsidR="1CB222AB">
        <w:rPr>
          <w:rFonts w:ascii="Aptos" w:hAnsi="Aptos" w:eastAsia="Aptos" w:cs="Aptos"/>
          <w:i w:val="1"/>
          <w:iCs w:val="1"/>
          <w:noProof w:val="0"/>
          <w:sz w:val="24"/>
          <w:szCs w:val="24"/>
          <w:lang w:val="en-GB"/>
        </w:rPr>
        <w:t>Transforming our world: The 2030 Agenda for Sustainable Development</w:t>
      </w:r>
      <w:r w:rsidRPr="46363B90" w:rsidR="1CB222AB">
        <w:rPr>
          <w:rFonts w:ascii="Aptos" w:hAnsi="Aptos" w:eastAsia="Aptos" w:cs="Aptos"/>
          <w:noProof w:val="0"/>
          <w:sz w:val="24"/>
          <w:szCs w:val="24"/>
          <w:lang w:val="en-GB"/>
        </w:rPr>
        <w:t xml:space="preserve">. New York: United Nations. Available at: </w:t>
      </w:r>
      <w:hyperlink r:id="Rf10032f7f4dd496a">
        <w:r w:rsidRPr="46363B90" w:rsidR="1CB222AB">
          <w:rPr>
            <w:rStyle w:val="Hyperlink"/>
            <w:rFonts w:ascii="Aptos" w:hAnsi="Aptos" w:eastAsia="Aptos" w:cs="Aptos"/>
            <w:noProof w:val="0"/>
            <w:sz w:val="24"/>
            <w:szCs w:val="24"/>
            <w:lang w:val="en-GB"/>
          </w:rPr>
          <w:t>https://sdgs.un.org/2030agenda</w:t>
        </w:r>
      </w:hyperlink>
      <w:r w:rsidRPr="46363B90" w:rsidR="1C8A8A5A">
        <w:rPr>
          <w:rFonts w:ascii="Aptos" w:hAnsi="Aptos" w:eastAsia="Aptos" w:cs="Aptos"/>
          <w:noProof w:val="0"/>
          <w:sz w:val="24"/>
          <w:szCs w:val="24"/>
          <w:lang w:val="en-GB"/>
        </w:rPr>
        <w:t xml:space="preserve"> (Accessed: 18 February 2026).</w:t>
      </w:r>
    </w:p>
    <w:p w:rsidR="28B9D195" w:rsidP="678AE5DD" w:rsidRDefault="28B9D195" w14:paraId="6038FA08" w14:textId="325425A5">
      <w:pPr>
        <w:spacing w:before="240" w:beforeAutospacing="off" w:after="240" w:afterAutospacing="off"/>
      </w:pPr>
      <w:r w:rsidRPr="46363B90" w:rsidR="1CB222AB">
        <w:rPr>
          <w:rFonts w:ascii="Aptos" w:hAnsi="Aptos" w:eastAsia="Aptos" w:cs="Aptos"/>
          <w:noProof w:val="0"/>
          <w:sz w:val="24"/>
          <w:szCs w:val="24"/>
          <w:lang w:val="en-GB"/>
        </w:rPr>
        <w:t xml:space="preserve">Watts, N. et al., </w:t>
      </w:r>
      <w:r w:rsidRPr="46363B90" w:rsidR="5F530716">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2021</w:t>
      </w:r>
      <w:r w:rsidRPr="46363B90" w:rsidR="7610C9C1">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 xml:space="preserve">. The 2021 report of the Lancet Countdown on health and climate change. </w:t>
      </w:r>
      <w:r w:rsidRPr="46363B90" w:rsidR="1CB222AB">
        <w:rPr>
          <w:rFonts w:ascii="Aptos" w:hAnsi="Aptos" w:eastAsia="Aptos" w:cs="Aptos"/>
          <w:i w:val="1"/>
          <w:iCs w:val="1"/>
          <w:noProof w:val="0"/>
          <w:sz w:val="24"/>
          <w:szCs w:val="24"/>
          <w:lang w:val="en-GB"/>
        </w:rPr>
        <w:t>The Lancet</w:t>
      </w:r>
      <w:r w:rsidRPr="46363B90" w:rsidR="1CB222AB">
        <w:rPr>
          <w:rFonts w:ascii="Aptos" w:hAnsi="Aptos" w:eastAsia="Aptos" w:cs="Aptos"/>
          <w:noProof w:val="0"/>
          <w:sz w:val="24"/>
          <w:szCs w:val="24"/>
          <w:lang w:val="en-GB"/>
        </w:rPr>
        <w:t xml:space="preserve">, 398(10311), pp.1619–1662. Available at: </w:t>
      </w:r>
      <w:hyperlink r:id="R41fc94dd72474def">
        <w:r w:rsidRPr="46363B90" w:rsidR="1CB222AB">
          <w:rPr>
            <w:rStyle w:val="Hyperlink"/>
            <w:rFonts w:ascii="Aptos" w:hAnsi="Aptos" w:eastAsia="Aptos" w:cs="Aptos"/>
            <w:noProof w:val="0"/>
            <w:sz w:val="24"/>
            <w:szCs w:val="24"/>
            <w:lang w:val="en-GB"/>
          </w:rPr>
          <w:t>https://pubmed.ncbi.nlm.nih.gov/34687662/</w:t>
        </w:r>
      </w:hyperlink>
      <w:r w:rsidRPr="46363B90" w:rsidR="23EC5185">
        <w:rPr>
          <w:rFonts w:ascii="Aptos" w:hAnsi="Aptos" w:eastAsia="Aptos" w:cs="Aptos"/>
          <w:noProof w:val="0"/>
          <w:sz w:val="24"/>
          <w:szCs w:val="24"/>
          <w:lang w:val="en-GB"/>
        </w:rPr>
        <w:t xml:space="preserve"> (Accessed: 15 February 2028).</w:t>
      </w:r>
    </w:p>
    <w:p w:rsidR="28B9D195" w:rsidP="46363B90" w:rsidRDefault="28B9D195" w14:paraId="7AF5A5EA" w14:textId="1B810176">
      <w:pPr>
        <w:spacing w:before="240" w:beforeAutospacing="off" w:after="240" w:afterAutospacing="off"/>
        <w:rPr>
          <w:rFonts w:ascii="Aptos" w:hAnsi="Aptos" w:eastAsia="Aptos" w:cs="Aptos"/>
          <w:noProof w:val="0"/>
          <w:sz w:val="24"/>
          <w:szCs w:val="24"/>
          <w:lang w:val="en-GB"/>
        </w:rPr>
      </w:pPr>
      <w:r w:rsidRPr="46363B90" w:rsidR="1CB222AB">
        <w:rPr>
          <w:rFonts w:ascii="Aptos" w:hAnsi="Aptos" w:eastAsia="Aptos" w:cs="Aptos"/>
          <w:noProof w:val="0"/>
          <w:sz w:val="24"/>
          <w:szCs w:val="24"/>
          <w:lang w:val="en-GB"/>
        </w:rPr>
        <w:t>World Health Organization</w:t>
      </w:r>
      <w:r w:rsidRPr="46363B90" w:rsidR="328F4D58">
        <w:rPr>
          <w:rFonts w:ascii="Aptos" w:hAnsi="Aptos" w:eastAsia="Aptos" w:cs="Aptos"/>
          <w:noProof w:val="0"/>
          <w:sz w:val="24"/>
          <w:szCs w:val="24"/>
          <w:lang w:val="en-GB"/>
        </w:rPr>
        <w:t>. (</w:t>
      </w:r>
      <w:r w:rsidRPr="46363B90" w:rsidR="1CB222AB">
        <w:rPr>
          <w:rFonts w:ascii="Aptos" w:hAnsi="Aptos" w:eastAsia="Aptos" w:cs="Aptos"/>
          <w:noProof w:val="0"/>
          <w:sz w:val="24"/>
          <w:szCs w:val="24"/>
          <w:lang w:val="en-GB"/>
        </w:rPr>
        <w:t>2018</w:t>
      </w:r>
      <w:r w:rsidRPr="46363B90" w:rsidR="709B4CDC">
        <w:rPr>
          <w:rFonts w:ascii="Aptos" w:hAnsi="Aptos" w:eastAsia="Aptos" w:cs="Aptos"/>
          <w:noProof w:val="0"/>
          <w:sz w:val="24"/>
          <w:szCs w:val="24"/>
          <w:lang w:val="en-GB"/>
        </w:rPr>
        <w:t>)</w:t>
      </w:r>
      <w:r w:rsidRPr="46363B90" w:rsidR="1CB222AB">
        <w:rPr>
          <w:rFonts w:ascii="Aptos" w:hAnsi="Aptos" w:eastAsia="Aptos" w:cs="Aptos"/>
          <w:noProof w:val="0"/>
          <w:sz w:val="24"/>
          <w:szCs w:val="24"/>
          <w:lang w:val="en-GB"/>
        </w:rPr>
        <w:t xml:space="preserve">. </w:t>
      </w:r>
      <w:r w:rsidRPr="46363B90" w:rsidR="1CB222AB">
        <w:rPr>
          <w:rFonts w:ascii="Aptos" w:hAnsi="Aptos" w:eastAsia="Aptos" w:cs="Aptos"/>
          <w:i w:val="1"/>
          <w:iCs w:val="1"/>
          <w:noProof w:val="0"/>
          <w:sz w:val="24"/>
          <w:szCs w:val="24"/>
          <w:lang w:val="en-GB"/>
        </w:rPr>
        <w:t>SDG 3: Ensure healthy lives and promote well-being for all at all ages</w:t>
      </w:r>
      <w:r w:rsidRPr="46363B90" w:rsidR="1CB222AB">
        <w:rPr>
          <w:rFonts w:ascii="Aptos" w:hAnsi="Aptos" w:eastAsia="Aptos" w:cs="Aptos"/>
          <w:noProof w:val="0"/>
          <w:sz w:val="24"/>
          <w:szCs w:val="24"/>
          <w:lang w:val="en-GB"/>
        </w:rPr>
        <w:t xml:space="preserve">. Available at: </w:t>
      </w:r>
      <w:hyperlink r:id="R6776cf8c5a984b5e">
        <w:r w:rsidRPr="46363B90" w:rsidR="1CB222AB">
          <w:rPr>
            <w:rStyle w:val="Hyperlink"/>
            <w:rFonts w:ascii="Aptos" w:hAnsi="Aptos" w:eastAsia="Aptos" w:cs="Aptos"/>
            <w:noProof w:val="0"/>
            <w:sz w:val="24"/>
            <w:szCs w:val="24"/>
            <w:lang w:val="en-GB"/>
          </w:rPr>
          <w:t>https://www.who.int/news-room/fact-sheets/detail/sustainable-development-goals-sdgs-health-goal-3</w:t>
        </w:r>
      </w:hyperlink>
      <w:r w:rsidRPr="46363B90" w:rsidR="3FB4E313">
        <w:rPr>
          <w:rFonts w:ascii="Aptos" w:hAnsi="Aptos" w:eastAsia="Aptos" w:cs="Aptos"/>
          <w:noProof w:val="0"/>
          <w:sz w:val="24"/>
          <w:szCs w:val="24"/>
          <w:lang w:val="en-GB"/>
        </w:rPr>
        <w:t xml:space="preserve"> (Accessed: </w:t>
      </w:r>
      <w:r w:rsidRPr="46363B90" w:rsidR="52F17BFD">
        <w:rPr>
          <w:rFonts w:ascii="Aptos" w:hAnsi="Aptos" w:eastAsia="Aptos" w:cs="Aptos"/>
          <w:noProof w:val="0"/>
          <w:sz w:val="24"/>
          <w:szCs w:val="24"/>
          <w:lang w:val="en-GB"/>
        </w:rPr>
        <w:t>21 February 2026).</w:t>
      </w:r>
    </w:p>
    <w:p w:rsidR="28B9D195" w:rsidP="19368B30" w:rsidRDefault="28B9D195" w14:paraId="508A5CF0" w14:textId="553E273B">
      <w:pPr>
        <w:pStyle w:val="Normal"/>
        <w:spacing w:before="240" w:beforeAutospacing="off" w:after="240" w:afterAutospacing="off"/>
        <w:rPr>
          <w:rFonts w:ascii="Aptos" w:hAnsi="Aptos" w:eastAsia="Aptos" w:cs="Aptos"/>
          <w:noProof w:val="0"/>
          <w:sz w:val="24"/>
          <w:szCs w:val="24"/>
          <w:lang w:val="en-GB"/>
        </w:rPr>
      </w:pPr>
      <w:r w:rsidRPr="46363B90" w:rsidR="1A250B9B">
        <w:rPr>
          <w:rFonts w:ascii="Aptos" w:hAnsi="Aptos" w:eastAsia="Aptos" w:cs="Aptos"/>
          <w:noProof w:val="0"/>
          <w:sz w:val="24"/>
          <w:szCs w:val="24"/>
          <w:lang w:val="en-GB"/>
        </w:rPr>
        <w:t>Gakidou</w:t>
      </w:r>
      <w:r w:rsidRPr="46363B90" w:rsidR="1A250B9B">
        <w:rPr>
          <w:rFonts w:ascii="Aptos" w:hAnsi="Aptos" w:eastAsia="Aptos" w:cs="Aptos"/>
          <w:noProof w:val="0"/>
          <w:sz w:val="24"/>
          <w:szCs w:val="24"/>
          <w:lang w:val="en-GB"/>
        </w:rPr>
        <w:t xml:space="preserve">, E. et al., </w:t>
      </w:r>
      <w:r w:rsidRPr="46363B90" w:rsidR="6BBCEC28">
        <w:rPr>
          <w:rFonts w:ascii="Aptos" w:hAnsi="Aptos" w:eastAsia="Aptos" w:cs="Aptos"/>
          <w:noProof w:val="0"/>
          <w:sz w:val="24"/>
          <w:szCs w:val="24"/>
          <w:lang w:val="en-GB"/>
        </w:rPr>
        <w:t>(</w:t>
      </w:r>
      <w:r w:rsidRPr="46363B90" w:rsidR="1A250B9B">
        <w:rPr>
          <w:rFonts w:ascii="Aptos" w:hAnsi="Aptos" w:eastAsia="Aptos" w:cs="Aptos"/>
          <w:noProof w:val="0"/>
          <w:sz w:val="24"/>
          <w:szCs w:val="24"/>
          <w:lang w:val="en-GB"/>
        </w:rPr>
        <w:t>2017</w:t>
      </w:r>
      <w:r w:rsidRPr="46363B90" w:rsidR="1D5B591B">
        <w:rPr>
          <w:rFonts w:ascii="Aptos" w:hAnsi="Aptos" w:eastAsia="Aptos" w:cs="Aptos"/>
          <w:noProof w:val="0"/>
          <w:sz w:val="24"/>
          <w:szCs w:val="24"/>
          <w:lang w:val="en-GB"/>
        </w:rPr>
        <w:t>)</w:t>
      </w:r>
      <w:r w:rsidRPr="46363B90" w:rsidR="1A250B9B">
        <w:rPr>
          <w:rFonts w:ascii="Aptos" w:hAnsi="Aptos" w:eastAsia="Aptos" w:cs="Aptos"/>
          <w:noProof w:val="0"/>
          <w:sz w:val="24"/>
          <w:szCs w:val="24"/>
          <w:lang w:val="en-GB"/>
        </w:rPr>
        <w:t xml:space="preserve">. </w:t>
      </w:r>
      <w:r w:rsidRPr="46363B90" w:rsidR="1A250B9B">
        <w:rPr>
          <w:rFonts w:ascii="Aptos" w:hAnsi="Aptos" w:eastAsia="Aptos" w:cs="Aptos"/>
          <w:i w:val="1"/>
          <w:iCs w:val="1"/>
          <w:noProof w:val="0"/>
          <w:sz w:val="24"/>
          <w:szCs w:val="24"/>
          <w:lang w:val="en-GB"/>
        </w:rPr>
        <w:t xml:space="preserve">Global, regional, and national comparative risk assessment of 84 behavioural, </w:t>
      </w:r>
      <w:r w:rsidRPr="46363B90" w:rsidR="1A250B9B">
        <w:rPr>
          <w:rFonts w:ascii="Aptos" w:hAnsi="Aptos" w:eastAsia="Aptos" w:cs="Aptos"/>
          <w:i w:val="1"/>
          <w:iCs w:val="1"/>
          <w:noProof w:val="0"/>
          <w:sz w:val="24"/>
          <w:szCs w:val="24"/>
          <w:lang w:val="en-GB"/>
        </w:rPr>
        <w:t>environmental</w:t>
      </w:r>
      <w:r w:rsidRPr="46363B90" w:rsidR="1A250B9B">
        <w:rPr>
          <w:rFonts w:ascii="Aptos" w:hAnsi="Aptos" w:eastAsia="Aptos" w:cs="Aptos"/>
          <w:i w:val="1"/>
          <w:iCs w:val="1"/>
          <w:noProof w:val="0"/>
          <w:sz w:val="24"/>
          <w:szCs w:val="24"/>
          <w:lang w:val="en-GB"/>
        </w:rPr>
        <w:t xml:space="preserve"> and occupational, and metabolic risks.</w:t>
      </w:r>
      <w:r w:rsidRPr="46363B90" w:rsidR="1A250B9B">
        <w:rPr>
          <w:rFonts w:ascii="Aptos" w:hAnsi="Aptos" w:eastAsia="Aptos" w:cs="Aptos"/>
          <w:noProof w:val="0"/>
          <w:sz w:val="24"/>
          <w:szCs w:val="24"/>
          <w:lang w:val="en-GB"/>
        </w:rPr>
        <w:t xml:space="preserve"> </w:t>
      </w:r>
      <w:r w:rsidRPr="46363B90" w:rsidR="1A250B9B">
        <w:rPr>
          <w:rFonts w:ascii="Aptos" w:hAnsi="Aptos" w:eastAsia="Aptos" w:cs="Aptos"/>
          <w:i w:val="1"/>
          <w:iCs w:val="1"/>
          <w:noProof w:val="0"/>
          <w:sz w:val="24"/>
          <w:szCs w:val="24"/>
          <w:lang w:val="en-GB"/>
        </w:rPr>
        <w:t>The Lancet</w:t>
      </w:r>
      <w:r w:rsidRPr="46363B90" w:rsidR="1A250B9B">
        <w:rPr>
          <w:rFonts w:ascii="Aptos" w:hAnsi="Aptos" w:eastAsia="Aptos" w:cs="Aptos"/>
          <w:noProof w:val="0"/>
          <w:sz w:val="24"/>
          <w:szCs w:val="24"/>
          <w:lang w:val="en-GB"/>
        </w:rPr>
        <w:t xml:space="preserve">, 390(10100), pp.1345–1422. Available at: </w:t>
      </w:r>
      <w:hyperlink r:id="R12597de87d104c2b">
        <w:r w:rsidRPr="46363B90" w:rsidR="1A250B9B">
          <w:rPr>
            <w:rStyle w:val="Hyperlink"/>
            <w:rFonts w:ascii="Aptos" w:hAnsi="Aptos" w:eastAsia="Aptos" w:cs="Aptos"/>
            <w:noProof w:val="0"/>
            <w:sz w:val="24"/>
            <w:szCs w:val="24"/>
            <w:lang w:val="en-GB"/>
          </w:rPr>
          <w:t>https://pubmed.ncbi.nlm.nih.gov/28919118/</w:t>
        </w:r>
      </w:hyperlink>
      <w:r w:rsidRPr="46363B90" w:rsidR="17C8246D">
        <w:rPr>
          <w:rFonts w:ascii="Aptos" w:hAnsi="Aptos" w:eastAsia="Aptos" w:cs="Aptos"/>
          <w:noProof w:val="0"/>
          <w:sz w:val="24"/>
          <w:szCs w:val="24"/>
          <w:lang w:val="en-GB"/>
        </w:rPr>
        <w:t xml:space="preserve"> (Accessed: 21 February 2026).</w:t>
      </w:r>
    </w:p>
    <w:p w:rsidR="28B9D195" w:rsidP="678AE5DD" w:rsidRDefault="28B9D195" w14:paraId="76132CEA" w14:textId="718CD16F">
      <w:pPr>
        <w:spacing w:before="240" w:beforeAutospacing="off" w:after="240" w:afterAutospacing="off"/>
      </w:pPr>
      <w:r w:rsidRPr="46363B90" w:rsidR="7EC47C4D">
        <w:rPr>
          <w:rFonts w:ascii="Aptos" w:hAnsi="Aptos" w:eastAsia="Aptos" w:cs="Aptos"/>
          <w:noProof w:val="0"/>
          <w:sz w:val="24"/>
          <w:szCs w:val="24"/>
          <w:lang w:val="en-GB"/>
        </w:rPr>
        <w:t>Greater London Authority</w:t>
      </w:r>
      <w:r w:rsidRPr="46363B90" w:rsidR="69D434DA">
        <w:rPr>
          <w:rFonts w:ascii="Aptos" w:hAnsi="Aptos" w:eastAsia="Aptos" w:cs="Aptos"/>
          <w:noProof w:val="0"/>
          <w:sz w:val="24"/>
          <w:szCs w:val="24"/>
          <w:lang w:val="en-GB"/>
        </w:rPr>
        <w:t>. (</w:t>
      </w:r>
      <w:r w:rsidRPr="46363B90" w:rsidR="7EC47C4D">
        <w:rPr>
          <w:rFonts w:ascii="Aptos" w:hAnsi="Aptos" w:eastAsia="Aptos" w:cs="Aptos"/>
          <w:noProof w:val="0"/>
          <w:sz w:val="24"/>
          <w:szCs w:val="24"/>
          <w:lang w:val="en-GB"/>
        </w:rPr>
        <w:t>2020</w:t>
      </w:r>
      <w:r w:rsidRPr="46363B90" w:rsidR="60272FE1">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Lambeth Early Action Partnership Review</w:t>
      </w:r>
      <w:r w:rsidRPr="46363B90" w:rsidR="7EC47C4D">
        <w:rPr>
          <w:rFonts w:ascii="Aptos" w:hAnsi="Aptos" w:eastAsia="Aptos" w:cs="Aptos"/>
          <w:noProof w:val="0"/>
          <w:sz w:val="24"/>
          <w:szCs w:val="24"/>
          <w:lang w:val="en-GB"/>
        </w:rPr>
        <w:t xml:space="preserve">. Available at: </w:t>
      </w:r>
      <w:hyperlink r:id="Re5aec6c068e14c52">
        <w:r w:rsidRPr="46363B90" w:rsidR="7EC47C4D">
          <w:rPr>
            <w:rStyle w:val="Hyperlink"/>
            <w:rFonts w:ascii="Aptos" w:hAnsi="Aptos" w:eastAsia="Aptos" w:cs="Aptos"/>
            <w:noProof w:val="0"/>
            <w:sz w:val="24"/>
            <w:szCs w:val="24"/>
            <w:lang w:val="en-GB"/>
          </w:rPr>
          <w:t>https://www.london.gov.uk/</w:t>
        </w:r>
      </w:hyperlink>
      <w:r w:rsidRPr="46363B90" w:rsidR="5EDEDCBE">
        <w:rPr>
          <w:rFonts w:ascii="Aptos" w:hAnsi="Aptos" w:eastAsia="Aptos" w:cs="Aptos"/>
          <w:noProof w:val="0"/>
          <w:sz w:val="24"/>
          <w:szCs w:val="24"/>
          <w:lang w:val="en-GB"/>
        </w:rPr>
        <w:t xml:space="preserve"> (Accessed: 22 February 2026).</w:t>
      </w:r>
    </w:p>
    <w:p w:rsidR="28B9D195" w:rsidP="678AE5DD" w:rsidRDefault="28B9D195" w14:paraId="47EE4B8A" w14:textId="21C422A6">
      <w:pPr>
        <w:spacing w:before="240" w:beforeAutospacing="off" w:after="240" w:afterAutospacing="off"/>
      </w:pPr>
      <w:r w:rsidRPr="46363B90" w:rsidR="7EC47C4D">
        <w:rPr>
          <w:rFonts w:ascii="Aptos" w:hAnsi="Aptos" w:eastAsia="Aptos" w:cs="Aptos"/>
          <w:noProof w:val="0"/>
          <w:sz w:val="24"/>
          <w:szCs w:val="24"/>
          <w:lang w:val="en-GB"/>
        </w:rPr>
        <w:t>Kapilashrami</w:t>
      </w:r>
      <w:r w:rsidRPr="46363B90" w:rsidR="7EC47C4D">
        <w:rPr>
          <w:rFonts w:ascii="Aptos" w:hAnsi="Aptos" w:eastAsia="Aptos" w:cs="Aptos"/>
          <w:noProof w:val="0"/>
          <w:sz w:val="24"/>
          <w:szCs w:val="24"/>
          <w:lang w:val="en-GB"/>
        </w:rPr>
        <w:t xml:space="preserve">, A. </w:t>
      </w:r>
      <w:r w:rsidRPr="46363B90" w:rsidR="736BF4F4">
        <w:rPr>
          <w:rFonts w:ascii="Aptos" w:hAnsi="Aptos" w:eastAsia="Aptos" w:cs="Aptos"/>
          <w:noProof w:val="0"/>
          <w:sz w:val="24"/>
          <w:szCs w:val="24"/>
          <w:lang w:val="en-GB"/>
        </w:rPr>
        <w:t>and</w:t>
      </w:r>
      <w:r w:rsidRPr="46363B90" w:rsidR="7EC47C4D">
        <w:rPr>
          <w:rFonts w:ascii="Aptos" w:hAnsi="Aptos" w:eastAsia="Aptos" w:cs="Aptos"/>
          <w:noProof w:val="0"/>
          <w:sz w:val="24"/>
          <w:szCs w:val="24"/>
          <w:lang w:val="en-GB"/>
        </w:rPr>
        <w:t xml:space="preserve"> Marsden, S., </w:t>
      </w:r>
      <w:r w:rsidRPr="46363B90" w:rsidR="7DD233F6">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2018</w:t>
      </w:r>
      <w:r w:rsidRPr="46363B90" w:rsidR="1F5BBEA8">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Understanding policy progress for sexual and reproductive health in Ethiopia.</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Health Policy and Planning</w:t>
      </w:r>
      <w:r w:rsidRPr="46363B90" w:rsidR="7EC47C4D">
        <w:rPr>
          <w:rFonts w:ascii="Aptos" w:hAnsi="Aptos" w:eastAsia="Aptos" w:cs="Aptos"/>
          <w:noProof w:val="0"/>
          <w:sz w:val="24"/>
          <w:szCs w:val="24"/>
          <w:lang w:val="en-GB"/>
        </w:rPr>
        <w:t xml:space="preserve">, 33(3), pp.352–364. Available at: </w:t>
      </w:r>
      <w:hyperlink r:id="R6db676d893044b92">
        <w:r w:rsidRPr="46363B90" w:rsidR="7EC47C4D">
          <w:rPr>
            <w:rStyle w:val="Hyperlink"/>
            <w:rFonts w:ascii="Aptos" w:hAnsi="Aptos" w:eastAsia="Aptos" w:cs="Aptos"/>
            <w:noProof w:val="0"/>
            <w:sz w:val="24"/>
            <w:szCs w:val="24"/>
            <w:lang w:val="en-GB"/>
          </w:rPr>
          <w:t>https://pubmed.ncbi.nlm.nih.gov/29076656/</w:t>
        </w:r>
      </w:hyperlink>
      <w:r w:rsidRPr="46363B90" w:rsidR="19089D31">
        <w:rPr>
          <w:rFonts w:ascii="Aptos" w:hAnsi="Aptos" w:eastAsia="Aptos" w:cs="Aptos"/>
          <w:noProof w:val="0"/>
          <w:sz w:val="24"/>
          <w:szCs w:val="24"/>
          <w:lang w:val="en-GB"/>
        </w:rPr>
        <w:t xml:space="preserve"> (Accessed: 22 February 2026).</w:t>
      </w:r>
    </w:p>
    <w:p w:rsidR="28B9D195" w:rsidP="678AE5DD" w:rsidRDefault="28B9D195" w14:paraId="53DD8431" w14:textId="09740503">
      <w:pPr>
        <w:spacing w:before="240" w:beforeAutospacing="off" w:after="240" w:afterAutospacing="off"/>
      </w:pPr>
      <w:r w:rsidRPr="46363B90" w:rsidR="7EC47C4D">
        <w:rPr>
          <w:rFonts w:ascii="Aptos" w:hAnsi="Aptos" w:eastAsia="Aptos" w:cs="Aptos"/>
          <w:noProof w:val="0"/>
          <w:sz w:val="24"/>
          <w:szCs w:val="24"/>
          <w:lang w:val="en-GB"/>
        </w:rPr>
        <w:t xml:space="preserve">Katz, I.T. et al., </w:t>
      </w:r>
      <w:r w:rsidRPr="46363B90" w:rsidR="5E35A522">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2018</w:t>
      </w:r>
      <w:r w:rsidRPr="46363B90" w:rsidR="6905B20E">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I</w:t>
      </w:r>
      <w:r w:rsidRPr="46363B90" w:rsidR="7EC47C4D">
        <w:rPr>
          <w:rFonts w:ascii="Aptos" w:hAnsi="Aptos" w:eastAsia="Aptos" w:cs="Aptos"/>
          <w:i w:val="1"/>
          <w:iCs w:val="1"/>
          <w:noProof w:val="0"/>
          <w:sz w:val="24"/>
          <w:szCs w:val="24"/>
          <w:lang w:val="en-GB"/>
        </w:rPr>
        <w:t>mpact of HIV stigma on treatment adherence</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Journal of Acquired Immune Deficiency Syndromes</w:t>
      </w:r>
      <w:r w:rsidRPr="46363B90" w:rsidR="7EC47C4D">
        <w:rPr>
          <w:rFonts w:ascii="Aptos" w:hAnsi="Aptos" w:eastAsia="Aptos" w:cs="Aptos"/>
          <w:noProof w:val="0"/>
          <w:sz w:val="24"/>
          <w:szCs w:val="24"/>
          <w:lang w:val="en-GB"/>
        </w:rPr>
        <w:t xml:space="preserve">, 77(5), pp.585–592. Available at: </w:t>
      </w:r>
      <w:hyperlink r:id="Rd64edf8df5244490">
        <w:r w:rsidRPr="46363B90" w:rsidR="7EC47C4D">
          <w:rPr>
            <w:rStyle w:val="Hyperlink"/>
            <w:rFonts w:ascii="Aptos" w:hAnsi="Aptos" w:eastAsia="Aptos" w:cs="Aptos"/>
            <w:noProof w:val="0"/>
            <w:sz w:val="24"/>
            <w:szCs w:val="24"/>
            <w:lang w:val="en-GB"/>
          </w:rPr>
          <w:t>https://pubmed.ncbi.nlm.nih.gov/30079031/</w:t>
        </w:r>
      </w:hyperlink>
      <w:r w:rsidRPr="46363B90" w:rsidR="658462C4">
        <w:rPr>
          <w:rFonts w:ascii="Aptos" w:hAnsi="Aptos" w:eastAsia="Aptos" w:cs="Aptos"/>
          <w:noProof w:val="0"/>
          <w:sz w:val="24"/>
          <w:szCs w:val="24"/>
          <w:lang w:val="en-GB"/>
        </w:rPr>
        <w:t xml:space="preserve"> Accessed: 27 February 2028).</w:t>
      </w:r>
    </w:p>
    <w:p w:rsidR="28B9D195" w:rsidP="678AE5DD" w:rsidRDefault="28B9D195" w14:paraId="3A33743C" w14:textId="247D0B54">
      <w:pPr>
        <w:spacing w:before="240" w:beforeAutospacing="off" w:after="240" w:afterAutospacing="off"/>
      </w:pPr>
      <w:r w:rsidRPr="46363B90" w:rsidR="7EC47C4D">
        <w:rPr>
          <w:rFonts w:ascii="Aptos" w:hAnsi="Aptos" w:eastAsia="Aptos" w:cs="Aptos"/>
          <w:noProof w:val="0"/>
          <w:sz w:val="24"/>
          <w:szCs w:val="24"/>
          <w:lang w:val="en-GB"/>
        </w:rPr>
        <w:t xml:space="preserve">Marmot, M. et al., </w:t>
      </w:r>
      <w:r w:rsidRPr="46363B90" w:rsidR="3CA2E115">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2020</w:t>
      </w:r>
      <w:r w:rsidRPr="46363B90" w:rsidR="6806EC9B">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Health Equity in England: The Marmot Review 10 Years On</w:t>
      </w:r>
      <w:r w:rsidRPr="46363B90" w:rsidR="7EC47C4D">
        <w:rPr>
          <w:rFonts w:ascii="Aptos" w:hAnsi="Aptos" w:eastAsia="Aptos" w:cs="Aptos"/>
          <w:noProof w:val="0"/>
          <w:sz w:val="24"/>
          <w:szCs w:val="24"/>
          <w:lang w:val="en-GB"/>
        </w:rPr>
        <w:t xml:space="preserve">. London: Institute of Health Equity. Available at: </w:t>
      </w:r>
      <w:hyperlink r:id="Rf3b6916bab2b412b">
        <w:r w:rsidRPr="46363B90" w:rsidR="7EC47C4D">
          <w:rPr>
            <w:rStyle w:val="Hyperlink"/>
            <w:rFonts w:ascii="Aptos" w:hAnsi="Aptos" w:eastAsia="Aptos" w:cs="Aptos"/>
            <w:noProof w:val="0"/>
            <w:sz w:val="24"/>
            <w:szCs w:val="24"/>
            <w:lang w:val="en-GB"/>
          </w:rPr>
          <w:t>https://www.health.org.uk/publications/reports/the-marmot-review-10-years-on</w:t>
        </w:r>
      </w:hyperlink>
      <w:r w:rsidRPr="46363B90" w:rsidR="7A9E0AF8">
        <w:rPr>
          <w:rFonts w:ascii="Aptos" w:hAnsi="Aptos" w:eastAsia="Aptos" w:cs="Aptos"/>
          <w:noProof w:val="0"/>
          <w:sz w:val="24"/>
          <w:szCs w:val="24"/>
          <w:lang w:val="en-GB"/>
        </w:rPr>
        <w:t xml:space="preserve"> (Accessed: 27 February 2026).</w:t>
      </w:r>
    </w:p>
    <w:p w:rsidR="28B9D195" w:rsidP="678AE5DD" w:rsidRDefault="28B9D195" w14:paraId="3FC5189D" w14:textId="10002DCD">
      <w:pPr>
        <w:spacing w:before="240" w:beforeAutospacing="off" w:after="240" w:afterAutospacing="off"/>
      </w:pPr>
      <w:r w:rsidRPr="46363B90" w:rsidR="7EC47C4D">
        <w:rPr>
          <w:rFonts w:ascii="Aptos" w:hAnsi="Aptos" w:eastAsia="Aptos" w:cs="Aptos"/>
          <w:noProof w:val="0"/>
          <w:sz w:val="24"/>
          <w:szCs w:val="24"/>
          <w:lang w:val="en-GB"/>
        </w:rPr>
        <w:t>Naghavi</w:t>
      </w:r>
      <w:r w:rsidRPr="46363B90" w:rsidR="7EC47C4D">
        <w:rPr>
          <w:rFonts w:ascii="Aptos" w:hAnsi="Aptos" w:eastAsia="Aptos" w:cs="Aptos"/>
          <w:noProof w:val="0"/>
          <w:sz w:val="24"/>
          <w:szCs w:val="24"/>
          <w:lang w:val="en-GB"/>
        </w:rPr>
        <w:t xml:space="preserve">, M. et al., </w:t>
      </w:r>
      <w:r w:rsidRPr="46363B90" w:rsidR="352A6064">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2018</w:t>
      </w:r>
      <w:r w:rsidRPr="46363B90" w:rsidR="2466CB47">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Global burden of diseases and injuries</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The Lancet</w:t>
      </w:r>
      <w:r w:rsidRPr="46363B90" w:rsidR="7EC47C4D">
        <w:rPr>
          <w:rFonts w:ascii="Aptos" w:hAnsi="Aptos" w:eastAsia="Aptos" w:cs="Aptos"/>
          <w:noProof w:val="0"/>
          <w:sz w:val="24"/>
          <w:szCs w:val="24"/>
          <w:lang w:val="en-GB"/>
        </w:rPr>
        <w:t xml:space="preserve">, 392(10159), pp.1789–1858. Available at: </w:t>
      </w:r>
      <w:hyperlink r:id="Rb1b07f9c660a4b5f">
        <w:r w:rsidRPr="46363B90" w:rsidR="7EC47C4D">
          <w:rPr>
            <w:rStyle w:val="Hyperlink"/>
            <w:rFonts w:ascii="Aptos" w:hAnsi="Aptos" w:eastAsia="Aptos" w:cs="Aptos"/>
            <w:noProof w:val="0"/>
            <w:sz w:val="24"/>
            <w:szCs w:val="24"/>
            <w:lang w:val="en-GB"/>
          </w:rPr>
          <w:t>https://pubmed.ncbi.nlm.nih.gov/30415748/</w:t>
        </w:r>
      </w:hyperlink>
      <w:r w:rsidRPr="46363B90" w:rsidR="53598511">
        <w:rPr>
          <w:rFonts w:ascii="Aptos" w:hAnsi="Aptos" w:eastAsia="Aptos" w:cs="Aptos"/>
          <w:noProof w:val="0"/>
          <w:sz w:val="24"/>
          <w:szCs w:val="24"/>
          <w:lang w:val="en-GB"/>
        </w:rPr>
        <w:t xml:space="preserve"> (Accessed: 28 February 2026).</w:t>
      </w:r>
    </w:p>
    <w:p w:rsidR="28B9D195" w:rsidP="678AE5DD" w:rsidRDefault="28B9D195" w14:paraId="1D6ADB69" w14:textId="5EA6CC18">
      <w:pPr>
        <w:spacing w:before="240" w:beforeAutospacing="off" w:after="240" w:afterAutospacing="off"/>
      </w:pPr>
      <w:r w:rsidRPr="46363B90" w:rsidR="7EC47C4D">
        <w:rPr>
          <w:rFonts w:ascii="Aptos" w:hAnsi="Aptos" w:eastAsia="Aptos" w:cs="Aptos"/>
          <w:noProof w:val="0"/>
          <w:sz w:val="24"/>
          <w:szCs w:val="24"/>
          <w:lang w:val="en-GB"/>
        </w:rPr>
        <w:t>NHS England</w:t>
      </w:r>
      <w:r w:rsidRPr="46363B90" w:rsidR="6ABAAD78">
        <w:rPr>
          <w:rFonts w:ascii="Aptos" w:hAnsi="Aptos" w:eastAsia="Aptos" w:cs="Aptos"/>
          <w:noProof w:val="0"/>
          <w:sz w:val="24"/>
          <w:szCs w:val="24"/>
          <w:lang w:val="en-GB"/>
        </w:rPr>
        <w:t>. (</w:t>
      </w:r>
      <w:r w:rsidRPr="46363B90" w:rsidR="7EC47C4D">
        <w:rPr>
          <w:rFonts w:ascii="Aptos" w:hAnsi="Aptos" w:eastAsia="Aptos" w:cs="Aptos"/>
          <w:noProof w:val="0"/>
          <w:sz w:val="24"/>
          <w:szCs w:val="24"/>
          <w:lang w:val="en-GB"/>
        </w:rPr>
        <w:t>2019</w:t>
      </w:r>
      <w:r w:rsidRPr="46363B90" w:rsidR="3A057CE9">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The NHS Long Term Plan</w:t>
      </w:r>
      <w:r w:rsidRPr="46363B90" w:rsidR="7EC47C4D">
        <w:rPr>
          <w:rFonts w:ascii="Aptos" w:hAnsi="Aptos" w:eastAsia="Aptos" w:cs="Aptos"/>
          <w:noProof w:val="0"/>
          <w:sz w:val="24"/>
          <w:szCs w:val="24"/>
          <w:lang w:val="en-GB"/>
        </w:rPr>
        <w:t xml:space="preserve"> [online]. Available at: </w:t>
      </w:r>
      <w:hyperlink r:id="R49c1f0c1ce674334">
        <w:r w:rsidRPr="46363B90" w:rsidR="7EC47C4D">
          <w:rPr>
            <w:rStyle w:val="Hyperlink"/>
            <w:rFonts w:ascii="Aptos" w:hAnsi="Aptos" w:eastAsia="Aptos" w:cs="Aptos"/>
            <w:noProof w:val="0"/>
            <w:sz w:val="24"/>
            <w:szCs w:val="24"/>
            <w:lang w:val="en-GB"/>
          </w:rPr>
          <w:t>https://www.longtermplan.nhs.uk/</w:t>
        </w:r>
      </w:hyperlink>
      <w:r w:rsidRPr="46363B90" w:rsidR="31E36AF0">
        <w:rPr>
          <w:rFonts w:ascii="Aptos" w:hAnsi="Aptos" w:eastAsia="Aptos" w:cs="Aptos"/>
          <w:noProof w:val="0"/>
          <w:sz w:val="24"/>
          <w:szCs w:val="24"/>
          <w:lang w:val="en-GB"/>
        </w:rPr>
        <w:t xml:space="preserve"> (Accessed: 28 February 2026).</w:t>
      </w:r>
    </w:p>
    <w:p w:rsidR="28B9D195" w:rsidP="678AE5DD" w:rsidRDefault="28B9D195" w14:paraId="12109558" w14:textId="31927E8D">
      <w:pPr>
        <w:spacing w:before="240" w:beforeAutospacing="off" w:after="240" w:afterAutospacing="off"/>
      </w:pPr>
      <w:r w:rsidRPr="46363B90" w:rsidR="7EC47C4D">
        <w:rPr>
          <w:rFonts w:ascii="Aptos" w:hAnsi="Aptos" w:eastAsia="Aptos" w:cs="Aptos"/>
          <w:noProof w:val="0"/>
          <w:sz w:val="24"/>
          <w:szCs w:val="24"/>
          <w:lang w:val="en-GB"/>
        </w:rPr>
        <w:t xml:space="preserve">Shiffman, J. </w:t>
      </w:r>
      <w:r w:rsidRPr="46363B90" w:rsidR="0C913E6C">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2015</w:t>
      </w:r>
      <w:r w:rsidRPr="46363B90" w:rsidR="7065E8C3">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Global health governance. </w:t>
      </w:r>
      <w:r w:rsidRPr="46363B90" w:rsidR="7EC47C4D">
        <w:rPr>
          <w:rFonts w:ascii="Aptos" w:hAnsi="Aptos" w:eastAsia="Aptos" w:cs="Aptos"/>
          <w:i w:val="1"/>
          <w:iCs w:val="1"/>
          <w:noProof w:val="0"/>
          <w:sz w:val="24"/>
          <w:szCs w:val="24"/>
          <w:lang w:val="en-GB"/>
        </w:rPr>
        <w:t>Lancet</w:t>
      </w:r>
      <w:r w:rsidRPr="46363B90" w:rsidR="7EC47C4D">
        <w:rPr>
          <w:rFonts w:ascii="Aptos" w:hAnsi="Aptos" w:eastAsia="Aptos" w:cs="Aptos"/>
          <w:noProof w:val="0"/>
          <w:sz w:val="24"/>
          <w:szCs w:val="24"/>
          <w:lang w:val="en-GB"/>
        </w:rPr>
        <w:t xml:space="preserve">, 385(9983), pp.1928–1935. Available at: </w:t>
      </w:r>
      <w:hyperlink r:id="Rab492a0bf2b940f2">
        <w:r w:rsidRPr="46363B90" w:rsidR="7EC47C4D">
          <w:rPr>
            <w:rStyle w:val="Hyperlink"/>
            <w:rFonts w:ascii="Aptos" w:hAnsi="Aptos" w:eastAsia="Aptos" w:cs="Aptos"/>
            <w:noProof w:val="0"/>
            <w:sz w:val="24"/>
            <w:szCs w:val="24"/>
            <w:lang w:val="en-GB"/>
          </w:rPr>
          <w:t>https://pubmed.ncbi.nlm.nih.gov/25900496/</w:t>
        </w:r>
      </w:hyperlink>
      <w:r w:rsidRPr="46363B90" w:rsidR="03351145">
        <w:rPr>
          <w:rFonts w:ascii="Aptos" w:hAnsi="Aptos" w:eastAsia="Aptos" w:cs="Aptos"/>
          <w:noProof w:val="0"/>
          <w:sz w:val="24"/>
          <w:szCs w:val="24"/>
          <w:lang w:val="en-GB"/>
        </w:rPr>
        <w:t xml:space="preserve"> (Accessed: 01 March 2026).</w:t>
      </w:r>
    </w:p>
    <w:p w:rsidR="28B9D195" w:rsidP="678AE5DD" w:rsidRDefault="28B9D195" w14:paraId="384F8573" w14:textId="75E16085">
      <w:pPr>
        <w:spacing w:before="240" w:beforeAutospacing="off" w:after="240" w:afterAutospacing="off"/>
      </w:pPr>
      <w:r w:rsidRPr="46363B90" w:rsidR="7EC47C4D">
        <w:rPr>
          <w:rFonts w:ascii="Aptos" w:hAnsi="Aptos" w:eastAsia="Aptos" w:cs="Aptos"/>
          <w:noProof w:val="0"/>
          <w:sz w:val="24"/>
          <w:szCs w:val="24"/>
          <w:lang w:val="en-GB"/>
        </w:rPr>
        <w:t xml:space="preserve">Solar, O. </w:t>
      </w:r>
      <w:r w:rsidRPr="46363B90" w:rsidR="1F348892">
        <w:rPr>
          <w:rFonts w:ascii="Aptos" w:hAnsi="Aptos" w:eastAsia="Aptos" w:cs="Aptos"/>
          <w:noProof w:val="0"/>
          <w:sz w:val="24"/>
          <w:szCs w:val="24"/>
          <w:lang w:val="en-GB"/>
        </w:rPr>
        <w:t>and</w:t>
      </w:r>
      <w:r w:rsidRPr="46363B90" w:rsidR="7EC47C4D">
        <w:rPr>
          <w:rFonts w:ascii="Aptos" w:hAnsi="Aptos" w:eastAsia="Aptos" w:cs="Aptos"/>
          <w:noProof w:val="0"/>
          <w:sz w:val="24"/>
          <w:szCs w:val="24"/>
          <w:lang w:val="en-GB"/>
        </w:rPr>
        <w:t xml:space="preserve"> Irwin, A., </w:t>
      </w:r>
      <w:r w:rsidRPr="46363B90" w:rsidR="215E1417">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2010</w:t>
      </w:r>
      <w:r w:rsidRPr="46363B90" w:rsidR="51D85B7E">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A Conceptual Framework for Action on the Social Determinants of Health</w:t>
      </w:r>
      <w:r w:rsidRPr="46363B90" w:rsidR="7EC47C4D">
        <w:rPr>
          <w:rFonts w:ascii="Aptos" w:hAnsi="Aptos" w:eastAsia="Aptos" w:cs="Aptos"/>
          <w:noProof w:val="0"/>
          <w:sz w:val="24"/>
          <w:szCs w:val="24"/>
          <w:lang w:val="en-GB"/>
        </w:rPr>
        <w:t xml:space="preserve">. Geneva: WHO. Available at: </w:t>
      </w:r>
      <w:hyperlink r:id="Rb6b3b1c30c3c4ad6">
        <w:r w:rsidRPr="46363B90" w:rsidR="7EC47C4D">
          <w:rPr>
            <w:rStyle w:val="Hyperlink"/>
            <w:rFonts w:ascii="Aptos" w:hAnsi="Aptos" w:eastAsia="Aptos" w:cs="Aptos"/>
            <w:noProof w:val="0"/>
            <w:sz w:val="24"/>
            <w:szCs w:val="24"/>
            <w:lang w:val="en-GB"/>
          </w:rPr>
          <w:t>https://www.who.int/publications/i/item/9789241500852</w:t>
        </w:r>
      </w:hyperlink>
      <w:r w:rsidRPr="46363B90" w:rsidR="531F1D98">
        <w:rPr>
          <w:rFonts w:ascii="Aptos" w:hAnsi="Aptos" w:eastAsia="Aptos" w:cs="Aptos"/>
          <w:noProof w:val="0"/>
          <w:sz w:val="24"/>
          <w:szCs w:val="24"/>
          <w:lang w:val="en-GB"/>
        </w:rPr>
        <w:t xml:space="preserve"> (Accessed: 01 March 2026).</w:t>
      </w:r>
    </w:p>
    <w:p w:rsidR="28B9D195" w:rsidP="678AE5DD" w:rsidRDefault="28B9D195" w14:paraId="0B9A72D7" w14:textId="6707E576">
      <w:pPr>
        <w:spacing w:before="240" w:beforeAutospacing="off" w:after="240" w:afterAutospacing="off"/>
      </w:pPr>
      <w:r w:rsidRPr="46363B90" w:rsidR="7EC47C4D">
        <w:rPr>
          <w:rFonts w:ascii="Aptos" w:hAnsi="Aptos" w:eastAsia="Aptos" w:cs="Aptos"/>
          <w:noProof w:val="0"/>
          <w:sz w:val="24"/>
          <w:szCs w:val="24"/>
          <w:lang w:val="en-GB"/>
        </w:rPr>
        <w:t xml:space="preserve">UNAIDS, 2021. </w:t>
      </w:r>
      <w:r w:rsidRPr="46363B90" w:rsidR="7EC47C4D">
        <w:rPr>
          <w:rFonts w:ascii="Aptos" w:hAnsi="Aptos" w:eastAsia="Aptos" w:cs="Aptos"/>
          <w:i w:val="1"/>
          <w:iCs w:val="1"/>
          <w:noProof w:val="0"/>
          <w:sz w:val="24"/>
          <w:szCs w:val="24"/>
          <w:lang w:val="en-GB"/>
        </w:rPr>
        <w:t>UNAIDS Global AIDS Monitoring</w:t>
      </w:r>
      <w:r w:rsidRPr="46363B90" w:rsidR="7EC47C4D">
        <w:rPr>
          <w:rFonts w:ascii="Aptos" w:hAnsi="Aptos" w:eastAsia="Aptos" w:cs="Aptos"/>
          <w:noProof w:val="0"/>
          <w:sz w:val="24"/>
          <w:szCs w:val="24"/>
          <w:lang w:val="en-GB"/>
        </w:rPr>
        <w:t xml:space="preserve">. Available at: </w:t>
      </w:r>
      <w:hyperlink r:id="R562f06ec446245d9">
        <w:r w:rsidRPr="46363B90" w:rsidR="7EC47C4D">
          <w:rPr>
            <w:rStyle w:val="Hyperlink"/>
            <w:rFonts w:ascii="Aptos" w:hAnsi="Aptos" w:eastAsia="Aptos" w:cs="Aptos"/>
            <w:noProof w:val="0"/>
            <w:sz w:val="24"/>
            <w:szCs w:val="24"/>
            <w:lang w:val="en-GB"/>
          </w:rPr>
          <w:t>https://www.unaids.org/</w:t>
        </w:r>
      </w:hyperlink>
      <w:r w:rsidRPr="46363B90" w:rsidR="6F8D3790">
        <w:rPr>
          <w:rFonts w:ascii="Aptos" w:hAnsi="Aptos" w:eastAsia="Aptos" w:cs="Aptos"/>
          <w:noProof w:val="0"/>
          <w:sz w:val="24"/>
          <w:szCs w:val="24"/>
          <w:lang w:val="en-GB"/>
        </w:rPr>
        <w:t xml:space="preserve"> (Accessed: 01 March 2026).</w:t>
      </w:r>
    </w:p>
    <w:p w:rsidR="28B9D195" w:rsidP="678AE5DD" w:rsidRDefault="28B9D195" w14:paraId="5ED248B4" w14:textId="13171450">
      <w:pPr>
        <w:spacing w:before="240" w:beforeAutospacing="off" w:after="240" w:afterAutospacing="off"/>
      </w:pPr>
      <w:r w:rsidRPr="46363B90" w:rsidR="7EC47C4D">
        <w:rPr>
          <w:rFonts w:ascii="Aptos" w:hAnsi="Aptos" w:eastAsia="Aptos" w:cs="Aptos"/>
          <w:noProof w:val="0"/>
          <w:sz w:val="24"/>
          <w:szCs w:val="24"/>
          <w:lang w:val="en-GB"/>
        </w:rPr>
        <w:t xml:space="preserve">UN, </w:t>
      </w:r>
      <w:r w:rsidRPr="46363B90" w:rsidR="7D703E3F">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2015</w:t>
      </w:r>
      <w:r w:rsidRPr="46363B90" w:rsidR="776A5F7B">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Transforming our world: the 2030 Agenda for Sustainable Development</w:t>
      </w:r>
      <w:r w:rsidRPr="46363B90" w:rsidR="7EC47C4D">
        <w:rPr>
          <w:rFonts w:ascii="Aptos" w:hAnsi="Aptos" w:eastAsia="Aptos" w:cs="Aptos"/>
          <w:noProof w:val="0"/>
          <w:sz w:val="24"/>
          <w:szCs w:val="24"/>
          <w:lang w:val="en-GB"/>
        </w:rPr>
        <w:t xml:space="preserve">. New York: UN. Available at: </w:t>
      </w:r>
      <w:hyperlink r:id="R7032385bf62a4259">
        <w:r w:rsidRPr="46363B90" w:rsidR="7EC47C4D">
          <w:rPr>
            <w:rStyle w:val="Hyperlink"/>
            <w:rFonts w:ascii="Aptos" w:hAnsi="Aptos" w:eastAsia="Aptos" w:cs="Aptos"/>
            <w:noProof w:val="0"/>
            <w:sz w:val="24"/>
            <w:szCs w:val="24"/>
            <w:lang w:val="en-GB"/>
          </w:rPr>
          <w:t>https://sdgs.un.org/2030agenda</w:t>
        </w:r>
      </w:hyperlink>
      <w:r w:rsidRPr="46363B90" w:rsidR="294BCCDA">
        <w:rPr>
          <w:rFonts w:ascii="Aptos" w:hAnsi="Aptos" w:eastAsia="Aptos" w:cs="Aptos"/>
          <w:noProof w:val="0"/>
          <w:sz w:val="24"/>
          <w:szCs w:val="24"/>
          <w:lang w:val="en-GB"/>
        </w:rPr>
        <w:t xml:space="preserve"> (Accessed: 01 March 2026).</w:t>
      </w:r>
    </w:p>
    <w:p w:rsidR="28B9D195" w:rsidP="678AE5DD" w:rsidRDefault="28B9D195" w14:paraId="15A26219" w14:textId="33F9190A">
      <w:pPr>
        <w:spacing w:before="240" w:beforeAutospacing="off" w:after="240" w:afterAutospacing="off"/>
      </w:pPr>
      <w:r w:rsidRPr="46363B90" w:rsidR="7EC47C4D">
        <w:rPr>
          <w:rFonts w:ascii="Aptos" w:hAnsi="Aptos" w:eastAsia="Aptos" w:cs="Aptos"/>
          <w:noProof w:val="0"/>
          <w:sz w:val="24"/>
          <w:szCs w:val="24"/>
          <w:lang w:val="en-GB"/>
        </w:rPr>
        <w:t>WHO</w:t>
      </w:r>
      <w:r w:rsidRPr="46363B90" w:rsidR="1AA1E976">
        <w:rPr>
          <w:rFonts w:ascii="Aptos" w:hAnsi="Aptos" w:eastAsia="Aptos" w:cs="Aptos"/>
          <w:noProof w:val="0"/>
          <w:sz w:val="24"/>
          <w:szCs w:val="24"/>
          <w:lang w:val="en-GB"/>
        </w:rPr>
        <w:t>. (</w:t>
      </w:r>
      <w:r w:rsidRPr="46363B90" w:rsidR="7EC47C4D">
        <w:rPr>
          <w:rFonts w:ascii="Aptos" w:hAnsi="Aptos" w:eastAsia="Aptos" w:cs="Aptos"/>
          <w:noProof w:val="0"/>
          <w:sz w:val="24"/>
          <w:szCs w:val="24"/>
          <w:lang w:val="en-GB"/>
        </w:rPr>
        <w:t>2008</w:t>
      </w:r>
      <w:r w:rsidRPr="46363B90" w:rsidR="67FECB4E">
        <w:rPr>
          <w:rFonts w:ascii="Aptos" w:hAnsi="Aptos" w:eastAsia="Aptos" w:cs="Aptos"/>
          <w:noProof w:val="0"/>
          <w:sz w:val="24"/>
          <w:szCs w:val="24"/>
          <w:lang w:val="en-GB"/>
        </w:rPr>
        <w:t>)</w:t>
      </w:r>
      <w:r w:rsidRPr="46363B90" w:rsidR="7EC47C4D">
        <w:rPr>
          <w:rFonts w:ascii="Aptos" w:hAnsi="Aptos" w:eastAsia="Aptos" w:cs="Aptos"/>
          <w:noProof w:val="0"/>
          <w:sz w:val="24"/>
          <w:szCs w:val="24"/>
          <w:lang w:val="en-GB"/>
        </w:rPr>
        <w:t xml:space="preserve">. </w:t>
      </w:r>
      <w:r w:rsidRPr="46363B90" w:rsidR="7EC47C4D">
        <w:rPr>
          <w:rFonts w:ascii="Aptos" w:hAnsi="Aptos" w:eastAsia="Aptos" w:cs="Aptos"/>
          <w:i w:val="1"/>
          <w:iCs w:val="1"/>
          <w:noProof w:val="0"/>
          <w:sz w:val="24"/>
          <w:szCs w:val="24"/>
          <w:lang w:val="en-GB"/>
        </w:rPr>
        <w:t>Closing the Gap in a Generation</w:t>
      </w:r>
      <w:r w:rsidRPr="46363B90" w:rsidR="7EC47C4D">
        <w:rPr>
          <w:rFonts w:ascii="Aptos" w:hAnsi="Aptos" w:eastAsia="Aptos" w:cs="Aptos"/>
          <w:noProof w:val="0"/>
          <w:sz w:val="24"/>
          <w:szCs w:val="24"/>
          <w:lang w:val="en-GB"/>
        </w:rPr>
        <w:t xml:space="preserve">. Available at: </w:t>
      </w:r>
      <w:hyperlink r:id="R26a13a65375f4f10">
        <w:r w:rsidRPr="46363B90" w:rsidR="7EC47C4D">
          <w:rPr>
            <w:rStyle w:val="Hyperlink"/>
            <w:rFonts w:ascii="Aptos" w:hAnsi="Aptos" w:eastAsia="Aptos" w:cs="Aptos"/>
            <w:noProof w:val="0"/>
            <w:sz w:val="24"/>
            <w:szCs w:val="24"/>
            <w:lang w:val="en-GB"/>
          </w:rPr>
          <w:t>https://www.who.int/publications/i/item/WHO-IER-CSDH-08.1</w:t>
        </w:r>
      </w:hyperlink>
      <w:r w:rsidRPr="46363B90" w:rsidR="1AAE92FD">
        <w:rPr>
          <w:rFonts w:ascii="Aptos" w:hAnsi="Aptos" w:eastAsia="Aptos" w:cs="Aptos"/>
          <w:noProof w:val="0"/>
          <w:sz w:val="24"/>
          <w:szCs w:val="24"/>
          <w:lang w:val="en-GB"/>
        </w:rPr>
        <w:t xml:space="preserve"> (Accessed: 03 March 2026).</w:t>
      </w:r>
    </w:p>
    <w:p w:rsidR="28B9D195" w:rsidP="678AE5DD" w:rsidRDefault="28B9D195" w14:paraId="2D3AD780" w14:textId="33C47C8C">
      <w:pPr>
        <w:spacing w:before="240" w:beforeAutospacing="off" w:after="240" w:afterAutospacing="off"/>
      </w:pPr>
      <w:r w:rsidRPr="46363B90" w:rsidR="1A250B9B">
        <w:rPr>
          <w:rFonts w:ascii="Aptos" w:hAnsi="Aptos" w:eastAsia="Aptos" w:cs="Aptos"/>
          <w:noProof w:val="0"/>
          <w:sz w:val="24"/>
          <w:szCs w:val="24"/>
          <w:lang w:val="en-GB"/>
        </w:rPr>
        <w:t>WHO</w:t>
      </w:r>
      <w:r w:rsidRPr="46363B90" w:rsidR="6986A93A">
        <w:rPr>
          <w:rFonts w:ascii="Aptos" w:hAnsi="Aptos" w:eastAsia="Aptos" w:cs="Aptos"/>
          <w:noProof w:val="0"/>
          <w:sz w:val="24"/>
          <w:szCs w:val="24"/>
          <w:lang w:val="en-GB"/>
        </w:rPr>
        <w:t>. (</w:t>
      </w:r>
      <w:r w:rsidRPr="46363B90" w:rsidR="1A250B9B">
        <w:rPr>
          <w:rFonts w:ascii="Aptos" w:hAnsi="Aptos" w:eastAsia="Aptos" w:cs="Aptos"/>
          <w:noProof w:val="0"/>
          <w:sz w:val="24"/>
          <w:szCs w:val="24"/>
          <w:lang w:val="en-GB"/>
        </w:rPr>
        <w:t>2013</w:t>
      </w:r>
      <w:r w:rsidRPr="46363B90" w:rsidR="20782F00">
        <w:rPr>
          <w:rFonts w:ascii="Aptos" w:hAnsi="Aptos" w:eastAsia="Aptos" w:cs="Aptos"/>
          <w:noProof w:val="0"/>
          <w:sz w:val="24"/>
          <w:szCs w:val="24"/>
          <w:lang w:val="en-GB"/>
        </w:rPr>
        <w:t>)</w:t>
      </w:r>
      <w:r w:rsidRPr="46363B90" w:rsidR="1A250B9B">
        <w:rPr>
          <w:rFonts w:ascii="Aptos" w:hAnsi="Aptos" w:eastAsia="Aptos" w:cs="Aptos"/>
          <w:noProof w:val="0"/>
          <w:sz w:val="24"/>
          <w:szCs w:val="24"/>
          <w:lang w:val="en-GB"/>
        </w:rPr>
        <w:t xml:space="preserve">. </w:t>
      </w:r>
      <w:r w:rsidRPr="46363B90" w:rsidR="1A250B9B">
        <w:rPr>
          <w:rFonts w:ascii="Aptos" w:hAnsi="Aptos" w:eastAsia="Aptos" w:cs="Aptos"/>
          <w:i w:val="1"/>
          <w:iCs w:val="1"/>
          <w:noProof w:val="0"/>
          <w:sz w:val="24"/>
          <w:szCs w:val="24"/>
          <w:lang w:val="en-GB"/>
        </w:rPr>
        <w:t>Global Action Plan for the Prevention and Control of NCDs 2013</w:t>
      </w:r>
      <w:r w:rsidRPr="46363B90" w:rsidR="0D6DC4F6">
        <w:rPr>
          <w:rFonts w:ascii="Aptos" w:hAnsi="Aptos" w:eastAsia="Aptos" w:cs="Aptos"/>
          <w:i w:val="1"/>
          <w:iCs w:val="1"/>
          <w:noProof w:val="0"/>
          <w:sz w:val="24"/>
          <w:szCs w:val="24"/>
          <w:lang w:val="en-GB"/>
        </w:rPr>
        <w:t>-2020 Available</w:t>
      </w:r>
      <w:r w:rsidRPr="46363B90" w:rsidR="1A250B9B">
        <w:rPr>
          <w:rFonts w:ascii="Aptos" w:hAnsi="Aptos" w:eastAsia="Aptos" w:cs="Aptos"/>
          <w:noProof w:val="0"/>
          <w:sz w:val="24"/>
          <w:szCs w:val="24"/>
          <w:lang w:val="en-GB"/>
        </w:rPr>
        <w:t xml:space="preserve"> at: </w:t>
      </w:r>
      <w:hyperlink r:id="R8157fb61ddd2469e">
        <w:r w:rsidRPr="46363B90" w:rsidR="1A250B9B">
          <w:rPr>
            <w:rStyle w:val="Hyperlink"/>
            <w:rFonts w:ascii="Aptos" w:hAnsi="Aptos" w:eastAsia="Aptos" w:cs="Aptos"/>
            <w:noProof w:val="0"/>
            <w:sz w:val="24"/>
            <w:szCs w:val="24"/>
            <w:lang w:val="en-GB"/>
          </w:rPr>
          <w:t>https://www.who.int/publications/i/item/9789241506236</w:t>
        </w:r>
      </w:hyperlink>
      <w:r w:rsidRPr="46363B90" w:rsidR="66C1CBA4">
        <w:rPr>
          <w:rFonts w:ascii="Aptos" w:hAnsi="Aptos" w:eastAsia="Aptos" w:cs="Aptos"/>
          <w:noProof w:val="0"/>
          <w:sz w:val="24"/>
          <w:szCs w:val="24"/>
          <w:lang w:val="en-GB"/>
        </w:rPr>
        <w:t xml:space="preserve"> (Accessed: 03 March 2026).</w:t>
      </w:r>
    </w:p>
    <w:p w:rsidR="1684F1A5" w:rsidP="678AE5DD" w:rsidRDefault="1684F1A5" w14:paraId="0574CE8D" w14:textId="1699DDAA">
      <w:pPr>
        <w:pStyle w:val="Normal"/>
        <w:spacing w:before="240" w:beforeAutospacing="off" w:after="240" w:afterAutospacing="off"/>
        <w:rPr>
          <w:rFonts w:ascii="Aptos" w:hAnsi="Aptos" w:eastAsia="Aptos" w:cs="Aptos"/>
          <w:noProof w:val="0"/>
          <w:sz w:val="24"/>
          <w:szCs w:val="24"/>
          <w:lang w:val="en-GB"/>
        </w:rPr>
      </w:pPr>
      <w:r w:rsidRPr="46363B90" w:rsidR="48B32020">
        <w:rPr>
          <w:rFonts w:ascii="Aptos" w:hAnsi="Aptos" w:eastAsia="Aptos" w:cs="Aptos"/>
          <w:noProof w:val="0"/>
          <w:sz w:val="24"/>
          <w:szCs w:val="24"/>
          <w:lang w:val="en-GB"/>
        </w:rPr>
        <w:t>Climate Action Tracker. (</w:t>
      </w:r>
      <w:r w:rsidRPr="46363B90" w:rsidR="48B32020">
        <w:rPr>
          <w:rFonts w:ascii="Aptos" w:hAnsi="Aptos" w:eastAsia="Aptos" w:cs="Aptos"/>
          <w:b w:val="0"/>
          <w:bCs w:val="0"/>
          <w:noProof w:val="0"/>
          <w:sz w:val="24"/>
          <w:szCs w:val="24"/>
          <w:lang w:val="en-GB"/>
        </w:rPr>
        <w:t>2023).</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i w:val="1"/>
          <w:iCs w:val="1"/>
          <w:noProof w:val="0"/>
          <w:sz w:val="24"/>
          <w:szCs w:val="24"/>
          <w:lang w:val="en-GB"/>
        </w:rPr>
        <w:t>United Kingdom</w:t>
      </w:r>
      <w:r w:rsidRPr="46363B90" w:rsidR="48B32020">
        <w:rPr>
          <w:rFonts w:ascii="Aptos" w:hAnsi="Aptos" w:eastAsia="Aptos" w:cs="Aptos"/>
          <w:noProof w:val="0"/>
          <w:sz w:val="24"/>
          <w:szCs w:val="24"/>
          <w:lang w:val="en-GB"/>
        </w:rPr>
        <w:t xml:space="preserve">. Available at: </w:t>
      </w:r>
      <w:hyperlink r:id="Rd90f9d86f1d442e6">
        <w:r w:rsidRPr="46363B90" w:rsidR="48B32020">
          <w:rPr>
            <w:rStyle w:val="Hyperlink"/>
            <w:rFonts w:ascii="Aptos" w:hAnsi="Aptos" w:eastAsia="Aptos" w:cs="Aptos"/>
            <w:noProof w:val="0"/>
            <w:sz w:val="24"/>
            <w:szCs w:val="24"/>
            <w:lang w:val="en-GB"/>
          </w:rPr>
          <w:t>https://climateactiontracker.org/countries/uk/</w:t>
        </w:r>
      </w:hyperlink>
      <w:r w:rsidRPr="46363B90" w:rsidR="132F4FBC">
        <w:rPr>
          <w:rFonts w:ascii="Aptos" w:hAnsi="Aptos" w:eastAsia="Aptos" w:cs="Aptos"/>
          <w:noProof w:val="0"/>
          <w:sz w:val="24"/>
          <w:szCs w:val="24"/>
          <w:lang w:val="en-GB"/>
        </w:rPr>
        <w:t xml:space="preserve"> (</w:t>
      </w:r>
      <w:r w:rsidRPr="46363B90" w:rsidR="30F2E64D">
        <w:rPr>
          <w:rFonts w:ascii="Aptos" w:hAnsi="Aptos" w:eastAsia="Aptos" w:cs="Aptos"/>
          <w:noProof w:val="0"/>
          <w:sz w:val="24"/>
          <w:szCs w:val="24"/>
          <w:lang w:val="en-GB"/>
        </w:rPr>
        <w:t>Accessed: 13 March 2026).</w:t>
      </w:r>
    </w:p>
    <w:p w:rsidR="1684F1A5" w:rsidP="678AE5DD" w:rsidRDefault="1684F1A5" w14:paraId="030F0C57" w14:textId="4D0F6A79">
      <w:pPr>
        <w:pStyle w:val="Normal"/>
        <w:rPr>
          <w:b w:val="0"/>
          <w:bCs w:val="0"/>
        </w:rPr>
      </w:pPr>
      <w:r w:rsidRPr="46363B90" w:rsidR="48B32020">
        <w:rPr>
          <w:rFonts w:ascii="Aptos" w:hAnsi="Aptos" w:eastAsia="Aptos" w:cs="Aptos"/>
          <w:noProof w:val="0"/>
          <w:sz w:val="24"/>
          <w:szCs w:val="24"/>
          <w:lang w:val="en-GB"/>
        </w:rPr>
        <w:t>Department for Energy Security and Net Zero</w:t>
      </w:r>
      <w:r w:rsidRPr="46363B90" w:rsidR="24495EDD">
        <w:rPr>
          <w:rFonts w:ascii="Aptos" w:hAnsi="Aptos" w:eastAsia="Aptos" w:cs="Aptos"/>
          <w:noProof w:val="0"/>
          <w:sz w:val="24"/>
          <w:szCs w:val="24"/>
          <w:lang w:val="en-GB"/>
        </w:rPr>
        <w:t>. (</w:t>
      </w:r>
      <w:r w:rsidRPr="46363B90" w:rsidR="48B32020">
        <w:rPr>
          <w:rFonts w:ascii="Aptos" w:hAnsi="Aptos" w:eastAsia="Aptos" w:cs="Aptos"/>
          <w:b w:val="0"/>
          <w:bCs w:val="0"/>
          <w:noProof w:val="0"/>
          <w:sz w:val="24"/>
          <w:szCs w:val="24"/>
          <w:lang w:val="en-GB"/>
        </w:rPr>
        <w:t>2023</w:t>
      </w:r>
      <w:r w:rsidRPr="46363B90" w:rsidR="65C1400D">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Department for Energy Security and Net Zero</w:t>
      </w:r>
      <w:r w:rsidRPr="46363B90" w:rsidR="48B32020">
        <w:rPr>
          <w:rFonts w:ascii="Aptos" w:hAnsi="Aptos" w:eastAsia="Aptos" w:cs="Aptos"/>
          <w:b w:val="0"/>
          <w:bCs w:val="0"/>
          <w:noProof w:val="0"/>
          <w:sz w:val="24"/>
          <w:szCs w:val="24"/>
          <w:lang w:val="en-GB"/>
        </w:rPr>
        <w:t xml:space="preserve">. Available at: </w:t>
      </w:r>
      <w:hyperlink r:id="Rf454dc08a06844fa">
        <w:r w:rsidRPr="46363B90" w:rsidR="48B32020">
          <w:rPr>
            <w:rStyle w:val="Hyperlink"/>
            <w:rFonts w:ascii="Aptos" w:hAnsi="Aptos" w:eastAsia="Aptos" w:cs="Aptos"/>
            <w:b w:val="0"/>
            <w:bCs w:val="0"/>
            <w:noProof w:val="0"/>
            <w:sz w:val="24"/>
            <w:szCs w:val="24"/>
            <w:lang w:val="en-GB"/>
          </w:rPr>
          <w:t>https://www.gov.uk/government/organisations/department-for-energy-security-and-net-zero</w:t>
        </w:r>
      </w:hyperlink>
      <w:r w:rsidRPr="46363B90" w:rsidR="26C817EF">
        <w:rPr>
          <w:rFonts w:ascii="Aptos" w:hAnsi="Aptos" w:eastAsia="Aptos" w:cs="Aptos"/>
          <w:b w:val="0"/>
          <w:bCs w:val="0"/>
          <w:noProof w:val="0"/>
          <w:sz w:val="24"/>
          <w:szCs w:val="24"/>
          <w:lang w:val="en-GB"/>
        </w:rPr>
        <w:t xml:space="preserve"> (Accessed: 13 March 202</w:t>
      </w:r>
      <w:r w:rsidRPr="46363B90" w:rsidR="76E3D2B7">
        <w:rPr>
          <w:rFonts w:ascii="Aptos" w:hAnsi="Aptos" w:eastAsia="Aptos" w:cs="Aptos"/>
          <w:b w:val="0"/>
          <w:bCs w:val="0"/>
          <w:noProof w:val="0"/>
          <w:sz w:val="24"/>
          <w:szCs w:val="24"/>
          <w:lang w:val="en-GB"/>
        </w:rPr>
        <w:t>6</w:t>
      </w:r>
      <w:r w:rsidRPr="46363B90" w:rsidR="26C817EF">
        <w:rPr>
          <w:rFonts w:ascii="Aptos" w:hAnsi="Aptos" w:eastAsia="Aptos" w:cs="Aptos"/>
          <w:b w:val="0"/>
          <w:bCs w:val="0"/>
          <w:noProof w:val="0"/>
          <w:sz w:val="24"/>
          <w:szCs w:val="24"/>
          <w:lang w:val="en-GB"/>
        </w:rPr>
        <w:t>).</w:t>
      </w:r>
    </w:p>
    <w:p w:rsidR="1684F1A5" w:rsidP="678AE5DD" w:rsidRDefault="1684F1A5" w14:paraId="17F5BE59" w14:textId="45A1BB0A">
      <w:pPr>
        <w:pStyle w:val="Normal"/>
        <w:spacing w:before="240" w:beforeAutospacing="off" w:after="240" w:afterAutospacing="off"/>
        <w:rPr>
          <w:rFonts w:ascii="Aptos" w:hAnsi="Aptos" w:eastAsia="Aptos" w:cs="Aptos"/>
          <w:b w:val="0"/>
          <w:bCs w:val="0"/>
          <w:noProof w:val="0"/>
          <w:sz w:val="24"/>
          <w:szCs w:val="24"/>
          <w:lang w:val="en-GB"/>
        </w:rPr>
      </w:pPr>
      <w:r w:rsidRPr="46363B90" w:rsidR="48B32020">
        <w:rPr>
          <w:rFonts w:ascii="Aptos" w:hAnsi="Aptos" w:eastAsia="Aptos" w:cs="Aptos"/>
          <w:b w:val="0"/>
          <w:bCs w:val="0"/>
          <w:noProof w:val="0"/>
          <w:sz w:val="24"/>
          <w:szCs w:val="24"/>
          <w:lang w:val="en-GB"/>
        </w:rPr>
        <w:t>Financial Times</w:t>
      </w:r>
      <w:r w:rsidRPr="46363B90" w:rsidR="011C5833">
        <w:rPr>
          <w:rFonts w:ascii="Aptos" w:hAnsi="Aptos" w:eastAsia="Aptos" w:cs="Aptos"/>
          <w:b w:val="0"/>
          <w:bCs w:val="0"/>
          <w:noProof w:val="0"/>
          <w:sz w:val="24"/>
          <w:szCs w:val="24"/>
          <w:lang w:val="en-GB"/>
        </w:rPr>
        <w:t>. (</w:t>
      </w:r>
      <w:r w:rsidRPr="46363B90" w:rsidR="48B32020">
        <w:rPr>
          <w:rFonts w:ascii="Aptos" w:hAnsi="Aptos" w:eastAsia="Aptos" w:cs="Aptos"/>
          <w:b w:val="0"/>
          <w:bCs w:val="0"/>
          <w:noProof w:val="0"/>
          <w:sz w:val="24"/>
          <w:szCs w:val="24"/>
          <w:lang w:val="en-GB"/>
        </w:rPr>
        <w:t>2024</w:t>
      </w:r>
      <w:r w:rsidRPr="46363B90" w:rsidR="65B0EFE3">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UK government’s climate action plan is unlawful, High Court rules</w:t>
      </w:r>
      <w:r w:rsidRPr="46363B90" w:rsidR="48B32020">
        <w:rPr>
          <w:rFonts w:ascii="Aptos" w:hAnsi="Aptos" w:eastAsia="Aptos" w:cs="Aptos"/>
          <w:b w:val="0"/>
          <w:bCs w:val="0"/>
          <w:noProof w:val="0"/>
          <w:sz w:val="24"/>
          <w:szCs w:val="24"/>
          <w:lang w:val="en-GB"/>
        </w:rPr>
        <w:t xml:space="preserve">. Available at: </w:t>
      </w:r>
      <w:hyperlink r:id="Rfabb00b677ad41d5">
        <w:r w:rsidRPr="46363B90" w:rsidR="48B32020">
          <w:rPr>
            <w:rStyle w:val="Hyperlink"/>
            <w:rFonts w:ascii="Aptos" w:hAnsi="Aptos" w:eastAsia="Aptos" w:cs="Aptos"/>
            <w:b w:val="0"/>
            <w:bCs w:val="0"/>
            <w:noProof w:val="0"/>
            <w:sz w:val="24"/>
            <w:szCs w:val="24"/>
            <w:lang w:val="en-GB"/>
          </w:rPr>
          <w:t>https://www.ft.com/content/f57e608b-f230-44c9-97f8-44c5c60f3ccb</w:t>
        </w:r>
      </w:hyperlink>
      <w:r w:rsidRPr="46363B90" w:rsidR="1D094E8E">
        <w:rPr>
          <w:rFonts w:ascii="Aptos" w:hAnsi="Aptos" w:eastAsia="Aptos" w:cs="Aptos"/>
          <w:b w:val="0"/>
          <w:bCs w:val="0"/>
          <w:noProof w:val="0"/>
          <w:sz w:val="24"/>
          <w:szCs w:val="24"/>
          <w:lang w:val="en-GB"/>
        </w:rPr>
        <w:t xml:space="preserve"> (Accessed: 13 March 2026)</w:t>
      </w:r>
      <w:r w:rsidRPr="46363B90" w:rsidR="3CBE3FE4">
        <w:rPr>
          <w:rFonts w:ascii="Aptos" w:hAnsi="Aptos" w:eastAsia="Aptos" w:cs="Aptos"/>
          <w:b w:val="0"/>
          <w:bCs w:val="0"/>
          <w:noProof w:val="0"/>
          <w:sz w:val="24"/>
          <w:szCs w:val="24"/>
          <w:lang w:val="en-GB"/>
        </w:rPr>
        <w:t>.</w:t>
      </w:r>
    </w:p>
    <w:p w:rsidR="1684F1A5" w:rsidP="678AE5DD" w:rsidRDefault="1684F1A5" w14:paraId="06832FC0" w14:textId="186B4437">
      <w:pPr>
        <w:pStyle w:val="Normal"/>
        <w:rPr>
          <w:b w:val="0"/>
          <w:bCs w:val="0"/>
        </w:rPr>
      </w:pPr>
      <w:r w:rsidRPr="46363B90" w:rsidR="48B32020">
        <w:rPr>
          <w:rFonts w:ascii="Aptos" w:hAnsi="Aptos" w:eastAsia="Aptos" w:cs="Aptos"/>
          <w:b w:val="0"/>
          <w:bCs w:val="0"/>
          <w:noProof w:val="0"/>
          <w:sz w:val="24"/>
          <w:szCs w:val="24"/>
          <w:lang w:val="en-GB"/>
        </w:rPr>
        <w:t>Gov.uk</w:t>
      </w:r>
      <w:r w:rsidRPr="46363B90" w:rsidR="02C22F26">
        <w:rPr>
          <w:rFonts w:ascii="Aptos" w:hAnsi="Aptos" w:eastAsia="Aptos" w:cs="Aptos"/>
          <w:b w:val="0"/>
          <w:bCs w:val="0"/>
          <w:noProof w:val="0"/>
          <w:sz w:val="24"/>
          <w:szCs w:val="24"/>
          <w:lang w:val="en-GB"/>
        </w:rPr>
        <w:t>. (</w:t>
      </w:r>
      <w:r w:rsidRPr="46363B90" w:rsidR="48B32020">
        <w:rPr>
          <w:rFonts w:ascii="Aptos" w:hAnsi="Aptos" w:eastAsia="Aptos" w:cs="Aptos"/>
          <w:b w:val="0"/>
          <w:bCs w:val="0"/>
          <w:noProof w:val="0"/>
          <w:sz w:val="24"/>
          <w:szCs w:val="24"/>
          <w:lang w:val="en-GB"/>
        </w:rPr>
        <w:t>2023</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Climate change</w:t>
      </w:r>
      <w:r w:rsidRPr="46363B90" w:rsidR="48B32020">
        <w:rPr>
          <w:rFonts w:ascii="Aptos" w:hAnsi="Aptos" w:eastAsia="Aptos" w:cs="Aptos"/>
          <w:b w:val="0"/>
          <w:bCs w:val="0"/>
          <w:noProof w:val="0"/>
          <w:sz w:val="24"/>
          <w:szCs w:val="24"/>
          <w:lang w:val="en-GB"/>
        </w:rPr>
        <w:t xml:space="preserve">. Available at: </w:t>
      </w:r>
      <w:hyperlink r:id="R7bb798c07d8b4044">
        <w:r w:rsidRPr="46363B90" w:rsidR="48B32020">
          <w:rPr>
            <w:rStyle w:val="Hyperlink"/>
            <w:rFonts w:ascii="Aptos" w:hAnsi="Aptos" w:eastAsia="Aptos" w:cs="Aptos"/>
            <w:b w:val="0"/>
            <w:bCs w:val="0"/>
            <w:noProof w:val="0"/>
            <w:sz w:val="24"/>
            <w:szCs w:val="24"/>
            <w:lang w:val="en-GB"/>
          </w:rPr>
          <w:t>https://www.gov.uk/guidance/climate-change</w:t>
        </w:r>
      </w:hyperlink>
      <w:r w:rsidRPr="46363B90" w:rsidR="6BC449E3">
        <w:rPr>
          <w:rFonts w:ascii="Aptos" w:hAnsi="Aptos" w:eastAsia="Aptos" w:cs="Aptos"/>
          <w:b w:val="0"/>
          <w:bCs w:val="0"/>
          <w:noProof w:val="0"/>
          <w:sz w:val="24"/>
          <w:szCs w:val="24"/>
          <w:lang w:val="en-GB"/>
        </w:rPr>
        <w:t xml:space="preserve"> (Accessed: 13 March 2026).</w:t>
      </w:r>
    </w:p>
    <w:p w:rsidR="1684F1A5" w:rsidP="678AE5DD" w:rsidRDefault="1684F1A5" w14:paraId="2D236A45" w14:textId="15A73D20">
      <w:pPr>
        <w:pStyle w:val="Normal"/>
        <w:spacing w:before="240" w:beforeAutospacing="off" w:after="240" w:afterAutospacing="off"/>
        <w:rPr>
          <w:rFonts w:ascii="Aptos" w:hAnsi="Aptos" w:eastAsia="Aptos" w:cs="Aptos"/>
          <w:b w:val="0"/>
          <w:bCs w:val="0"/>
          <w:noProof w:val="0"/>
          <w:sz w:val="24"/>
          <w:szCs w:val="24"/>
          <w:lang w:val="en-GB"/>
        </w:rPr>
      </w:pPr>
      <w:r w:rsidRPr="46363B90" w:rsidR="48B32020">
        <w:rPr>
          <w:rFonts w:ascii="Aptos" w:hAnsi="Aptos" w:eastAsia="Aptos" w:cs="Aptos"/>
          <w:noProof w:val="0"/>
          <w:sz w:val="24"/>
          <w:szCs w:val="24"/>
          <w:lang w:val="en-GB"/>
        </w:rPr>
        <w:t>Greater London Authority</w:t>
      </w:r>
      <w:r w:rsidRPr="46363B90" w:rsidR="4A55B9AD">
        <w:rPr>
          <w:rFonts w:ascii="Aptos" w:hAnsi="Aptos" w:eastAsia="Aptos" w:cs="Aptos"/>
          <w:noProof w:val="0"/>
          <w:sz w:val="24"/>
          <w:szCs w:val="24"/>
          <w:lang w:val="en-GB"/>
        </w:rPr>
        <w:t>. (</w:t>
      </w:r>
      <w:r w:rsidRPr="46363B90" w:rsidR="48B32020">
        <w:rPr>
          <w:rFonts w:ascii="Aptos" w:hAnsi="Aptos" w:eastAsia="Aptos" w:cs="Aptos"/>
          <w:b w:val="0"/>
          <w:bCs w:val="0"/>
          <w:noProof w:val="0"/>
          <w:sz w:val="24"/>
          <w:szCs w:val="24"/>
          <w:lang w:val="en-GB"/>
        </w:rPr>
        <w:t>2018</w:t>
      </w:r>
      <w:r w:rsidRPr="46363B90" w:rsidR="56E67B75">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1.5°C Compatible Climate Action Plan</w:t>
      </w:r>
      <w:r w:rsidRPr="46363B90" w:rsidR="48B32020">
        <w:rPr>
          <w:rFonts w:ascii="Aptos" w:hAnsi="Aptos" w:eastAsia="Aptos" w:cs="Aptos"/>
          <w:b w:val="0"/>
          <w:bCs w:val="0"/>
          <w:noProof w:val="0"/>
          <w:sz w:val="24"/>
          <w:szCs w:val="24"/>
          <w:lang w:val="en-GB"/>
        </w:rPr>
        <w:t xml:space="preserve">. Available at: </w:t>
      </w:r>
      <w:hyperlink r:id="Rf8c8d877eadc4d38">
        <w:r w:rsidRPr="46363B90" w:rsidR="48B32020">
          <w:rPr>
            <w:rStyle w:val="Hyperlink"/>
            <w:rFonts w:ascii="Aptos" w:hAnsi="Aptos" w:eastAsia="Aptos" w:cs="Aptos"/>
            <w:b w:val="0"/>
            <w:bCs w:val="0"/>
            <w:noProof w:val="0"/>
            <w:sz w:val="24"/>
            <w:szCs w:val="24"/>
            <w:lang w:val="en-GB"/>
          </w:rPr>
          <w:t>https://www.london.gov.uk/programmes-and-strategies/environment-and-climate-change/climate-change/climate-action-plan</w:t>
        </w:r>
      </w:hyperlink>
      <w:r w:rsidRPr="46363B90" w:rsidR="3C91EB56">
        <w:rPr>
          <w:rFonts w:ascii="Aptos" w:hAnsi="Aptos" w:eastAsia="Aptos" w:cs="Aptos"/>
          <w:b w:val="0"/>
          <w:bCs w:val="0"/>
          <w:noProof w:val="0"/>
          <w:sz w:val="24"/>
          <w:szCs w:val="24"/>
          <w:lang w:val="en-GB"/>
        </w:rPr>
        <w:t xml:space="preserve"> (Accessed: 13 March 2026).</w:t>
      </w:r>
    </w:p>
    <w:p w:rsidR="1684F1A5" w:rsidP="678AE5DD" w:rsidRDefault="1684F1A5" w14:paraId="5AE67D8B" w14:textId="2B0A39CF">
      <w:pPr>
        <w:pStyle w:val="Normal"/>
        <w:spacing w:before="240" w:beforeAutospacing="off" w:after="240" w:afterAutospacing="off"/>
        <w:rPr>
          <w:rFonts w:ascii="Aptos" w:hAnsi="Aptos" w:eastAsia="Aptos" w:cs="Aptos"/>
          <w:b w:val="0"/>
          <w:bCs w:val="0"/>
          <w:noProof w:val="0"/>
          <w:sz w:val="24"/>
          <w:szCs w:val="24"/>
          <w:lang w:val="en-GB"/>
        </w:rPr>
      </w:pPr>
      <w:r w:rsidRPr="46363B90" w:rsidR="48B32020">
        <w:rPr>
          <w:rFonts w:ascii="Aptos" w:hAnsi="Aptos" w:eastAsia="Aptos" w:cs="Aptos"/>
          <w:b w:val="0"/>
          <w:bCs w:val="0"/>
          <w:noProof w:val="0"/>
          <w:sz w:val="24"/>
          <w:szCs w:val="24"/>
          <w:lang w:val="en-GB"/>
        </w:rPr>
        <w:t xml:space="preserve">Holmes, I. and Willison, </w:t>
      </w:r>
      <w:r w:rsidRPr="46363B90" w:rsidR="33712F7E">
        <w:rPr>
          <w:rFonts w:ascii="Aptos" w:hAnsi="Aptos" w:eastAsia="Aptos" w:cs="Aptos"/>
          <w:b w:val="0"/>
          <w:bCs w:val="0"/>
          <w:noProof w:val="0"/>
          <w:sz w:val="24"/>
          <w:szCs w:val="24"/>
          <w:lang w:val="en-GB"/>
        </w:rPr>
        <w:t>C.,</w:t>
      </w:r>
      <w:r w:rsidRPr="46363B90" w:rsidR="0AF13BC5">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noProof w:val="0"/>
          <w:sz w:val="24"/>
          <w:szCs w:val="24"/>
          <w:lang w:val="en-GB"/>
        </w:rPr>
        <w:t>2024</w:t>
      </w:r>
      <w:r w:rsidRPr="46363B90" w:rsidR="18C69AA1">
        <w:rPr>
          <w:rFonts w:ascii="Aptos" w:hAnsi="Aptos" w:eastAsia="Aptos" w:cs="Aptos"/>
          <w:b w:val="0"/>
          <w:bCs w:val="0"/>
          <w:noProof w:val="0"/>
          <w:sz w:val="24"/>
          <w:szCs w:val="24"/>
          <w:lang w:val="en-GB"/>
        </w:rPr>
        <w:t>)</w:t>
      </w:r>
      <w:r w:rsidRPr="46363B90" w:rsidR="4F5EF9B9">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SDG13, Climate Action: Health Systems as Stakeholders and Implementors in Climate Policy Change</w:t>
      </w:r>
      <w:r w:rsidRPr="46363B90" w:rsidR="48B32020">
        <w:rPr>
          <w:rFonts w:ascii="Aptos" w:hAnsi="Aptos" w:eastAsia="Aptos" w:cs="Aptos"/>
          <w:b w:val="0"/>
          <w:bCs w:val="0"/>
          <w:noProof w:val="0"/>
          <w:sz w:val="24"/>
          <w:szCs w:val="24"/>
          <w:lang w:val="en-GB"/>
        </w:rPr>
        <w:t xml:space="preserve">. Cambridge University Press. Available at: </w:t>
      </w:r>
      <w:hyperlink r:id="R2f9114a7e3f24ce3">
        <w:r w:rsidRPr="46363B90" w:rsidR="48B32020">
          <w:rPr>
            <w:rStyle w:val="Hyperlink"/>
            <w:rFonts w:ascii="Aptos" w:hAnsi="Aptos" w:eastAsia="Aptos" w:cs="Aptos"/>
            <w:b w:val="0"/>
            <w:bCs w:val="0"/>
            <w:noProof w:val="0"/>
            <w:sz w:val="24"/>
            <w:szCs w:val="24"/>
            <w:lang w:val="en-GB"/>
          </w:rPr>
          <w:t>https://www.cambridge.org/core/books/health-for-all-policies/sdg13-climate-action-health-systems-as-stakeholders-and-implementors-in-climate-policy-change/972F5A8C89777F49BF1F70A59BA74410</w:t>
        </w:r>
      </w:hyperlink>
      <w:r w:rsidRPr="46363B90" w:rsidR="3B47E1C8">
        <w:rPr>
          <w:rFonts w:ascii="Aptos" w:hAnsi="Aptos" w:eastAsia="Aptos" w:cs="Aptos"/>
          <w:b w:val="0"/>
          <w:bCs w:val="0"/>
          <w:noProof w:val="0"/>
          <w:sz w:val="24"/>
          <w:szCs w:val="24"/>
          <w:lang w:val="en-GB"/>
        </w:rPr>
        <w:t xml:space="preserve"> (Accessed: 14 March 2026).</w:t>
      </w:r>
    </w:p>
    <w:p w:rsidR="1684F1A5" w:rsidP="678AE5DD" w:rsidRDefault="1684F1A5" w14:paraId="3700E46F" w14:textId="44F7E2E9">
      <w:pPr>
        <w:pStyle w:val="Normal"/>
        <w:rPr>
          <w:b w:val="0"/>
          <w:bCs w:val="0"/>
        </w:rPr>
      </w:pPr>
      <w:r w:rsidRPr="46363B90" w:rsidR="48B32020">
        <w:rPr>
          <w:rFonts w:ascii="Aptos" w:hAnsi="Aptos" w:eastAsia="Aptos" w:cs="Aptos"/>
          <w:b w:val="0"/>
          <w:bCs w:val="0"/>
          <w:noProof w:val="0"/>
          <w:sz w:val="24"/>
          <w:szCs w:val="24"/>
          <w:lang w:val="en-GB"/>
        </w:rPr>
        <w:t xml:space="preserve">Leal Filho, W. </w:t>
      </w:r>
      <w:r w:rsidRPr="46363B90" w:rsidR="46C2E5A6">
        <w:rPr>
          <w:rFonts w:ascii="Aptos" w:hAnsi="Aptos" w:eastAsia="Aptos" w:cs="Aptos"/>
          <w:b w:val="0"/>
          <w:bCs w:val="0"/>
          <w:noProof w:val="0"/>
          <w:sz w:val="24"/>
          <w:szCs w:val="24"/>
          <w:lang w:val="en-GB"/>
        </w:rPr>
        <w:t>et al.,</w:t>
      </w:r>
      <w:r w:rsidRPr="46363B90" w:rsidR="6B6CA65E">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noProof w:val="0"/>
          <w:sz w:val="24"/>
          <w:szCs w:val="24"/>
          <w:lang w:val="en-GB"/>
        </w:rPr>
        <w:t>2023</w:t>
      </w:r>
      <w:r w:rsidRPr="46363B90" w:rsidR="3F55E150">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The </w:t>
      </w:r>
      <w:r w:rsidRPr="46363B90" w:rsidR="48B32020">
        <w:rPr>
          <w:rFonts w:ascii="Aptos" w:hAnsi="Aptos" w:eastAsia="Aptos" w:cs="Aptos"/>
          <w:b w:val="0"/>
          <w:bCs w:val="0"/>
          <w:noProof w:val="0"/>
          <w:sz w:val="24"/>
          <w:szCs w:val="24"/>
          <w:lang w:val="en-GB"/>
        </w:rPr>
        <w:t>central role</w:t>
      </w:r>
      <w:r w:rsidRPr="46363B90" w:rsidR="48B32020">
        <w:rPr>
          <w:rFonts w:ascii="Aptos" w:hAnsi="Aptos" w:eastAsia="Aptos" w:cs="Aptos"/>
          <w:b w:val="0"/>
          <w:bCs w:val="0"/>
          <w:noProof w:val="0"/>
          <w:sz w:val="24"/>
          <w:szCs w:val="24"/>
          <w:lang w:val="en-GB"/>
        </w:rPr>
        <w:t xml:space="preserve"> of climate action in achieving the United Nations’ Sustainable Development Goals. </w:t>
      </w:r>
      <w:r w:rsidRPr="46363B90" w:rsidR="48B32020">
        <w:rPr>
          <w:rFonts w:ascii="Aptos" w:hAnsi="Aptos" w:eastAsia="Aptos" w:cs="Aptos"/>
          <w:b w:val="0"/>
          <w:bCs w:val="0"/>
          <w:i w:val="1"/>
          <w:iCs w:val="1"/>
          <w:noProof w:val="0"/>
          <w:sz w:val="24"/>
          <w:szCs w:val="24"/>
          <w:lang w:val="en-GB"/>
        </w:rPr>
        <w:t>Scientific Reports</w:t>
      </w:r>
      <w:r w:rsidRPr="46363B90" w:rsidR="48B32020">
        <w:rPr>
          <w:rFonts w:ascii="Aptos" w:hAnsi="Aptos" w:eastAsia="Aptos" w:cs="Aptos"/>
          <w:b w:val="0"/>
          <w:bCs w:val="0"/>
          <w:noProof w:val="0"/>
          <w:sz w:val="24"/>
          <w:szCs w:val="24"/>
          <w:lang w:val="en-GB"/>
        </w:rPr>
        <w:t xml:space="preserve">, 13, 20582. Available at: </w:t>
      </w:r>
      <w:hyperlink r:id="R04efa3c138704b6c">
        <w:r w:rsidRPr="46363B90" w:rsidR="48B32020">
          <w:rPr>
            <w:rStyle w:val="Hyperlink"/>
            <w:rFonts w:ascii="Aptos" w:hAnsi="Aptos" w:eastAsia="Aptos" w:cs="Aptos"/>
            <w:b w:val="0"/>
            <w:bCs w:val="0"/>
            <w:noProof w:val="0"/>
            <w:sz w:val="24"/>
            <w:szCs w:val="24"/>
            <w:lang w:val="en-GB"/>
          </w:rPr>
          <w:t>https://pubmed.ncbi.nlm.nih.gov/37996539/</w:t>
        </w:r>
      </w:hyperlink>
      <w:r w:rsidRPr="46363B90" w:rsidR="2593D941">
        <w:rPr>
          <w:rFonts w:ascii="Aptos" w:hAnsi="Aptos" w:eastAsia="Aptos" w:cs="Aptos"/>
          <w:b w:val="0"/>
          <w:bCs w:val="0"/>
          <w:noProof w:val="0"/>
          <w:sz w:val="24"/>
          <w:szCs w:val="24"/>
          <w:lang w:val="en-GB"/>
        </w:rPr>
        <w:t xml:space="preserve"> (Accessed: 14 March 2026).</w:t>
      </w:r>
    </w:p>
    <w:p w:rsidR="1684F1A5" w:rsidP="46363B90" w:rsidRDefault="1684F1A5" w14:paraId="4090D400" w14:textId="139CFADB">
      <w:pPr>
        <w:pStyle w:val="Normal"/>
        <w:spacing w:before="240" w:beforeAutospacing="off" w:after="240" w:afterAutospacing="off"/>
        <w:rPr>
          <w:b w:val="0"/>
          <w:bCs w:val="0"/>
        </w:rPr>
      </w:pPr>
      <w:r w:rsidRPr="46363B90" w:rsidR="48B32020">
        <w:rPr>
          <w:rFonts w:ascii="Aptos" w:hAnsi="Aptos" w:eastAsia="Aptos" w:cs="Aptos"/>
          <w:b w:val="0"/>
          <w:bCs w:val="0"/>
          <w:noProof w:val="0"/>
          <w:sz w:val="24"/>
          <w:szCs w:val="24"/>
          <w:lang w:val="en-GB"/>
        </w:rPr>
        <w:t>Oxford City Council</w:t>
      </w:r>
      <w:r w:rsidRPr="46363B90" w:rsidR="58A0530F">
        <w:rPr>
          <w:rFonts w:ascii="Aptos" w:hAnsi="Aptos" w:eastAsia="Aptos" w:cs="Aptos"/>
          <w:b w:val="0"/>
          <w:bCs w:val="0"/>
          <w:noProof w:val="0"/>
          <w:sz w:val="24"/>
          <w:szCs w:val="24"/>
          <w:lang w:val="en-GB"/>
        </w:rPr>
        <w:t>. (</w:t>
      </w:r>
      <w:r w:rsidRPr="46363B90" w:rsidR="48B32020">
        <w:rPr>
          <w:rFonts w:ascii="Aptos" w:hAnsi="Aptos" w:eastAsia="Aptos" w:cs="Aptos"/>
          <w:b w:val="0"/>
          <w:bCs w:val="0"/>
          <w:noProof w:val="0"/>
          <w:sz w:val="24"/>
          <w:szCs w:val="24"/>
          <w:lang w:val="en-GB"/>
        </w:rPr>
        <w:t>2020</w:t>
      </w:r>
      <w:r w:rsidRPr="46363B90" w:rsidR="090741AF">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Net Zero Oxford 2020–2025 Action Plan</w:t>
      </w:r>
      <w:r w:rsidRPr="46363B90" w:rsidR="48B32020">
        <w:rPr>
          <w:rFonts w:ascii="Aptos" w:hAnsi="Aptos" w:eastAsia="Aptos" w:cs="Aptos"/>
          <w:b w:val="0"/>
          <w:bCs w:val="0"/>
          <w:noProof w:val="0"/>
          <w:sz w:val="24"/>
          <w:szCs w:val="24"/>
          <w:lang w:val="en-GB"/>
        </w:rPr>
        <w:t xml:space="preserve">. Available at: </w:t>
      </w:r>
      <w:hyperlink r:id="Rcfe95cdb83924727">
        <w:r w:rsidRPr="46363B90" w:rsidR="48B32020">
          <w:rPr>
            <w:rStyle w:val="Hyperlink"/>
            <w:rFonts w:ascii="Aptos" w:hAnsi="Aptos" w:eastAsia="Aptos" w:cs="Aptos"/>
            <w:b w:val="0"/>
            <w:bCs w:val="0"/>
            <w:noProof w:val="0"/>
            <w:sz w:val="24"/>
            <w:szCs w:val="24"/>
            <w:lang w:val="en-GB"/>
          </w:rPr>
          <w:t>https://www.oxford.gov.uk/downloads/file/2220/net-zero-oxford-action-plan-2020-25</w:t>
        </w:r>
      </w:hyperlink>
      <w:r w:rsidRPr="46363B90" w:rsidR="1A8830A6">
        <w:rPr>
          <w:rFonts w:ascii="Aptos" w:hAnsi="Aptos" w:eastAsia="Aptos" w:cs="Aptos"/>
          <w:b w:val="0"/>
          <w:bCs w:val="0"/>
          <w:noProof w:val="0"/>
          <w:sz w:val="24"/>
          <w:szCs w:val="24"/>
          <w:lang w:val="en-GB"/>
        </w:rPr>
        <w:t xml:space="preserve"> (Accessed: 14 March 2026).</w:t>
      </w:r>
    </w:p>
    <w:p w:rsidR="1684F1A5" w:rsidP="678AE5DD" w:rsidRDefault="1684F1A5" w14:paraId="179088D9" w14:textId="7C5CC067">
      <w:pPr>
        <w:pStyle w:val="Normal"/>
        <w:rPr>
          <w:b w:val="0"/>
          <w:bCs w:val="0"/>
        </w:rPr>
      </w:pPr>
      <w:r w:rsidRPr="46363B90" w:rsidR="48B32020">
        <w:rPr>
          <w:rFonts w:ascii="Aptos" w:hAnsi="Aptos" w:eastAsia="Aptos" w:cs="Aptos"/>
          <w:b w:val="0"/>
          <w:bCs w:val="0"/>
          <w:noProof w:val="0"/>
          <w:sz w:val="24"/>
          <w:szCs w:val="24"/>
          <w:lang w:val="en-GB"/>
        </w:rPr>
        <w:t xml:space="preserve">Stevenson, S. et al., </w:t>
      </w:r>
      <w:r w:rsidRPr="46363B90" w:rsidR="3C9BEE42">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2021</w:t>
      </w:r>
      <w:r w:rsidRPr="46363B90" w:rsidR="5E565F39">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A hybrid approach to </w:t>
      </w:r>
      <w:r w:rsidRPr="46363B90" w:rsidR="48B32020">
        <w:rPr>
          <w:rFonts w:ascii="Aptos" w:hAnsi="Aptos" w:eastAsia="Aptos" w:cs="Aptos"/>
          <w:b w:val="0"/>
          <w:bCs w:val="0"/>
          <w:noProof w:val="0"/>
          <w:sz w:val="24"/>
          <w:szCs w:val="24"/>
          <w:lang w:val="en-GB"/>
        </w:rPr>
        <w:t>identifying</w:t>
      </w:r>
      <w:r w:rsidRPr="46363B90" w:rsidR="48B32020">
        <w:rPr>
          <w:rFonts w:ascii="Aptos" w:hAnsi="Aptos" w:eastAsia="Aptos" w:cs="Aptos"/>
          <w:b w:val="0"/>
          <w:bCs w:val="0"/>
          <w:noProof w:val="0"/>
          <w:sz w:val="24"/>
          <w:szCs w:val="24"/>
          <w:lang w:val="en-GB"/>
        </w:rPr>
        <w:t xml:space="preserve"> and assessing interactions between climate action (SDG13) policies and a range of SDGs in a UK context. </w:t>
      </w:r>
      <w:r w:rsidRPr="46363B90" w:rsidR="48B32020">
        <w:rPr>
          <w:rFonts w:ascii="Aptos" w:hAnsi="Aptos" w:eastAsia="Aptos" w:cs="Aptos"/>
          <w:b w:val="0"/>
          <w:bCs w:val="0"/>
          <w:i w:val="1"/>
          <w:iCs w:val="1"/>
          <w:noProof w:val="0"/>
          <w:sz w:val="24"/>
          <w:szCs w:val="24"/>
          <w:lang w:val="en-GB"/>
        </w:rPr>
        <w:t>Discover Sustainability</w:t>
      </w:r>
      <w:r w:rsidRPr="46363B90" w:rsidR="48B32020">
        <w:rPr>
          <w:rFonts w:ascii="Aptos" w:hAnsi="Aptos" w:eastAsia="Aptos" w:cs="Aptos"/>
          <w:b w:val="0"/>
          <w:bCs w:val="0"/>
          <w:noProof w:val="0"/>
          <w:sz w:val="24"/>
          <w:szCs w:val="24"/>
          <w:lang w:val="en-GB"/>
        </w:rPr>
        <w:t xml:space="preserve">, 2(1), 43. Available at: </w:t>
      </w:r>
      <w:hyperlink r:id="Rbce1e407405a4247">
        <w:r w:rsidRPr="46363B90" w:rsidR="48B32020">
          <w:rPr>
            <w:rStyle w:val="Hyperlink"/>
            <w:rFonts w:ascii="Aptos" w:hAnsi="Aptos" w:eastAsia="Aptos" w:cs="Aptos"/>
            <w:b w:val="0"/>
            <w:bCs w:val="0"/>
            <w:noProof w:val="0"/>
            <w:sz w:val="24"/>
            <w:szCs w:val="24"/>
            <w:lang w:val="en-GB"/>
          </w:rPr>
          <w:t>https://pubmed.ncbi.nlm.nih.gov/35425918/</w:t>
        </w:r>
      </w:hyperlink>
      <w:r w:rsidRPr="46363B90" w:rsidR="14504C49">
        <w:rPr>
          <w:rFonts w:ascii="Aptos" w:hAnsi="Aptos" w:eastAsia="Aptos" w:cs="Aptos"/>
          <w:b w:val="0"/>
          <w:bCs w:val="0"/>
          <w:noProof w:val="0"/>
          <w:sz w:val="24"/>
          <w:szCs w:val="24"/>
          <w:lang w:val="en-GB"/>
        </w:rPr>
        <w:t xml:space="preserve"> (Accessed: 14 March 2026).</w:t>
      </w:r>
    </w:p>
    <w:p w:rsidR="1684F1A5" w:rsidP="678AE5DD" w:rsidRDefault="1684F1A5" w14:paraId="33098001" w14:textId="10D335C2">
      <w:pPr>
        <w:pStyle w:val="Normal"/>
        <w:rPr>
          <w:b w:val="0"/>
          <w:bCs w:val="0"/>
        </w:rPr>
      </w:pPr>
      <w:r w:rsidRPr="46363B90" w:rsidR="48B32020">
        <w:rPr>
          <w:rFonts w:ascii="Aptos" w:hAnsi="Aptos" w:eastAsia="Aptos" w:cs="Aptos"/>
          <w:b w:val="0"/>
          <w:bCs w:val="0"/>
          <w:noProof w:val="0"/>
          <w:sz w:val="24"/>
          <w:szCs w:val="24"/>
          <w:lang w:val="en-GB"/>
        </w:rPr>
        <w:t>United Nations</w:t>
      </w:r>
      <w:r w:rsidRPr="46363B90" w:rsidR="7ED0768D">
        <w:rPr>
          <w:rFonts w:ascii="Aptos" w:hAnsi="Aptos" w:eastAsia="Aptos" w:cs="Aptos"/>
          <w:b w:val="0"/>
          <w:bCs w:val="0"/>
          <w:noProof w:val="0"/>
          <w:sz w:val="24"/>
          <w:szCs w:val="24"/>
          <w:lang w:val="en-GB"/>
        </w:rPr>
        <w:t>. (</w:t>
      </w:r>
      <w:r w:rsidRPr="46363B90" w:rsidR="48B32020">
        <w:rPr>
          <w:rFonts w:ascii="Aptos" w:hAnsi="Aptos" w:eastAsia="Aptos" w:cs="Aptos"/>
          <w:b w:val="0"/>
          <w:bCs w:val="0"/>
          <w:noProof w:val="0"/>
          <w:sz w:val="24"/>
          <w:szCs w:val="24"/>
          <w:lang w:val="en-GB"/>
        </w:rPr>
        <w:t>2015</w:t>
      </w:r>
      <w:r w:rsidRPr="46363B90" w:rsidR="1426D4F7">
        <w:rPr>
          <w:rFonts w:ascii="Aptos" w:hAnsi="Aptos" w:eastAsia="Aptos" w:cs="Aptos"/>
          <w:b w:val="0"/>
          <w:bCs w:val="0"/>
          <w:noProof w:val="0"/>
          <w:sz w:val="24"/>
          <w:szCs w:val="24"/>
          <w:lang w:val="en-GB"/>
        </w:rPr>
        <w:t>)</w:t>
      </w:r>
      <w:r w:rsidRPr="46363B90" w:rsidR="7B34D1D9">
        <w:rPr>
          <w:rFonts w:ascii="Aptos" w:hAnsi="Aptos" w:eastAsia="Aptos" w:cs="Aptos"/>
          <w:b w:val="0"/>
          <w:bCs w:val="0"/>
          <w:noProof w:val="0"/>
          <w:sz w:val="24"/>
          <w:szCs w:val="24"/>
          <w:lang w:val="en-GB"/>
        </w:rPr>
        <w:t>.</w:t>
      </w:r>
      <w:r w:rsidRPr="46363B90" w:rsidR="48B32020">
        <w:rPr>
          <w:rFonts w:ascii="Aptos" w:hAnsi="Aptos" w:eastAsia="Aptos" w:cs="Aptos"/>
          <w:b w:val="0"/>
          <w:bCs w:val="0"/>
          <w:noProof w:val="0"/>
          <w:sz w:val="24"/>
          <w:szCs w:val="24"/>
          <w:lang w:val="en-GB"/>
        </w:rPr>
        <w:t xml:space="preserve"> </w:t>
      </w:r>
      <w:r w:rsidRPr="46363B90" w:rsidR="48B32020">
        <w:rPr>
          <w:rFonts w:ascii="Aptos" w:hAnsi="Aptos" w:eastAsia="Aptos" w:cs="Aptos"/>
          <w:b w:val="0"/>
          <w:bCs w:val="0"/>
          <w:i w:val="1"/>
          <w:iCs w:val="1"/>
          <w:noProof w:val="0"/>
          <w:sz w:val="24"/>
          <w:szCs w:val="24"/>
          <w:lang w:val="en-GB"/>
        </w:rPr>
        <w:t>Goal 13: Take urgent action to combat climate change and its impacts</w:t>
      </w:r>
      <w:r w:rsidRPr="46363B90" w:rsidR="48B32020">
        <w:rPr>
          <w:rFonts w:ascii="Aptos" w:hAnsi="Aptos" w:eastAsia="Aptos" w:cs="Aptos"/>
          <w:b w:val="0"/>
          <w:bCs w:val="0"/>
          <w:noProof w:val="0"/>
          <w:sz w:val="24"/>
          <w:szCs w:val="24"/>
          <w:lang w:val="en-GB"/>
        </w:rPr>
        <w:t xml:space="preserve">. Available at: </w:t>
      </w:r>
      <w:hyperlink r:id="R00c589233269485d">
        <w:r w:rsidRPr="46363B90" w:rsidR="48B32020">
          <w:rPr>
            <w:rStyle w:val="Hyperlink"/>
            <w:rFonts w:ascii="Aptos" w:hAnsi="Aptos" w:eastAsia="Aptos" w:cs="Aptos"/>
            <w:b w:val="0"/>
            <w:bCs w:val="0"/>
            <w:noProof w:val="0"/>
            <w:sz w:val="24"/>
            <w:szCs w:val="24"/>
            <w:lang w:val="en-GB"/>
          </w:rPr>
          <w:t>https://sdgs.un.org/goals/goal13</w:t>
        </w:r>
      </w:hyperlink>
      <w:r w:rsidRPr="46363B90" w:rsidR="5275B4EA">
        <w:rPr>
          <w:rFonts w:ascii="Aptos" w:hAnsi="Aptos" w:eastAsia="Aptos" w:cs="Aptos"/>
          <w:b w:val="0"/>
          <w:bCs w:val="0"/>
          <w:noProof w:val="0"/>
          <w:sz w:val="24"/>
          <w:szCs w:val="24"/>
          <w:lang w:val="en-GB"/>
        </w:rPr>
        <w:t xml:space="preserve"> (Accessed: 14 March 2026).</w:t>
      </w:r>
    </w:p>
    <w:p w:rsidR="63905727" w:rsidP="678AE5DD" w:rsidRDefault="63905727" w14:paraId="1A30B8AB" w14:textId="6B2C7E7C">
      <w:pPr>
        <w:pStyle w:val="Normal"/>
        <w:rPr>
          <w:b w:val="0"/>
          <w:bCs w:val="0"/>
        </w:rPr>
      </w:pPr>
      <w:r w:rsidRPr="46363B90" w:rsidR="46307475">
        <w:rPr>
          <w:rFonts w:ascii="Aptos" w:hAnsi="Aptos" w:eastAsia="Aptos" w:cs="Aptos"/>
          <w:b w:val="0"/>
          <w:bCs w:val="0"/>
          <w:noProof w:val="0"/>
          <w:sz w:val="24"/>
          <w:szCs w:val="24"/>
          <w:lang w:val="en-GB"/>
        </w:rPr>
        <w:t xml:space="preserve">Ahmed, R. et al., (2023). Sustainable development goal 13 and switching priorities: addressing climate change in the context of pandemic recovery efforts. </w:t>
      </w:r>
      <w:r w:rsidRPr="46363B90" w:rsidR="46307475">
        <w:rPr>
          <w:rFonts w:ascii="Aptos" w:hAnsi="Aptos" w:eastAsia="Aptos" w:cs="Aptos"/>
          <w:b w:val="0"/>
          <w:bCs w:val="0"/>
          <w:i w:val="1"/>
          <w:iCs w:val="1"/>
          <w:noProof w:val="0"/>
          <w:sz w:val="24"/>
          <w:szCs w:val="24"/>
          <w:lang w:val="en-GB"/>
        </w:rPr>
        <w:t>Environmental Research</w:t>
      </w:r>
      <w:r w:rsidRPr="46363B90" w:rsidR="46307475">
        <w:rPr>
          <w:rFonts w:ascii="Aptos" w:hAnsi="Aptos" w:eastAsia="Aptos" w:cs="Aptos"/>
          <w:b w:val="0"/>
          <w:bCs w:val="0"/>
          <w:noProof w:val="0"/>
          <w:sz w:val="24"/>
          <w:szCs w:val="24"/>
          <w:lang w:val="en-GB"/>
        </w:rPr>
        <w:t xml:space="preserve">, 217, 114660. Available at: </w:t>
      </w:r>
      <w:hyperlink r:id="R896fe7803f18444b">
        <w:r w:rsidRPr="46363B90" w:rsidR="46307475">
          <w:rPr>
            <w:rStyle w:val="Hyperlink"/>
            <w:rFonts w:ascii="Aptos" w:hAnsi="Aptos" w:eastAsia="Aptos" w:cs="Aptos"/>
            <w:b w:val="0"/>
            <w:bCs w:val="0"/>
            <w:noProof w:val="0"/>
            <w:sz w:val="24"/>
            <w:szCs w:val="24"/>
            <w:lang w:val="en-GB"/>
          </w:rPr>
          <w:t>https://pubmed.ncbi.nlm.nih.gov/36691567/</w:t>
        </w:r>
      </w:hyperlink>
      <w:r w:rsidRPr="46363B90" w:rsidR="381F8024">
        <w:rPr>
          <w:rFonts w:ascii="Aptos" w:hAnsi="Aptos" w:eastAsia="Aptos" w:cs="Aptos"/>
          <w:b w:val="0"/>
          <w:bCs w:val="0"/>
          <w:noProof w:val="0"/>
          <w:sz w:val="24"/>
          <w:szCs w:val="24"/>
          <w:lang w:val="en-GB"/>
        </w:rPr>
        <w:t xml:space="preserve"> (Accessed: 14 March 2026).</w:t>
      </w:r>
    </w:p>
    <w:p w:rsidR="678AE5DD" w:rsidP="678AE5DD" w:rsidRDefault="678AE5DD" w14:paraId="4C6E4866" w14:textId="70AD0B24">
      <w:pPr>
        <w:spacing w:before="240" w:beforeAutospacing="off" w:after="240" w:afterAutospacing="off"/>
        <w:rPr>
          <w:rFonts w:ascii="Aptos" w:hAnsi="Aptos" w:eastAsia="Aptos" w:cs="Aptos"/>
          <w:b w:val="0"/>
          <w:bCs w:val="0"/>
          <w:noProof w:val="0"/>
          <w:sz w:val="24"/>
          <w:szCs w:val="24"/>
          <w:lang w:val="en-GB"/>
        </w:rPr>
      </w:pPr>
    </w:p>
    <w:p w:rsidR="678AE5DD" w:rsidP="678AE5DD" w:rsidRDefault="678AE5DD" w14:paraId="0F8E2FBF" w14:textId="3D947652">
      <w:pPr>
        <w:pStyle w:val="Normal"/>
        <w:spacing w:before="240" w:beforeAutospacing="off" w:after="240" w:afterAutospacing="off"/>
        <w:rPr>
          <w:rFonts w:ascii="Aptos" w:hAnsi="Aptos" w:eastAsia="Aptos" w:cs="Aptos"/>
          <w:b w:val="0"/>
          <w:bCs w:val="0"/>
          <w:noProof w:val="0"/>
          <w:sz w:val="24"/>
          <w:szCs w:val="24"/>
          <w:lang w:val="en-GB"/>
        </w:rPr>
      </w:pPr>
    </w:p>
    <w:p w:rsidR="678AE5DD" w:rsidRDefault="678AE5DD" w14:paraId="46AD6262" w14:textId="02961F61">
      <w:pPr>
        <w:rPr>
          <w:b w:val="0"/>
          <w:bCs w:val="0"/>
        </w:rPr>
      </w:pPr>
    </w:p>
    <w:p w:rsidR="678AE5DD" w:rsidP="46363B90" w:rsidRDefault="678AE5DD" w14:paraId="561BF1AB" w14:textId="3EAC313F">
      <w:pPr>
        <w:pStyle w:val="Heading3"/>
        <w:spacing w:before="281" w:beforeAutospacing="off" w:after="281" w:afterAutospacing="off"/>
        <w:rPr>
          <w:rFonts w:ascii="Aptos" w:hAnsi="Aptos" w:eastAsia="Aptos" w:cs="Aptos"/>
          <w:b w:val="0"/>
          <w:bCs w:val="0"/>
          <w:noProof w:val="0"/>
          <w:sz w:val="28"/>
          <w:szCs w:val="28"/>
          <w:lang w:val="en-GB"/>
        </w:rPr>
      </w:pPr>
    </w:p>
    <w:p w:rsidR="678AE5DD" w:rsidP="678AE5DD" w:rsidRDefault="678AE5DD" w14:paraId="47CCDFE9" w14:textId="7CF4F18D">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Ud9Q5P5KhLFVV" int2:id="Ty0HJjzT">
      <int2:state int2:type="spell" int2:value="Rejected"/>
    </int2:textHash>
    <int2:textHash int2:hashCode="YDHqM+lrEZqlTq" int2:id="0YtKk884">
      <int2:state int2:type="spell" int2:value="Rejected"/>
    </int2:textHash>
    <int2:textHash int2:hashCode="1UcVTc1yrVxVR/" int2:id="A2n9Jxg9">
      <int2:state int2:type="spell" int2:value="Rejected"/>
    </int2:textHash>
    <int2:textHash int2:hashCode="SfOVRByFV7iwoF" int2:id="HP6FgcVi">
      <int2:state int2:type="spell" int2:value="Rejected"/>
    </int2:textHash>
    <int2:textHash int2:hashCode="iy6GAi0I+la2yf" int2:id="tUaDtJ3J">
      <int2:state int2:type="spell" int2:value="Rejected"/>
    </int2:textHash>
    <int2:textHash int2:hashCode="Z6kcrnuETbT2TV" int2:id="VJKFPZLK">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6ddb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b96e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7c691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5d5f99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4">
    <w:nsid w:val="70574148"/>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3">
    <w:nsid w:val="745569b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2">
    <w:nsid w:val="1df22139"/>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
    <w:nsid w:val="6feca1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FB34D"/>
    <w:rsid w:val="00234D15"/>
    <w:rsid w:val="007F798A"/>
    <w:rsid w:val="00AF5E0D"/>
    <w:rsid w:val="00DDFBF2"/>
    <w:rsid w:val="011C5833"/>
    <w:rsid w:val="012DC647"/>
    <w:rsid w:val="014F29C4"/>
    <w:rsid w:val="01FD5A5F"/>
    <w:rsid w:val="0219F8DB"/>
    <w:rsid w:val="02C22F26"/>
    <w:rsid w:val="03351145"/>
    <w:rsid w:val="03584100"/>
    <w:rsid w:val="0479170F"/>
    <w:rsid w:val="047CAE98"/>
    <w:rsid w:val="047CEDC4"/>
    <w:rsid w:val="04FF8609"/>
    <w:rsid w:val="058F62B2"/>
    <w:rsid w:val="065FCDB3"/>
    <w:rsid w:val="0678C651"/>
    <w:rsid w:val="07BC1646"/>
    <w:rsid w:val="088E9B92"/>
    <w:rsid w:val="090741AF"/>
    <w:rsid w:val="0944AC36"/>
    <w:rsid w:val="0993158A"/>
    <w:rsid w:val="0AF13BC5"/>
    <w:rsid w:val="0BA2FA88"/>
    <w:rsid w:val="0BEEA40D"/>
    <w:rsid w:val="0C19D618"/>
    <w:rsid w:val="0C913E6C"/>
    <w:rsid w:val="0D113889"/>
    <w:rsid w:val="0D3BE2D0"/>
    <w:rsid w:val="0D6DC4F6"/>
    <w:rsid w:val="0DC0F6F3"/>
    <w:rsid w:val="0E5AFCA3"/>
    <w:rsid w:val="0E845B58"/>
    <w:rsid w:val="0E8751B3"/>
    <w:rsid w:val="0EA6FBEF"/>
    <w:rsid w:val="0F38B739"/>
    <w:rsid w:val="0F83A1A6"/>
    <w:rsid w:val="0FF5C4EC"/>
    <w:rsid w:val="1002FCC4"/>
    <w:rsid w:val="100A9558"/>
    <w:rsid w:val="1148E7A8"/>
    <w:rsid w:val="11D0C788"/>
    <w:rsid w:val="11FEE945"/>
    <w:rsid w:val="1238C1F8"/>
    <w:rsid w:val="12F322A8"/>
    <w:rsid w:val="132F4FBC"/>
    <w:rsid w:val="13493845"/>
    <w:rsid w:val="13FD2F95"/>
    <w:rsid w:val="14044E82"/>
    <w:rsid w:val="1426D4F7"/>
    <w:rsid w:val="14488146"/>
    <w:rsid w:val="14504C49"/>
    <w:rsid w:val="1458BFAA"/>
    <w:rsid w:val="147B2C50"/>
    <w:rsid w:val="14A2E77A"/>
    <w:rsid w:val="14ED815B"/>
    <w:rsid w:val="15DEB7EE"/>
    <w:rsid w:val="15FBB8FE"/>
    <w:rsid w:val="162A8F52"/>
    <w:rsid w:val="1684F1A5"/>
    <w:rsid w:val="17C8246D"/>
    <w:rsid w:val="1899C8D7"/>
    <w:rsid w:val="18C69AA1"/>
    <w:rsid w:val="18E4AB11"/>
    <w:rsid w:val="19089D31"/>
    <w:rsid w:val="19368B30"/>
    <w:rsid w:val="1A250B9B"/>
    <w:rsid w:val="1A8830A6"/>
    <w:rsid w:val="1AA1E976"/>
    <w:rsid w:val="1AAE92FD"/>
    <w:rsid w:val="1BA26D8F"/>
    <w:rsid w:val="1C1D7C35"/>
    <w:rsid w:val="1C28587A"/>
    <w:rsid w:val="1C37F6D3"/>
    <w:rsid w:val="1C8A8A5A"/>
    <w:rsid w:val="1CB222AB"/>
    <w:rsid w:val="1CBA5EDD"/>
    <w:rsid w:val="1D094E8E"/>
    <w:rsid w:val="1D4767A6"/>
    <w:rsid w:val="1D5B591B"/>
    <w:rsid w:val="1E120131"/>
    <w:rsid w:val="1E36B159"/>
    <w:rsid w:val="1F337256"/>
    <w:rsid w:val="1F348892"/>
    <w:rsid w:val="1F3A4FB3"/>
    <w:rsid w:val="1F5BBEA8"/>
    <w:rsid w:val="201B3776"/>
    <w:rsid w:val="20782F00"/>
    <w:rsid w:val="20A3EA5B"/>
    <w:rsid w:val="20F83A35"/>
    <w:rsid w:val="215E1417"/>
    <w:rsid w:val="216AE10B"/>
    <w:rsid w:val="2171FF35"/>
    <w:rsid w:val="2207C718"/>
    <w:rsid w:val="2264808B"/>
    <w:rsid w:val="22D737D7"/>
    <w:rsid w:val="23DC4F21"/>
    <w:rsid w:val="23EC5185"/>
    <w:rsid w:val="243C7408"/>
    <w:rsid w:val="24495EDD"/>
    <w:rsid w:val="2466CB47"/>
    <w:rsid w:val="24C70179"/>
    <w:rsid w:val="24D8B23A"/>
    <w:rsid w:val="250D5F7C"/>
    <w:rsid w:val="252B3366"/>
    <w:rsid w:val="258E2885"/>
    <w:rsid w:val="2593D941"/>
    <w:rsid w:val="25B12830"/>
    <w:rsid w:val="26C817EF"/>
    <w:rsid w:val="2707D7A6"/>
    <w:rsid w:val="272779F0"/>
    <w:rsid w:val="281F7715"/>
    <w:rsid w:val="282FD670"/>
    <w:rsid w:val="285AB03B"/>
    <w:rsid w:val="28B9D195"/>
    <w:rsid w:val="28C39271"/>
    <w:rsid w:val="294BCCDA"/>
    <w:rsid w:val="2A49BA6C"/>
    <w:rsid w:val="2A59B3A6"/>
    <w:rsid w:val="2AAF0966"/>
    <w:rsid w:val="2AF14039"/>
    <w:rsid w:val="2B13A9CC"/>
    <w:rsid w:val="2B1D51F4"/>
    <w:rsid w:val="2BBD90BE"/>
    <w:rsid w:val="2BC7E9AB"/>
    <w:rsid w:val="2D55BC04"/>
    <w:rsid w:val="2D676A5A"/>
    <w:rsid w:val="2D81C0CC"/>
    <w:rsid w:val="2EE52AD3"/>
    <w:rsid w:val="2F6D7874"/>
    <w:rsid w:val="30F2E64D"/>
    <w:rsid w:val="31284E97"/>
    <w:rsid w:val="3175C73A"/>
    <w:rsid w:val="318BF575"/>
    <w:rsid w:val="31E36AF0"/>
    <w:rsid w:val="328F4D58"/>
    <w:rsid w:val="32D1985A"/>
    <w:rsid w:val="32E34DFE"/>
    <w:rsid w:val="32EB0A12"/>
    <w:rsid w:val="33712F7E"/>
    <w:rsid w:val="33FF3209"/>
    <w:rsid w:val="343CECF0"/>
    <w:rsid w:val="352A6064"/>
    <w:rsid w:val="3546F398"/>
    <w:rsid w:val="35A3C5E4"/>
    <w:rsid w:val="35F2C464"/>
    <w:rsid w:val="3664F0F0"/>
    <w:rsid w:val="369394C9"/>
    <w:rsid w:val="376FA974"/>
    <w:rsid w:val="37B980C8"/>
    <w:rsid w:val="37E2F9B7"/>
    <w:rsid w:val="381F8024"/>
    <w:rsid w:val="382A3D64"/>
    <w:rsid w:val="385A03B8"/>
    <w:rsid w:val="38718301"/>
    <w:rsid w:val="38C323D4"/>
    <w:rsid w:val="39465BE9"/>
    <w:rsid w:val="3A057CE9"/>
    <w:rsid w:val="3A0CD6FE"/>
    <w:rsid w:val="3AD6DAA5"/>
    <w:rsid w:val="3AEA0464"/>
    <w:rsid w:val="3B2519B1"/>
    <w:rsid w:val="3B47E1C8"/>
    <w:rsid w:val="3BD2EC67"/>
    <w:rsid w:val="3C6E6385"/>
    <w:rsid w:val="3C7EE775"/>
    <w:rsid w:val="3C91EB56"/>
    <w:rsid w:val="3C9BEE42"/>
    <w:rsid w:val="3CA2E115"/>
    <w:rsid w:val="3CBE3FE4"/>
    <w:rsid w:val="3CCB75C1"/>
    <w:rsid w:val="3EBC2FF9"/>
    <w:rsid w:val="3F2F05B3"/>
    <w:rsid w:val="3F55E150"/>
    <w:rsid w:val="3F8D6407"/>
    <w:rsid w:val="3FB4E313"/>
    <w:rsid w:val="40D4B8AC"/>
    <w:rsid w:val="413D35EC"/>
    <w:rsid w:val="41B70897"/>
    <w:rsid w:val="41ECAFDA"/>
    <w:rsid w:val="42032923"/>
    <w:rsid w:val="42BFEEE6"/>
    <w:rsid w:val="42D943F9"/>
    <w:rsid w:val="431634AE"/>
    <w:rsid w:val="4344D319"/>
    <w:rsid w:val="444F53D2"/>
    <w:rsid w:val="445A85F4"/>
    <w:rsid w:val="46307475"/>
    <w:rsid w:val="46363B90"/>
    <w:rsid w:val="46C2E5A6"/>
    <w:rsid w:val="46F0E40B"/>
    <w:rsid w:val="4712E79C"/>
    <w:rsid w:val="4797414B"/>
    <w:rsid w:val="48B32020"/>
    <w:rsid w:val="48BB71D4"/>
    <w:rsid w:val="48CB9CBB"/>
    <w:rsid w:val="4936C14E"/>
    <w:rsid w:val="49684C38"/>
    <w:rsid w:val="498D0044"/>
    <w:rsid w:val="49C85284"/>
    <w:rsid w:val="4A55B9AD"/>
    <w:rsid w:val="4BCFB34D"/>
    <w:rsid w:val="4DA943DA"/>
    <w:rsid w:val="4DC0F919"/>
    <w:rsid w:val="4ECE18D0"/>
    <w:rsid w:val="4EF69F60"/>
    <w:rsid w:val="4F41C346"/>
    <w:rsid w:val="4F5EF9B9"/>
    <w:rsid w:val="4FDD4E13"/>
    <w:rsid w:val="4FED835B"/>
    <w:rsid w:val="50240A10"/>
    <w:rsid w:val="503B2634"/>
    <w:rsid w:val="5189EB9C"/>
    <w:rsid w:val="51B463AC"/>
    <w:rsid w:val="51B7E868"/>
    <w:rsid w:val="51D85B7E"/>
    <w:rsid w:val="5275B4EA"/>
    <w:rsid w:val="52F17BFD"/>
    <w:rsid w:val="52F98A07"/>
    <w:rsid w:val="531F1D98"/>
    <w:rsid w:val="53598511"/>
    <w:rsid w:val="549B78B7"/>
    <w:rsid w:val="54AFF444"/>
    <w:rsid w:val="5506E935"/>
    <w:rsid w:val="55A589A5"/>
    <w:rsid w:val="55C68620"/>
    <w:rsid w:val="55DEC89C"/>
    <w:rsid w:val="55E4A637"/>
    <w:rsid w:val="566D6697"/>
    <w:rsid w:val="56E67B75"/>
    <w:rsid w:val="5721D40F"/>
    <w:rsid w:val="57F05072"/>
    <w:rsid w:val="58A0530F"/>
    <w:rsid w:val="58B05FF9"/>
    <w:rsid w:val="5A4EF19A"/>
    <w:rsid w:val="5A7F1CB8"/>
    <w:rsid w:val="5B611C36"/>
    <w:rsid w:val="5C5565C6"/>
    <w:rsid w:val="5C879A57"/>
    <w:rsid w:val="5CCAEE66"/>
    <w:rsid w:val="5CCCCD6D"/>
    <w:rsid w:val="5CCD17B8"/>
    <w:rsid w:val="5CF5B48E"/>
    <w:rsid w:val="5D297187"/>
    <w:rsid w:val="5DFC21F4"/>
    <w:rsid w:val="5E35A522"/>
    <w:rsid w:val="5E565F39"/>
    <w:rsid w:val="5EDEDCBE"/>
    <w:rsid w:val="5F530716"/>
    <w:rsid w:val="60272FE1"/>
    <w:rsid w:val="602B0F2D"/>
    <w:rsid w:val="6073893E"/>
    <w:rsid w:val="60CB3CFE"/>
    <w:rsid w:val="612DDE71"/>
    <w:rsid w:val="61EB3C67"/>
    <w:rsid w:val="6279B6CD"/>
    <w:rsid w:val="62B2C66E"/>
    <w:rsid w:val="63276D89"/>
    <w:rsid w:val="632B1AEB"/>
    <w:rsid w:val="6340CF9A"/>
    <w:rsid w:val="63905727"/>
    <w:rsid w:val="645AEEFD"/>
    <w:rsid w:val="64C263F1"/>
    <w:rsid w:val="64C2B58C"/>
    <w:rsid w:val="64E6407C"/>
    <w:rsid w:val="658462C4"/>
    <w:rsid w:val="65B0EFE3"/>
    <w:rsid w:val="65C1400D"/>
    <w:rsid w:val="65E592C2"/>
    <w:rsid w:val="663D0DDC"/>
    <w:rsid w:val="665798DF"/>
    <w:rsid w:val="66C1CBA4"/>
    <w:rsid w:val="66E5417A"/>
    <w:rsid w:val="678AE5DD"/>
    <w:rsid w:val="67905F38"/>
    <w:rsid w:val="67972043"/>
    <w:rsid w:val="67D04D6D"/>
    <w:rsid w:val="67FECB4E"/>
    <w:rsid w:val="6806EC9B"/>
    <w:rsid w:val="6826C7C6"/>
    <w:rsid w:val="687B605B"/>
    <w:rsid w:val="6893C328"/>
    <w:rsid w:val="689E6B90"/>
    <w:rsid w:val="6905B20E"/>
    <w:rsid w:val="69729DA2"/>
    <w:rsid w:val="6986A93A"/>
    <w:rsid w:val="69D434DA"/>
    <w:rsid w:val="6A335E1A"/>
    <w:rsid w:val="6ABAAD78"/>
    <w:rsid w:val="6AF47FD5"/>
    <w:rsid w:val="6B166A72"/>
    <w:rsid w:val="6B6CA65E"/>
    <w:rsid w:val="6BBCEC28"/>
    <w:rsid w:val="6BC449E3"/>
    <w:rsid w:val="6C0FD052"/>
    <w:rsid w:val="6D2253BE"/>
    <w:rsid w:val="6D314369"/>
    <w:rsid w:val="6D8588CF"/>
    <w:rsid w:val="6DF25EAF"/>
    <w:rsid w:val="6F0AB108"/>
    <w:rsid w:val="6F8D3790"/>
    <w:rsid w:val="6FA9AD75"/>
    <w:rsid w:val="7065E8C3"/>
    <w:rsid w:val="7088F0A8"/>
    <w:rsid w:val="709B4CDC"/>
    <w:rsid w:val="709CB4C4"/>
    <w:rsid w:val="71D4B32A"/>
    <w:rsid w:val="728FEA99"/>
    <w:rsid w:val="733E1EF7"/>
    <w:rsid w:val="736BF4F4"/>
    <w:rsid w:val="74906D55"/>
    <w:rsid w:val="7610C9C1"/>
    <w:rsid w:val="7645E02F"/>
    <w:rsid w:val="76781A76"/>
    <w:rsid w:val="76E3D2B7"/>
    <w:rsid w:val="76FBD6A7"/>
    <w:rsid w:val="770BD571"/>
    <w:rsid w:val="774865BE"/>
    <w:rsid w:val="776A5F7B"/>
    <w:rsid w:val="77873E82"/>
    <w:rsid w:val="779CAC60"/>
    <w:rsid w:val="77C5DF05"/>
    <w:rsid w:val="77E9F295"/>
    <w:rsid w:val="7864B282"/>
    <w:rsid w:val="788135EE"/>
    <w:rsid w:val="7893720C"/>
    <w:rsid w:val="7944ACE4"/>
    <w:rsid w:val="7A789106"/>
    <w:rsid w:val="7A85FBAF"/>
    <w:rsid w:val="7A9E0AF8"/>
    <w:rsid w:val="7B1450EE"/>
    <w:rsid w:val="7B34D1D9"/>
    <w:rsid w:val="7B618BE1"/>
    <w:rsid w:val="7C2640BF"/>
    <w:rsid w:val="7C278FB5"/>
    <w:rsid w:val="7C78EDA6"/>
    <w:rsid w:val="7C9F211E"/>
    <w:rsid w:val="7CF5B9EB"/>
    <w:rsid w:val="7D703E3F"/>
    <w:rsid w:val="7DD233F6"/>
    <w:rsid w:val="7E92AD2F"/>
    <w:rsid w:val="7EC47C4D"/>
    <w:rsid w:val="7ED0768D"/>
    <w:rsid w:val="7FA1EBE3"/>
    <w:rsid w:val="7FAC3493"/>
    <w:rsid w:val="7FC41253"/>
    <w:rsid w:val="7FCC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FB34D"/>
  <w15:chartTrackingRefBased/>
  <w15:docId w15:val="{F357A995-D7CE-44C6-BCF7-26802FAFC8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78AE5D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78AE5D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78AE5DD"/>
    <w:pPr>
      <w:spacing/>
      <w:ind w:left="720"/>
      <w:contextualSpacing/>
    </w:pPr>
  </w:style>
  <w:style w:type="character" w:styleId="Hyperlink">
    <w:uiPriority w:val="99"/>
    <w:name w:val="Hyperlink"/>
    <w:basedOn w:val="DefaultParagraphFont"/>
    <w:unhideWhenUsed/>
    <w:rsid w:val="678AE5DD"/>
    <w:rPr>
      <w:color w:val="467886"/>
      <w:u w:val="single"/>
    </w:rPr>
  </w:style>
  <w:style w:type="paragraph" w:styleId="Heading4">
    <w:uiPriority w:val="9"/>
    <w:name w:val="heading 4"/>
    <w:basedOn w:val="Normal"/>
    <w:next w:val="Normal"/>
    <w:unhideWhenUsed/>
    <w:qFormat/>
    <w:rsid w:val="678AE5DD"/>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5a657d486ca4b66" /><Relationship Type="http://schemas.openxmlformats.org/officeDocument/2006/relationships/numbering" Target="/word/numbering.xml" Id="Rdd8b915b23764b70" /><Relationship Type="http://schemas.openxmlformats.org/officeDocument/2006/relationships/hyperlink" Target="https://sustainabledevelopment.un.org/content/documents/5987our-common-future.pdf" TargetMode="External" Id="Rb04f6dfd93294505" /><Relationship Type="http://schemas.openxmlformats.org/officeDocument/2006/relationships/hyperlink" Target="https://www.ipcc.ch/report/ar6/syr/" TargetMode="External" Id="R4015c4c911774e27" /><Relationship Type="http://schemas.openxmlformats.org/officeDocument/2006/relationships/hyperlink" Target="https://sdgindex.org/reports/sustainable-development-report-2019/" TargetMode="External" Id="R3f52199915954011" /><Relationship Type="http://schemas.openxmlformats.org/officeDocument/2006/relationships/hyperlink" Target="https://sdgs.un.org/2030agenda" TargetMode="External" Id="Rf10032f7f4dd496a" /><Relationship Type="http://schemas.openxmlformats.org/officeDocument/2006/relationships/hyperlink" Target="https://pubmed.ncbi.nlm.nih.gov/34687662/" TargetMode="External" Id="R41fc94dd72474def" /><Relationship Type="http://schemas.openxmlformats.org/officeDocument/2006/relationships/hyperlink" Target="https://www.who.int/news-room/fact-sheets/detail/sustainable-development-goals-sdgs-health-goal-3" TargetMode="External" Id="R6776cf8c5a984b5e" /><Relationship Type="http://schemas.openxmlformats.org/officeDocument/2006/relationships/hyperlink" Target="https://pubmed.ncbi.nlm.nih.gov/28919118/" TargetMode="External" Id="R12597de87d104c2b" /><Relationship Type="http://schemas.openxmlformats.org/officeDocument/2006/relationships/hyperlink" Target="https://www.london.gov.uk/" TargetMode="External" Id="Re5aec6c068e14c52" /><Relationship Type="http://schemas.openxmlformats.org/officeDocument/2006/relationships/hyperlink" Target="https://pubmed.ncbi.nlm.nih.gov/29076656/" TargetMode="External" Id="R6db676d893044b92" /><Relationship Type="http://schemas.openxmlformats.org/officeDocument/2006/relationships/hyperlink" Target="https://pubmed.ncbi.nlm.nih.gov/30079031/" TargetMode="External" Id="Rd64edf8df5244490" /><Relationship Type="http://schemas.openxmlformats.org/officeDocument/2006/relationships/hyperlink" Target="https://www.health.org.uk/publications/reports/the-marmot-review-10-years-on" TargetMode="External" Id="Rf3b6916bab2b412b" /><Relationship Type="http://schemas.openxmlformats.org/officeDocument/2006/relationships/hyperlink" Target="https://pubmed.ncbi.nlm.nih.gov/30415748/" TargetMode="External" Id="Rb1b07f9c660a4b5f" /><Relationship Type="http://schemas.openxmlformats.org/officeDocument/2006/relationships/hyperlink" Target="https://www.longtermplan.nhs.uk/" TargetMode="External" Id="R49c1f0c1ce674334" /><Relationship Type="http://schemas.openxmlformats.org/officeDocument/2006/relationships/hyperlink" Target="https://pubmed.ncbi.nlm.nih.gov/25900496/" TargetMode="External" Id="Rab492a0bf2b940f2" /><Relationship Type="http://schemas.openxmlformats.org/officeDocument/2006/relationships/hyperlink" Target="https://www.who.int/publications/i/item/9789241500852" TargetMode="External" Id="Rb6b3b1c30c3c4ad6" /><Relationship Type="http://schemas.openxmlformats.org/officeDocument/2006/relationships/hyperlink" Target="https://www.unaids.org/" TargetMode="External" Id="R562f06ec446245d9" /><Relationship Type="http://schemas.openxmlformats.org/officeDocument/2006/relationships/hyperlink" Target="https://sdgs.un.org/2030agenda" TargetMode="External" Id="R7032385bf62a4259" /><Relationship Type="http://schemas.openxmlformats.org/officeDocument/2006/relationships/hyperlink" Target="https://www.who.int/publications/i/item/WHO-IER-CSDH-08.1" TargetMode="External" Id="R26a13a65375f4f10" /><Relationship Type="http://schemas.openxmlformats.org/officeDocument/2006/relationships/hyperlink" Target="https://www.who.int/publications/i/item/9789241506236" TargetMode="External" Id="R8157fb61ddd2469e" /><Relationship Type="http://schemas.openxmlformats.org/officeDocument/2006/relationships/hyperlink" Target="https://climateactiontracker.org/countries/uk/?utm_source=chatgpt.com" TargetMode="External" Id="Rd90f9d86f1d442e6" /><Relationship Type="http://schemas.openxmlformats.org/officeDocument/2006/relationships/hyperlink" Target="https://www.gov.uk/government/organisations/department-for-energy-security-and-net-zero" TargetMode="External" Id="Rf454dc08a06844fa" /><Relationship Type="http://schemas.openxmlformats.org/officeDocument/2006/relationships/hyperlink" Target="https://www.ft.com/content/f57e608b-f230-44c9-97f8-44c5c60f3ccb?utm_source=chatgpt.com" TargetMode="External" Id="Rfabb00b677ad41d5" /><Relationship Type="http://schemas.openxmlformats.org/officeDocument/2006/relationships/hyperlink" Target="https://www.gov.uk/guidance/climate-change?utm_source=chatgpt.com" TargetMode="External" Id="R7bb798c07d8b4044" /><Relationship Type="http://schemas.openxmlformats.org/officeDocument/2006/relationships/hyperlink" Target="https://www.london.gov.uk/programmes-and-strategies/environment-and-climate-change/climate-change/climate-action-plan?utm_source=chatgpt.com" TargetMode="External" Id="Rf8c8d877eadc4d38" /><Relationship Type="http://schemas.openxmlformats.org/officeDocument/2006/relationships/hyperlink" Target="https://www.cambridge.org/core/books/health-for-all-policies/sdg13-climate-action-health-systems-as-stakeholders-and-implementors-in-climate-policy-change/972F5A8C89777F49BF1F70A59BA74410?utm_source=chatgpt.com" TargetMode="External" Id="R2f9114a7e3f24ce3" /><Relationship Type="http://schemas.openxmlformats.org/officeDocument/2006/relationships/hyperlink" Target="https://pubmed.ncbi.nlm.nih.gov/37996539/?utm_source=chatgpt.com" TargetMode="External" Id="R04efa3c138704b6c" /><Relationship Type="http://schemas.openxmlformats.org/officeDocument/2006/relationships/hyperlink" Target="https://www.oxford.gov.uk/downloads/file/2220/net-zero-oxford-action-plan-2020-25?utm_source=chatgpt.com" TargetMode="External" Id="Rcfe95cdb83924727" /><Relationship Type="http://schemas.openxmlformats.org/officeDocument/2006/relationships/hyperlink" Target="https://pubmed.ncbi.nlm.nih.gov/35425918/?utm_source=chatgpt.com" TargetMode="External" Id="Rbce1e407405a4247" /><Relationship Type="http://schemas.openxmlformats.org/officeDocument/2006/relationships/hyperlink" Target="https://sdgs.un.org/goals/goal13?utm_source=chatgpt.com" TargetMode="External" Id="R00c589233269485d" /><Relationship Type="http://schemas.openxmlformats.org/officeDocument/2006/relationships/hyperlink" Target="https://pubmed.ncbi.nlm.nih.gov/36691567/?utm_source=chatgpt.com" TargetMode="External" Id="R896fe7803f1844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Shofi Miah (2245200)</dc:creator>
  <keywords/>
  <dc:description/>
  <lastModifiedBy>Shofi Miah (2245200)</lastModifiedBy>
  <revision>6</revision>
  <dcterms:created xsi:type="dcterms:W3CDTF">2026-02-27T01:02:29.4355601Z</dcterms:created>
  <dcterms:modified xsi:type="dcterms:W3CDTF">2026-03-15T13:46:18.1201143Z</dcterms:modified>
</coreProperties>
</file>