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3ABD0" w14:textId="301B49A9" w:rsidR="00275661" w:rsidRPr="00906239" w:rsidRDefault="005D37D9" w:rsidP="00906239">
      <w:pPr>
        <w:spacing w:line="276" w:lineRule="auto"/>
        <w:jc w:val="both"/>
        <w:rPr>
          <w:b/>
          <w:bCs/>
          <w:u w:val="single"/>
        </w:rPr>
      </w:pPr>
      <w:r w:rsidRPr="00906239">
        <w:rPr>
          <w:b/>
          <w:bCs/>
          <w:u w:val="single"/>
        </w:rPr>
        <w:t>5HR02 – Talent management and workforce planning</w:t>
      </w:r>
    </w:p>
    <w:p w14:paraId="6368F295" w14:textId="77777777" w:rsidR="005D37D9" w:rsidRPr="00906239" w:rsidRDefault="005D37D9" w:rsidP="00906239">
      <w:pPr>
        <w:spacing w:line="276" w:lineRule="auto"/>
        <w:jc w:val="both"/>
        <w:rPr>
          <w:b/>
          <w:bCs/>
        </w:rPr>
      </w:pPr>
      <w:r w:rsidRPr="00906239">
        <w:rPr>
          <w:b/>
          <w:bCs/>
        </w:rPr>
        <w:t>New entrants to the parcel delivery market and other labour market competitors have adversely affected ParcelCare’s ability to compete in labour markets. Explain how ParcelCare can strategically position themselves in competitive labour markets. (AC 1.1)</w:t>
      </w:r>
    </w:p>
    <w:p w14:paraId="6B035EDE" w14:textId="04E07D7B" w:rsidR="00586719" w:rsidRPr="00586719" w:rsidRDefault="00586719" w:rsidP="00906239">
      <w:pPr>
        <w:spacing w:line="276" w:lineRule="auto"/>
        <w:jc w:val="both"/>
      </w:pPr>
      <w:r w:rsidRPr="00586719">
        <w:t>ParcelCare is struggling to attract and retain staff due to increasing competition in the labour market, particularly from newer, more flexible delivery companies. To respond effectively, ParcelCare must strategically position itself as an attractive and distinctive employer, drawing on internal strengths and adapting to external market conditions.</w:t>
      </w:r>
    </w:p>
    <w:p w14:paraId="7B5B550B" w14:textId="0D6EE5CB" w:rsidR="00586719" w:rsidRPr="00586719" w:rsidRDefault="00586719" w:rsidP="00906239">
      <w:pPr>
        <w:spacing w:line="276" w:lineRule="auto"/>
        <w:jc w:val="both"/>
      </w:pPr>
      <w:r w:rsidRPr="00586719">
        <w:t>A key step is competitor analysis. Taylor and Woodham</w:t>
      </w:r>
      <w:r w:rsidR="00400B37" w:rsidRPr="00906239">
        <w:t>s</w:t>
      </w:r>
      <w:r w:rsidRPr="00586719">
        <w:t xml:space="preserve"> (202</w:t>
      </w:r>
      <w:r w:rsidR="00400B37" w:rsidRPr="00906239">
        <w:t>2</w:t>
      </w:r>
      <w:r w:rsidRPr="00586719">
        <w:t>) emphasise that understanding competitors’ offers</w:t>
      </w:r>
      <w:r w:rsidRPr="00906239">
        <w:t xml:space="preserve"> - </w:t>
      </w:r>
      <w:r w:rsidRPr="00586719">
        <w:t>such as pay, flexibility, and development</w:t>
      </w:r>
      <w:r w:rsidRPr="00906239">
        <w:t xml:space="preserve"> - </w:t>
      </w:r>
      <w:r w:rsidRPr="00586719">
        <w:t>is vital for strategic positioning. ParcelCare should benchmark its reward structures, working conditions, and job roles against rivals, identifying ways to differentiate</w:t>
      </w:r>
      <w:r w:rsidRPr="00906239">
        <w:t xml:space="preserve">, </w:t>
      </w:r>
      <w:r w:rsidRPr="00586719">
        <w:t>such as offering secure employment and clear career paths.</w:t>
      </w:r>
    </w:p>
    <w:p w14:paraId="6470211C" w14:textId="16C62568" w:rsidR="00586719" w:rsidRPr="00906239" w:rsidRDefault="00586719" w:rsidP="00906239">
      <w:pPr>
        <w:spacing w:line="276" w:lineRule="auto"/>
        <w:jc w:val="both"/>
      </w:pPr>
      <w:r w:rsidRPr="00906239">
        <w:t>Undertaking a SWOT analysis will help ParcelCare understand its internal strengths and weaknesses alongside external opportunities and threats. Internally, its long-standing national presence and brand recognition can be considered key strengths; however, outdated systems, rigid working patterns and a lack of modern engagement practices may represent significant weaknesses. Externally, ParcelCare operates in a highly competitive labour market where economic pressures and worker expectations are influencing job choices. According to the CIPD Labour Market Outlook (2025), employers</w:t>
      </w:r>
      <w:r w:rsidRPr="00906239">
        <w:t xml:space="preserve">, </w:t>
      </w:r>
      <w:r w:rsidRPr="00906239">
        <w:t>particularly in sectors such as transport and logistics</w:t>
      </w:r>
      <w:r w:rsidRPr="00906239">
        <w:t xml:space="preserve">, </w:t>
      </w:r>
      <w:r w:rsidRPr="00906239">
        <w:t>are continuing to face significant recruitment challenges. The report notes that many are responding by improving job quality, offering flexible working arrangements, and focusing more on retention through enhanced benefits and career development</w:t>
      </w:r>
      <w:r w:rsidRPr="00906239">
        <w:t>.</w:t>
      </w:r>
      <w:r w:rsidRPr="00906239">
        <w:t xml:space="preserve"> </w:t>
      </w:r>
    </w:p>
    <w:p w14:paraId="4F1A05EE" w14:textId="72725863" w:rsidR="00586719" w:rsidRPr="00586719" w:rsidRDefault="00586719" w:rsidP="00906239">
      <w:pPr>
        <w:spacing w:line="276" w:lineRule="auto"/>
        <w:jc w:val="both"/>
      </w:pPr>
      <w:r w:rsidRPr="00586719">
        <w:t>ParcelCare’s organisational positioning involves clearly defining its place in the labour market and articulating what makes it an employer of choice. This means aligning its employment offer with workforce expectations</w:t>
      </w:r>
      <w:r w:rsidRPr="00906239">
        <w:t xml:space="preserve">, </w:t>
      </w:r>
      <w:r w:rsidRPr="00586719">
        <w:t>such as flexibility, wellbeing, and development opportunities</w:t>
      </w:r>
      <w:r w:rsidRPr="00906239">
        <w:t xml:space="preserve">, </w:t>
      </w:r>
      <w:r w:rsidRPr="00586719">
        <w:t>and promoting this consistently across regions. As Taylor and Woodham</w:t>
      </w:r>
      <w:r w:rsidR="00400B37" w:rsidRPr="00906239">
        <w:t>s</w:t>
      </w:r>
      <w:r w:rsidRPr="00586719">
        <w:t xml:space="preserve"> (202</w:t>
      </w:r>
      <w:r w:rsidR="00400B37" w:rsidRPr="00906239">
        <w:t>2</w:t>
      </w:r>
      <w:r w:rsidRPr="00586719">
        <w:t>) suggest, regional labour dynamics should inform tailored recruitment strategies</w:t>
      </w:r>
      <w:r w:rsidRPr="00906239">
        <w:t>.</w:t>
      </w:r>
    </w:p>
    <w:p w14:paraId="3BA8BA0F" w14:textId="65CB36A9" w:rsidR="00586719" w:rsidRPr="00906239" w:rsidRDefault="00586719" w:rsidP="00906239">
      <w:pPr>
        <w:spacing w:line="276" w:lineRule="auto"/>
        <w:jc w:val="both"/>
      </w:pPr>
      <w:r w:rsidRPr="00586719">
        <w:t xml:space="preserve">Employer branding reinforces this positioning. According to the </w:t>
      </w:r>
      <w:r w:rsidR="00400B37" w:rsidRPr="00906239">
        <w:t>CIPD (2024</w:t>
      </w:r>
      <w:r w:rsidR="005438FD" w:rsidRPr="00906239">
        <w:t>a</w:t>
      </w:r>
      <w:r w:rsidR="00400B37" w:rsidRPr="00906239">
        <w:t>)</w:t>
      </w:r>
      <w:r w:rsidRPr="00586719">
        <w:t xml:space="preserve">, a clear, authentic brand helps organisations stand out, attract aligned candidates, and retain </w:t>
      </w:r>
      <w:r w:rsidR="00400B37" w:rsidRPr="00906239">
        <w:t>talent.</w:t>
      </w:r>
      <w:r w:rsidRPr="00586719">
        <w:t xml:space="preserve"> ParcelCare should share employee success stories and visibly promote its culture, values, and development pathways.</w:t>
      </w:r>
    </w:p>
    <w:p w14:paraId="38256E5C" w14:textId="77777777" w:rsidR="00400B37" w:rsidRPr="00906239" w:rsidRDefault="00400B37" w:rsidP="00906239">
      <w:pPr>
        <w:spacing w:line="276" w:lineRule="auto"/>
        <w:jc w:val="both"/>
      </w:pPr>
    </w:p>
    <w:p w14:paraId="65EA2B96" w14:textId="33900344" w:rsidR="00213D70" w:rsidRPr="00906239" w:rsidRDefault="00213D70" w:rsidP="00906239">
      <w:pPr>
        <w:pStyle w:val="Nornal"/>
        <w:spacing w:line="276" w:lineRule="auto"/>
        <w:jc w:val="both"/>
        <w:rPr>
          <w:rStyle w:val="ui-provider"/>
          <w:rFonts w:asciiTheme="minorHAnsi" w:hAnsiTheme="minorHAnsi"/>
          <w:b/>
          <w:bCs/>
        </w:rPr>
      </w:pPr>
      <w:r w:rsidRPr="00906239">
        <w:rPr>
          <w:rStyle w:val="ui-provider"/>
          <w:rFonts w:asciiTheme="minorHAnsi" w:hAnsiTheme="minorHAnsi"/>
          <w:b/>
          <w:bCs/>
        </w:rPr>
        <w:t xml:space="preserve">Explain the impact of changing </w:t>
      </w:r>
      <w:proofErr w:type="spellStart"/>
      <w:r w:rsidRPr="00906239">
        <w:rPr>
          <w:rStyle w:val="ui-provider"/>
          <w:rFonts w:asciiTheme="minorHAnsi" w:hAnsiTheme="minorHAnsi"/>
          <w:b/>
          <w:bCs/>
        </w:rPr>
        <w:t>labour</w:t>
      </w:r>
      <w:proofErr w:type="spellEnd"/>
      <w:r w:rsidRPr="00906239">
        <w:rPr>
          <w:rStyle w:val="ui-provider"/>
          <w:rFonts w:asciiTheme="minorHAnsi" w:hAnsiTheme="minorHAnsi"/>
          <w:b/>
          <w:bCs/>
        </w:rPr>
        <w:t xml:space="preserve"> market conditions on resourcing decisions at ParcelCare. (AC 1.2)</w:t>
      </w:r>
    </w:p>
    <w:p w14:paraId="1C1D3EA8" w14:textId="513F1C65" w:rsidR="006E0778" w:rsidRPr="006E0778" w:rsidRDefault="009A101E" w:rsidP="00906239">
      <w:pPr>
        <w:spacing w:line="276" w:lineRule="auto"/>
        <w:jc w:val="both"/>
      </w:pPr>
      <w:r w:rsidRPr="00906239">
        <w:t>Resourcing</w:t>
      </w:r>
      <w:r w:rsidR="006E0778" w:rsidRPr="006E0778">
        <w:t xml:space="preserve"> decisions are influenced by changing labour market conditions. Understanding whether the organisation is operating in a tight or loose labour market is essential when planning recruitment and workforce strategies. As Taylor and Woodham</w:t>
      </w:r>
      <w:r w:rsidRPr="00906239">
        <w:t>s</w:t>
      </w:r>
      <w:r w:rsidR="006E0778" w:rsidRPr="006E0778">
        <w:t xml:space="preserve"> (202</w:t>
      </w:r>
      <w:r w:rsidR="006E0778" w:rsidRPr="00906239">
        <w:t>2</w:t>
      </w:r>
      <w:r w:rsidR="006E0778" w:rsidRPr="006E0778">
        <w:t xml:space="preserve">) explain, a tight labour market occurs when there are more vacancies than active jobseekers, often leading to skills shortages. This forces employers to compete more aggressively for talent. In contrast, a loose </w:t>
      </w:r>
      <w:r w:rsidR="006E0778" w:rsidRPr="006E0778">
        <w:lastRenderedPageBreak/>
        <w:t>labour market is when there is an oversupply of candidates and fewer roles available</w:t>
      </w:r>
      <w:r w:rsidR="006E0778" w:rsidRPr="00906239">
        <w:t xml:space="preserve"> - </w:t>
      </w:r>
      <w:r w:rsidR="006E0778" w:rsidRPr="006E0778">
        <w:t>making it easier to recruit but potentially harder to retain top talent</w:t>
      </w:r>
      <w:r w:rsidR="006E0778" w:rsidRPr="00906239">
        <w:t>.</w:t>
      </w:r>
    </w:p>
    <w:p w14:paraId="28F97066" w14:textId="0DB5A0B8" w:rsidR="006E0778" w:rsidRPr="006E0778" w:rsidRDefault="006E0778" w:rsidP="00906239">
      <w:pPr>
        <w:spacing w:line="276" w:lineRule="auto"/>
        <w:jc w:val="both"/>
      </w:pPr>
      <w:r w:rsidRPr="006E0778">
        <w:t>Currently, ParcelCare is facing the conditions of a tight labour market, especially in operational and delivery roles. According to the CIPD Labour Market Outlook (2025), employers in transport and logistics continue to struggle with recruitment due to competition, a limited talent pool, and changing workforce expectations. This environment is forcing ParcelCare to rethink its resourcing approach</w:t>
      </w:r>
      <w:r w:rsidRPr="00906239">
        <w:t xml:space="preserve"> - </w:t>
      </w:r>
      <w:r w:rsidRPr="006E0778">
        <w:t>particularly its employer branding, job design, and retention strategies.</w:t>
      </w:r>
    </w:p>
    <w:p w14:paraId="0459C9D5" w14:textId="4A8B5876" w:rsidR="006E0778" w:rsidRPr="00906239" w:rsidRDefault="006E0778" w:rsidP="00906239">
      <w:pPr>
        <w:spacing w:line="276" w:lineRule="auto"/>
        <w:jc w:val="both"/>
      </w:pPr>
      <w:r w:rsidRPr="006E0778">
        <w:t>In a tight market, ParcelCare must act creatively and invest in a mix of resourcing solutions. Taylor and Woodham</w:t>
      </w:r>
      <w:r w:rsidR="009A4288" w:rsidRPr="00906239">
        <w:t>s</w:t>
      </w:r>
      <w:r w:rsidRPr="006E0778">
        <w:t xml:space="preserve"> (202</w:t>
      </w:r>
      <w:r w:rsidR="009A4288" w:rsidRPr="00906239">
        <w:t>2</w:t>
      </w:r>
      <w:r w:rsidRPr="006E0778">
        <w:t>) recommend strategies such as reorganisations, where tasks are redistributed to reduce reliance on hard-to-fill roles, and development initiatives that focus on upskilling internal staff or recruiting individuals with potential rather than fully developed skill sets. Resourcing decisions may also include investing in new recruitment methods, such as targeting underrepresented groups or using digital platforms to widen the talent pool.</w:t>
      </w:r>
    </w:p>
    <w:p w14:paraId="5A8997B3" w14:textId="7308A903" w:rsidR="004F1F81" w:rsidRPr="006E0778" w:rsidRDefault="004F1F81" w:rsidP="00906239">
      <w:pPr>
        <w:spacing w:line="276" w:lineRule="auto"/>
        <w:jc w:val="both"/>
      </w:pPr>
      <w:r w:rsidRPr="00906239">
        <w:t>A PESTLE analysis can support this process by assessing wider external factors that may impact resourcing decisions. It is a broad fact-finding activity that helps organisations identify political, economic, social, technological, legal, and environmental factors that may present risks or opportunities</w:t>
      </w:r>
      <w:r w:rsidRPr="00906239">
        <w:t xml:space="preserve">, </w:t>
      </w:r>
      <w:r w:rsidRPr="00906239">
        <w:t>ultimately supporting better-informed and more agile people strategies (</w:t>
      </w:r>
      <w:r w:rsidR="00472CCD">
        <w:t>Hayden</w:t>
      </w:r>
      <w:r w:rsidRPr="00906239">
        <w:t xml:space="preserve">, 2025). For example, economic conditions such as inflation may drive wage expectations up, while social changes are influencing demand for flexible work. ParcelCare must respond to these external shifts by </w:t>
      </w:r>
      <w:r w:rsidRPr="006E0778">
        <w:t>enhan</w:t>
      </w:r>
      <w:r w:rsidRPr="00906239">
        <w:t>cing</w:t>
      </w:r>
      <w:r w:rsidRPr="006E0778">
        <w:t xml:space="preserve"> their employee value proposition, redesign job roles, and engage in long-term workforce planning, such as working with local colleges to build a pipeline of future talent.</w:t>
      </w:r>
    </w:p>
    <w:p w14:paraId="43A126E8" w14:textId="16C68BF8" w:rsidR="006E0778" w:rsidRPr="006E0778" w:rsidRDefault="006E0778" w:rsidP="00906239">
      <w:pPr>
        <w:spacing w:line="276" w:lineRule="auto"/>
        <w:jc w:val="both"/>
      </w:pPr>
      <w:r w:rsidRPr="006E0778">
        <w:t>In summary, changing labour market condition</w:t>
      </w:r>
      <w:r w:rsidR="004F1F81" w:rsidRPr="00906239">
        <w:t xml:space="preserve">s, </w:t>
      </w:r>
      <w:r w:rsidRPr="006E0778">
        <w:t>especially in tight markets</w:t>
      </w:r>
      <w:r w:rsidR="004F1F81" w:rsidRPr="00906239">
        <w:t xml:space="preserve">, </w:t>
      </w:r>
      <w:r w:rsidRPr="006E0778">
        <w:t>have a direct impact on how ParcelCare plans, recruit</w:t>
      </w:r>
      <w:r w:rsidR="004F1F81" w:rsidRPr="00906239">
        <w:t>s</w:t>
      </w:r>
      <w:r w:rsidRPr="006E0778">
        <w:t xml:space="preserve"> and retains its workforce. Resourcing strategies must now be more agile, forward-thinkin</w:t>
      </w:r>
      <w:r w:rsidR="004F1F81" w:rsidRPr="00906239">
        <w:t>g</w:t>
      </w:r>
      <w:r w:rsidRPr="006E0778">
        <w:t xml:space="preserve"> and aligned to external labour dynamics.</w:t>
      </w:r>
    </w:p>
    <w:p w14:paraId="35950498" w14:textId="77777777" w:rsidR="00CA2858" w:rsidRPr="00906239" w:rsidRDefault="00CA2858" w:rsidP="00906239">
      <w:pPr>
        <w:pStyle w:val="Nornal"/>
        <w:spacing w:line="276" w:lineRule="auto"/>
        <w:jc w:val="both"/>
        <w:rPr>
          <w:rStyle w:val="ui-provider"/>
          <w:rFonts w:asciiTheme="minorHAnsi" w:hAnsiTheme="minorHAnsi"/>
          <w:b/>
          <w:bCs/>
        </w:rPr>
      </w:pPr>
    </w:p>
    <w:p w14:paraId="16E1ECAE" w14:textId="5CBC0EEA" w:rsidR="00F06B01" w:rsidRPr="00906239" w:rsidRDefault="00F06B01" w:rsidP="00906239">
      <w:pPr>
        <w:pStyle w:val="Nornal"/>
        <w:spacing w:line="276" w:lineRule="auto"/>
        <w:jc w:val="both"/>
        <w:rPr>
          <w:rStyle w:val="ui-provider"/>
          <w:rFonts w:asciiTheme="minorHAnsi" w:hAnsiTheme="minorHAnsi"/>
          <w:b/>
          <w:bCs/>
        </w:rPr>
      </w:pPr>
      <w:r w:rsidRPr="00906239">
        <w:rPr>
          <w:rStyle w:val="ui-provider"/>
          <w:rFonts w:asciiTheme="minorHAnsi" w:hAnsiTheme="minorHAnsi"/>
          <w:b/>
          <w:bCs/>
        </w:rPr>
        <w:t xml:space="preserve">You are aware that workforce planning has not been carried out in the past and decide to persuade the senior leadership team that this activity is worth doing.  </w:t>
      </w:r>
      <w:proofErr w:type="spellStart"/>
      <w:r w:rsidRPr="00906239">
        <w:rPr>
          <w:rStyle w:val="ui-provider"/>
          <w:rFonts w:asciiTheme="minorHAnsi" w:hAnsiTheme="minorHAnsi"/>
          <w:b/>
          <w:bCs/>
        </w:rPr>
        <w:t>Analyse</w:t>
      </w:r>
      <w:proofErr w:type="spellEnd"/>
      <w:r w:rsidRPr="00906239">
        <w:rPr>
          <w:rStyle w:val="ui-provider"/>
          <w:rFonts w:asciiTheme="minorHAnsi" w:hAnsiTheme="minorHAnsi"/>
          <w:b/>
          <w:bCs/>
        </w:rPr>
        <w:t xml:space="preserve"> the impact of effective workforce planning, making clear how ParcelCare could benefit from this activity. (AC 2.1)</w:t>
      </w:r>
    </w:p>
    <w:p w14:paraId="521A1AC9" w14:textId="63ED41D9" w:rsidR="00CA2858" w:rsidRPr="00906239" w:rsidRDefault="00CA2858" w:rsidP="00906239">
      <w:pPr>
        <w:spacing w:line="276" w:lineRule="auto"/>
        <w:jc w:val="both"/>
      </w:pPr>
      <w:r w:rsidRPr="00906239">
        <w:t>Workforce planning can be defined as “</w:t>
      </w:r>
      <w:r w:rsidR="00FA6C43" w:rsidRPr="00906239">
        <w:t>the process of balancing labour supply (skills) against the demand (numbers needed). It includes analysing the current workforce, determining future workforce needs, identifying the gap between the present and the future, and implementing solutions so that an organisation can accomplish its mission, goals, and strategic plan</w:t>
      </w:r>
      <w:r w:rsidR="00FA6C43" w:rsidRPr="00906239">
        <w:t>” (CIPD, 2024</w:t>
      </w:r>
      <w:r w:rsidR="005438FD" w:rsidRPr="00906239">
        <w:t>b</w:t>
      </w:r>
      <w:r w:rsidR="00FA6C43" w:rsidRPr="00906239">
        <w:t xml:space="preserve">). </w:t>
      </w:r>
      <w:r w:rsidRPr="00906239">
        <w:t>Workforce planning is not just a theoretical HR concept</w:t>
      </w:r>
      <w:r w:rsidR="00FA6C43" w:rsidRPr="00906239">
        <w:t xml:space="preserve"> - </w:t>
      </w:r>
      <w:r w:rsidRPr="00906239">
        <w:t>it’s a practical tool that ensures we have the right people, with the right skills, in the right place, at the right time and cost</w:t>
      </w:r>
      <w:r w:rsidR="00FA6C43" w:rsidRPr="00906239">
        <w:t xml:space="preserve"> (CIPD, 2024</w:t>
      </w:r>
      <w:r w:rsidR="005438FD" w:rsidRPr="00906239">
        <w:t>b</w:t>
      </w:r>
      <w:r w:rsidR="00FA6C43" w:rsidRPr="00906239">
        <w:t xml:space="preserve">). </w:t>
      </w:r>
    </w:p>
    <w:p w14:paraId="0DA72BD8" w14:textId="732F691F" w:rsidR="00FA6C43" w:rsidRPr="00906239" w:rsidRDefault="00FA6C43" w:rsidP="00906239">
      <w:pPr>
        <w:spacing w:line="276" w:lineRule="auto"/>
        <w:jc w:val="both"/>
      </w:pPr>
      <w:r w:rsidRPr="00906239">
        <w:t>As ParcelCare faces</w:t>
      </w:r>
      <w:r w:rsidRPr="00906239">
        <w:t xml:space="preserve"> high turnover, skills shortages</w:t>
      </w:r>
      <w:r w:rsidRPr="00906239">
        <w:t xml:space="preserve"> </w:t>
      </w:r>
      <w:r w:rsidRPr="00906239">
        <w:t xml:space="preserve">and increased delivery demands, workforce planning could have a </w:t>
      </w:r>
      <w:r w:rsidRPr="00906239">
        <w:t>signification positive</w:t>
      </w:r>
      <w:r w:rsidRPr="00906239">
        <w:t xml:space="preserve"> impact. One major benefit is improved productivity and sustained performance. </w:t>
      </w:r>
      <w:r w:rsidRPr="00906239">
        <w:t>Billot (2025)</w:t>
      </w:r>
      <w:r w:rsidRPr="00906239">
        <w:t xml:space="preserve"> highlights that organisations with active workforce planning are better positioned to respond quickly to change, reduce skills mismatches, and </w:t>
      </w:r>
      <w:r w:rsidRPr="00906239">
        <w:lastRenderedPageBreak/>
        <w:t xml:space="preserve">maintain service levels. </w:t>
      </w:r>
      <w:r w:rsidRPr="00906239">
        <w:t>Referring to ParcelCare</w:t>
      </w:r>
      <w:r w:rsidRPr="00906239">
        <w:t>, th</w:t>
      </w:r>
      <w:r w:rsidRPr="00906239">
        <w:t xml:space="preserve">is </w:t>
      </w:r>
      <w:r w:rsidRPr="00906239">
        <w:t xml:space="preserve">could mean ensuring </w:t>
      </w:r>
      <w:r w:rsidRPr="00906239">
        <w:t>they are</w:t>
      </w:r>
      <w:r w:rsidRPr="00906239">
        <w:t xml:space="preserve"> not caught short during peak periods, like the </w:t>
      </w:r>
      <w:r w:rsidRPr="00906239">
        <w:t>Christmas period</w:t>
      </w:r>
      <w:r w:rsidRPr="00906239">
        <w:t>, where last-minute recruitment tends to drive up costs and compromise delivery quality.</w:t>
      </w:r>
    </w:p>
    <w:p w14:paraId="5423673D" w14:textId="593029BA" w:rsidR="00FA6C43" w:rsidRPr="00906239" w:rsidRDefault="00D57FCC" w:rsidP="00906239">
      <w:pPr>
        <w:spacing w:line="276" w:lineRule="auto"/>
        <w:jc w:val="both"/>
      </w:pPr>
      <w:r w:rsidRPr="00906239">
        <w:t xml:space="preserve">Another key benefit of workforce planning is the potential to reduce labour costs. As </w:t>
      </w:r>
      <w:r w:rsidR="00B37EE2" w:rsidRPr="00906239">
        <w:t>the CIPD</w:t>
      </w:r>
      <w:r w:rsidRPr="00906239">
        <w:t xml:space="preserve"> (2024</w:t>
      </w:r>
      <w:r w:rsidR="005438FD" w:rsidRPr="00906239">
        <w:t>b</w:t>
      </w:r>
      <w:r w:rsidRPr="00906239">
        <w:t>) explains, hard workforce planning</w:t>
      </w:r>
      <w:r w:rsidRPr="00906239">
        <w:t xml:space="preserve"> - </w:t>
      </w:r>
      <w:r w:rsidRPr="00906239">
        <w:t>through the analysis of workforce data and trends</w:t>
      </w:r>
      <w:r w:rsidRPr="00906239">
        <w:t xml:space="preserve"> - </w:t>
      </w:r>
      <w:r w:rsidRPr="00906239">
        <w:t>enables organisations to forecast demand more accurately and avoid both understaffing and over-recruitment. This helps to minimise unnecessary expenditure and improve resource allocation. At the same time, soft workforce planning, which focuses on people’s skills, abilities, and development needs, can support retention by helping managers anticipate workforce challenges and proactively engage, support, and develop employees through clear career pathways</w:t>
      </w:r>
      <w:r w:rsidRPr="00906239">
        <w:t xml:space="preserve"> (</w:t>
      </w:r>
      <w:r w:rsidR="00B37EE2" w:rsidRPr="00906239">
        <w:t>CIPD</w:t>
      </w:r>
      <w:r w:rsidRPr="00906239">
        <w:t>, 2024</w:t>
      </w:r>
      <w:r w:rsidR="005438FD" w:rsidRPr="00906239">
        <w:t>b</w:t>
      </w:r>
      <w:r w:rsidRPr="00906239">
        <w:t xml:space="preserve">). </w:t>
      </w:r>
    </w:p>
    <w:p w14:paraId="7D5B5F4E" w14:textId="0EA98B74" w:rsidR="00CA2858" w:rsidRPr="00906239" w:rsidRDefault="00244ABA" w:rsidP="00906239">
      <w:pPr>
        <w:pStyle w:val="Nornal"/>
        <w:spacing w:line="276" w:lineRule="auto"/>
        <w:jc w:val="both"/>
        <w:rPr>
          <w:rFonts w:asciiTheme="minorHAnsi" w:eastAsiaTheme="minorHAnsi" w:hAnsiTheme="minorHAnsi" w:cstheme="minorBidi"/>
          <w:color w:val="auto"/>
          <w:kern w:val="2"/>
          <w:bdr w:val="none" w:sz="0" w:space="0" w:color="auto"/>
          <w:lang w:val="en-GB" w:eastAsia="en-US"/>
          <w14:ligatures w14:val="standardContextual"/>
        </w:rPr>
      </w:pPr>
      <w:r w:rsidRPr="00906239">
        <w:rPr>
          <w:rFonts w:asciiTheme="minorHAnsi" w:eastAsiaTheme="minorHAnsi" w:hAnsiTheme="minorHAnsi" w:cstheme="minorBidi"/>
          <w:color w:val="auto"/>
          <w:kern w:val="2"/>
          <w:bdr w:val="none" w:sz="0" w:space="0" w:color="auto"/>
          <w:lang w:val="en-GB" w:eastAsia="en-US"/>
          <w14:ligatures w14:val="standardContextual"/>
        </w:rPr>
        <w:t>Workforce planning also plays a vital role in succession planning and development. By identifying internal talent and addressing future skills gaps early, ParcelCare can reduce reliance on costly external recruitment and build a strong internal pipeline of skilled</w:t>
      </w:r>
      <w:r w:rsidRPr="00906239">
        <w:rPr>
          <w:rFonts w:asciiTheme="minorHAnsi" w:eastAsiaTheme="minorHAnsi" w:hAnsiTheme="minorHAnsi" w:cstheme="minorBidi"/>
          <w:color w:val="auto"/>
          <w:kern w:val="2"/>
          <w:bdr w:val="none" w:sz="0" w:space="0" w:color="auto"/>
          <w:lang w:val="en-GB" w:eastAsia="en-US"/>
          <w14:ligatures w14:val="standardContextual"/>
        </w:rPr>
        <w:t xml:space="preserve"> </w:t>
      </w:r>
      <w:r w:rsidRPr="00906239">
        <w:rPr>
          <w:rFonts w:asciiTheme="minorHAnsi" w:eastAsiaTheme="minorHAnsi" w:hAnsiTheme="minorHAnsi" w:cstheme="minorBidi"/>
          <w:color w:val="auto"/>
          <w:kern w:val="2"/>
          <w:bdr w:val="none" w:sz="0" w:space="0" w:color="auto"/>
          <w:lang w:val="en-GB" w:eastAsia="en-US"/>
          <w14:ligatures w14:val="standardContextual"/>
        </w:rPr>
        <w:t>employees. As Taylor and Woodham</w:t>
      </w:r>
      <w:r w:rsidRPr="00906239">
        <w:rPr>
          <w:rFonts w:asciiTheme="minorHAnsi" w:eastAsiaTheme="minorHAnsi" w:hAnsiTheme="minorHAnsi" w:cstheme="minorBidi"/>
          <w:color w:val="auto"/>
          <w:kern w:val="2"/>
          <w:bdr w:val="none" w:sz="0" w:space="0" w:color="auto"/>
          <w:lang w:val="en-GB" w:eastAsia="en-US"/>
          <w14:ligatures w14:val="standardContextual"/>
        </w:rPr>
        <w:t>s</w:t>
      </w:r>
      <w:r w:rsidRPr="00906239">
        <w:rPr>
          <w:rFonts w:asciiTheme="minorHAnsi" w:eastAsiaTheme="minorHAnsi" w:hAnsiTheme="minorHAnsi" w:cstheme="minorBidi"/>
          <w:color w:val="auto"/>
          <w:kern w:val="2"/>
          <w:bdr w:val="none" w:sz="0" w:space="0" w:color="auto"/>
          <w:lang w:val="en-GB" w:eastAsia="en-US"/>
          <w14:ligatures w14:val="standardContextual"/>
        </w:rPr>
        <w:t xml:space="preserve"> (2022) explain, succession planning involves developing pools of talent who are prepared to step into key roles as they become available, rather than reacting at the last minute. This improves continuity, reduces disruption</w:t>
      </w:r>
      <w:r w:rsidRPr="00906239">
        <w:rPr>
          <w:rFonts w:asciiTheme="minorHAnsi" w:eastAsiaTheme="minorHAnsi" w:hAnsiTheme="minorHAnsi" w:cstheme="minorBidi"/>
          <w:color w:val="auto"/>
          <w:kern w:val="2"/>
          <w:bdr w:val="none" w:sz="0" w:space="0" w:color="auto"/>
          <w:lang w:val="en-GB" w:eastAsia="en-US"/>
          <w14:ligatures w14:val="standardContextual"/>
        </w:rPr>
        <w:t xml:space="preserve"> </w:t>
      </w:r>
      <w:r w:rsidRPr="00906239">
        <w:rPr>
          <w:rFonts w:asciiTheme="minorHAnsi" w:eastAsiaTheme="minorHAnsi" w:hAnsiTheme="minorHAnsi" w:cstheme="minorBidi"/>
          <w:color w:val="auto"/>
          <w:kern w:val="2"/>
          <w:bdr w:val="none" w:sz="0" w:space="0" w:color="auto"/>
          <w:lang w:val="en-GB" w:eastAsia="en-US"/>
          <w14:ligatures w14:val="standardContextual"/>
        </w:rPr>
        <w:t>and ensures that individuals are aligned with the organisation’s culture and values. Development tools such as mentoring, job shadowing, and cross-departmental projects support this process while also strengthening engagement and retention</w:t>
      </w:r>
      <w:r w:rsidRPr="00906239">
        <w:rPr>
          <w:rFonts w:asciiTheme="minorHAnsi" w:eastAsiaTheme="minorHAnsi" w:hAnsiTheme="minorHAnsi" w:cstheme="minorBidi"/>
          <w:color w:val="auto"/>
          <w:kern w:val="2"/>
          <w:bdr w:val="none" w:sz="0" w:space="0" w:color="auto"/>
          <w:lang w:val="en-GB" w:eastAsia="en-US"/>
          <w14:ligatures w14:val="standardContextual"/>
        </w:rPr>
        <w:t xml:space="preserve"> (Taylor and Woodhams, 2022).</w:t>
      </w:r>
      <w:r w:rsidRPr="00906239">
        <w:rPr>
          <w:rFonts w:asciiTheme="minorHAnsi" w:eastAsiaTheme="minorHAnsi" w:hAnsiTheme="minorHAnsi" w:cstheme="minorBidi"/>
          <w:color w:val="auto"/>
          <w:kern w:val="2"/>
          <w:bdr w:val="none" w:sz="0" w:space="0" w:color="auto"/>
          <w:lang w:val="en-GB" w:eastAsia="en-US"/>
          <w14:ligatures w14:val="standardContextual"/>
        </w:rPr>
        <w:t xml:space="preserve"> For ParcelCare, succession planning offers a proactive way to meet future needs, strengthen leadership capability, and create clearer career pathways</w:t>
      </w:r>
      <w:r w:rsidRPr="00906239">
        <w:rPr>
          <w:rFonts w:asciiTheme="minorHAnsi" w:eastAsiaTheme="minorHAnsi" w:hAnsiTheme="minorHAnsi" w:cstheme="minorBidi"/>
          <w:color w:val="auto"/>
          <w:kern w:val="2"/>
          <w:bdr w:val="none" w:sz="0" w:space="0" w:color="auto"/>
          <w:lang w:val="en-GB" w:eastAsia="en-US"/>
          <w14:ligatures w14:val="standardContextual"/>
        </w:rPr>
        <w:t xml:space="preserve"> - </w:t>
      </w:r>
      <w:r w:rsidRPr="00906239">
        <w:rPr>
          <w:rFonts w:asciiTheme="minorHAnsi" w:eastAsiaTheme="minorHAnsi" w:hAnsiTheme="minorHAnsi" w:cstheme="minorBidi"/>
          <w:color w:val="auto"/>
          <w:kern w:val="2"/>
          <w:bdr w:val="none" w:sz="0" w:space="0" w:color="auto"/>
          <w:lang w:val="en-GB" w:eastAsia="en-US"/>
          <w14:ligatures w14:val="standardContextual"/>
        </w:rPr>
        <w:t>benefiting both the organisation and its people.</w:t>
      </w:r>
    </w:p>
    <w:p w14:paraId="505B4723" w14:textId="5536F0F9" w:rsidR="00244ABA" w:rsidRPr="00906239" w:rsidRDefault="00244ABA" w:rsidP="00906239">
      <w:pPr>
        <w:pStyle w:val="Nornal"/>
        <w:spacing w:line="276" w:lineRule="auto"/>
        <w:jc w:val="both"/>
        <w:rPr>
          <w:rStyle w:val="ui-provider"/>
          <w:rFonts w:asciiTheme="minorHAnsi" w:hAnsiTheme="minorHAnsi"/>
          <w:b/>
          <w:bCs/>
        </w:rPr>
      </w:pPr>
      <w:r w:rsidRPr="00906239">
        <w:rPr>
          <w:rFonts w:asciiTheme="minorHAnsi" w:eastAsiaTheme="minorHAnsi" w:hAnsiTheme="minorHAnsi" w:cstheme="minorBidi"/>
          <w:color w:val="auto"/>
          <w:kern w:val="2"/>
          <w:bdr w:val="none" w:sz="0" w:space="0" w:color="auto"/>
          <w:lang w:val="en-GB" w:eastAsia="en-US"/>
          <w14:ligatures w14:val="standardContextual"/>
        </w:rPr>
        <w:t xml:space="preserve">The CIPD </w:t>
      </w:r>
      <w:r w:rsidR="00C65342" w:rsidRPr="00906239">
        <w:rPr>
          <w:rFonts w:asciiTheme="minorHAnsi" w:eastAsiaTheme="minorHAnsi" w:hAnsiTheme="minorHAnsi" w:cstheme="minorBidi"/>
          <w:color w:val="auto"/>
          <w:kern w:val="2"/>
          <w:bdr w:val="none" w:sz="0" w:space="0" w:color="auto"/>
          <w:lang w:val="en-GB" w:eastAsia="en-US"/>
          <w14:ligatures w14:val="standardContextual"/>
        </w:rPr>
        <w:t xml:space="preserve">have a workforce planning model </w:t>
      </w:r>
      <w:r w:rsidR="00B37EE2" w:rsidRPr="00906239">
        <w:rPr>
          <w:rFonts w:asciiTheme="minorHAnsi" w:eastAsiaTheme="minorHAnsi" w:hAnsiTheme="minorHAnsi" w:cstheme="minorBidi"/>
          <w:color w:val="auto"/>
          <w:kern w:val="2"/>
          <w:bdr w:val="none" w:sz="0" w:space="0" w:color="auto"/>
          <w:lang w:val="en-GB" w:eastAsia="en-US"/>
          <w14:ligatures w14:val="standardContextual"/>
        </w:rPr>
        <w:t xml:space="preserve">which </w:t>
      </w:r>
      <w:r w:rsidR="00B37EE2" w:rsidRPr="00906239">
        <w:rPr>
          <w:rFonts w:asciiTheme="minorHAnsi" w:eastAsiaTheme="minorHAnsi" w:hAnsiTheme="minorHAnsi" w:cstheme="minorBidi"/>
          <w:color w:val="auto"/>
          <w:kern w:val="2"/>
          <w:bdr w:val="none" w:sz="0" w:space="0" w:color="auto"/>
          <w:lang w:val="en-GB" w:eastAsia="en-US"/>
          <w14:ligatures w14:val="standardContextual"/>
        </w:rPr>
        <w:t>gives ParcelCare a structured, repeatable approach to planning workforce needs effectively</w:t>
      </w:r>
      <w:r w:rsidR="00B37EE2" w:rsidRPr="00906239">
        <w:rPr>
          <w:rFonts w:asciiTheme="minorHAnsi" w:eastAsiaTheme="minorHAnsi" w:hAnsiTheme="minorHAnsi" w:cstheme="minorBidi"/>
          <w:color w:val="auto"/>
          <w:kern w:val="2"/>
          <w:bdr w:val="none" w:sz="0" w:space="0" w:color="auto"/>
          <w:lang w:val="en-GB" w:eastAsia="en-US"/>
          <w14:ligatures w14:val="standardContextual"/>
        </w:rPr>
        <w:t xml:space="preserve"> (see below).</w:t>
      </w:r>
    </w:p>
    <w:p w14:paraId="0251B4CA" w14:textId="2A2F56DB" w:rsidR="00400B37" w:rsidRPr="00906239" w:rsidRDefault="00244ABA" w:rsidP="00906239">
      <w:pPr>
        <w:spacing w:line="276" w:lineRule="auto"/>
        <w:jc w:val="both"/>
      </w:pPr>
      <w:r w:rsidRPr="00906239">
        <w:drawing>
          <wp:anchor distT="0" distB="0" distL="114300" distR="114300" simplePos="0" relativeHeight="251658240" behindDoc="0" locked="0" layoutInCell="1" allowOverlap="1" wp14:anchorId="251099CC" wp14:editId="7523DAEF">
            <wp:simplePos x="0" y="0"/>
            <wp:positionH relativeFrom="margin">
              <wp:align>center</wp:align>
            </wp:positionH>
            <wp:positionV relativeFrom="paragraph">
              <wp:posOffset>19050</wp:posOffset>
            </wp:positionV>
            <wp:extent cx="3223260" cy="3175635"/>
            <wp:effectExtent l="0" t="0" r="0" b="5715"/>
            <wp:wrapSquare wrapText="bothSides"/>
            <wp:docPr id="202902624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26246" name="Picture 1" descr="A diagram of a diagram&#10;&#10;AI-generated content may be incorrect."/>
                    <pic:cNvPicPr/>
                  </pic:nvPicPr>
                  <pic:blipFill rotWithShape="1">
                    <a:blip r:embed="rId5">
                      <a:extLst>
                        <a:ext uri="{28A0092B-C50C-407E-A947-70E740481C1C}">
                          <a14:useLocalDpi xmlns:a14="http://schemas.microsoft.com/office/drawing/2010/main" val="0"/>
                        </a:ext>
                      </a:extLst>
                    </a:blip>
                    <a:srcRect l="15233" t="4568" r="18526" b="4071"/>
                    <a:stretch>
                      <a:fillRect/>
                    </a:stretch>
                  </pic:blipFill>
                  <pic:spPr bwMode="auto">
                    <a:xfrm>
                      <a:off x="0" y="0"/>
                      <a:ext cx="3223260" cy="3175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EC1AEA" w14:textId="64AF0A69" w:rsidR="00400B37" w:rsidRPr="00586719" w:rsidRDefault="00400B37" w:rsidP="00906239">
      <w:pPr>
        <w:spacing w:line="276" w:lineRule="auto"/>
        <w:jc w:val="both"/>
      </w:pPr>
    </w:p>
    <w:p w14:paraId="006CE215" w14:textId="77777777" w:rsidR="005D37D9" w:rsidRPr="00906239" w:rsidRDefault="005D37D9" w:rsidP="00906239">
      <w:pPr>
        <w:spacing w:line="276" w:lineRule="auto"/>
        <w:jc w:val="both"/>
        <w:rPr>
          <w:b/>
          <w:bCs/>
          <w:u w:val="single"/>
        </w:rPr>
      </w:pPr>
    </w:p>
    <w:p w14:paraId="44738BE4" w14:textId="77777777" w:rsidR="00C65342" w:rsidRPr="00906239" w:rsidRDefault="00C65342" w:rsidP="00906239">
      <w:pPr>
        <w:spacing w:line="276" w:lineRule="auto"/>
        <w:jc w:val="both"/>
      </w:pPr>
    </w:p>
    <w:p w14:paraId="345B6920" w14:textId="77777777" w:rsidR="00C65342" w:rsidRPr="00906239" w:rsidRDefault="00C65342" w:rsidP="00906239">
      <w:pPr>
        <w:spacing w:line="276" w:lineRule="auto"/>
        <w:jc w:val="both"/>
      </w:pPr>
    </w:p>
    <w:p w14:paraId="7D6A133F" w14:textId="77777777" w:rsidR="00C65342" w:rsidRPr="00906239" w:rsidRDefault="00C65342" w:rsidP="00906239">
      <w:pPr>
        <w:spacing w:line="276" w:lineRule="auto"/>
        <w:jc w:val="both"/>
      </w:pPr>
    </w:p>
    <w:p w14:paraId="39E617C7" w14:textId="77777777" w:rsidR="00C65342" w:rsidRPr="00906239" w:rsidRDefault="00C65342" w:rsidP="00906239">
      <w:pPr>
        <w:spacing w:line="276" w:lineRule="auto"/>
        <w:jc w:val="both"/>
      </w:pPr>
    </w:p>
    <w:p w14:paraId="4DA64A8C" w14:textId="77777777" w:rsidR="00C65342" w:rsidRPr="00906239" w:rsidRDefault="00C65342" w:rsidP="00906239">
      <w:pPr>
        <w:spacing w:line="276" w:lineRule="auto"/>
        <w:jc w:val="both"/>
      </w:pPr>
    </w:p>
    <w:p w14:paraId="6FC24FB0" w14:textId="77777777" w:rsidR="00C65342" w:rsidRPr="00906239" w:rsidRDefault="00C65342" w:rsidP="00906239">
      <w:pPr>
        <w:spacing w:line="276" w:lineRule="auto"/>
        <w:jc w:val="both"/>
      </w:pPr>
    </w:p>
    <w:p w14:paraId="70E892D9" w14:textId="77777777" w:rsidR="00C65342" w:rsidRPr="00906239" w:rsidRDefault="00C65342" w:rsidP="00906239">
      <w:pPr>
        <w:spacing w:line="276" w:lineRule="auto"/>
        <w:jc w:val="both"/>
      </w:pPr>
    </w:p>
    <w:p w14:paraId="0033B210" w14:textId="77777777" w:rsidR="00C65342" w:rsidRPr="00906239" w:rsidRDefault="00C65342" w:rsidP="00906239">
      <w:pPr>
        <w:spacing w:line="276" w:lineRule="auto"/>
        <w:jc w:val="both"/>
        <w:rPr>
          <w:b/>
          <w:bCs/>
          <w:u w:val="single"/>
        </w:rPr>
      </w:pPr>
    </w:p>
    <w:p w14:paraId="4FE5CD10" w14:textId="77777777" w:rsidR="00C65342" w:rsidRPr="00906239" w:rsidRDefault="00C65342" w:rsidP="00906239">
      <w:pPr>
        <w:spacing w:line="276" w:lineRule="auto"/>
        <w:jc w:val="both"/>
      </w:pPr>
    </w:p>
    <w:p w14:paraId="49BE3D68" w14:textId="27BD9CFD" w:rsidR="00C65342" w:rsidRPr="00906239" w:rsidRDefault="00C65342" w:rsidP="00906239">
      <w:pPr>
        <w:spacing w:line="276" w:lineRule="auto"/>
        <w:jc w:val="both"/>
      </w:pPr>
      <w:r w:rsidRPr="00906239">
        <w:t>Photo obtained from CIPD (2024</w:t>
      </w:r>
      <w:r w:rsidR="005438FD" w:rsidRPr="00906239">
        <w:t>b</w:t>
      </w:r>
      <w:r w:rsidRPr="00906239">
        <w:t xml:space="preserve">). </w:t>
      </w:r>
    </w:p>
    <w:p w14:paraId="295751B5" w14:textId="69BC68EE" w:rsidR="00C65342" w:rsidRPr="00906239" w:rsidRDefault="00F921A1" w:rsidP="00906239">
      <w:pPr>
        <w:spacing w:line="276" w:lineRule="auto"/>
        <w:jc w:val="both"/>
      </w:pPr>
      <w:r w:rsidRPr="00906239">
        <w:lastRenderedPageBreak/>
        <w:t>W</w:t>
      </w:r>
      <w:r w:rsidR="00C65342" w:rsidRPr="00906239">
        <w:t xml:space="preserve">orkforce planning would allow ParcelCare to take control of its staffing challenges, rather than constantly reacting. </w:t>
      </w:r>
      <w:r w:rsidR="00B37EE2" w:rsidRPr="00906239">
        <w:t>Workforce planning is not just about numbers</w:t>
      </w:r>
      <w:r w:rsidR="00B37EE2" w:rsidRPr="00906239">
        <w:t xml:space="preserve"> - </w:t>
      </w:r>
      <w:r w:rsidR="00B37EE2" w:rsidRPr="00906239">
        <w:t>it’s about making smarter, future-focused decisions that build resilience and drive long-term success</w:t>
      </w:r>
      <w:r w:rsidR="00B37EE2" w:rsidRPr="00906239">
        <w:t>.</w:t>
      </w:r>
    </w:p>
    <w:p w14:paraId="2B673C51" w14:textId="77777777" w:rsidR="00B37EE2" w:rsidRPr="00906239" w:rsidRDefault="00B37EE2" w:rsidP="00906239">
      <w:pPr>
        <w:spacing w:line="276" w:lineRule="auto"/>
        <w:jc w:val="both"/>
      </w:pPr>
    </w:p>
    <w:p w14:paraId="5FDFBA60" w14:textId="77777777" w:rsidR="005438FD" w:rsidRPr="00906239" w:rsidRDefault="005438FD" w:rsidP="00906239">
      <w:pPr>
        <w:pStyle w:val="Nornal"/>
        <w:spacing w:line="276" w:lineRule="auto"/>
        <w:jc w:val="both"/>
        <w:rPr>
          <w:rStyle w:val="ui-provider"/>
          <w:rFonts w:asciiTheme="minorHAnsi" w:hAnsiTheme="minorHAnsi"/>
          <w:b/>
          <w:bCs/>
        </w:rPr>
      </w:pPr>
      <w:r w:rsidRPr="00906239">
        <w:rPr>
          <w:rStyle w:val="ui-provider"/>
          <w:rFonts w:asciiTheme="minorHAnsi" w:hAnsiTheme="minorHAnsi"/>
          <w:b/>
          <w:bCs/>
        </w:rPr>
        <w:t>To strengthen your argument to introduce workforce planning, evaluate techniques that can be used to support the process of workforce planning. (AC 2.2)</w:t>
      </w:r>
    </w:p>
    <w:p w14:paraId="1A1E1819" w14:textId="77777777" w:rsidR="00084098" w:rsidRPr="00084098" w:rsidRDefault="00084098" w:rsidP="00906239">
      <w:pPr>
        <w:spacing w:line="276" w:lineRule="auto"/>
        <w:jc w:val="both"/>
      </w:pPr>
      <w:r w:rsidRPr="00084098">
        <w:t>When it comes to workforce planning, several techniques can support ParcelCare, each with pros and cons. One common method is managerial judgement, where senior managers use their experience and insights to estimate future workforce needs based on business plans and anticipated changes. As Taylor and Woodhams (2022) explain, this approach is flexible, fast, and low-cost, making it useful for a dynamic environment like ParcelCare’s, where delivery demand can fluctuate quickly. However, managerial judgement can be subjective and inconsistent across departments, and without supporting data, it risks bias that could lead to uneven staffing decisions.</w:t>
      </w:r>
    </w:p>
    <w:p w14:paraId="0F8F4396" w14:textId="474D86F1" w:rsidR="00084098" w:rsidRPr="00084098" w:rsidRDefault="00084098" w:rsidP="00906239">
      <w:pPr>
        <w:spacing w:line="276" w:lineRule="auto"/>
        <w:jc w:val="both"/>
      </w:pPr>
      <w:r w:rsidRPr="00084098">
        <w:t>In contrast, data-driven approaches offer a more objective way to forecast workforce needs. ParcelCare can analyse internal data such as employee turnover</w:t>
      </w:r>
      <w:r w:rsidR="00AA127E">
        <w:t xml:space="preserve"> and</w:t>
      </w:r>
      <w:r w:rsidRPr="00084098">
        <w:t xml:space="preserve"> promotion rates to understand current workforce supply and identify gaps. Supplementing this with external labour market data</w:t>
      </w:r>
      <w:r w:rsidRPr="00906239">
        <w:t xml:space="preserve"> - </w:t>
      </w:r>
      <w:r w:rsidRPr="00084098">
        <w:t>like local availability of drivers</w:t>
      </w:r>
      <w:r w:rsidRPr="00906239">
        <w:t xml:space="preserve"> - </w:t>
      </w:r>
      <w:r w:rsidRPr="00084098">
        <w:t>can improve recruitment planning. The CIPD (2024b) recommends using such structured data to reduce guesswork and build a clearer picture of future needs. Skills for Health (2024) highlights that data-led workforce planning enables “smarter, faster, and more sustainable” staffing decisions, helping spot early warning signs like rising attrition or skill mismatches. However, this method relies heavily on accurate and up-to-date HR data, which can sometimes be a limitation if systems are not fully integrated or maintained.</w:t>
      </w:r>
    </w:p>
    <w:p w14:paraId="0620966E" w14:textId="77777777" w:rsidR="00084098" w:rsidRPr="00084098" w:rsidRDefault="00084098" w:rsidP="00906239">
      <w:pPr>
        <w:spacing w:line="276" w:lineRule="auto"/>
        <w:jc w:val="both"/>
      </w:pPr>
      <w:r w:rsidRPr="00084098">
        <w:t>Another technique is working backwards from costs, where staffing levels are planned based on budget constraints. While this can help ParcelCare control labour costs, there is a risk of focusing too narrowly on short-term savings, which could undermine long-term workforce stability and impact delivery quality.</w:t>
      </w:r>
    </w:p>
    <w:p w14:paraId="2B37B1A2" w14:textId="61B5F536" w:rsidR="00084098" w:rsidRPr="00084098" w:rsidRDefault="00084098" w:rsidP="00906239">
      <w:pPr>
        <w:spacing w:line="276" w:lineRule="auto"/>
        <w:jc w:val="both"/>
      </w:pPr>
      <w:r w:rsidRPr="00084098">
        <w:t>Finally, scenario planning offers a strategic, long-term perspective by imagining alternative futures</w:t>
      </w:r>
      <w:r w:rsidRPr="00906239">
        <w:t xml:space="preserve"> - </w:t>
      </w:r>
      <w:r w:rsidRPr="00084098">
        <w:t>such as technological changes or shifts in labour supply</w:t>
      </w:r>
      <w:r w:rsidRPr="00906239">
        <w:t xml:space="preserve"> - </w:t>
      </w:r>
      <w:r w:rsidRPr="00084098">
        <w:t>and assessing their potential impact on skills and staffing (Armstrong and Taylor, 2023). Although time-intensive, this technique builds resilience and encourages proactive planning, which would benefit ParcelCare by preparing for various possible market or operational changes.</w:t>
      </w:r>
    </w:p>
    <w:p w14:paraId="12A66C1F" w14:textId="77777777" w:rsidR="00084098" w:rsidRPr="00084098" w:rsidRDefault="00084098" w:rsidP="00906239">
      <w:pPr>
        <w:spacing w:line="276" w:lineRule="auto"/>
        <w:jc w:val="both"/>
      </w:pPr>
      <w:r w:rsidRPr="00084098">
        <w:t>Overall, a blended approach is best. ParcelCare should combine managerial judgement with robust data analysis, budget considerations, and scenario planning. This mix will provide a flexible, evidence-based workforce strategy able to meet both immediate operational demands and longer-term challenges.</w:t>
      </w:r>
    </w:p>
    <w:p w14:paraId="66E1DBC7" w14:textId="77777777" w:rsidR="004A6574" w:rsidRPr="00906239" w:rsidRDefault="004A6574" w:rsidP="00906239">
      <w:pPr>
        <w:spacing w:line="276" w:lineRule="auto"/>
        <w:jc w:val="both"/>
        <w:rPr>
          <w:color w:val="EE0000"/>
        </w:rPr>
      </w:pPr>
    </w:p>
    <w:p w14:paraId="639142FC" w14:textId="77777777" w:rsidR="004A6574" w:rsidRPr="00906239" w:rsidRDefault="004A6574" w:rsidP="00906239">
      <w:pPr>
        <w:pStyle w:val="Nornal"/>
        <w:spacing w:line="276" w:lineRule="auto"/>
        <w:jc w:val="both"/>
        <w:rPr>
          <w:rStyle w:val="ui-provider"/>
          <w:rFonts w:asciiTheme="minorHAnsi" w:hAnsiTheme="minorHAnsi"/>
          <w:b/>
          <w:bCs/>
        </w:rPr>
      </w:pPr>
      <w:r w:rsidRPr="00906239">
        <w:rPr>
          <w:rStyle w:val="ui-provider"/>
          <w:rFonts w:asciiTheme="minorHAnsi" w:hAnsiTheme="minorHAnsi"/>
          <w:b/>
          <w:bCs/>
        </w:rPr>
        <w:t xml:space="preserve">Currently, vacancies are advertised on ParcelCare’s website. Line managers then interview shortlisted applicants. You feel that these are suitable recruitment and selection methods </w:t>
      </w:r>
      <w:r w:rsidRPr="00906239">
        <w:rPr>
          <w:rStyle w:val="ui-provider"/>
          <w:rFonts w:asciiTheme="minorHAnsi" w:hAnsiTheme="minorHAnsi"/>
          <w:b/>
          <w:bCs/>
        </w:rPr>
        <w:lastRenderedPageBreak/>
        <w:t>to use but want to broaden the methods used. Evaluate the strengths and weaknesses of</w:t>
      </w:r>
      <w:r w:rsidRPr="00906239">
        <w:rPr>
          <w:rFonts w:asciiTheme="minorHAnsi" w:hAnsiTheme="minorHAnsi"/>
          <w:b/>
          <w:bCs/>
        </w:rPr>
        <w:t xml:space="preserve"> two</w:t>
      </w:r>
      <w:r w:rsidRPr="00906239">
        <w:rPr>
          <w:rStyle w:val="ui-provider"/>
          <w:rFonts w:asciiTheme="minorHAnsi" w:hAnsiTheme="minorHAnsi"/>
          <w:b/>
          <w:bCs/>
        </w:rPr>
        <w:t xml:space="preserve"> different recruitment methods and </w:t>
      </w:r>
      <w:r w:rsidRPr="00906239">
        <w:rPr>
          <w:rFonts w:asciiTheme="minorHAnsi" w:hAnsiTheme="minorHAnsi"/>
          <w:b/>
          <w:bCs/>
        </w:rPr>
        <w:t>two</w:t>
      </w:r>
      <w:r w:rsidRPr="00906239">
        <w:rPr>
          <w:rStyle w:val="ui-provider"/>
          <w:rFonts w:asciiTheme="minorHAnsi" w:hAnsiTheme="minorHAnsi"/>
          <w:b/>
          <w:bCs/>
        </w:rPr>
        <w:t xml:space="preserve"> different selection methods. (AC 2.3)</w:t>
      </w:r>
    </w:p>
    <w:p w14:paraId="09778D85" w14:textId="0243554B" w:rsidR="00AC48A9" w:rsidRPr="00906239" w:rsidRDefault="00B66F23" w:rsidP="00906239">
      <w:pPr>
        <w:spacing w:line="276" w:lineRule="auto"/>
        <w:jc w:val="both"/>
      </w:pPr>
      <w:r w:rsidRPr="00906239">
        <w:t xml:space="preserve">One strong recruitment method is the use of external recruitment agencies. According to Randstad (2025), agencies remain the </w:t>
      </w:r>
      <w:proofErr w:type="gramStart"/>
      <w:r w:rsidRPr="00906239">
        <w:t>most commonly used</w:t>
      </w:r>
      <w:proofErr w:type="gramEnd"/>
      <w:r w:rsidRPr="00906239">
        <w:t xml:space="preserve"> route for job seekers, with 43% using them to search for a job and 28% successfully changing employer through this method. Recruitment agencies provide access to large, pre-screened talent pools and are especially valuable for filling specialist or hard-to-</w:t>
      </w:r>
      <w:r w:rsidRPr="00906239">
        <w:t>fill</w:t>
      </w:r>
      <w:r w:rsidRPr="00906239">
        <w:t xml:space="preserve"> roles, whether on a permanent or temporary basis. They typically have strong knowledge of current market trends and can respond quickly to urgent hiring needs. However, there are drawbacks to consider. The cost of using agencies can be significant</w:t>
      </w:r>
      <w:r w:rsidRPr="00906239">
        <w:t xml:space="preserve"> - </w:t>
      </w:r>
      <w:r w:rsidRPr="00906239">
        <w:t>especially when relied on frequently</w:t>
      </w:r>
      <w:r w:rsidRPr="00906239">
        <w:t xml:space="preserve"> - </w:t>
      </w:r>
      <w:r w:rsidRPr="00906239">
        <w:t>and the organisation may have less control over how its employer brand is communicated (BBC, 2025</w:t>
      </w:r>
      <w:r w:rsidRPr="00906239">
        <w:t xml:space="preserve">; </w:t>
      </w:r>
      <w:r w:rsidRPr="00906239">
        <w:t>CIPD, 2024c). Additionally, not all candidates sourced externally may align with the organisation’s culture or long-term goals.</w:t>
      </w:r>
    </w:p>
    <w:p w14:paraId="342740CE" w14:textId="2D7CBFA9" w:rsidR="00AC48A9" w:rsidRPr="00906239" w:rsidRDefault="00B30534" w:rsidP="00906239">
      <w:pPr>
        <w:spacing w:line="276" w:lineRule="auto"/>
        <w:jc w:val="both"/>
      </w:pPr>
      <w:r w:rsidRPr="00906239">
        <w:t>Although Randstad (2025) highlights LinkedIn as the second most common method for job seekers overall, the report also notes that operational talent tends to rely on it less frequently. In the context of ParcelCare, employee referral schemes could be a valuable addition to the recruitment strategy. These schemes encourage existing staff to recommend friends or professional contacts they believe would be suitable for open roles. According to Armstrong &amp; Taylor (2017), 33% of candidates reported using a referral scheme during their job search. A key advantage of this method is its cost-effectiveness and potential to attract candidates who already have some understanding of the company through personal connections</w:t>
      </w:r>
      <w:r w:rsidRPr="00906239">
        <w:t xml:space="preserve"> (CIPD, 2017).</w:t>
      </w:r>
      <w:r w:rsidRPr="00906239">
        <w:t xml:space="preserve"> However, there are limitations. Candidates are likely to have a favourable opinion of the organisation if the referrer enjoys their job</w:t>
      </w:r>
      <w:r w:rsidRPr="00906239">
        <w:t xml:space="preserve">, </w:t>
      </w:r>
      <w:r w:rsidRPr="00906239">
        <w:t>though they’re unlikely to recommend it as a workplace otherwise</w:t>
      </w:r>
      <w:r w:rsidRPr="00906239">
        <w:t xml:space="preserve"> (CIPD, 2017)</w:t>
      </w:r>
      <w:r w:rsidRPr="00906239">
        <w:t>.</w:t>
      </w:r>
      <w:r w:rsidRPr="00906239">
        <w:t xml:space="preserve"> </w:t>
      </w:r>
      <w:r w:rsidRPr="00906239">
        <w:t>Referrals often come from similar social or demographic groups, which could unintentionally narrow the talent pool</w:t>
      </w:r>
      <w:r w:rsidRPr="00906239">
        <w:t xml:space="preserve"> </w:t>
      </w:r>
      <w:proofErr w:type="gramStart"/>
      <w:r w:rsidRPr="00906239">
        <w:t>and also</w:t>
      </w:r>
      <w:proofErr w:type="gramEnd"/>
      <w:r w:rsidRPr="00906239">
        <w:t xml:space="preserve"> limit diversity.</w:t>
      </w:r>
    </w:p>
    <w:p w14:paraId="73D3F01E" w14:textId="6C143EFD" w:rsidR="00B30534" w:rsidRPr="00906239" w:rsidRDefault="006D7174" w:rsidP="00906239">
      <w:pPr>
        <w:spacing w:line="276" w:lineRule="auto"/>
        <w:jc w:val="both"/>
      </w:pPr>
      <w:r w:rsidRPr="00906239">
        <w:t xml:space="preserve">In terms of selection methods, one widely </w:t>
      </w:r>
      <w:proofErr w:type="gramStart"/>
      <w:r w:rsidRPr="00906239">
        <w:t>used</w:t>
      </w:r>
      <w:proofErr w:type="gramEnd"/>
      <w:r w:rsidRPr="00906239">
        <w:t xml:space="preserve"> and evidence-based approach is the structured interview. Unlike informal interviews, structured interviews follow a consistent format</w:t>
      </w:r>
      <w:r w:rsidRPr="00906239">
        <w:t xml:space="preserve"> - </w:t>
      </w:r>
      <w:r w:rsidRPr="00906239">
        <w:t xml:space="preserve">typically with pre-agreed questions focused on job-relevant competencies. According to </w:t>
      </w:r>
      <w:r w:rsidR="00472CCD">
        <w:t>McCartney</w:t>
      </w:r>
      <w:r w:rsidRPr="00906239">
        <w:t xml:space="preserve"> (2024</w:t>
      </w:r>
      <w:r w:rsidR="00472CCD">
        <w:t>a</w:t>
      </w:r>
      <w:r w:rsidRPr="00906239">
        <w:t>)</w:t>
      </w:r>
      <w:r w:rsidRPr="00906239">
        <w:t xml:space="preserve"> this method offers higher reliability and fairness, as all candidates are assessed against the same criteria. For ParcelCare, this could improve the quality of hire while reducing bias in decision-making. However, one limitation is that structured interviews may not always allow space to explore an individual’s personality or adaptability in unexpected situations, which can be particularly important in fast-paced operational role</w:t>
      </w:r>
      <w:r w:rsidRPr="00906239">
        <w:t>s (Armstrong &amp; Taylor, 2017).</w:t>
      </w:r>
    </w:p>
    <w:p w14:paraId="1E36A35E" w14:textId="09EB088A" w:rsidR="006D7174" w:rsidRPr="00906239" w:rsidRDefault="006D7174" w:rsidP="00906239">
      <w:pPr>
        <w:spacing w:line="276" w:lineRule="auto"/>
        <w:jc w:val="both"/>
      </w:pPr>
      <w:r w:rsidRPr="00906239">
        <w:t xml:space="preserve">Another </w:t>
      </w:r>
      <w:r w:rsidRPr="00906239">
        <w:t xml:space="preserve">selection </w:t>
      </w:r>
      <w:r w:rsidRPr="00906239">
        <w:t>method to consider is the use of assessment centres. These involve a combination of exercises</w:t>
      </w:r>
      <w:r w:rsidRPr="00906239">
        <w:t xml:space="preserve"> - </w:t>
      </w:r>
      <w:r w:rsidRPr="00906239">
        <w:t>such as role plays, group tasks</w:t>
      </w:r>
      <w:r w:rsidR="00F921A1" w:rsidRPr="00906239">
        <w:t xml:space="preserve"> and</w:t>
      </w:r>
      <w:r w:rsidRPr="00906239">
        <w:t xml:space="preserve"> presentations</w:t>
      </w:r>
      <w:r w:rsidRPr="00906239">
        <w:t xml:space="preserve"> - </w:t>
      </w:r>
      <w:r w:rsidRPr="00906239">
        <w:t xml:space="preserve">designed to assess a range of skills and behaviours. As outlined by </w:t>
      </w:r>
      <w:r w:rsidR="00472CCD">
        <w:t>McCartney</w:t>
      </w:r>
      <w:r w:rsidRPr="00906239">
        <w:t xml:space="preserve"> (2024</w:t>
      </w:r>
      <w:r w:rsidR="00472CCD">
        <w:t>a</w:t>
      </w:r>
      <w:r w:rsidRPr="00906239">
        <w:t xml:space="preserve">), assessment centres are highly effective at predicting future performance, especially for team-based or leadership roles. They provide a more rounded picture of a candidate’s abilities than interviews alone. For ParcelCare, this approach could be particularly useful when recruiting for roles </w:t>
      </w:r>
      <w:r w:rsidRPr="00906239">
        <w:t xml:space="preserve">for graduates or candidates </w:t>
      </w:r>
      <w:r w:rsidRPr="00906239">
        <w:t>requiring strong interpersonal or problem-solving skills. However, assessment centres can be resource-intensive, requiring time, trained assessors, and planning</w:t>
      </w:r>
      <w:r w:rsidRPr="00906239">
        <w:t xml:space="preserve"> (Armstrong &amp; Taylor, 2017). </w:t>
      </w:r>
    </w:p>
    <w:p w14:paraId="691F605C" w14:textId="77777777" w:rsidR="00C2679B" w:rsidRPr="00906239" w:rsidRDefault="00C2679B" w:rsidP="00906239">
      <w:pPr>
        <w:pStyle w:val="Nornal"/>
        <w:spacing w:line="276" w:lineRule="auto"/>
        <w:jc w:val="both"/>
        <w:rPr>
          <w:rStyle w:val="ui-provider"/>
          <w:rFonts w:asciiTheme="minorHAnsi" w:hAnsiTheme="minorHAnsi"/>
        </w:rPr>
      </w:pPr>
    </w:p>
    <w:p w14:paraId="66156A72" w14:textId="36DA1AF3" w:rsidR="00C2679B" w:rsidRPr="00906239" w:rsidRDefault="00C2679B" w:rsidP="00906239">
      <w:pPr>
        <w:spacing w:line="276" w:lineRule="auto"/>
        <w:jc w:val="both"/>
        <w:rPr>
          <w:b/>
          <w:bCs/>
        </w:rPr>
      </w:pPr>
      <w:r w:rsidRPr="00906239">
        <w:rPr>
          <w:b/>
          <w:bCs/>
        </w:rPr>
        <w:lastRenderedPageBreak/>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E339E86" w14:textId="0C261C7C" w:rsidR="001F5230" w:rsidRPr="001F5230" w:rsidRDefault="001F5230" w:rsidP="00906239">
      <w:pPr>
        <w:spacing w:line="276" w:lineRule="auto"/>
        <w:jc w:val="both"/>
      </w:pPr>
      <w:r w:rsidRPr="001F5230">
        <w:t xml:space="preserve">ParcelCare needs to understand the difference between avoidable and unavoidable </w:t>
      </w:r>
      <w:r w:rsidR="00F921A1" w:rsidRPr="00906239">
        <w:t>turnover and</w:t>
      </w:r>
      <w:r w:rsidRPr="001F5230">
        <w:t xml:space="preserve"> weigh up </w:t>
      </w:r>
      <w:r w:rsidR="00F921A1" w:rsidRPr="00906239">
        <w:t>‘</w:t>
      </w:r>
      <w:r w:rsidRPr="001F5230">
        <w:t>push</w:t>
      </w:r>
      <w:r w:rsidR="00F921A1" w:rsidRPr="00906239">
        <w:t>’</w:t>
      </w:r>
      <w:r w:rsidRPr="001F5230">
        <w:t xml:space="preserve"> versus </w:t>
      </w:r>
      <w:r w:rsidR="00F921A1" w:rsidRPr="00906239">
        <w:t>‘</w:t>
      </w:r>
      <w:r w:rsidRPr="001F5230">
        <w:t>pull</w:t>
      </w:r>
      <w:r w:rsidR="00F921A1" w:rsidRPr="00906239">
        <w:t>’</w:t>
      </w:r>
      <w:r w:rsidRPr="001F5230">
        <w:t xml:space="preserve"> factors, to address </w:t>
      </w:r>
      <w:proofErr w:type="gramStart"/>
      <w:r w:rsidRPr="001F5230">
        <w:t>its</w:t>
      </w:r>
      <w:proofErr w:type="gramEnd"/>
      <w:r w:rsidRPr="001F5230">
        <w:t xml:space="preserve"> higher</w:t>
      </w:r>
      <w:r w:rsidR="00F921A1" w:rsidRPr="00906239">
        <w:t xml:space="preserve"> </w:t>
      </w:r>
      <w:r w:rsidRPr="001F5230">
        <w:t>than</w:t>
      </w:r>
      <w:r w:rsidR="00F921A1" w:rsidRPr="00906239">
        <w:t xml:space="preserve"> </w:t>
      </w:r>
      <w:r w:rsidRPr="001F5230">
        <w:t>target attrition rate. Avoidable turnover stems from internal, controllable issues such as poor leadership, low pay, limited development opportunities, or a disengaging culture</w:t>
      </w:r>
      <w:r w:rsidRPr="00906239">
        <w:t xml:space="preserve"> - </w:t>
      </w:r>
      <w:r w:rsidRPr="001F5230">
        <w:t>factors HR can actively influence (Taylor &amp; Woodham</w:t>
      </w:r>
      <w:r w:rsidRPr="00906239">
        <w:t>s</w:t>
      </w:r>
      <w:r w:rsidRPr="001F5230">
        <w:t>, 202</w:t>
      </w:r>
      <w:r w:rsidRPr="00906239">
        <w:t>2</w:t>
      </w:r>
      <w:r w:rsidRPr="001F5230">
        <w:t>; CIPD, 2025</w:t>
      </w:r>
      <w:r w:rsidRPr="00906239">
        <w:t>b</w:t>
      </w:r>
      <w:r w:rsidRPr="001F5230">
        <w:t>). Unavoidable turnover, by contrast, arises from external circumstances like retirement, illness, or relocation</w:t>
      </w:r>
      <w:r w:rsidRPr="00906239">
        <w:t xml:space="preserve"> - </w:t>
      </w:r>
      <w:r w:rsidRPr="001F5230">
        <w:t>events that are largely outside the organisation’s control (</w:t>
      </w:r>
      <w:r w:rsidRPr="00906239">
        <w:t>Thomas</w:t>
      </w:r>
      <w:r w:rsidRPr="001F5230">
        <w:t>, 2019). While some level of turnover is expected, high avoidable turnover can negatively impact performance, morale, and operational cost-efficiency (CIPD, 2025</w:t>
      </w:r>
      <w:r w:rsidRPr="00906239">
        <w:t>b</w:t>
      </w:r>
      <w:r w:rsidRPr="001F5230">
        <w:t>).</w:t>
      </w:r>
    </w:p>
    <w:p w14:paraId="4D55660D" w14:textId="60FB88A7" w:rsidR="001F5230" w:rsidRPr="001F5230" w:rsidRDefault="001F5230" w:rsidP="00906239">
      <w:pPr>
        <w:spacing w:line="276" w:lineRule="auto"/>
        <w:jc w:val="both"/>
      </w:pPr>
      <w:r w:rsidRPr="001F5230">
        <w:t>To respond effectively, ParcelCare must address both push and pull factors. Push factors are internal frustrations that drive employees away, such as poor line management, limited progression, lack of recognition, or excessive workload (CIPD, 2025</w:t>
      </w:r>
      <w:r w:rsidRPr="00906239">
        <w:t>b</w:t>
      </w:r>
      <w:r w:rsidRPr="001F5230">
        <w:t>). The CIPD emphasises that many of these causes are preventable through better pay structures, clearer development pathways, and improved management practices. On the other hand, pull factors stem from external opportunities</w:t>
      </w:r>
      <w:r w:rsidRPr="00906239">
        <w:t xml:space="preserve"> - </w:t>
      </w:r>
      <w:r w:rsidRPr="001F5230">
        <w:t>like better pay, flexible working, or more appealing job roles at other companies (CIPD, 2025</w:t>
      </w:r>
      <w:r w:rsidRPr="00906239">
        <w:t>b</w:t>
      </w:r>
      <w:r w:rsidRPr="001F5230">
        <w:t>). While harder to control, organisations need to remain competitive to retain talent.</w:t>
      </w:r>
    </w:p>
    <w:p w14:paraId="6038E5CD" w14:textId="2CB66A27" w:rsidR="001F5230" w:rsidRPr="001F5230" w:rsidRDefault="001F5230" w:rsidP="00906239">
      <w:pPr>
        <w:spacing w:line="276" w:lineRule="auto"/>
        <w:jc w:val="both"/>
      </w:pPr>
      <w:r w:rsidRPr="001F5230">
        <w:t>Investing in “care-driven leadership”</w:t>
      </w:r>
      <w:r w:rsidRPr="00906239">
        <w:t>,</w:t>
      </w:r>
      <w:r w:rsidRPr="001F5230">
        <w:t xml:space="preserve"> where managers show empathy and support, can significantly reduce turnover by tackling core push factors (Thomas, 2019). When employees feel heard and supported, their loyalty and engagement increase</w:t>
      </w:r>
      <w:r w:rsidRPr="00906239">
        <w:t xml:space="preserve"> - </w:t>
      </w:r>
      <w:r w:rsidRPr="001F5230">
        <w:t xml:space="preserve">even in the face of external </w:t>
      </w:r>
      <w:r w:rsidRPr="00906239">
        <w:t>pulls</w:t>
      </w:r>
      <w:r w:rsidRPr="001F5230">
        <w:t>. It’s also important to recognise that certain groups, including women and LGBTQ+ employees, are more likely to face push-related challenges such as exclusion or discrimination (CIPD, 2025</w:t>
      </w:r>
      <w:r w:rsidRPr="00906239">
        <w:t>b</w:t>
      </w:r>
      <w:r w:rsidRPr="001F5230">
        <w:t>). Without intervention, these groups may leave at disproportionately high rates.</w:t>
      </w:r>
    </w:p>
    <w:p w14:paraId="01D4C497" w14:textId="6D131AD4" w:rsidR="001F5230" w:rsidRPr="00906239" w:rsidRDefault="001F5230" w:rsidP="00906239">
      <w:pPr>
        <w:spacing w:line="276" w:lineRule="auto"/>
        <w:jc w:val="both"/>
      </w:pPr>
      <w:r w:rsidRPr="001F5230">
        <w:t>To understand why people are leaving, ParcelCare should conduct confidential exit interviews</w:t>
      </w:r>
      <w:r w:rsidRPr="00906239">
        <w:t xml:space="preserve"> - </w:t>
      </w:r>
      <w:r w:rsidRPr="001F5230">
        <w:t>ideally via neutral parties or external providers</w:t>
      </w:r>
      <w:r w:rsidRPr="00906239">
        <w:t xml:space="preserve"> - t</w:t>
      </w:r>
      <w:r w:rsidRPr="001F5230">
        <w:t>o gather honest insights (CIPD, 2025</w:t>
      </w:r>
      <w:r w:rsidRPr="00906239">
        <w:t>b</w:t>
      </w:r>
      <w:r w:rsidRPr="001F5230">
        <w:t>). Combined with regular engagement surveys and internal data analysis, this will help pinpoint whether exits are driven by push or pull factors and allow for targeted retention strategies to be implemented.</w:t>
      </w:r>
    </w:p>
    <w:p w14:paraId="2B3401A7" w14:textId="77777777" w:rsidR="0002286D" w:rsidRPr="00906239" w:rsidRDefault="0002286D" w:rsidP="00906239">
      <w:pPr>
        <w:pStyle w:val="Nornal"/>
        <w:spacing w:line="276" w:lineRule="auto"/>
        <w:jc w:val="both"/>
        <w:rPr>
          <w:rStyle w:val="ui-provider"/>
          <w:rFonts w:asciiTheme="minorHAnsi" w:hAnsiTheme="minorHAnsi"/>
        </w:rPr>
      </w:pPr>
    </w:p>
    <w:p w14:paraId="10F4B5BB" w14:textId="23B1B6C1" w:rsidR="0002286D" w:rsidRPr="00906239" w:rsidRDefault="0002286D" w:rsidP="00906239">
      <w:pPr>
        <w:spacing w:line="276" w:lineRule="auto"/>
        <w:jc w:val="both"/>
        <w:rPr>
          <w:b/>
          <w:bCs/>
        </w:rPr>
      </w:pPr>
      <w:r w:rsidRPr="00906239">
        <w:rPr>
          <w:b/>
          <w:bCs/>
        </w:rPr>
        <w:t>Retention of warehouse staff is an issue, as there are many labour market competitors. Compare the following retention approaches: realistic job previews; induction; job enrichment; and reward. (AC 3.2)</w:t>
      </w:r>
    </w:p>
    <w:p w14:paraId="0860487C" w14:textId="41159354" w:rsidR="0002286D" w:rsidRPr="00906239" w:rsidRDefault="00910B83" w:rsidP="00906239">
      <w:pPr>
        <w:spacing w:line="276" w:lineRule="auto"/>
        <w:jc w:val="both"/>
      </w:pPr>
      <w:r w:rsidRPr="00906239">
        <w:t>Comparing different retention strategies can help us identify what really makes a difference. One useful approach is the use of realistic job previews (RJPs). This involves being upfront with candidates about both the positive and more demanding aspects of the role. The North Yorkshire Police case study provides a great example of this in practice</w:t>
      </w:r>
      <w:r w:rsidRPr="00906239">
        <w:t xml:space="preserve"> - </w:t>
      </w:r>
      <w:r w:rsidRPr="00906239">
        <w:t xml:space="preserve">when they introduced RJPs, they saw a noticeable reduction in early leavers, because expectations were aligned from the start (Hogarth, 2021). For ParcelCare, this could mean being honest about physical demands, shift </w:t>
      </w:r>
      <w:r w:rsidRPr="00906239">
        <w:lastRenderedPageBreak/>
        <w:t>patterns and warehouse conditions before day one, helping avoid disappointment and quick exits.</w:t>
      </w:r>
    </w:p>
    <w:p w14:paraId="7C060311" w14:textId="51C0C2B6" w:rsidR="00910B83" w:rsidRPr="00906239" w:rsidRDefault="00B525A4" w:rsidP="00906239">
      <w:pPr>
        <w:spacing w:line="276" w:lineRule="auto"/>
        <w:jc w:val="both"/>
      </w:pPr>
      <w:r w:rsidRPr="00906239">
        <w:t>Another retention approach is induction.</w:t>
      </w:r>
      <w:r w:rsidRPr="00906239">
        <w:t xml:space="preserve"> A positive induction can have a strong impact on how new employees feel about their role and the wider organisation. If handled well, it can increase early engagement, build confidence and help new starters feel like they belong, which is essential in fast-paced warehouse environments. According to McCartney (2024</w:t>
      </w:r>
      <w:r w:rsidR="00476468">
        <w:t>b</w:t>
      </w:r>
      <w:r w:rsidRPr="00906239">
        <w:t>), a well-structured induction improves retention by laying a solid foundation from the beginning, especially when it includes key information, access to support, and early role clarity</w:t>
      </w:r>
      <w:r w:rsidRPr="00906239">
        <w:t xml:space="preserve">, therefore positively affecting employee turnover. </w:t>
      </w:r>
    </w:p>
    <w:p w14:paraId="6DA4CC53" w14:textId="04D34BE6" w:rsidR="0002286D" w:rsidRPr="00906239" w:rsidRDefault="00A27DDC" w:rsidP="00906239">
      <w:pPr>
        <w:spacing w:line="276" w:lineRule="auto"/>
        <w:jc w:val="both"/>
      </w:pPr>
      <w:r w:rsidRPr="00906239">
        <w:t>Job enrichment is a longer-term strategy that enhances the design of the role itself. When employees are given more variety, autonomy</w:t>
      </w:r>
      <w:r w:rsidR="00F921A1" w:rsidRPr="00906239">
        <w:t xml:space="preserve"> </w:t>
      </w:r>
      <w:r w:rsidRPr="00906239">
        <w:t>and a sense of ownership, their motivation and overall job satisfaction can significantly improve. According to Young (2024), enriched roles not only make work feel more fulfilling but also support career development, healthier workloads, and long-term organisational sustainability. For ParcelCare’s warehouse staff, this might mean introducing responsibilities like overseeing stock accuracy, participating in quality checks, or leading small shift teams</w:t>
      </w:r>
      <w:r w:rsidRPr="00906239">
        <w:t xml:space="preserve">, therefore </w:t>
      </w:r>
      <w:r w:rsidRPr="00906239">
        <w:t>increas</w:t>
      </w:r>
      <w:r w:rsidRPr="00906239">
        <w:t>ing</w:t>
      </w:r>
      <w:r w:rsidRPr="00906239">
        <w:t xml:space="preserve"> engagement by helping employees feel trusted</w:t>
      </w:r>
      <w:r w:rsidRPr="00906239">
        <w:t xml:space="preserve"> and valued.</w:t>
      </w:r>
    </w:p>
    <w:p w14:paraId="3A995902" w14:textId="2B7D42F2" w:rsidR="00A73177" w:rsidRPr="00906239" w:rsidRDefault="00A73177" w:rsidP="00906239">
      <w:pPr>
        <w:spacing w:line="276" w:lineRule="auto"/>
        <w:jc w:val="both"/>
      </w:pPr>
      <w:r w:rsidRPr="00906239">
        <w:t>Reward plays a central role in retention, particularly when it goes beyond just base pay. A total reward approach</w:t>
      </w:r>
      <w:r w:rsidRPr="00906239">
        <w:t xml:space="preserve"> - </w:t>
      </w:r>
      <w:r w:rsidRPr="00906239">
        <w:t>one that combines financial elements like salary and bonuses with non-financial aspects such as recognition, career development, wellbeing support, and flexible working</w:t>
      </w:r>
      <w:r w:rsidRPr="00906239">
        <w:t xml:space="preserve"> - </w:t>
      </w:r>
      <w:r w:rsidRPr="00906239">
        <w:t xml:space="preserve">is far more effective in building loyalty (CIPD, 2025c). </w:t>
      </w:r>
      <w:r w:rsidRPr="00906239">
        <w:t>The CIPD continue to state that t</w:t>
      </w:r>
      <w:r w:rsidRPr="00906239">
        <w:t xml:space="preserve">hen employees feel </w:t>
      </w:r>
      <w:r w:rsidRPr="00906239">
        <w:t xml:space="preserve">recognised and </w:t>
      </w:r>
      <w:proofErr w:type="gramStart"/>
      <w:r w:rsidRPr="00906239">
        <w:t>fairly rewarded</w:t>
      </w:r>
      <w:proofErr w:type="gramEnd"/>
      <w:r w:rsidRPr="00906239">
        <w:t>, they’re more likely to remain committed to the organisation. For ParcelCare, introducing or improving benefits like shift flexibility, peer recognition schemes, or development pathways could help warehouse staff feel more appreciated and supported</w:t>
      </w:r>
      <w:r w:rsidR="00182B76" w:rsidRPr="00906239">
        <w:t xml:space="preserve">. </w:t>
      </w:r>
      <w:r w:rsidR="00182B76" w:rsidRPr="00906239">
        <w:t>It also gives ParcelCare a competitive edge by offering a more well-rounded employee value proposition</w:t>
      </w:r>
      <w:r w:rsidR="00182B76" w:rsidRPr="00906239">
        <w:t xml:space="preserve"> - </w:t>
      </w:r>
      <w:r w:rsidR="00182B76" w:rsidRPr="00906239">
        <w:t>something that’s becoming essential in attracting and retaining talent in today’s tight labour markets</w:t>
      </w:r>
      <w:r w:rsidR="00182B76" w:rsidRPr="00906239">
        <w:t>.</w:t>
      </w:r>
    </w:p>
    <w:p w14:paraId="64519487" w14:textId="79952F1D" w:rsidR="000D036F" w:rsidRPr="00906239" w:rsidRDefault="00BD0D77" w:rsidP="00906239">
      <w:pPr>
        <w:spacing w:line="276" w:lineRule="auto"/>
        <w:jc w:val="both"/>
        <w:rPr>
          <w:rStyle w:val="ui-provider"/>
        </w:rPr>
      </w:pPr>
      <w:r w:rsidRPr="00906239">
        <w:t>Taking cost, resource and effectiveness into account, the most balanced and impactful approach for ParcelCare would</w:t>
      </w:r>
      <w:r w:rsidRPr="00906239">
        <w:t xml:space="preserve"> likely be t</w:t>
      </w:r>
      <w:r w:rsidRPr="00906239">
        <w:t xml:space="preserve">o prioritise a strong induction process combined with realistic job previews. These approaches are relatively low-cost to implement and don’t require significant ongoing resources, yet they can have a </w:t>
      </w:r>
      <w:r w:rsidRPr="00906239">
        <w:t>big</w:t>
      </w:r>
      <w:r w:rsidRPr="00906239">
        <w:t xml:space="preserve"> effect on early retention by managing expectations and creating a sense of belonging from the start. While job enrichment and total reward strategies offe</w:t>
      </w:r>
      <w:r w:rsidRPr="00906239">
        <w:t>r</w:t>
      </w:r>
      <w:r w:rsidRPr="00906239">
        <w:t xml:space="preserve"> longer-term benefits, they </w:t>
      </w:r>
      <w:r w:rsidRPr="00906239">
        <w:t xml:space="preserve">will </w:t>
      </w:r>
      <w:r w:rsidRPr="00906239">
        <w:t xml:space="preserve">require more investment and </w:t>
      </w:r>
      <w:r w:rsidRPr="00906239">
        <w:t xml:space="preserve">change. </w:t>
      </w:r>
      <w:r w:rsidRPr="00906239">
        <w:t>Starting with realistic onboarding and expectation management gives ParcelCare a solid foundation to reduce early turnover and improve retention, while gradually developing more resource-intensive strategies like reward and job design over time</w:t>
      </w:r>
      <w:r w:rsidRPr="00906239">
        <w:t>.</w:t>
      </w:r>
    </w:p>
    <w:p w14:paraId="59C49916" w14:textId="77777777" w:rsidR="00EC67F2" w:rsidRPr="00906239" w:rsidRDefault="00EC67F2" w:rsidP="00906239">
      <w:pPr>
        <w:spacing w:line="276" w:lineRule="auto"/>
        <w:jc w:val="both"/>
        <w:rPr>
          <w:b/>
          <w:bCs/>
        </w:rPr>
      </w:pPr>
    </w:p>
    <w:p w14:paraId="4248AAA6" w14:textId="0458B280" w:rsidR="000D036F" w:rsidRPr="00906239" w:rsidRDefault="000D036F" w:rsidP="00906239">
      <w:pPr>
        <w:spacing w:line="276" w:lineRule="auto"/>
        <w:jc w:val="both"/>
        <w:rPr>
          <w:b/>
          <w:bCs/>
        </w:rPr>
      </w:pPr>
      <w:r w:rsidRPr="00906239">
        <w:rPr>
          <w:b/>
          <w:bCs/>
        </w:rPr>
        <w:t>To influence the senior leadership team to accept that employee turnover should be addressed, explain the impact of dysfunctional employee turnover. (AC 3.3)</w:t>
      </w:r>
    </w:p>
    <w:p w14:paraId="751F65F0" w14:textId="77777777" w:rsidR="006F5FB5" w:rsidRPr="00906239" w:rsidRDefault="006F5FB5" w:rsidP="00906239">
      <w:pPr>
        <w:spacing w:line="276" w:lineRule="auto"/>
        <w:jc w:val="both"/>
      </w:pPr>
      <w:r w:rsidRPr="00906239">
        <w:t xml:space="preserve">Dysfunctional turnover occurs when high-performing, experienced, or hard-to-replace employees leave the business (Maertz et al., 2022). Unlike expected or routine turnover, this kind </w:t>
      </w:r>
      <w:r w:rsidRPr="00906239">
        <w:lastRenderedPageBreak/>
        <w:t>of loss is far more damaging and disruptive, especially for a company like ParcelCare, where operational consistency and skilled staff are essential.</w:t>
      </w:r>
    </w:p>
    <w:p w14:paraId="512121B3" w14:textId="347A7501" w:rsidR="006F5FB5" w:rsidRPr="00906239" w:rsidRDefault="006F5FB5" w:rsidP="00906239">
      <w:pPr>
        <w:spacing w:line="276" w:lineRule="auto"/>
        <w:jc w:val="both"/>
      </w:pPr>
      <w:r w:rsidRPr="00906239">
        <w:drawing>
          <wp:inline distT="0" distB="0" distL="0" distR="0" wp14:anchorId="58E77E94" wp14:editId="1A1679F4">
            <wp:extent cx="5731510" cy="1818005"/>
            <wp:effectExtent l="0" t="0" r="2540" b="0"/>
            <wp:docPr id="159550133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01331" name="Picture 1" descr="A screenshot of a computer screen&#10;&#10;AI-generated content may be incorrect."/>
                    <pic:cNvPicPr/>
                  </pic:nvPicPr>
                  <pic:blipFill>
                    <a:blip r:embed="rId6"/>
                    <a:stretch>
                      <a:fillRect/>
                    </a:stretch>
                  </pic:blipFill>
                  <pic:spPr>
                    <a:xfrm>
                      <a:off x="0" y="0"/>
                      <a:ext cx="5731510" cy="1818005"/>
                    </a:xfrm>
                    <a:prstGeom prst="rect">
                      <a:avLst/>
                    </a:prstGeom>
                  </pic:spPr>
                </pic:pic>
              </a:graphicData>
            </a:graphic>
          </wp:inline>
        </w:drawing>
      </w:r>
    </w:p>
    <w:p w14:paraId="26BB3D8E" w14:textId="7DC6D79C" w:rsidR="006F5FB5" w:rsidRPr="00906239" w:rsidRDefault="006F5FB5" w:rsidP="00906239">
      <w:pPr>
        <w:spacing w:line="276" w:lineRule="auto"/>
        <w:jc w:val="both"/>
      </w:pPr>
      <w:r w:rsidRPr="00906239">
        <w:t>Table obtained from Taylor and Woodhams (2022).</w:t>
      </w:r>
    </w:p>
    <w:p w14:paraId="3F510A43" w14:textId="40B9AC4D" w:rsidR="006F5FB5" w:rsidRPr="006F5FB5" w:rsidRDefault="006F5FB5" w:rsidP="00906239">
      <w:pPr>
        <w:spacing w:line="276" w:lineRule="auto"/>
        <w:jc w:val="both"/>
      </w:pPr>
      <w:r w:rsidRPr="00906239">
        <w:t>As the table above show</w:t>
      </w:r>
      <w:r w:rsidR="003140A1" w:rsidRPr="00906239">
        <w:t>s</w:t>
      </w:r>
      <w:r w:rsidRPr="00906239">
        <w:t xml:space="preserve">, there are many direct and indirect costs of dysfunctional turnover. </w:t>
      </w:r>
      <w:r w:rsidRPr="006F5FB5">
        <w:t xml:space="preserve">The direct costs associated with dysfunctional turnover are immediate and measurable. Every time a strong employee resigns, </w:t>
      </w:r>
      <w:r w:rsidRPr="00906239">
        <w:t>organisations</w:t>
      </w:r>
      <w:r w:rsidRPr="006F5FB5">
        <w:t xml:space="preserve"> incur costs linked to processing the resignation, advertising the role, using agencies or assessment centres, and inducting a new starter (CIPD, 2025</w:t>
      </w:r>
      <w:r w:rsidR="00036027">
        <w:t>a</w:t>
      </w:r>
      <w:r w:rsidRPr="006F5FB5">
        <w:t>). As Taylor and Woodhams (2022) point out, these roles are more likely to be filled externally, increasing recruitment spend further. In a high-turnover area like logistics, the financial burden adds up quickly.</w:t>
      </w:r>
    </w:p>
    <w:p w14:paraId="23037373" w14:textId="49984476" w:rsidR="006F5FB5" w:rsidRPr="006F5FB5" w:rsidRDefault="006F5FB5" w:rsidP="00906239">
      <w:pPr>
        <w:spacing w:line="276" w:lineRule="auto"/>
        <w:jc w:val="both"/>
      </w:pPr>
      <w:r w:rsidRPr="006F5FB5">
        <w:t xml:space="preserve">Beyond these upfront costs, the indirect costs often have longer-lasting consequences. When experienced staff leave, they take with them vital knowledge, relationships, and workflow efficiency. According to </w:t>
      </w:r>
      <w:r w:rsidR="00472CCD">
        <w:t>CIPD</w:t>
      </w:r>
      <w:r w:rsidRPr="006F5FB5">
        <w:t xml:space="preserve"> (2025</w:t>
      </w:r>
      <w:r w:rsidR="009E00DE">
        <w:t>a</w:t>
      </w:r>
      <w:r w:rsidRPr="006F5FB5">
        <w:t>), this creates a productivity dip</w:t>
      </w:r>
      <w:r w:rsidRPr="00906239">
        <w:t xml:space="preserve"> - </w:t>
      </w:r>
      <w:r w:rsidRPr="006F5FB5">
        <w:t>not just from the leaver, but also from their replacement, who will need time to get up to speed. There</w:t>
      </w:r>
      <w:r w:rsidRPr="00906239">
        <w:t xml:space="preserve"> is </w:t>
      </w:r>
      <w:r w:rsidRPr="006F5FB5">
        <w:t>also the risk of reduced morale and engagement among remaining team members, particularly if turnover stems from unresolved internal issues like poor leadership, unclear progression, or a lack of recognition.</w:t>
      </w:r>
    </w:p>
    <w:p w14:paraId="317C51A1" w14:textId="2EABBE52" w:rsidR="006F5FB5" w:rsidRPr="00906239" w:rsidRDefault="006F5FB5" w:rsidP="00906239">
      <w:pPr>
        <w:spacing w:line="276" w:lineRule="auto"/>
        <w:jc w:val="both"/>
      </w:pPr>
      <w:r w:rsidRPr="00906239">
        <w:t>Taylor and Woodhams (2022) also emphasise the loss of return on investment when a trained, high-performing employee departs. The time and resources spent on developing that person end up benefitting another organisation. This is particularly damaging in roles where skills are built up over time and cannot easily be replaced.</w:t>
      </w:r>
    </w:p>
    <w:p w14:paraId="47302235" w14:textId="5DCDF9FE" w:rsidR="004E28B5" w:rsidRPr="004E28B5" w:rsidRDefault="004E28B5" w:rsidP="00906239">
      <w:pPr>
        <w:spacing w:line="276" w:lineRule="auto"/>
        <w:jc w:val="both"/>
      </w:pPr>
      <w:r w:rsidRPr="004E28B5">
        <w:t>Finally, there’s the reputational risk. High turnover, especially among strong performers, may suggest deeper issues with culture, leadership, or reward</w:t>
      </w:r>
      <w:r w:rsidR="006C110B" w:rsidRPr="00906239">
        <w:t xml:space="preserve"> (CIPD, 2025b)</w:t>
      </w:r>
      <w:r w:rsidRPr="004E28B5">
        <w:t>. Over time, this damages ParcelCare’s employer brand, making it harder to attract quality candidates and fuelling a cycle of recruitment challenges.</w:t>
      </w:r>
    </w:p>
    <w:p w14:paraId="4E021E13" w14:textId="37D69F44" w:rsidR="000D036F" w:rsidRPr="00906239" w:rsidRDefault="006C110B" w:rsidP="00906239">
      <w:pPr>
        <w:spacing w:line="276" w:lineRule="auto"/>
        <w:jc w:val="both"/>
      </w:pPr>
      <w:r w:rsidRPr="00906239">
        <w:t>If ParcelCare wants to remain competitive and sustainable, tackling the causes and impacts of dysfunctional turnover should be seen as a business-critical priority</w:t>
      </w:r>
      <w:r w:rsidR="003140A1" w:rsidRPr="00906239">
        <w:t>.</w:t>
      </w:r>
      <w:r w:rsidRPr="00906239">
        <w:t xml:space="preserve"> </w:t>
      </w:r>
    </w:p>
    <w:p w14:paraId="7995745A" w14:textId="77777777" w:rsidR="000D036F" w:rsidRPr="00906239" w:rsidRDefault="000D036F" w:rsidP="00906239">
      <w:pPr>
        <w:spacing w:line="276" w:lineRule="auto"/>
        <w:jc w:val="both"/>
      </w:pPr>
    </w:p>
    <w:p w14:paraId="3AEEC671" w14:textId="77777777" w:rsidR="00EC67F2" w:rsidRPr="00906239" w:rsidRDefault="00EC67F2" w:rsidP="00906239">
      <w:pPr>
        <w:spacing w:line="276" w:lineRule="auto"/>
        <w:jc w:val="both"/>
        <w:rPr>
          <w:b/>
          <w:bCs/>
        </w:rPr>
      </w:pPr>
      <w:r w:rsidRPr="00906239">
        <w:rPr>
          <w:b/>
          <w:bCs/>
        </w:rPr>
        <w:t xml:space="preserve">ParcelCare employs </w:t>
      </w:r>
      <w:proofErr w:type="gramStart"/>
      <w:r w:rsidRPr="00906239">
        <w:rPr>
          <w:b/>
          <w:bCs/>
        </w:rPr>
        <w:t>the majority of</w:t>
      </w:r>
      <w:proofErr w:type="gramEnd"/>
      <w:r w:rsidRPr="00906239">
        <w:rPr>
          <w:b/>
          <w:bCs/>
        </w:rPr>
        <w:t xml:space="preserve"> employees on permanent, full-time contracts. You feel these contracts have their place, but it is time to consider whether other types of contractual arrangements could be beneficial to the organisation, especially when demand </w:t>
      </w:r>
      <w:r w:rsidRPr="00906239">
        <w:rPr>
          <w:b/>
          <w:bCs/>
        </w:rPr>
        <w:lastRenderedPageBreak/>
        <w:t>for delivery services increases and decreases. Assess the suitability of permanent, full-time contracts for delivery drivers as well as two other types of contracts. (AC 4.1)</w:t>
      </w:r>
    </w:p>
    <w:p w14:paraId="35F60C84" w14:textId="7FF7B408" w:rsidR="005A683F" w:rsidRPr="005A683F" w:rsidRDefault="005A683F" w:rsidP="00906239">
      <w:pPr>
        <w:spacing w:line="276" w:lineRule="auto"/>
        <w:jc w:val="both"/>
      </w:pPr>
      <w:r w:rsidRPr="005A683F">
        <w:t>A permanent full-time contract is one of the most traditional forms of employment, where an individual works a set number of hours per week</w:t>
      </w:r>
      <w:r w:rsidRPr="00906239">
        <w:t xml:space="preserve"> - </w:t>
      </w:r>
      <w:r w:rsidRPr="005A683F">
        <w:t>usually between 35 and 40</w:t>
      </w:r>
      <w:r w:rsidRPr="00906239">
        <w:t xml:space="preserve"> - </w:t>
      </w:r>
      <w:r w:rsidRPr="005A683F">
        <w:t>and remains employed on an ongoing basis unless either party ends the agreement. According to Daniels (2022), these contracts provide the clearest legal structure, setting out key express terms (such as hours, duties, and pay) and supported by implied terms like mutual trust and confidence. As noted by Ayling (2024), permanent full-time contracts offer predictability and long-term workforce stability, which can benefit ParcelCare in planning rotas, maintaining consistent delivery standards, and building staff loyalty over time. From an employee perspective, they provide job security and full statutory rights, including sick pay, holiday entitlement, and protection from unfair dismissal (GOV UK, 2025). However, there are downsides to consider</w:t>
      </w:r>
      <w:r w:rsidRPr="00906239">
        <w:t xml:space="preserve"> - </w:t>
      </w:r>
      <w:r w:rsidRPr="005A683F">
        <w:t>especially in operational contexts like ParcelCare’s. Daniels (2022) points out that permanent contracts can reduce flexibility and make it more difficult to adapt staffing levels in response to changing business needs. This can be a challenge in sectors like logistics, where workload fluctuates significantly during peak seasons. Furthermore, when roles need to be restructured or removed, employers face higher legal and financial responsibilities, such as notice periods and redundancy payments (Ayling, 2024).</w:t>
      </w:r>
    </w:p>
    <w:p w14:paraId="3B4AE464" w14:textId="14643F19" w:rsidR="005A683F" w:rsidRPr="005A683F" w:rsidRDefault="005A683F" w:rsidP="00906239">
      <w:pPr>
        <w:spacing w:line="276" w:lineRule="auto"/>
        <w:jc w:val="both"/>
      </w:pPr>
      <w:r w:rsidRPr="005A683F">
        <w:t>A flexible alternative to full-time permanent contracts is fixed-term contracts (FTCs), which can be especially useful during periods of seasonal demand or short-term cover. For ParcelCare, this provides a way to manage peaks in delivery without long-term commitment. As Daniels (2022) explains, FTCs allow organisations to bring in additional support for a specific period or task, helping manage costs and capacity effectively. According to GOV.UK (2025), fixed-term employees are entitled to the same rights as permanent staff</w:t>
      </w:r>
      <w:r w:rsidRPr="00906239">
        <w:t xml:space="preserve"> - </w:t>
      </w:r>
      <w:r w:rsidRPr="005A683F">
        <w:t>such as pay, pension contributions, and holiday entitlement</w:t>
      </w:r>
      <w:r w:rsidRPr="00906239">
        <w:t xml:space="preserve">, </w:t>
      </w:r>
      <w:r w:rsidRPr="005A683F">
        <w:t>which ensures fairness. This is also protected by the</w:t>
      </w:r>
      <w:r w:rsidRPr="005A683F">
        <w:rPr>
          <w:rFonts w:ascii="Arial" w:hAnsi="Arial" w:cs="Arial"/>
        </w:rPr>
        <w:t> </w:t>
      </w:r>
      <w:r w:rsidRPr="005A683F">
        <w:t>Fixed-Term Employees (Prevention of Less Favourable Treatment) Regulations (2002), which make it unlawful to treat someone on an FTC less favourably than a comparable permanent employee unless there</w:t>
      </w:r>
      <w:r w:rsidRPr="005A683F">
        <w:rPr>
          <w:rFonts w:cs="Aptos"/>
        </w:rPr>
        <w:t>’</w:t>
      </w:r>
      <w:r w:rsidRPr="005A683F">
        <w:t>s a justified reason. The CIPD (2023) emphasises the importance of managing this carefully, as FTC staff can acquire permanent status after four years of continuous service if not otherwise explained. The main benefit of FTCs is the flexibility they offer to scale resources without permanent costs. However, Daniels (2022) highlights that FTC workers may feel less secure or less valued, which could impact motivation and retention. To avoid this, fixed-term employees should be properly onboarded, communicated wit</w:t>
      </w:r>
      <w:r w:rsidRPr="00906239">
        <w:t>h</w:t>
      </w:r>
      <w:r w:rsidRPr="005A683F">
        <w:t xml:space="preserve"> and included within teams.</w:t>
      </w:r>
    </w:p>
    <w:p w14:paraId="4328B242" w14:textId="5B0C5AF4" w:rsidR="005A683F" w:rsidRPr="005A683F" w:rsidRDefault="005A683F" w:rsidP="00906239">
      <w:pPr>
        <w:spacing w:line="276" w:lineRule="auto"/>
        <w:jc w:val="both"/>
      </w:pPr>
      <w:r w:rsidRPr="005A683F">
        <w:t>Finally, the use of agency workers offers an additional route for achieving short-term flexibility, especially during peak periods or when unexpected staff shortages arise. Agency staff are employed by the agency itself</w:t>
      </w:r>
      <w:r w:rsidRPr="00906239">
        <w:t xml:space="preserve"> </w:t>
      </w:r>
      <w:r w:rsidRPr="005A683F">
        <w:t>but work within the business. Daniels (2022) notes that this approach allows employers to access pre-vetted workers quickly and efficiently. For ParcelCare, this would be particularly useful during busy periods like Christmas or to cover sudden absences. That said, legal obligations must be considered. According to GOV.UK (2025), once an agency worker completes 12 weeks in the same role, they are entitled to the same basic terms and conditions as comparable employees under the</w:t>
      </w:r>
      <w:r w:rsidRPr="005A683F">
        <w:rPr>
          <w:rFonts w:ascii="Arial" w:hAnsi="Arial" w:cs="Arial"/>
        </w:rPr>
        <w:t> </w:t>
      </w:r>
      <w:r w:rsidRPr="005A683F">
        <w:t>Agency Workers Regulations (AWR) 2010. This includes pay, annual leave, and rest breaks. As CIPD (2024</w:t>
      </w:r>
      <w:r w:rsidR="00476468">
        <w:t>d</w:t>
      </w:r>
      <w:r w:rsidRPr="005A683F">
        <w:t xml:space="preserve">) outlines, although agency staff help </w:t>
      </w:r>
      <w:r w:rsidRPr="00906239">
        <w:t>cover</w:t>
      </w:r>
      <w:r w:rsidRPr="005A683F">
        <w:t xml:space="preserve"> short-term gaps, over-reliance can reduce team cohesion or consistency. There</w:t>
      </w:r>
      <w:r w:rsidRPr="005A683F">
        <w:rPr>
          <w:rFonts w:cs="Aptos"/>
        </w:rPr>
        <w:t>’</w:t>
      </w:r>
      <w:r w:rsidRPr="005A683F">
        <w:t xml:space="preserve">s also the </w:t>
      </w:r>
      <w:r w:rsidRPr="005A683F">
        <w:lastRenderedPageBreak/>
        <w:t>potential for higher overall costs due to agency fees and increased hourly rates. Still, when used appropriately and with clear communication, agency workers can offer ParcelCare the agility to respond to variable demand while avoiding the longer-term commitments tied to permanent hires.</w:t>
      </w:r>
    </w:p>
    <w:p w14:paraId="528447CA" w14:textId="77777777" w:rsidR="007112BD" w:rsidRPr="00906239" w:rsidRDefault="007112BD" w:rsidP="00906239">
      <w:pPr>
        <w:spacing w:line="276" w:lineRule="auto"/>
        <w:jc w:val="both"/>
      </w:pPr>
    </w:p>
    <w:p w14:paraId="475D1BA2" w14:textId="59F9E978" w:rsidR="00906239" w:rsidRPr="009B225C" w:rsidRDefault="00444062" w:rsidP="00906239">
      <w:pPr>
        <w:spacing w:line="276" w:lineRule="auto"/>
        <w:jc w:val="both"/>
        <w:rPr>
          <w:b/>
          <w:bCs/>
        </w:rPr>
      </w:pPr>
      <w:r w:rsidRPr="00906239">
        <w:rPr>
          <w:b/>
          <w:bC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68E6582C" w14:textId="3FA8D389" w:rsidR="004A6574" w:rsidRPr="00906239" w:rsidRDefault="00444062" w:rsidP="00906239">
      <w:pPr>
        <w:spacing w:line="276" w:lineRule="auto"/>
        <w:jc w:val="both"/>
      </w:pPr>
      <w:r w:rsidRPr="00906239">
        <w:t xml:space="preserve">ParcelCare’s onboarding process is quite informal, largely focused </w:t>
      </w:r>
      <w:proofErr w:type="gramStart"/>
      <w:r w:rsidRPr="00906239">
        <w:t>on line</w:t>
      </w:r>
      <w:proofErr w:type="gramEnd"/>
      <w:r w:rsidRPr="00906239">
        <w:t xml:space="preserve"> managers ticking basic boxes like completing new starter forms and delivering health and safety training. While these steps are necessary, effective onboarding goes far beyond this and investing in a more structured approach is crucial. Research shows that poor onboarding can lead to high early turnover </w:t>
      </w:r>
      <w:r w:rsidRPr="00906239">
        <w:t>-</w:t>
      </w:r>
      <w:r w:rsidRPr="00906239">
        <w:t xml:space="preserve"> Lewis (2024) highlights that 43% of new employees leave within just 90 days, often because they don’t feel properly integrated or supported. This is a massive cost to organisations, both financially and in terms of team morale.</w:t>
      </w:r>
    </w:p>
    <w:p w14:paraId="21C7956F" w14:textId="56F8E91E" w:rsidR="00883301" w:rsidRPr="00906239" w:rsidRDefault="00444062" w:rsidP="00906239">
      <w:pPr>
        <w:spacing w:line="276" w:lineRule="auto"/>
        <w:jc w:val="both"/>
      </w:pPr>
      <w:r w:rsidRPr="00906239">
        <w:t xml:space="preserve">Effective onboarding helps new starters understand not only their role but also the organisation’s culture, values, and expectations, which </w:t>
      </w:r>
      <w:r w:rsidR="00883301" w:rsidRPr="00906239">
        <w:t>creates</w:t>
      </w:r>
      <w:r w:rsidRPr="00906239">
        <w:t xml:space="preserve"> a sense of belonging and purpose from day one (McCartney, 2024b). When employees feel connected to the company’s culture and know what’s expected of them, they settle in faster and become productive more quickly. This directly benefits ParcelCare by reducing downtime and helping maintain consistent delivery standards.</w:t>
      </w:r>
    </w:p>
    <w:p w14:paraId="5D7ED618" w14:textId="1D7AC0DA" w:rsidR="00883301" w:rsidRPr="00906239" w:rsidRDefault="00883301" w:rsidP="00906239">
      <w:pPr>
        <w:spacing w:line="276" w:lineRule="auto"/>
        <w:jc w:val="both"/>
      </w:pPr>
      <w:r w:rsidRPr="00906239">
        <w:t>Wyatt (2024) further points out that over half of employees are dissatisfied with their onboarding experience, which can negatively impact motivation and engagement right from the start. Poor onboarding can leave employees feeling disconnected, increasing the likelihood of early exits. For ParcelCare, where retention and consistency in delivery standards are vital, this is a serious risk.</w:t>
      </w:r>
      <w:r w:rsidRPr="00906239">
        <w:t xml:space="preserve"> </w:t>
      </w:r>
      <w:r w:rsidRPr="00906239">
        <w:t>According to the</w:t>
      </w:r>
      <w:r w:rsidRPr="00906239">
        <w:t xml:space="preserve"> </w:t>
      </w:r>
      <w:r w:rsidRPr="00906239">
        <w:t>Resourcing and Talent Planning report</w:t>
      </w:r>
      <w:r w:rsidRPr="00906239">
        <w:t xml:space="preserve"> (2024),</w:t>
      </w:r>
      <w:r w:rsidRPr="00906239">
        <w:t xml:space="preserve"> produced in partnership with Omni RMS, 32% of organisations have already improved their induction process specifically to enhance retention</w:t>
      </w:r>
      <w:r w:rsidRPr="00906239">
        <w:t xml:space="preserve"> (McCartney, 2024b)</w:t>
      </w:r>
      <w:r w:rsidRPr="00906239">
        <w:t>. This shows a growing recognition that onboarding is a key lever for keeping talent.</w:t>
      </w:r>
    </w:p>
    <w:p w14:paraId="2823FB22" w14:textId="71874F49" w:rsidR="00883301" w:rsidRPr="00883301" w:rsidRDefault="00883301" w:rsidP="00906239">
      <w:pPr>
        <w:spacing w:line="276" w:lineRule="auto"/>
        <w:jc w:val="both"/>
      </w:pPr>
      <w:r w:rsidRPr="00883301">
        <w:t xml:space="preserve">Additionally, good onboarding </w:t>
      </w:r>
      <w:r w:rsidRPr="00906239">
        <w:t>builds</w:t>
      </w:r>
      <w:r w:rsidRPr="00883301">
        <w:t xml:space="preserve"> mutual trust and confidence between employer and employee, fulfilling implied terms of the contract like providing a safe working environment and clear communication of rights (CIPD, 2025</w:t>
      </w:r>
      <w:r w:rsidR="009E00DE">
        <w:t>b</w:t>
      </w:r>
      <w:r w:rsidRPr="00883301">
        <w:t>). This early relationship-building boosts job satisfaction and commitment, helping reduce costly turnover</w:t>
      </w:r>
      <w:r w:rsidRPr="00906239">
        <w:t xml:space="preserve">. </w:t>
      </w:r>
      <w:r w:rsidRPr="00883301">
        <w:t>Beyond retention, investing in onboarding also supports employee wellbeing and development. When employees feel valued and part of a supportive culture, it enhances the employer brand, which is increasingly important in competitive labour markets.</w:t>
      </w:r>
    </w:p>
    <w:p w14:paraId="076615E1" w14:textId="6A77E789" w:rsidR="00883301" w:rsidRDefault="003140A1" w:rsidP="00906239">
      <w:pPr>
        <w:spacing w:line="276" w:lineRule="auto"/>
        <w:jc w:val="both"/>
      </w:pPr>
      <w:r w:rsidRPr="00906239">
        <w:t>S</w:t>
      </w:r>
      <w:r w:rsidR="00883301" w:rsidRPr="00883301">
        <w:t>hifting from an informal to a well-planned onboarding process is an investment that pays off. It accelerates integration, improves performance, strengthens retention, and creates a positive employee experience that benefits ParcelCare both now and long-term.</w:t>
      </w:r>
    </w:p>
    <w:p w14:paraId="0A8997F1" w14:textId="77777777" w:rsidR="00036027" w:rsidRDefault="00036027" w:rsidP="00906239">
      <w:pPr>
        <w:spacing w:line="276" w:lineRule="auto"/>
        <w:jc w:val="both"/>
      </w:pPr>
    </w:p>
    <w:p w14:paraId="5545F479" w14:textId="77777777" w:rsidR="00036027" w:rsidRPr="00D930D0" w:rsidRDefault="00036027" w:rsidP="00036027">
      <w:pPr>
        <w:rPr>
          <w:b/>
          <w:bCs/>
          <w:u w:val="single"/>
        </w:rPr>
      </w:pPr>
      <w:r w:rsidRPr="00D05AB2">
        <w:rPr>
          <w:b/>
          <w:bCs/>
          <w:u w:val="single"/>
        </w:rPr>
        <w:lastRenderedPageBreak/>
        <w:t>References</w:t>
      </w:r>
    </w:p>
    <w:p w14:paraId="77C0989A" w14:textId="77777777" w:rsidR="00036027" w:rsidRPr="00D930D0" w:rsidRDefault="00036027" w:rsidP="00036027">
      <w:pPr>
        <w:spacing w:line="276" w:lineRule="auto"/>
      </w:pPr>
      <w:r w:rsidRPr="00D930D0">
        <w:rPr>
          <w:rFonts w:cs="Arial"/>
          <w:color w:val="222222"/>
          <w:shd w:val="clear" w:color="auto" w:fill="FFFFFF"/>
        </w:rPr>
        <w:t>Armstrong, M., &amp; Taylor, S. (2023) </w:t>
      </w:r>
      <w:r w:rsidRPr="00D930D0">
        <w:rPr>
          <w:rFonts w:cs="Arial"/>
          <w:i/>
          <w:iCs/>
          <w:color w:val="222222"/>
          <w:shd w:val="clear" w:color="auto" w:fill="FFFFFF"/>
        </w:rPr>
        <w:t>Armstrong's handbook of human resource management practice: A guide to the theory and practice of people management</w:t>
      </w:r>
      <w:r w:rsidRPr="00D930D0">
        <w:rPr>
          <w:rFonts w:cs="Arial"/>
          <w:color w:val="222222"/>
          <w:shd w:val="clear" w:color="auto" w:fill="FFFFFF"/>
        </w:rPr>
        <w:t>. Kogan Page Publishers.</w:t>
      </w:r>
    </w:p>
    <w:p w14:paraId="32AB3333" w14:textId="77777777" w:rsidR="00036027" w:rsidRPr="00D930D0" w:rsidRDefault="00036027" w:rsidP="00036027">
      <w:pPr>
        <w:spacing w:line="276" w:lineRule="auto"/>
      </w:pPr>
      <w:r w:rsidRPr="00D930D0">
        <w:t xml:space="preserve">Ayling, L. (2024) </w:t>
      </w:r>
      <w:r w:rsidRPr="00D930D0">
        <w:rPr>
          <w:i/>
          <w:iCs/>
        </w:rPr>
        <w:t>Contracts of employment</w:t>
      </w:r>
      <w:r w:rsidRPr="00D930D0">
        <w:t xml:space="preserve">. [Online]. CIPD. Last Updated: 16 December 2024. Available at: </w:t>
      </w:r>
      <w:hyperlink r:id="rId7" w:history="1">
        <w:r w:rsidRPr="00D930D0">
          <w:rPr>
            <w:rStyle w:val="Hyperlink"/>
            <w:u w:val="none"/>
          </w:rPr>
          <w:t>https://www.cipd.org/uk/knowledge/factsheets/terms-conditions-contracts-factsheet/</w:t>
        </w:r>
      </w:hyperlink>
      <w:r w:rsidRPr="00D930D0">
        <w:t xml:space="preserve"> (Accessed June 2025).</w:t>
      </w:r>
    </w:p>
    <w:p w14:paraId="6CD7EAB1" w14:textId="77777777" w:rsidR="00036027" w:rsidRPr="00D930D0" w:rsidRDefault="00036027" w:rsidP="00036027">
      <w:pPr>
        <w:spacing w:line="276" w:lineRule="auto"/>
      </w:pPr>
      <w:r w:rsidRPr="00D930D0">
        <w:t xml:space="preserve">Billot, H. (2025) </w:t>
      </w:r>
      <w:r w:rsidRPr="00D930D0">
        <w:rPr>
          <w:i/>
          <w:iCs/>
        </w:rPr>
        <w:t>How workforce planning impacts productivity</w:t>
      </w:r>
      <w:r w:rsidRPr="00D930D0">
        <w:t>. [Online]. People Management. Last Updated: 21 January 2025. Available at: https://www.peoplemanagement.co.uk/article/1903056/workforce-planning-impacts-productivity (Accessed June 2025).</w:t>
      </w:r>
    </w:p>
    <w:p w14:paraId="325366DD" w14:textId="77777777" w:rsidR="00036027" w:rsidRPr="00D930D0" w:rsidRDefault="00036027" w:rsidP="00036027">
      <w:pPr>
        <w:spacing w:line="276" w:lineRule="auto"/>
      </w:pPr>
      <w:r w:rsidRPr="00D930D0">
        <w:t>CIPD. (2017) </w:t>
      </w:r>
      <w:r w:rsidRPr="00D930D0">
        <w:rPr>
          <w:i/>
          <w:iCs/>
        </w:rPr>
        <w:t>How to think differently about recruitment</w:t>
      </w:r>
      <w:r w:rsidRPr="00D930D0">
        <w:t xml:space="preserve">. [Online]. CIPD. Last Updated: 12 July 2017. Available at: </w:t>
      </w:r>
      <w:hyperlink r:id="rId8" w:history="1">
        <w:r w:rsidRPr="00D930D0">
          <w:rPr>
            <w:rStyle w:val="Hyperlink"/>
            <w:u w:val="none"/>
          </w:rPr>
          <w:t>https://www.cipd.org/uk/about/news-archive/think-differently-recruitment/</w:t>
        </w:r>
      </w:hyperlink>
      <w:r w:rsidRPr="00D930D0">
        <w:t xml:space="preserve"> (Accessed June 2025).</w:t>
      </w:r>
    </w:p>
    <w:p w14:paraId="449DE8C1" w14:textId="77777777" w:rsidR="00036027" w:rsidRPr="00D930D0" w:rsidRDefault="00036027" w:rsidP="00036027">
      <w:pPr>
        <w:spacing w:line="276" w:lineRule="auto"/>
      </w:pPr>
      <w:r w:rsidRPr="00D930D0">
        <w:t xml:space="preserve">CIPD. (2023) </w:t>
      </w:r>
      <w:r w:rsidRPr="00D930D0">
        <w:rPr>
          <w:i/>
          <w:iCs/>
        </w:rPr>
        <w:t>Fixed-term contracts: Guide for employers</w:t>
      </w:r>
      <w:r w:rsidRPr="00D930D0">
        <w:t xml:space="preserve">. [Online]. CIPD. Last Updated: 31 October 2023. Available at: </w:t>
      </w:r>
      <w:hyperlink r:id="rId9" w:history="1">
        <w:r w:rsidRPr="00D930D0">
          <w:rPr>
            <w:rStyle w:val="Hyperlink"/>
            <w:u w:val="none"/>
          </w:rPr>
          <w:t>https://www.cipd.org/uk/knowledge/guides/fixed-term-contracts-guide/</w:t>
        </w:r>
      </w:hyperlink>
      <w:r w:rsidRPr="00D930D0">
        <w:t xml:space="preserve"> (Accessed June 2025).</w:t>
      </w:r>
    </w:p>
    <w:p w14:paraId="78F6FDFD" w14:textId="77777777" w:rsidR="00036027" w:rsidRPr="00D930D0" w:rsidRDefault="00036027" w:rsidP="00036027">
      <w:pPr>
        <w:spacing w:line="276" w:lineRule="auto"/>
      </w:pPr>
      <w:r w:rsidRPr="00D930D0">
        <w:t>CIPD. (2023) </w:t>
      </w:r>
      <w:r w:rsidRPr="00D930D0">
        <w:rPr>
          <w:i/>
          <w:iCs/>
        </w:rPr>
        <w:t>https://www.cipd.org/uk/knowledge/guides/strategic-workforce-planning/</w:t>
      </w:r>
      <w:r w:rsidRPr="00D930D0">
        <w:t xml:space="preserve">. [Online]. CIPD. Last Updated: 04 May 2023. Available at: </w:t>
      </w:r>
      <w:hyperlink r:id="rId10" w:history="1">
        <w:r w:rsidRPr="00D930D0">
          <w:rPr>
            <w:rStyle w:val="Hyperlink"/>
            <w:u w:val="none"/>
          </w:rPr>
          <w:t>https://www.cipd.org/uk/knowledge/guides/strategic-workforce-planning/</w:t>
        </w:r>
      </w:hyperlink>
      <w:r w:rsidRPr="00D930D0">
        <w:t xml:space="preserve"> (Accessed June 2025). </w:t>
      </w:r>
    </w:p>
    <w:p w14:paraId="367AD6DC" w14:textId="77777777" w:rsidR="00036027" w:rsidRPr="00D930D0" w:rsidRDefault="00036027" w:rsidP="00036027">
      <w:pPr>
        <w:spacing w:line="276" w:lineRule="auto"/>
      </w:pPr>
      <w:r w:rsidRPr="00D930D0">
        <w:t>CIPD. (2024) </w:t>
      </w:r>
      <w:r w:rsidRPr="00D930D0">
        <w:rPr>
          <w:i/>
          <w:iCs/>
        </w:rPr>
        <w:t>Resourcing and talent planning report 2024</w:t>
      </w:r>
      <w:r w:rsidRPr="00D930D0">
        <w:t xml:space="preserve">. [Online]. CIPD. Last Updated: September 2024. Available at: </w:t>
      </w:r>
      <w:hyperlink r:id="rId11" w:history="1">
        <w:r w:rsidRPr="00D930D0">
          <w:rPr>
            <w:rStyle w:val="Hyperlink"/>
          </w:rPr>
          <w:t>https://www.cipd.org/globalasse</w:t>
        </w:r>
        <w:r w:rsidRPr="00D930D0">
          <w:rPr>
            <w:rStyle w:val="Hyperlink"/>
          </w:rPr>
          <w:t>t</w:t>
        </w:r>
        <w:r w:rsidRPr="00D930D0">
          <w:rPr>
            <w:rStyle w:val="Hyperlink"/>
          </w:rPr>
          <w:t>s/media/knowledge/knowledge-hub/reports/2024-pdfs/8662-resource-and-talent-planning-2024-report-web.pdf</w:t>
        </w:r>
      </w:hyperlink>
      <w:r w:rsidRPr="00D930D0">
        <w:t xml:space="preserve"> (Accessed June 2025).</w:t>
      </w:r>
    </w:p>
    <w:p w14:paraId="21918AD1" w14:textId="77777777" w:rsidR="00036027" w:rsidRPr="00D930D0" w:rsidRDefault="00036027" w:rsidP="00036027">
      <w:pPr>
        <w:spacing w:line="276" w:lineRule="auto"/>
      </w:pPr>
      <w:r w:rsidRPr="00D930D0">
        <w:t>CIPD. (2024a) </w:t>
      </w:r>
      <w:r w:rsidRPr="00D930D0">
        <w:rPr>
          <w:i/>
          <w:iCs/>
        </w:rPr>
        <w:t>Employer brand</w:t>
      </w:r>
      <w:r w:rsidRPr="00D930D0">
        <w:t>. [Online]. CIPD. Last Updated: 22 November 2024. Available at: https://www.cipd.org/uk/knowledge/factsheets/recruitment-brand-factsheet/ (Accessed June 2025).</w:t>
      </w:r>
    </w:p>
    <w:p w14:paraId="6787460C" w14:textId="77777777" w:rsidR="00036027" w:rsidRPr="00D930D0" w:rsidRDefault="00036027" w:rsidP="00036027">
      <w:pPr>
        <w:spacing w:line="276" w:lineRule="auto"/>
      </w:pPr>
      <w:r w:rsidRPr="00D930D0">
        <w:t>CIPD. (2024b) </w:t>
      </w:r>
      <w:r w:rsidRPr="00D930D0">
        <w:rPr>
          <w:i/>
          <w:iCs/>
        </w:rPr>
        <w:t>Workforce planning</w:t>
      </w:r>
      <w:r w:rsidRPr="00D930D0">
        <w:t>. [Online]. CIPD. Last Updated: 26 July 2024. Available at: https://www.cipd.org/uk/knowledge/factsheets/workforce-planning-factsheet/ (Accessed June 2025).</w:t>
      </w:r>
    </w:p>
    <w:p w14:paraId="4B971732" w14:textId="77777777" w:rsidR="00036027" w:rsidRPr="00D930D0" w:rsidRDefault="00036027" w:rsidP="00036027">
      <w:pPr>
        <w:spacing w:line="276" w:lineRule="auto"/>
      </w:pPr>
      <w:r w:rsidRPr="00D930D0">
        <w:t>CIPD. (2024c) </w:t>
      </w:r>
      <w:r w:rsidRPr="00D930D0">
        <w:rPr>
          <w:i/>
          <w:iCs/>
        </w:rPr>
        <w:t>Recruitment: An introduction</w:t>
      </w:r>
      <w:r w:rsidRPr="00D930D0">
        <w:t xml:space="preserve">. [Online]. CIPD. Last Updated: 15 November 2024. Available at: </w:t>
      </w:r>
      <w:hyperlink r:id="rId12" w:history="1">
        <w:r w:rsidRPr="00D930D0">
          <w:rPr>
            <w:rStyle w:val="Hyperlink"/>
          </w:rPr>
          <w:t>https://www.cipd.org/uk/knowledge/factsheets/recruitment-factsheet/</w:t>
        </w:r>
      </w:hyperlink>
      <w:r w:rsidRPr="00D930D0">
        <w:t xml:space="preserve"> (Accessed June 2025).</w:t>
      </w:r>
    </w:p>
    <w:p w14:paraId="7E61B506" w14:textId="77777777" w:rsidR="00036027" w:rsidRPr="00D930D0" w:rsidRDefault="00036027" w:rsidP="00036027">
      <w:pPr>
        <w:spacing w:line="276" w:lineRule="auto"/>
      </w:pPr>
      <w:r w:rsidRPr="00D930D0">
        <w:t xml:space="preserve">CIPD. (2024d) </w:t>
      </w:r>
      <w:r w:rsidRPr="00D930D0">
        <w:rPr>
          <w:i/>
          <w:iCs/>
        </w:rPr>
        <w:t>Agency workers: Understanding the law</w:t>
      </w:r>
      <w:r w:rsidRPr="00D930D0">
        <w:t xml:space="preserve">. [Online]. CIPD. Last Updated: 30 September 2024. Available at: </w:t>
      </w:r>
      <w:hyperlink r:id="rId13" w:history="1">
        <w:r w:rsidRPr="00D930D0">
          <w:rPr>
            <w:rStyle w:val="Hyperlink"/>
            <w:u w:val="none"/>
          </w:rPr>
          <w:t>https://www.cipd.org/uk/knowledge/guides/agency-workers-guide/</w:t>
        </w:r>
      </w:hyperlink>
      <w:r w:rsidRPr="00D930D0">
        <w:t xml:space="preserve"> (Accessed June 2025).</w:t>
      </w:r>
    </w:p>
    <w:p w14:paraId="056A9B8C" w14:textId="77777777" w:rsidR="00036027" w:rsidRPr="00D930D0" w:rsidRDefault="00036027" w:rsidP="00036027">
      <w:pPr>
        <w:spacing w:line="276" w:lineRule="auto"/>
      </w:pPr>
      <w:r w:rsidRPr="00D930D0">
        <w:t xml:space="preserve">CIPD. (2025) </w:t>
      </w:r>
      <w:r w:rsidRPr="00D930D0">
        <w:rPr>
          <w:i/>
          <w:iCs/>
        </w:rPr>
        <w:t>Labour Market Outlook - Spring 2025</w:t>
      </w:r>
      <w:r w:rsidRPr="00D930D0">
        <w:t>. [Online]. CIPD. Available at: https://www.cipd.org/contentassets/cf73843a106949d9b16ac2bc9b526278/8869-lmo-spring-2025-web.pdf (Accessed June 2025).</w:t>
      </w:r>
    </w:p>
    <w:p w14:paraId="65DE00C8" w14:textId="77777777" w:rsidR="00036027" w:rsidRPr="00D930D0" w:rsidRDefault="00036027" w:rsidP="00036027">
      <w:pPr>
        <w:spacing w:line="276" w:lineRule="auto"/>
      </w:pPr>
      <w:r w:rsidRPr="00D930D0">
        <w:lastRenderedPageBreak/>
        <w:t>CIPD. (2025a) </w:t>
      </w:r>
      <w:r w:rsidRPr="00D930D0">
        <w:rPr>
          <w:i/>
          <w:iCs/>
        </w:rPr>
        <w:t>Employee turnover and retention</w:t>
      </w:r>
      <w:r w:rsidRPr="00D930D0">
        <w:t xml:space="preserve">. [Online]. CIPD. Last Updated: 24 January 2025. Available at: </w:t>
      </w:r>
      <w:hyperlink r:id="rId14" w:history="1">
        <w:r w:rsidRPr="00D930D0">
          <w:rPr>
            <w:rStyle w:val="Hyperlink"/>
            <w:u w:val="none"/>
          </w:rPr>
          <w:t>https://www.cipd.org/uk/knowledge/factsheets/turnover-retention-factsheet/</w:t>
        </w:r>
      </w:hyperlink>
      <w:r w:rsidRPr="00D930D0">
        <w:t xml:space="preserve"> (Accessed June 2025).</w:t>
      </w:r>
    </w:p>
    <w:p w14:paraId="10D0D7F8" w14:textId="77777777" w:rsidR="00036027" w:rsidRPr="00D930D0" w:rsidRDefault="00036027" w:rsidP="00036027">
      <w:pPr>
        <w:spacing w:line="276" w:lineRule="auto"/>
      </w:pPr>
      <w:r w:rsidRPr="00D930D0">
        <w:t>CIPD. (2025b) </w:t>
      </w:r>
      <w:r w:rsidRPr="00D930D0">
        <w:rPr>
          <w:i/>
          <w:iCs/>
        </w:rPr>
        <w:t>Employee experience</w:t>
      </w:r>
      <w:r w:rsidRPr="00D930D0">
        <w:t xml:space="preserve">. [Online]. CIPD. Available at: </w:t>
      </w:r>
      <w:hyperlink r:id="rId15" w:history="1">
        <w:r w:rsidRPr="00D930D0">
          <w:rPr>
            <w:rStyle w:val="Hyperlink"/>
            <w:u w:val="none"/>
          </w:rPr>
          <w:t>https://www.cipd.org/uk/the-people-profession/the-profession-map/explore-the-profession-map/specialist-knowledge/</w:t>
        </w:r>
        <w:r w:rsidRPr="00D930D0">
          <w:rPr>
            <w:rStyle w:val="Hyperlink"/>
            <w:u w:val="none"/>
          </w:rPr>
          <w:t>e</w:t>
        </w:r>
        <w:r w:rsidRPr="00D930D0">
          <w:rPr>
            <w:rStyle w:val="Hyperlink"/>
            <w:u w:val="none"/>
          </w:rPr>
          <w:t>mployee-experience/</w:t>
        </w:r>
      </w:hyperlink>
      <w:r w:rsidRPr="00D930D0">
        <w:t xml:space="preserve"> (Accessed June 2025).</w:t>
      </w:r>
    </w:p>
    <w:p w14:paraId="36F9FA5E" w14:textId="77777777" w:rsidR="00036027" w:rsidRPr="00D930D0" w:rsidRDefault="00036027" w:rsidP="00036027">
      <w:pPr>
        <w:spacing w:line="276" w:lineRule="auto"/>
      </w:pPr>
      <w:r w:rsidRPr="00D930D0">
        <w:t>CIPD. (2025c) </w:t>
      </w:r>
      <w:r w:rsidRPr="00D930D0">
        <w:rPr>
          <w:i/>
          <w:iCs/>
        </w:rPr>
        <w:t>Strategic reward and total reward</w:t>
      </w:r>
      <w:r w:rsidRPr="00D930D0">
        <w:t xml:space="preserve">. [Online]. CIPD. Last Updated: 14 February 2025. Available at: </w:t>
      </w:r>
      <w:hyperlink r:id="rId16" w:history="1">
        <w:r w:rsidRPr="00D930D0">
          <w:rPr>
            <w:rStyle w:val="Hyperlink"/>
            <w:u w:val="none"/>
          </w:rPr>
          <w:t>https://www.cipd.org/uk/knowledge/factsheets/strategic-total-factsheet/</w:t>
        </w:r>
      </w:hyperlink>
      <w:r w:rsidRPr="00D930D0">
        <w:t xml:space="preserve"> (Accessed June 2025).</w:t>
      </w:r>
    </w:p>
    <w:p w14:paraId="2F06C79C" w14:textId="77777777" w:rsidR="00036027" w:rsidRPr="00D930D0" w:rsidRDefault="00036027" w:rsidP="00036027">
      <w:pPr>
        <w:spacing w:after="0" w:line="276" w:lineRule="auto"/>
        <w:rPr>
          <w:rFonts w:eastAsia="Times New Roman" w:cs="Times New Roman"/>
          <w:kern w:val="0"/>
          <w:lang w:eastAsia="en-GB"/>
          <w14:ligatures w14:val="none"/>
        </w:rPr>
      </w:pPr>
      <w:r w:rsidRPr="00D50CAD">
        <w:rPr>
          <w:rFonts w:eastAsia="Times New Roman" w:cs="Times New Roman"/>
          <w:kern w:val="0"/>
          <w:lang w:eastAsia="en-GB"/>
          <w14:ligatures w14:val="none"/>
        </w:rPr>
        <w:t xml:space="preserve">Daniels, K. (2022) </w:t>
      </w:r>
      <w:r w:rsidRPr="00D50CAD">
        <w:rPr>
          <w:rFonts w:eastAsia="Times New Roman" w:cs="Times New Roman"/>
          <w:i/>
          <w:iCs/>
          <w:kern w:val="0"/>
          <w:lang w:eastAsia="en-GB"/>
          <w14:ligatures w14:val="none"/>
        </w:rPr>
        <w:t xml:space="preserve">Introduction to employment </w:t>
      </w:r>
      <w:proofErr w:type="gramStart"/>
      <w:r w:rsidRPr="00D50CAD">
        <w:rPr>
          <w:rFonts w:eastAsia="Times New Roman" w:cs="Times New Roman"/>
          <w:i/>
          <w:iCs/>
          <w:kern w:val="0"/>
          <w:lang w:eastAsia="en-GB"/>
          <w14:ligatures w14:val="none"/>
        </w:rPr>
        <w:t>law</w:t>
      </w:r>
      <w:r w:rsidRPr="00D50CAD">
        <w:rPr>
          <w:rFonts w:ascii="Arial" w:eastAsia="Times New Roman" w:hAnsi="Arial" w:cs="Arial"/>
          <w:i/>
          <w:iCs/>
          <w:kern w:val="0"/>
          <w:lang w:eastAsia="en-GB"/>
          <w14:ligatures w14:val="none"/>
        </w:rPr>
        <w:t> </w:t>
      </w:r>
      <w:r w:rsidRPr="00D50CAD">
        <w:rPr>
          <w:rFonts w:eastAsia="Times New Roman" w:cs="Times New Roman"/>
          <w:i/>
          <w:iCs/>
          <w:kern w:val="0"/>
          <w:lang w:eastAsia="en-GB"/>
          <w14:ligatures w14:val="none"/>
        </w:rPr>
        <w:t>:</w:t>
      </w:r>
      <w:proofErr w:type="gramEnd"/>
      <w:r w:rsidRPr="00D50CAD">
        <w:rPr>
          <w:rFonts w:eastAsia="Times New Roman" w:cs="Times New Roman"/>
          <w:i/>
          <w:iCs/>
          <w:kern w:val="0"/>
          <w:lang w:eastAsia="en-GB"/>
          <w14:ligatures w14:val="none"/>
        </w:rPr>
        <w:t xml:space="preserve"> fundamentals for HR and business students</w:t>
      </w:r>
      <w:r w:rsidRPr="00D50CAD">
        <w:rPr>
          <w:rFonts w:eastAsia="Times New Roman" w:cs="Times New Roman"/>
          <w:kern w:val="0"/>
          <w:lang w:eastAsia="en-GB"/>
          <w14:ligatures w14:val="none"/>
        </w:rPr>
        <w:t xml:space="preserve">. Sixth edition. London, </w:t>
      </w:r>
      <w:proofErr w:type="gramStart"/>
      <w:r w:rsidRPr="00D50CAD">
        <w:rPr>
          <w:rFonts w:eastAsia="Times New Roman" w:cs="Times New Roman"/>
          <w:kern w:val="0"/>
          <w:lang w:eastAsia="en-GB"/>
          <w14:ligatures w14:val="none"/>
        </w:rPr>
        <w:t>England</w:t>
      </w:r>
      <w:r w:rsidRPr="00D50CAD">
        <w:rPr>
          <w:rFonts w:ascii="Arial" w:eastAsia="Times New Roman" w:hAnsi="Arial" w:cs="Arial"/>
          <w:kern w:val="0"/>
          <w:lang w:eastAsia="en-GB"/>
          <w14:ligatures w14:val="none"/>
        </w:rPr>
        <w:t> </w:t>
      </w:r>
      <w:r w:rsidRPr="00D50CAD">
        <w:rPr>
          <w:rFonts w:eastAsia="Times New Roman" w:cs="Times New Roman"/>
          <w:kern w:val="0"/>
          <w:lang w:eastAsia="en-GB"/>
          <w14:ligatures w14:val="none"/>
        </w:rPr>
        <w:t>;</w:t>
      </w:r>
      <w:proofErr w:type="gramEnd"/>
      <w:r w:rsidRPr="00D50CAD">
        <w:rPr>
          <w:rFonts w:eastAsia="Times New Roman" w:cs="Times New Roman"/>
          <w:kern w:val="0"/>
          <w:lang w:eastAsia="en-GB"/>
          <w14:ligatures w14:val="none"/>
        </w:rPr>
        <w:t xml:space="preserve"> Kogan Page Limited.</w:t>
      </w:r>
    </w:p>
    <w:p w14:paraId="32246EE2" w14:textId="77777777" w:rsidR="00036027" w:rsidRPr="00D930D0" w:rsidRDefault="00036027" w:rsidP="00036027">
      <w:pPr>
        <w:spacing w:line="276" w:lineRule="auto"/>
      </w:pPr>
      <w:r w:rsidRPr="00D930D0">
        <w:t xml:space="preserve">GOV UK. (2025) </w:t>
      </w:r>
      <w:r w:rsidRPr="00D930D0">
        <w:rPr>
          <w:i/>
          <w:iCs/>
        </w:rPr>
        <w:t>Contract types and employer responsibilities</w:t>
      </w:r>
      <w:r w:rsidRPr="00D930D0">
        <w:t xml:space="preserve">. [Online]. GOV UK. Available at: </w:t>
      </w:r>
      <w:hyperlink r:id="rId17" w:history="1">
        <w:r w:rsidRPr="00D930D0">
          <w:rPr>
            <w:rStyle w:val="Hyperlink"/>
            <w:u w:val="none"/>
          </w:rPr>
          <w:t>https://www.gov.uk/contract-types-and-employer-responsibilities</w:t>
        </w:r>
      </w:hyperlink>
      <w:r w:rsidRPr="00D930D0">
        <w:t xml:space="preserve"> (Accessed June 2025).</w:t>
      </w:r>
    </w:p>
    <w:p w14:paraId="3ABEAB52" w14:textId="77777777" w:rsidR="00036027" w:rsidRPr="00D930D0" w:rsidRDefault="00036027" w:rsidP="00036027">
      <w:pPr>
        <w:spacing w:line="276" w:lineRule="auto"/>
      </w:pPr>
      <w:r w:rsidRPr="00D930D0">
        <w:t>Hayden, D. (2025) </w:t>
      </w:r>
      <w:r w:rsidRPr="00D930D0">
        <w:rPr>
          <w:i/>
          <w:iCs/>
        </w:rPr>
        <w:t>PESTLE analysis</w:t>
      </w:r>
      <w:r w:rsidRPr="00D930D0">
        <w:t>. [Online]. CIPD. Last Updated: 21 March 2025. Available at: https://www.cipd.org/uk/knowledge/factsheets/pestle-analysis-factsheet/ (Accessed June 2025).</w:t>
      </w:r>
    </w:p>
    <w:p w14:paraId="3FBF2CC0" w14:textId="77777777" w:rsidR="00036027" w:rsidRPr="00D930D0" w:rsidRDefault="00036027" w:rsidP="00036027">
      <w:pPr>
        <w:spacing w:line="276" w:lineRule="auto"/>
      </w:pPr>
      <w:r w:rsidRPr="00D930D0">
        <w:t xml:space="preserve">Hogarth, A. (2021) </w:t>
      </w:r>
      <w:r w:rsidRPr="00D930D0">
        <w:rPr>
          <w:i/>
          <w:iCs/>
        </w:rPr>
        <w:t>Transforming resourcing to future-proof policing: North Yorkshire Police</w:t>
      </w:r>
      <w:r w:rsidRPr="00D930D0">
        <w:t xml:space="preserve">. [Online]. CIPD. Last Updated: 21 September 2021. Available at: </w:t>
      </w:r>
      <w:hyperlink r:id="rId18" w:history="1">
        <w:r w:rsidRPr="00D930D0">
          <w:rPr>
            <w:rStyle w:val="Hyperlink"/>
            <w:u w:val="none"/>
          </w:rPr>
          <w:t>https://www.cipd.org/uk/knowledge/case-studies/transforming-north-yorkshire-police/</w:t>
        </w:r>
      </w:hyperlink>
      <w:r w:rsidRPr="00D930D0">
        <w:t xml:space="preserve"> (Accessed June 2025).</w:t>
      </w:r>
    </w:p>
    <w:p w14:paraId="242491ED" w14:textId="77777777" w:rsidR="00036027" w:rsidRPr="00D930D0" w:rsidRDefault="00036027" w:rsidP="00036027">
      <w:pPr>
        <w:spacing w:line="276" w:lineRule="auto"/>
      </w:pPr>
      <w:r w:rsidRPr="00D930D0">
        <w:t>Lewis, G. (2024) </w:t>
      </w:r>
      <w:r w:rsidRPr="00D930D0">
        <w:rPr>
          <w:i/>
          <w:iCs/>
        </w:rPr>
        <w:t>The first 100 days: how to make (or break) a new hire</w:t>
      </w:r>
      <w:r w:rsidRPr="00D930D0">
        <w:t xml:space="preserve">. [Online]. People Management. Available at: </w:t>
      </w:r>
      <w:hyperlink r:id="rId19" w:history="1">
        <w:r w:rsidRPr="00D930D0">
          <w:rPr>
            <w:rStyle w:val="Hyperlink"/>
            <w:u w:val="none"/>
          </w:rPr>
          <w:t>https://www.peoplemanagement.co.uk/article/1870723/first-100-days-or-break-new-hire</w:t>
        </w:r>
      </w:hyperlink>
      <w:r w:rsidRPr="00D930D0">
        <w:t xml:space="preserve"> (Accessed June 2025).</w:t>
      </w:r>
    </w:p>
    <w:p w14:paraId="29FEF236" w14:textId="77777777" w:rsidR="00036027" w:rsidRPr="00D930D0" w:rsidRDefault="00036027" w:rsidP="00036027">
      <w:pPr>
        <w:spacing w:line="276" w:lineRule="auto"/>
        <w:rPr>
          <w:b/>
          <w:bCs/>
          <w:u w:val="single"/>
        </w:rPr>
      </w:pPr>
      <w:r w:rsidRPr="00D930D0">
        <w:rPr>
          <w:color w:val="3A3A3A"/>
          <w:shd w:val="clear" w:color="auto" w:fill="FFFFFF"/>
        </w:rPr>
        <w:t>Maertz, C. P., Keith, M. G., Raghuram, S., Porter, C. M., &amp; Dalton, G. L. (2023) ‘Advancing Theory and Practice on Managing Dysfunctional Turnover: Developing an Improved Measure of Turnover Reasons’, </w:t>
      </w:r>
      <w:r w:rsidRPr="00D930D0">
        <w:rPr>
          <w:i/>
          <w:iCs/>
          <w:color w:val="3A3A3A"/>
          <w:shd w:val="clear" w:color="auto" w:fill="FFFFFF"/>
        </w:rPr>
        <w:t>Group &amp; organization management</w:t>
      </w:r>
      <w:r w:rsidRPr="00D930D0">
        <w:rPr>
          <w:color w:val="3A3A3A"/>
          <w:shd w:val="clear" w:color="auto" w:fill="FFFFFF"/>
        </w:rPr>
        <w:t xml:space="preserve">, 48(5), pp. 1387–1429. Available at: </w:t>
      </w:r>
      <w:hyperlink r:id="rId20" w:history="1">
        <w:r w:rsidRPr="00D930D0">
          <w:rPr>
            <w:rStyle w:val="Hyperlink"/>
            <w:shd w:val="clear" w:color="auto" w:fill="FFFFFF"/>
          </w:rPr>
          <w:t>https://doi.org/10.1177/10596011211065880</w:t>
        </w:r>
      </w:hyperlink>
      <w:r w:rsidRPr="00D930D0">
        <w:rPr>
          <w:color w:val="3A3A3A"/>
          <w:shd w:val="clear" w:color="auto" w:fill="FFFFFF"/>
        </w:rPr>
        <w:t xml:space="preserve">. </w:t>
      </w:r>
    </w:p>
    <w:p w14:paraId="349ED58A" w14:textId="77777777" w:rsidR="00036027" w:rsidRPr="00D930D0" w:rsidRDefault="00036027" w:rsidP="00036027">
      <w:pPr>
        <w:spacing w:line="276" w:lineRule="auto"/>
      </w:pPr>
      <w:r w:rsidRPr="00D930D0">
        <w:t>McCartney, C. (2024a) </w:t>
      </w:r>
      <w:r w:rsidRPr="00D930D0">
        <w:rPr>
          <w:i/>
          <w:iCs/>
        </w:rPr>
        <w:t>Selection methods</w:t>
      </w:r>
      <w:r w:rsidRPr="00D930D0">
        <w:t xml:space="preserve">. [Online]. CIPD. Last Updated: 11 November 2024. Available at: </w:t>
      </w:r>
      <w:hyperlink r:id="rId21" w:history="1">
        <w:r w:rsidRPr="00D930D0">
          <w:rPr>
            <w:rStyle w:val="Hyperlink"/>
            <w:u w:val="none"/>
          </w:rPr>
          <w:t>https://www.cipd.org/uk/knowledge/factsheets/selection-factsheet/</w:t>
        </w:r>
      </w:hyperlink>
      <w:r w:rsidRPr="00D930D0">
        <w:t xml:space="preserve"> (Accessed June 2025).</w:t>
      </w:r>
    </w:p>
    <w:p w14:paraId="4C72D364" w14:textId="77777777" w:rsidR="00036027" w:rsidRPr="00D930D0" w:rsidRDefault="00036027" w:rsidP="00036027">
      <w:pPr>
        <w:spacing w:line="276" w:lineRule="auto"/>
      </w:pPr>
      <w:r w:rsidRPr="00D930D0">
        <w:t>McCartney, C. (2024b) </w:t>
      </w:r>
      <w:r w:rsidRPr="00D930D0">
        <w:rPr>
          <w:i/>
          <w:iCs/>
        </w:rPr>
        <w:t>Induction</w:t>
      </w:r>
      <w:r w:rsidRPr="00D930D0">
        <w:t xml:space="preserve">. [Online]. CIPD. Last Updated: 11 December 2024. Available at: </w:t>
      </w:r>
      <w:hyperlink r:id="rId22" w:history="1">
        <w:r w:rsidRPr="00D930D0">
          <w:rPr>
            <w:rStyle w:val="Hyperlink"/>
            <w:u w:val="none"/>
          </w:rPr>
          <w:t>https://www.cipd.org/uk/kn</w:t>
        </w:r>
        <w:r w:rsidRPr="00D930D0">
          <w:rPr>
            <w:rStyle w:val="Hyperlink"/>
            <w:u w:val="none"/>
          </w:rPr>
          <w:t>o</w:t>
        </w:r>
        <w:r w:rsidRPr="00D930D0">
          <w:rPr>
            <w:rStyle w:val="Hyperlink"/>
            <w:u w:val="none"/>
          </w:rPr>
          <w:t>wledge/factsheets/induction-factsheet/</w:t>
        </w:r>
      </w:hyperlink>
      <w:r w:rsidRPr="00D930D0">
        <w:t xml:space="preserve"> (Accessed June 2025).</w:t>
      </w:r>
    </w:p>
    <w:p w14:paraId="6C248F5F" w14:textId="77777777" w:rsidR="00036027" w:rsidRPr="00D930D0" w:rsidRDefault="00036027" w:rsidP="00036027">
      <w:pPr>
        <w:spacing w:line="276" w:lineRule="auto"/>
      </w:pPr>
      <w:r w:rsidRPr="00D930D0">
        <w:t>Randstad UK. (2025) </w:t>
      </w:r>
      <w:r w:rsidRPr="00D930D0">
        <w:rPr>
          <w:i/>
          <w:iCs/>
        </w:rPr>
        <w:t>Employer Brand Research 2025</w:t>
      </w:r>
      <w:r w:rsidRPr="00D930D0">
        <w:t xml:space="preserve">. [Online]. Randstad. Available at: </w:t>
      </w:r>
      <w:hyperlink r:id="rId23" w:history="1">
        <w:r w:rsidRPr="00D930D0">
          <w:rPr>
            <w:rStyle w:val="Hyperlink"/>
            <w:u w:val="none"/>
          </w:rPr>
          <w:t>https://email.randstad.co.uk/hubfs/REBR_2025_UK.pdf</w:t>
        </w:r>
      </w:hyperlink>
      <w:r w:rsidRPr="00D930D0">
        <w:t xml:space="preserve"> (Accessed June 2025).</w:t>
      </w:r>
    </w:p>
    <w:p w14:paraId="519D2CDE" w14:textId="77777777" w:rsidR="00036027" w:rsidRPr="00D930D0" w:rsidRDefault="00036027" w:rsidP="00036027">
      <w:pPr>
        <w:spacing w:line="276" w:lineRule="auto"/>
      </w:pPr>
      <w:r w:rsidRPr="00D930D0">
        <w:t xml:space="preserve">Skills for Health. (2025) </w:t>
      </w:r>
      <w:r w:rsidRPr="00D930D0">
        <w:rPr>
          <w:i/>
          <w:iCs/>
        </w:rPr>
        <w:t>Analysing data to drive workforce planning decisions</w:t>
      </w:r>
      <w:r w:rsidRPr="00D930D0">
        <w:t xml:space="preserve">. [Online]. Skills for Health. Last Updated: 8 April 2025. Available at: </w:t>
      </w:r>
      <w:hyperlink r:id="rId24" w:history="1">
        <w:r w:rsidRPr="00D930D0">
          <w:rPr>
            <w:rStyle w:val="Hyperlink"/>
          </w:rPr>
          <w:t>https://www.skillsforhealth.org.uk/article/data-driven-strategies-for-smarter-workforce-planning/</w:t>
        </w:r>
      </w:hyperlink>
      <w:r w:rsidRPr="00D930D0">
        <w:t xml:space="preserve"> (Accessed June 2025).</w:t>
      </w:r>
    </w:p>
    <w:p w14:paraId="15CF1625" w14:textId="77777777" w:rsidR="00036027" w:rsidRPr="00D930D0" w:rsidRDefault="00036027" w:rsidP="00036027">
      <w:pPr>
        <w:spacing w:line="276" w:lineRule="auto"/>
        <w:rPr>
          <w:b/>
          <w:bCs/>
        </w:rPr>
      </w:pPr>
      <w:r w:rsidRPr="00D930D0">
        <w:rPr>
          <w:rFonts w:cs="Arial"/>
          <w:color w:val="222222"/>
          <w:shd w:val="clear" w:color="auto" w:fill="FFFFFF"/>
        </w:rPr>
        <w:t>Taylor, S., &amp; Woodhams, C. (2022). </w:t>
      </w:r>
      <w:r w:rsidRPr="00D930D0">
        <w:rPr>
          <w:rFonts w:cs="Arial"/>
          <w:i/>
          <w:iCs/>
          <w:color w:val="222222"/>
          <w:shd w:val="clear" w:color="auto" w:fill="FFFFFF"/>
        </w:rPr>
        <w:t>Human resource management: People and organisations</w:t>
      </w:r>
      <w:r w:rsidRPr="00D930D0">
        <w:rPr>
          <w:rFonts w:cs="Arial"/>
          <w:color w:val="222222"/>
          <w:shd w:val="clear" w:color="auto" w:fill="FFFFFF"/>
        </w:rPr>
        <w:t>. Kogan Page Publishers.</w:t>
      </w:r>
    </w:p>
    <w:p w14:paraId="44914695" w14:textId="77777777" w:rsidR="00036027" w:rsidRPr="00D930D0" w:rsidRDefault="00036027" w:rsidP="00036027">
      <w:pPr>
        <w:spacing w:line="276" w:lineRule="auto"/>
      </w:pPr>
      <w:r w:rsidRPr="00D930D0">
        <w:lastRenderedPageBreak/>
        <w:t>Thomas, J. (2019) </w:t>
      </w:r>
      <w:r w:rsidRPr="00D930D0">
        <w:rPr>
          <w:i/>
          <w:iCs/>
        </w:rPr>
        <w:t>Retaining talent with leadership that cares</w:t>
      </w:r>
      <w:r w:rsidRPr="00D930D0">
        <w:t xml:space="preserve">. [Online]. HR Magazine. Last Updated: 26 February 2019. Available at: </w:t>
      </w:r>
      <w:hyperlink r:id="rId25" w:history="1">
        <w:r w:rsidRPr="00D930D0">
          <w:rPr>
            <w:rStyle w:val="Hyperlink"/>
            <w:u w:val="none"/>
          </w:rPr>
          <w:t>https://www.hrmagazine.co.uk/content/features/retaining-talent-with-leadership-that-cares</w:t>
        </w:r>
      </w:hyperlink>
      <w:r w:rsidRPr="00D930D0">
        <w:t xml:space="preserve"> (Accessed June 2025).</w:t>
      </w:r>
    </w:p>
    <w:p w14:paraId="144DA45D" w14:textId="77777777" w:rsidR="00036027" w:rsidRPr="00D930D0" w:rsidRDefault="00036027" w:rsidP="00036027">
      <w:pPr>
        <w:spacing w:line="276" w:lineRule="auto"/>
      </w:pPr>
      <w:r w:rsidRPr="00D930D0">
        <w:t>Wyatt, H. (2024) </w:t>
      </w:r>
      <w:r w:rsidRPr="00D930D0">
        <w:rPr>
          <w:i/>
          <w:iCs/>
        </w:rPr>
        <w:t xml:space="preserve">Over half of employees </w:t>
      </w:r>
      <w:proofErr w:type="gramStart"/>
      <w:r w:rsidRPr="00D930D0">
        <w:rPr>
          <w:i/>
          <w:iCs/>
        </w:rPr>
        <w:t>are</w:t>
      </w:r>
      <w:proofErr w:type="gramEnd"/>
      <w:r w:rsidRPr="00D930D0">
        <w:rPr>
          <w:i/>
          <w:iCs/>
        </w:rPr>
        <w:t xml:space="preserve"> dissatisfied with onboarding</w:t>
      </w:r>
      <w:r w:rsidRPr="00D930D0">
        <w:t xml:space="preserve">. [Online]. HR Magazine. Last Updated: 25 November 2024. Available at: </w:t>
      </w:r>
      <w:hyperlink r:id="rId26" w:history="1">
        <w:r w:rsidRPr="00D930D0">
          <w:rPr>
            <w:rStyle w:val="Hyperlink"/>
            <w:u w:val="none"/>
          </w:rPr>
          <w:t>https://www.hrmagazine.co.uk/content/news/over-half-of-employees-are-dissatisfied-with-onboarding</w:t>
        </w:r>
      </w:hyperlink>
      <w:r w:rsidRPr="00D930D0">
        <w:t xml:space="preserve"> (Accessed June 2025).</w:t>
      </w:r>
    </w:p>
    <w:p w14:paraId="01A73C49" w14:textId="77777777" w:rsidR="00036027" w:rsidRPr="00D930D0" w:rsidRDefault="00036027" w:rsidP="00036027">
      <w:pPr>
        <w:spacing w:line="276" w:lineRule="auto"/>
      </w:pPr>
      <w:r w:rsidRPr="00D930D0">
        <w:t>Young, J. (2024) </w:t>
      </w:r>
      <w:r w:rsidRPr="00D930D0">
        <w:rPr>
          <w:i/>
          <w:iCs/>
        </w:rPr>
        <w:t>Job design</w:t>
      </w:r>
      <w:r w:rsidRPr="00D930D0">
        <w:t xml:space="preserve">. [Online]. CIPD. Last Updated: 08 July 2024. Available at: </w:t>
      </w:r>
      <w:hyperlink r:id="rId27" w:history="1">
        <w:r w:rsidRPr="00D930D0">
          <w:rPr>
            <w:rStyle w:val="Hyperlink"/>
            <w:u w:val="none"/>
          </w:rPr>
          <w:t>https://www.cipd.org/uk/knowledge/factsheets/job-design-factsheet/</w:t>
        </w:r>
      </w:hyperlink>
      <w:r w:rsidRPr="00D930D0">
        <w:t xml:space="preserve"> (Accessed June 2025). </w:t>
      </w:r>
    </w:p>
    <w:p w14:paraId="3C27932D" w14:textId="77777777" w:rsidR="00036027" w:rsidRPr="00883301" w:rsidRDefault="00036027" w:rsidP="00906239">
      <w:pPr>
        <w:spacing w:line="276" w:lineRule="auto"/>
        <w:jc w:val="both"/>
      </w:pPr>
    </w:p>
    <w:p w14:paraId="400EEC1C" w14:textId="77777777" w:rsidR="00883301" w:rsidRPr="00906239" w:rsidRDefault="00883301" w:rsidP="008B1351"/>
    <w:sectPr w:rsidR="00883301" w:rsidRPr="00906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5045DFA"/>
    <w:multiLevelType w:val="hybridMultilevel"/>
    <w:tmpl w:val="2F042352"/>
    <w:numStyleLink w:val="ImportedStyle5"/>
  </w:abstractNum>
  <w:num w:numId="1" w16cid:durableId="2121299131">
    <w:abstractNumId w:val="0"/>
  </w:num>
  <w:num w:numId="2" w16cid:durableId="169268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7D9"/>
    <w:rsid w:val="0002286D"/>
    <w:rsid w:val="00036027"/>
    <w:rsid w:val="00057E6A"/>
    <w:rsid w:val="00084098"/>
    <w:rsid w:val="000D036F"/>
    <w:rsid w:val="00136EC8"/>
    <w:rsid w:val="00182B76"/>
    <w:rsid w:val="001F5230"/>
    <w:rsid w:val="00213D70"/>
    <w:rsid w:val="00244ABA"/>
    <w:rsid w:val="00246CCC"/>
    <w:rsid w:val="0027024E"/>
    <w:rsid w:val="00275661"/>
    <w:rsid w:val="002B42B5"/>
    <w:rsid w:val="00310782"/>
    <w:rsid w:val="003140A1"/>
    <w:rsid w:val="00364E15"/>
    <w:rsid w:val="00400B37"/>
    <w:rsid w:val="00444062"/>
    <w:rsid w:val="00472CCD"/>
    <w:rsid w:val="00476468"/>
    <w:rsid w:val="004A6574"/>
    <w:rsid w:val="004E28B5"/>
    <w:rsid w:val="004F1F81"/>
    <w:rsid w:val="0053181F"/>
    <w:rsid w:val="005438FD"/>
    <w:rsid w:val="00586719"/>
    <w:rsid w:val="005A683F"/>
    <w:rsid w:val="005B53EA"/>
    <w:rsid w:val="005D37D9"/>
    <w:rsid w:val="006C110B"/>
    <w:rsid w:val="006D7174"/>
    <w:rsid w:val="006E0778"/>
    <w:rsid w:val="006F5FB5"/>
    <w:rsid w:val="007112BD"/>
    <w:rsid w:val="00883301"/>
    <w:rsid w:val="008B1351"/>
    <w:rsid w:val="008B6B0F"/>
    <w:rsid w:val="008C2F5D"/>
    <w:rsid w:val="0090251D"/>
    <w:rsid w:val="00906239"/>
    <w:rsid w:val="00910B83"/>
    <w:rsid w:val="009A101E"/>
    <w:rsid w:val="009A4288"/>
    <w:rsid w:val="009B225C"/>
    <w:rsid w:val="009E00DE"/>
    <w:rsid w:val="00A27DDC"/>
    <w:rsid w:val="00A46A8D"/>
    <w:rsid w:val="00A73177"/>
    <w:rsid w:val="00AA127E"/>
    <w:rsid w:val="00AC48A9"/>
    <w:rsid w:val="00AF0DBB"/>
    <w:rsid w:val="00B30534"/>
    <w:rsid w:val="00B37EE2"/>
    <w:rsid w:val="00B525A4"/>
    <w:rsid w:val="00B66F23"/>
    <w:rsid w:val="00BD0D77"/>
    <w:rsid w:val="00C174CF"/>
    <w:rsid w:val="00C2679B"/>
    <w:rsid w:val="00C65342"/>
    <w:rsid w:val="00C71CAD"/>
    <w:rsid w:val="00CA2858"/>
    <w:rsid w:val="00D57FCC"/>
    <w:rsid w:val="00D67E13"/>
    <w:rsid w:val="00EC67F2"/>
    <w:rsid w:val="00F06B01"/>
    <w:rsid w:val="00F921A1"/>
    <w:rsid w:val="00FA6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C4431"/>
  <w15:chartTrackingRefBased/>
  <w15:docId w15:val="{4119A786-7DB6-49A2-B336-8BEF79A8D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F81"/>
  </w:style>
  <w:style w:type="paragraph" w:styleId="Heading1">
    <w:name w:val="heading 1"/>
    <w:basedOn w:val="Normal"/>
    <w:next w:val="Normal"/>
    <w:link w:val="Heading1Char"/>
    <w:uiPriority w:val="9"/>
    <w:qFormat/>
    <w:rsid w:val="005D37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7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7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7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7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7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7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7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7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7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7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7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7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7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7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7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7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7D9"/>
    <w:rPr>
      <w:rFonts w:eastAsiaTheme="majorEastAsia" w:cstheme="majorBidi"/>
      <w:color w:val="272727" w:themeColor="text1" w:themeTint="D8"/>
    </w:rPr>
  </w:style>
  <w:style w:type="paragraph" w:styleId="Title">
    <w:name w:val="Title"/>
    <w:basedOn w:val="Normal"/>
    <w:next w:val="Normal"/>
    <w:link w:val="TitleChar"/>
    <w:uiPriority w:val="10"/>
    <w:qFormat/>
    <w:rsid w:val="005D37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7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7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7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7D9"/>
    <w:pPr>
      <w:spacing w:before="160"/>
      <w:jc w:val="center"/>
    </w:pPr>
    <w:rPr>
      <w:i/>
      <w:iCs/>
      <w:color w:val="404040" w:themeColor="text1" w:themeTint="BF"/>
    </w:rPr>
  </w:style>
  <w:style w:type="character" w:customStyle="1" w:styleId="QuoteChar">
    <w:name w:val="Quote Char"/>
    <w:basedOn w:val="DefaultParagraphFont"/>
    <w:link w:val="Quote"/>
    <w:uiPriority w:val="29"/>
    <w:rsid w:val="005D37D9"/>
    <w:rPr>
      <w:i/>
      <w:iCs/>
      <w:color w:val="404040" w:themeColor="text1" w:themeTint="BF"/>
    </w:rPr>
  </w:style>
  <w:style w:type="paragraph" w:styleId="ListParagraph">
    <w:name w:val="List Paragraph"/>
    <w:basedOn w:val="Normal"/>
    <w:qFormat/>
    <w:rsid w:val="005D37D9"/>
    <w:pPr>
      <w:ind w:left="720"/>
      <w:contextualSpacing/>
    </w:pPr>
  </w:style>
  <w:style w:type="character" w:styleId="IntenseEmphasis">
    <w:name w:val="Intense Emphasis"/>
    <w:basedOn w:val="DefaultParagraphFont"/>
    <w:uiPriority w:val="21"/>
    <w:qFormat/>
    <w:rsid w:val="005D37D9"/>
    <w:rPr>
      <w:i/>
      <w:iCs/>
      <w:color w:val="0F4761" w:themeColor="accent1" w:themeShade="BF"/>
    </w:rPr>
  </w:style>
  <w:style w:type="paragraph" w:styleId="IntenseQuote">
    <w:name w:val="Intense Quote"/>
    <w:basedOn w:val="Normal"/>
    <w:next w:val="Normal"/>
    <w:link w:val="IntenseQuoteChar"/>
    <w:uiPriority w:val="30"/>
    <w:qFormat/>
    <w:rsid w:val="005D37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7D9"/>
    <w:rPr>
      <w:i/>
      <w:iCs/>
      <w:color w:val="0F4761" w:themeColor="accent1" w:themeShade="BF"/>
    </w:rPr>
  </w:style>
  <w:style w:type="character" w:styleId="IntenseReference">
    <w:name w:val="Intense Reference"/>
    <w:basedOn w:val="DefaultParagraphFont"/>
    <w:uiPriority w:val="32"/>
    <w:qFormat/>
    <w:rsid w:val="005D37D9"/>
    <w:rPr>
      <w:b/>
      <w:bCs/>
      <w:smallCaps/>
      <w:color w:val="0F4761" w:themeColor="accent1" w:themeShade="BF"/>
      <w:spacing w:val="5"/>
    </w:rPr>
  </w:style>
  <w:style w:type="character" w:customStyle="1" w:styleId="ui-provider">
    <w:name w:val="ui-provider"/>
    <w:rsid w:val="005D37D9"/>
  </w:style>
  <w:style w:type="paragraph" w:customStyle="1" w:styleId="Nornal">
    <w:name w:val="Nornal"/>
    <w:rsid w:val="005D37D9"/>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5D37D9"/>
    <w:pPr>
      <w:numPr>
        <w:numId w:val="1"/>
      </w:numPr>
    </w:pPr>
  </w:style>
  <w:style w:type="character" w:styleId="Hyperlink">
    <w:name w:val="Hyperlink"/>
    <w:basedOn w:val="DefaultParagraphFont"/>
    <w:uiPriority w:val="99"/>
    <w:unhideWhenUsed/>
    <w:rsid w:val="00036027"/>
    <w:rPr>
      <w:color w:val="467886" w:themeColor="hyperlink"/>
      <w:u w:val="single"/>
    </w:rPr>
  </w:style>
  <w:style w:type="character" w:styleId="FollowedHyperlink">
    <w:name w:val="FollowedHyperlink"/>
    <w:basedOn w:val="DefaultParagraphFont"/>
    <w:uiPriority w:val="99"/>
    <w:semiHidden/>
    <w:unhideWhenUsed/>
    <w:rsid w:val="000360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7612">
      <w:bodyDiv w:val="1"/>
      <w:marLeft w:val="0"/>
      <w:marRight w:val="0"/>
      <w:marTop w:val="0"/>
      <w:marBottom w:val="0"/>
      <w:divBdr>
        <w:top w:val="none" w:sz="0" w:space="0" w:color="auto"/>
        <w:left w:val="none" w:sz="0" w:space="0" w:color="auto"/>
        <w:bottom w:val="none" w:sz="0" w:space="0" w:color="auto"/>
        <w:right w:val="none" w:sz="0" w:space="0" w:color="auto"/>
      </w:divBdr>
    </w:div>
    <w:div w:id="20909202">
      <w:bodyDiv w:val="1"/>
      <w:marLeft w:val="0"/>
      <w:marRight w:val="0"/>
      <w:marTop w:val="0"/>
      <w:marBottom w:val="0"/>
      <w:divBdr>
        <w:top w:val="none" w:sz="0" w:space="0" w:color="auto"/>
        <w:left w:val="none" w:sz="0" w:space="0" w:color="auto"/>
        <w:bottom w:val="none" w:sz="0" w:space="0" w:color="auto"/>
        <w:right w:val="none" w:sz="0" w:space="0" w:color="auto"/>
      </w:divBdr>
    </w:div>
    <w:div w:id="191455051">
      <w:bodyDiv w:val="1"/>
      <w:marLeft w:val="0"/>
      <w:marRight w:val="0"/>
      <w:marTop w:val="0"/>
      <w:marBottom w:val="0"/>
      <w:divBdr>
        <w:top w:val="none" w:sz="0" w:space="0" w:color="auto"/>
        <w:left w:val="none" w:sz="0" w:space="0" w:color="auto"/>
        <w:bottom w:val="none" w:sz="0" w:space="0" w:color="auto"/>
        <w:right w:val="none" w:sz="0" w:space="0" w:color="auto"/>
      </w:divBdr>
    </w:div>
    <w:div w:id="273709603">
      <w:bodyDiv w:val="1"/>
      <w:marLeft w:val="0"/>
      <w:marRight w:val="0"/>
      <w:marTop w:val="0"/>
      <w:marBottom w:val="0"/>
      <w:divBdr>
        <w:top w:val="none" w:sz="0" w:space="0" w:color="auto"/>
        <w:left w:val="none" w:sz="0" w:space="0" w:color="auto"/>
        <w:bottom w:val="none" w:sz="0" w:space="0" w:color="auto"/>
        <w:right w:val="none" w:sz="0" w:space="0" w:color="auto"/>
      </w:divBdr>
    </w:div>
    <w:div w:id="281769039">
      <w:bodyDiv w:val="1"/>
      <w:marLeft w:val="0"/>
      <w:marRight w:val="0"/>
      <w:marTop w:val="0"/>
      <w:marBottom w:val="0"/>
      <w:divBdr>
        <w:top w:val="none" w:sz="0" w:space="0" w:color="auto"/>
        <w:left w:val="none" w:sz="0" w:space="0" w:color="auto"/>
        <w:bottom w:val="none" w:sz="0" w:space="0" w:color="auto"/>
        <w:right w:val="none" w:sz="0" w:space="0" w:color="auto"/>
      </w:divBdr>
    </w:div>
    <w:div w:id="466047267">
      <w:bodyDiv w:val="1"/>
      <w:marLeft w:val="0"/>
      <w:marRight w:val="0"/>
      <w:marTop w:val="0"/>
      <w:marBottom w:val="0"/>
      <w:divBdr>
        <w:top w:val="none" w:sz="0" w:space="0" w:color="auto"/>
        <w:left w:val="none" w:sz="0" w:space="0" w:color="auto"/>
        <w:bottom w:val="none" w:sz="0" w:space="0" w:color="auto"/>
        <w:right w:val="none" w:sz="0" w:space="0" w:color="auto"/>
      </w:divBdr>
    </w:div>
    <w:div w:id="480657640">
      <w:bodyDiv w:val="1"/>
      <w:marLeft w:val="0"/>
      <w:marRight w:val="0"/>
      <w:marTop w:val="0"/>
      <w:marBottom w:val="0"/>
      <w:divBdr>
        <w:top w:val="none" w:sz="0" w:space="0" w:color="auto"/>
        <w:left w:val="none" w:sz="0" w:space="0" w:color="auto"/>
        <w:bottom w:val="none" w:sz="0" w:space="0" w:color="auto"/>
        <w:right w:val="none" w:sz="0" w:space="0" w:color="auto"/>
      </w:divBdr>
    </w:div>
    <w:div w:id="782847657">
      <w:bodyDiv w:val="1"/>
      <w:marLeft w:val="0"/>
      <w:marRight w:val="0"/>
      <w:marTop w:val="0"/>
      <w:marBottom w:val="0"/>
      <w:divBdr>
        <w:top w:val="none" w:sz="0" w:space="0" w:color="auto"/>
        <w:left w:val="none" w:sz="0" w:space="0" w:color="auto"/>
        <w:bottom w:val="none" w:sz="0" w:space="0" w:color="auto"/>
        <w:right w:val="none" w:sz="0" w:space="0" w:color="auto"/>
      </w:divBdr>
    </w:div>
    <w:div w:id="849374532">
      <w:bodyDiv w:val="1"/>
      <w:marLeft w:val="0"/>
      <w:marRight w:val="0"/>
      <w:marTop w:val="0"/>
      <w:marBottom w:val="0"/>
      <w:divBdr>
        <w:top w:val="none" w:sz="0" w:space="0" w:color="auto"/>
        <w:left w:val="none" w:sz="0" w:space="0" w:color="auto"/>
        <w:bottom w:val="none" w:sz="0" w:space="0" w:color="auto"/>
        <w:right w:val="none" w:sz="0" w:space="0" w:color="auto"/>
      </w:divBdr>
    </w:div>
    <w:div w:id="1018314267">
      <w:bodyDiv w:val="1"/>
      <w:marLeft w:val="0"/>
      <w:marRight w:val="0"/>
      <w:marTop w:val="0"/>
      <w:marBottom w:val="0"/>
      <w:divBdr>
        <w:top w:val="none" w:sz="0" w:space="0" w:color="auto"/>
        <w:left w:val="none" w:sz="0" w:space="0" w:color="auto"/>
        <w:bottom w:val="none" w:sz="0" w:space="0" w:color="auto"/>
        <w:right w:val="none" w:sz="0" w:space="0" w:color="auto"/>
      </w:divBdr>
    </w:div>
    <w:div w:id="1023676428">
      <w:bodyDiv w:val="1"/>
      <w:marLeft w:val="0"/>
      <w:marRight w:val="0"/>
      <w:marTop w:val="0"/>
      <w:marBottom w:val="0"/>
      <w:divBdr>
        <w:top w:val="none" w:sz="0" w:space="0" w:color="auto"/>
        <w:left w:val="none" w:sz="0" w:space="0" w:color="auto"/>
        <w:bottom w:val="none" w:sz="0" w:space="0" w:color="auto"/>
        <w:right w:val="none" w:sz="0" w:space="0" w:color="auto"/>
      </w:divBdr>
    </w:div>
    <w:div w:id="1151871158">
      <w:bodyDiv w:val="1"/>
      <w:marLeft w:val="0"/>
      <w:marRight w:val="0"/>
      <w:marTop w:val="0"/>
      <w:marBottom w:val="0"/>
      <w:divBdr>
        <w:top w:val="none" w:sz="0" w:space="0" w:color="auto"/>
        <w:left w:val="none" w:sz="0" w:space="0" w:color="auto"/>
        <w:bottom w:val="none" w:sz="0" w:space="0" w:color="auto"/>
        <w:right w:val="none" w:sz="0" w:space="0" w:color="auto"/>
      </w:divBdr>
    </w:div>
    <w:div w:id="1216622392">
      <w:bodyDiv w:val="1"/>
      <w:marLeft w:val="0"/>
      <w:marRight w:val="0"/>
      <w:marTop w:val="0"/>
      <w:marBottom w:val="0"/>
      <w:divBdr>
        <w:top w:val="none" w:sz="0" w:space="0" w:color="auto"/>
        <w:left w:val="none" w:sz="0" w:space="0" w:color="auto"/>
        <w:bottom w:val="none" w:sz="0" w:space="0" w:color="auto"/>
        <w:right w:val="none" w:sz="0" w:space="0" w:color="auto"/>
      </w:divBdr>
    </w:div>
    <w:div w:id="1252202026">
      <w:bodyDiv w:val="1"/>
      <w:marLeft w:val="0"/>
      <w:marRight w:val="0"/>
      <w:marTop w:val="0"/>
      <w:marBottom w:val="0"/>
      <w:divBdr>
        <w:top w:val="none" w:sz="0" w:space="0" w:color="auto"/>
        <w:left w:val="none" w:sz="0" w:space="0" w:color="auto"/>
        <w:bottom w:val="none" w:sz="0" w:space="0" w:color="auto"/>
        <w:right w:val="none" w:sz="0" w:space="0" w:color="auto"/>
      </w:divBdr>
    </w:div>
    <w:div w:id="1283076830">
      <w:bodyDiv w:val="1"/>
      <w:marLeft w:val="0"/>
      <w:marRight w:val="0"/>
      <w:marTop w:val="0"/>
      <w:marBottom w:val="0"/>
      <w:divBdr>
        <w:top w:val="none" w:sz="0" w:space="0" w:color="auto"/>
        <w:left w:val="none" w:sz="0" w:space="0" w:color="auto"/>
        <w:bottom w:val="none" w:sz="0" w:space="0" w:color="auto"/>
        <w:right w:val="none" w:sz="0" w:space="0" w:color="auto"/>
      </w:divBdr>
    </w:div>
    <w:div w:id="1284191649">
      <w:bodyDiv w:val="1"/>
      <w:marLeft w:val="0"/>
      <w:marRight w:val="0"/>
      <w:marTop w:val="0"/>
      <w:marBottom w:val="0"/>
      <w:divBdr>
        <w:top w:val="none" w:sz="0" w:space="0" w:color="auto"/>
        <w:left w:val="none" w:sz="0" w:space="0" w:color="auto"/>
        <w:bottom w:val="none" w:sz="0" w:space="0" w:color="auto"/>
        <w:right w:val="none" w:sz="0" w:space="0" w:color="auto"/>
      </w:divBdr>
    </w:div>
    <w:div w:id="1371417695">
      <w:bodyDiv w:val="1"/>
      <w:marLeft w:val="0"/>
      <w:marRight w:val="0"/>
      <w:marTop w:val="0"/>
      <w:marBottom w:val="0"/>
      <w:divBdr>
        <w:top w:val="none" w:sz="0" w:space="0" w:color="auto"/>
        <w:left w:val="none" w:sz="0" w:space="0" w:color="auto"/>
        <w:bottom w:val="none" w:sz="0" w:space="0" w:color="auto"/>
        <w:right w:val="none" w:sz="0" w:space="0" w:color="auto"/>
      </w:divBdr>
    </w:div>
    <w:div w:id="1379279702">
      <w:bodyDiv w:val="1"/>
      <w:marLeft w:val="0"/>
      <w:marRight w:val="0"/>
      <w:marTop w:val="0"/>
      <w:marBottom w:val="0"/>
      <w:divBdr>
        <w:top w:val="none" w:sz="0" w:space="0" w:color="auto"/>
        <w:left w:val="none" w:sz="0" w:space="0" w:color="auto"/>
        <w:bottom w:val="none" w:sz="0" w:space="0" w:color="auto"/>
        <w:right w:val="none" w:sz="0" w:space="0" w:color="auto"/>
      </w:divBdr>
    </w:div>
    <w:div w:id="1402677724">
      <w:bodyDiv w:val="1"/>
      <w:marLeft w:val="0"/>
      <w:marRight w:val="0"/>
      <w:marTop w:val="0"/>
      <w:marBottom w:val="0"/>
      <w:divBdr>
        <w:top w:val="none" w:sz="0" w:space="0" w:color="auto"/>
        <w:left w:val="none" w:sz="0" w:space="0" w:color="auto"/>
        <w:bottom w:val="none" w:sz="0" w:space="0" w:color="auto"/>
        <w:right w:val="none" w:sz="0" w:space="0" w:color="auto"/>
      </w:divBdr>
    </w:div>
    <w:div w:id="1593125283">
      <w:bodyDiv w:val="1"/>
      <w:marLeft w:val="0"/>
      <w:marRight w:val="0"/>
      <w:marTop w:val="0"/>
      <w:marBottom w:val="0"/>
      <w:divBdr>
        <w:top w:val="none" w:sz="0" w:space="0" w:color="auto"/>
        <w:left w:val="none" w:sz="0" w:space="0" w:color="auto"/>
        <w:bottom w:val="none" w:sz="0" w:space="0" w:color="auto"/>
        <w:right w:val="none" w:sz="0" w:space="0" w:color="auto"/>
      </w:divBdr>
    </w:div>
    <w:div w:id="1771730103">
      <w:bodyDiv w:val="1"/>
      <w:marLeft w:val="0"/>
      <w:marRight w:val="0"/>
      <w:marTop w:val="0"/>
      <w:marBottom w:val="0"/>
      <w:divBdr>
        <w:top w:val="none" w:sz="0" w:space="0" w:color="auto"/>
        <w:left w:val="none" w:sz="0" w:space="0" w:color="auto"/>
        <w:bottom w:val="none" w:sz="0" w:space="0" w:color="auto"/>
        <w:right w:val="none" w:sz="0" w:space="0" w:color="auto"/>
      </w:divBdr>
    </w:div>
    <w:div w:id="1783645048">
      <w:bodyDiv w:val="1"/>
      <w:marLeft w:val="0"/>
      <w:marRight w:val="0"/>
      <w:marTop w:val="0"/>
      <w:marBottom w:val="0"/>
      <w:divBdr>
        <w:top w:val="none" w:sz="0" w:space="0" w:color="auto"/>
        <w:left w:val="none" w:sz="0" w:space="0" w:color="auto"/>
        <w:bottom w:val="none" w:sz="0" w:space="0" w:color="auto"/>
        <w:right w:val="none" w:sz="0" w:space="0" w:color="auto"/>
      </w:divBdr>
    </w:div>
    <w:div w:id="2077585834">
      <w:bodyDiv w:val="1"/>
      <w:marLeft w:val="0"/>
      <w:marRight w:val="0"/>
      <w:marTop w:val="0"/>
      <w:marBottom w:val="0"/>
      <w:divBdr>
        <w:top w:val="none" w:sz="0" w:space="0" w:color="auto"/>
        <w:left w:val="none" w:sz="0" w:space="0" w:color="auto"/>
        <w:bottom w:val="none" w:sz="0" w:space="0" w:color="auto"/>
        <w:right w:val="none" w:sz="0" w:space="0" w:color="auto"/>
      </w:divBdr>
    </w:div>
    <w:div w:id="208656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about/news-archive/think-differently-recruitment/" TargetMode="External"/><Relationship Id="rId13" Type="http://schemas.openxmlformats.org/officeDocument/2006/relationships/hyperlink" Target="https://www.cipd.org/uk/knowledge/guides/agency-workers-guide/" TargetMode="External"/><Relationship Id="rId18" Type="http://schemas.openxmlformats.org/officeDocument/2006/relationships/hyperlink" Target="https://www.cipd.org/uk/knowledge/case-studies/transforming-north-yorkshire-police/" TargetMode="External"/><Relationship Id="rId26" Type="http://schemas.openxmlformats.org/officeDocument/2006/relationships/hyperlink" Target="https://www.hrmagazine.co.uk/content/news/over-half-of-employees-are-dissatisfied-with-onboarding" TargetMode="External"/><Relationship Id="rId3" Type="http://schemas.openxmlformats.org/officeDocument/2006/relationships/settings" Target="settings.xml"/><Relationship Id="rId21" Type="http://schemas.openxmlformats.org/officeDocument/2006/relationships/hyperlink" Target="https://www.cipd.org/uk/knowledge/factsheets/selection-factsheet/" TargetMode="External"/><Relationship Id="rId7" Type="http://schemas.openxmlformats.org/officeDocument/2006/relationships/hyperlink" Target="https://www.cipd.org/uk/knowledge/factsheets/terms-conditions-contracts-factsheet/" TargetMode="External"/><Relationship Id="rId12" Type="http://schemas.openxmlformats.org/officeDocument/2006/relationships/hyperlink" Target="https://www.cipd.org/uk/knowledge/factsheets/recruitment-factsheet/" TargetMode="External"/><Relationship Id="rId17" Type="http://schemas.openxmlformats.org/officeDocument/2006/relationships/hyperlink" Target="https://www.gov.uk/contract-types-and-employer-responsibilities" TargetMode="External"/><Relationship Id="rId25" Type="http://schemas.openxmlformats.org/officeDocument/2006/relationships/hyperlink" Target="https://www.hrmagazine.co.uk/content/features/retaining-talent-with-leadership-that-cares" TargetMode="External"/><Relationship Id="rId2" Type="http://schemas.openxmlformats.org/officeDocument/2006/relationships/styles" Target="styles.xml"/><Relationship Id="rId16" Type="http://schemas.openxmlformats.org/officeDocument/2006/relationships/hyperlink" Target="https://www.cipd.org/uk/knowledge/factsheets/strategic-total-factsheet/" TargetMode="External"/><Relationship Id="rId20" Type="http://schemas.openxmlformats.org/officeDocument/2006/relationships/hyperlink" Target="https://doi.org/10.1177/1059601121106588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globalassets/media/knowledge/knowledge-hub/reports/2024-pdfs/8662-resource-and-talent-planning-2024-report-web.pdf" TargetMode="External"/><Relationship Id="rId24" Type="http://schemas.openxmlformats.org/officeDocument/2006/relationships/hyperlink" Target="https://www.skillsforhealth.org.uk/article/data-driven-strategies-for-smarter-workforce-planning/" TargetMode="External"/><Relationship Id="rId5" Type="http://schemas.openxmlformats.org/officeDocument/2006/relationships/image" Target="media/image1.png"/><Relationship Id="rId15" Type="http://schemas.openxmlformats.org/officeDocument/2006/relationships/hyperlink" Target="https://www.cipd.org/uk/the-people-profession/the-profession-map/explore-the-profession-map/specialist-knowledge/employee-experience/" TargetMode="External"/><Relationship Id="rId23" Type="http://schemas.openxmlformats.org/officeDocument/2006/relationships/hyperlink" Target="https://email.randstad.co.uk/hubfs/REBR_2025_UK.pdf" TargetMode="External"/><Relationship Id="rId28" Type="http://schemas.openxmlformats.org/officeDocument/2006/relationships/fontTable" Target="fontTable.xml"/><Relationship Id="rId10" Type="http://schemas.openxmlformats.org/officeDocument/2006/relationships/hyperlink" Target="https://www.cipd.org/uk/knowledge/guides/strategic-workforce-planning/" TargetMode="External"/><Relationship Id="rId19" Type="http://schemas.openxmlformats.org/officeDocument/2006/relationships/hyperlink" Target="https://www.peoplemanagement.co.uk/article/1870723/first-100-days-or-break-new-hire" TargetMode="External"/><Relationship Id="rId4" Type="http://schemas.openxmlformats.org/officeDocument/2006/relationships/webSettings" Target="webSettings.xml"/><Relationship Id="rId9" Type="http://schemas.openxmlformats.org/officeDocument/2006/relationships/hyperlink" Target="https://www.cipd.org/uk/knowledge/guides/fixed-term-contracts-guide/" TargetMode="External"/><Relationship Id="rId14" Type="http://schemas.openxmlformats.org/officeDocument/2006/relationships/hyperlink" Target="https://www.cipd.org/uk/knowledge/factsheets/turnover-retention-factsheet/" TargetMode="External"/><Relationship Id="rId22" Type="http://schemas.openxmlformats.org/officeDocument/2006/relationships/hyperlink" Target="https://www.cipd.org/uk/knowledge/factsheets/induction-factsheet/" TargetMode="External"/><Relationship Id="rId27" Type="http://schemas.openxmlformats.org/officeDocument/2006/relationships/hyperlink" Target="https://www.cipd.org/uk/knowledge/factsheets/job-desig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5993</Words>
  <Characters>34162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2</cp:revision>
  <dcterms:created xsi:type="dcterms:W3CDTF">2025-06-30T12:34:00Z</dcterms:created>
  <dcterms:modified xsi:type="dcterms:W3CDTF">2025-06-30T12:34:00Z</dcterms:modified>
</cp:coreProperties>
</file>