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BDBB0" w14:textId="77777777" w:rsidR="007A2EF9" w:rsidRDefault="007A2EF9" w:rsidP="00B5737C">
      <w:pPr>
        <w:jc w:val="center"/>
        <w:rPr>
          <w:rFonts w:ascii="Century Gothic" w:hAnsi="Century Gothic"/>
          <w:sz w:val="40"/>
          <w:szCs w:val="40"/>
        </w:rPr>
      </w:pPr>
    </w:p>
    <w:p w14:paraId="5265FE91" w14:textId="77777777" w:rsidR="00074F48" w:rsidRDefault="00074F48" w:rsidP="00B5737C">
      <w:pPr>
        <w:jc w:val="center"/>
        <w:rPr>
          <w:rFonts w:ascii="Century Gothic" w:hAnsi="Century Gothic"/>
          <w:sz w:val="40"/>
          <w:szCs w:val="40"/>
        </w:rPr>
      </w:pPr>
    </w:p>
    <w:p w14:paraId="6B33A29B" w14:textId="77777777" w:rsidR="003C1020" w:rsidRDefault="003C1020" w:rsidP="00B5737C">
      <w:pPr>
        <w:jc w:val="center"/>
        <w:rPr>
          <w:rFonts w:ascii="Century Gothic" w:hAnsi="Century Gothic"/>
          <w:sz w:val="40"/>
          <w:szCs w:val="40"/>
        </w:rPr>
      </w:pPr>
    </w:p>
    <w:p w14:paraId="1B96E134" w14:textId="77777777" w:rsidR="007A2EF9" w:rsidRDefault="007A2EF9" w:rsidP="00B5737C">
      <w:pPr>
        <w:jc w:val="center"/>
        <w:rPr>
          <w:rFonts w:ascii="Century Gothic" w:hAnsi="Century Gothic"/>
          <w:sz w:val="40"/>
          <w:szCs w:val="40"/>
        </w:rPr>
      </w:pPr>
    </w:p>
    <w:p w14:paraId="6C804C87" w14:textId="77777777" w:rsidR="007A2EF9" w:rsidRDefault="007A2EF9" w:rsidP="00B5737C">
      <w:pPr>
        <w:jc w:val="center"/>
        <w:rPr>
          <w:rFonts w:ascii="Century Gothic" w:hAnsi="Century Gothic"/>
          <w:sz w:val="40"/>
          <w:szCs w:val="40"/>
        </w:rPr>
      </w:pPr>
    </w:p>
    <w:p w14:paraId="09B4EE1C" w14:textId="77777777" w:rsidR="00C71BAE" w:rsidRDefault="00C71BAE" w:rsidP="00B5737C">
      <w:pPr>
        <w:jc w:val="center"/>
        <w:rPr>
          <w:rFonts w:ascii="Century Gothic" w:hAnsi="Century Gothic"/>
          <w:sz w:val="40"/>
          <w:szCs w:val="40"/>
        </w:rPr>
      </w:pPr>
    </w:p>
    <w:p w14:paraId="7A416A3F" w14:textId="38FCC69E" w:rsidR="00AA5D88" w:rsidRDefault="003045AF" w:rsidP="00B5737C">
      <w:pPr>
        <w:jc w:val="center"/>
        <w:rPr>
          <w:rFonts w:ascii="Century Gothic" w:hAnsi="Century Gothic"/>
          <w:b/>
          <w:bCs/>
          <w:sz w:val="40"/>
          <w:szCs w:val="40"/>
        </w:rPr>
      </w:pPr>
      <w:r w:rsidRPr="007A2EF9">
        <w:rPr>
          <w:rFonts w:ascii="Century Gothic" w:hAnsi="Century Gothic"/>
          <w:sz w:val="40"/>
          <w:szCs w:val="40"/>
        </w:rPr>
        <w:t xml:space="preserve">Case Study Analysis </w:t>
      </w:r>
      <w:r w:rsidR="00C32EBC" w:rsidRPr="007A2EF9">
        <w:rPr>
          <w:rFonts w:ascii="Century Gothic" w:hAnsi="Century Gothic"/>
          <w:sz w:val="40"/>
          <w:szCs w:val="40"/>
        </w:rPr>
        <w:t>of Diversity and Inclusivity in the Workplace</w:t>
      </w:r>
      <w:r w:rsidR="00B5737C" w:rsidRPr="007A2EF9">
        <w:rPr>
          <w:rFonts w:ascii="Century Gothic" w:hAnsi="Century Gothic"/>
          <w:sz w:val="40"/>
          <w:szCs w:val="40"/>
        </w:rPr>
        <w:t xml:space="preserve">: </w:t>
      </w:r>
      <w:r w:rsidR="00E332D5" w:rsidRPr="007A2EF9">
        <w:rPr>
          <w:rFonts w:ascii="Century Gothic" w:hAnsi="Century Gothic"/>
          <w:b/>
          <w:bCs/>
          <w:sz w:val="40"/>
          <w:szCs w:val="40"/>
        </w:rPr>
        <w:t>Deloitte</w:t>
      </w:r>
    </w:p>
    <w:p w14:paraId="1B07643A" w14:textId="27930DCD" w:rsidR="007A2EF9" w:rsidRDefault="000E54BF" w:rsidP="00B5737C">
      <w:pPr>
        <w:jc w:val="center"/>
        <w:rPr>
          <w:rFonts w:ascii="Century Gothic" w:hAnsi="Century Gothic"/>
          <w:sz w:val="32"/>
          <w:szCs w:val="32"/>
        </w:rPr>
      </w:pPr>
      <w:r w:rsidRPr="00C71BAE">
        <w:rPr>
          <w:rFonts w:ascii="Century Gothic" w:hAnsi="Century Gothic"/>
          <w:sz w:val="32"/>
          <w:szCs w:val="32"/>
        </w:rPr>
        <w:t xml:space="preserve">By Alyssia Frampton, 2327857, </w:t>
      </w:r>
      <w:r w:rsidR="00BE79BA" w:rsidRPr="00C71BAE">
        <w:rPr>
          <w:rFonts w:ascii="Century Gothic" w:hAnsi="Century Gothic"/>
          <w:sz w:val="32"/>
          <w:szCs w:val="32"/>
        </w:rPr>
        <w:t>BMSP5020</w:t>
      </w:r>
    </w:p>
    <w:p w14:paraId="25FD369B" w14:textId="146E9588" w:rsidR="00B65602" w:rsidRDefault="00FC5CF3" w:rsidP="00B5737C">
      <w:pPr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Word Count: 3</w:t>
      </w:r>
      <w:r w:rsidR="009B4D5C">
        <w:rPr>
          <w:rFonts w:ascii="Century Gothic" w:hAnsi="Century Gothic"/>
          <w:sz w:val="32"/>
          <w:szCs w:val="32"/>
        </w:rPr>
        <w:t>300</w:t>
      </w:r>
    </w:p>
    <w:p w14:paraId="605D52C7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0E2E6DE7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3EE86339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71D01594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56CDCEBC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5DF0F533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70D8CDB8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1A278602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0E116F13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7AB097F5" w14:textId="77777777" w:rsidR="00B65602" w:rsidRDefault="00B65602" w:rsidP="00B5737C">
      <w:pPr>
        <w:jc w:val="center"/>
        <w:rPr>
          <w:rFonts w:ascii="Century Gothic" w:hAnsi="Century Gothic"/>
          <w:sz w:val="32"/>
          <w:szCs w:val="32"/>
        </w:rPr>
      </w:pPr>
    </w:p>
    <w:p w14:paraId="56F04B34" w14:textId="77777777" w:rsidR="003311BD" w:rsidRDefault="003311BD" w:rsidP="00B5737C">
      <w:pPr>
        <w:jc w:val="center"/>
        <w:rPr>
          <w:rFonts w:ascii="Century Gothic" w:hAnsi="Century Gothic"/>
          <w:sz w:val="32"/>
          <w:szCs w:val="32"/>
        </w:rPr>
      </w:pPr>
    </w:p>
    <w:p w14:paraId="30117D10" w14:textId="00EB1E26" w:rsidR="00B65602" w:rsidRDefault="00B65602" w:rsidP="003311B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Contents: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332D5" w:rsidRPr="00E332D5" w14:paraId="4B567D81" w14:textId="77777777" w:rsidTr="00E332D5">
        <w:tc>
          <w:tcPr>
            <w:tcW w:w="4508" w:type="dxa"/>
          </w:tcPr>
          <w:p w14:paraId="1751A687" w14:textId="2EF37EE6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Introduction </w:t>
            </w:r>
          </w:p>
        </w:tc>
        <w:tc>
          <w:tcPr>
            <w:tcW w:w="4508" w:type="dxa"/>
          </w:tcPr>
          <w:p w14:paraId="326E44E9" w14:textId="4EABF692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</w:tr>
      <w:tr w:rsidR="00E332D5" w:rsidRPr="00B43E5F" w14:paraId="582B739B" w14:textId="77777777" w:rsidTr="00E332D5">
        <w:tc>
          <w:tcPr>
            <w:tcW w:w="4508" w:type="dxa"/>
          </w:tcPr>
          <w:p w14:paraId="5019960E" w14:textId="56D677AC" w:rsidR="00E332D5" w:rsidRPr="00B43E5F" w:rsidRDefault="00E332D5" w:rsidP="00E332D5">
            <w:pPr>
              <w:pStyle w:val="ListParagraph"/>
              <w:numPr>
                <w:ilvl w:val="1"/>
                <w:numId w:val="29"/>
              </w:num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>Case Study Selection</w:t>
            </w:r>
          </w:p>
        </w:tc>
        <w:tc>
          <w:tcPr>
            <w:tcW w:w="4508" w:type="dxa"/>
          </w:tcPr>
          <w:p w14:paraId="009E68E9" w14:textId="361F1821" w:rsidR="00E332D5" w:rsidRPr="00B43E5F" w:rsidRDefault="00B43E5F" w:rsidP="00B43E5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>4</w:t>
            </w:r>
          </w:p>
        </w:tc>
      </w:tr>
      <w:tr w:rsidR="00212E51" w:rsidRPr="00E332D5" w14:paraId="5372780F" w14:textId="77777777" w:rsidTr="00E332D5">
        <w:tc>
          <w:tcPr>
            <w:tcW w:w="4508" w:type="dxa"/>
          </w:tcPr>
          <w:p w14:paraId="25FF9419" w14:textId="026556EE" w:rsidR="00212E51" w:rsidRPr="00E332D5" w:rsidRDefault="001375BA" w:rsidP="003311BD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1.1 Deloitte Choice Reasoning</w:t>
            </w:r>
          </w:p>
        </w:tc>
        <w:tc>
          <w:tcPr>
            <w:tcW w:w="4508" w:type="dxa"/>
          </w:tcPr>
          <w:p w14:paraId="58E139C7" w14:textId="61ED82B4" w:rsidR="00212E51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</w:tr>
      <w:tr w:rsidR="00E332D5" w:rsidRPr="00E332D5" w14:paraId="69BBA2EA" w14:textId="77777777" w:rsidTr="00E332D5">
        <w:tc>
          <w:tcPr>
            <w:tcW w:w="4508" w:type="dxa"/>
          </w:tcPr>
          <w:p w14:paraId="15FEEDA9" w14:textId="21C5F708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>1.</w:t>
            </w:r>
            <w:r w:rsidR="001375BA">
              <w:rPr>
                <w:rFonts w:ascii="Century Gothic" w:hAnsi="Century Gothic"/>
                <w:sz w:val="28"/>
                <w:szCs w:val="28"/>
              </w:rPr>
              <w:t>2</w:t>
            </w:r>
            <w:r w:rsidRPr="00E332D5">
              <w:rPr>
                <w:rFonts w:ascii="Century Gothic" w:hAnsi="Century Gothic"/>
                <w:sz w:val="28"/>
                <w:szCs w:val="28"/>
              </w:rPr>
              <w:t xml:space="preserve"> Deloitte</w:t>
            </w:r>
            <w:r w:rsidR="00212E51">
              <w:rPr>
                <w:rFonts w:ascii="Century Gothic" w:hAnsi="Century Gothic"/>
                <w:sz w:val="28"/>
                <w:szCs w:val="28"/>
              </w:rPr>
              <w:t xml:space="preserve"> History</w:t>
            </w:r>
          </w:p>
        </w:tc>
        <w:tc>
          <w:tcPr>
            <w:tcW w:w="4508" w:type="dxa"/>
          </w:tcPr>
          <w:p w14:paraId="6FF01DFF" w14:textId="6FBC0FA0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</w:tr>
      <w:tr w:rsidR="00E332D5" w:rsidRPr="00B43E5F" w14:paraId="3C226E6C" w14:textId="77777777" w:rsidTr="00E332D5">
        <w:tc>
          <w:tcPr>
            <w:tcW w:w="4508" w:type="dxa"/>
          </w:tcPr>
          <w:p w14:paraId="5E65DEC5" w14:textId="139064BD" w:rsidR="00E332D5" w:rsidRPr="00B43E5F" w:rsidRDefault="00E332D5" w:rsidP="00E332D5">
            <w:pPr>
              <w:pStyle w:val="ListParagraph"/>
              <w:numPr>
                <w:ilvl w:val="1"/>
                <w:numId w:val="29"/>
              </w:num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Analysis of Diversity and Inclusivity Practices </w:t>
            </w:r>
          </w:p>
        </w:tc>
        <w:tc>
          <w:tcPr>
            <w:tcW w:w="4508" w:type="dxa"/>
          </w:tcPr>
          <w:p w14:paraId="05201DC3" w14:textId="1CB05DF8" w:rsidR="00E332D5" w:rsidRPr="00B43E5F" w:rsidRDefault="00B43E5F" w:rsidP="00B43E5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>5</w:t>
            </w:r>
          </w:p>
        </w:tc>
      </w:tr>
      <w:tr w:rsidR="00E332D5" w:rsidRPr="00E332D5" w14:paraId="3CD6FB87" w14:textId="77777777" w:rsidTr="00E332D5">
        <w:tc>
          <w:tcPr>
            <w:tcW w:w="4508" w:type="dxa"/>
          </w:tcPr>
          <w:p w14:paraId="0FF30200" w14:textId="5FE516DA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>2.1 Key Initiatives</w:t>
            </w:r>
          </w:p>
        </w:tc>
        <w:tc>
          <w:tcPr>
            <w:tcW w:w="4508" w:type="dxa"/>
          </w:tcPr>
          <w:p w14:paraId="78A06887" w14:textId="3511BBB3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</w:tr>
      <w:tr w:rsidR="00E332D5" w:rsidRPr="00E332D5" w14:paraId="4E223EF2" w14:textId="77777777" w:rsidTr="00E332D5">
        <w:tc>
          <w:tcPr>
            <w:tcW w:w="4508" w:type="dxa"/>
          </w:tcPr>
          <w:p w14:paraId="1E7C46E2" w14:textId="6363DCD3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2.2 Critical Analysis </w:t>
            </w:r>
          </w:p>
        </w:tc>
        <w:tc>
          <w:tcPr>
            <w:tcW w:w="4508" w:type="dxa"/>
          </w:tcPr>
          <w:p w14:paraId="20B8019A" w14:textId="045A9C3F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</w:tr>
      <w:tr w:rsidR="00E332D5" w:rsidRPr="00E332D5" w14:paraId="2DD7397E" w14:textId="77777777" w:rsidTr="00E332D5">
        <w:tc>
          <w:tcPr>
            <w:tcW w:w="4508" w:type="dxa"/>
          </w:tcPr>
          <w:p w14:paraId="12D5A721" w14:textId="1BA62673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2.3 Context Alignment </w:t>
            </w:r>
          </w:p>
        </w:tc>
        <w:tc>
          <w:tcPr>
            <w:tcW w:w="4508" w:type="dxa"/>
          </w:tcPr>
          <w:p w14:paraId="29794EF8" w14:textId="30FDBACA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761480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</w:tr>
      <w:tr w:rsidR="00E332D5" w:rsidRPr="00B43E5F" w14:paraId="398E0D79" w14:textId="77777777" w:rsidTr="00E332D5">
        <w:tc>
          <w:tcPr>
            <w:tcW w:w="4508" w:type="dxa"/>
          </w:tcPr>
          <w:p w14:paraId="34C54F7F" w14:textId="15B6B8AA" w:rsidR="00E332D5" w:rsidRPr="00B43E5F" w:rsidRDefault="00E332D5" w:rsidP="00E332D5">
            <w:pPr>
              <w:pStyle w:val="ListParagraph"/>
              <w:numPr>
                <w:ilvl w:val="1"/>
                <w:numId w:val="29"/>
              </w:num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Impact on Organisational Performance </w:t>
            </w:r>
          </w:p>
        </w:tc>
        <w:tc>
          <w:tcPr>
            <w:tcW w:w="4508" w:type="dxa"/>
          </w:tcPr>
          <w:p w14:paraId="108781DF" w14:textId="6B5F1D5E" w:rsidR="00E332D5" w:rsidRPr="00B43E5F" w:rsidRDefault="00B43E5F" w:rsidP="00B43E5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43E5F">
              <w:rPr>
                <w:rFonts w:ascii="Century Gothic" w:hAnsi="Century Gothic"/>
                <w:b/>
                <w:bCs/>
                <w:sz w:val="28"/>
                <w:szCs w:val="28"/>
              </w:rPr>
              <w:t>1</w:t>
            </w:r>
            <w:r w:rsidR="00761480">
              <w:rPr>
                <w:rFonts w:ascii="Century Gothic" w:hAnsi="Century Gothic"/>
                <w:b/>
                <w:bCs/>
                <w:sz w:val="28"/>
                <w:szCs w:val="28"/>
              </w:rPr>
              <w:t>2</w:t>
            </w:r>
          </w:p>
        </w:tc>
      </w:tr>
      <w:tr w:rsidR="00E332D5" w:rsidRPr="00E332D5" w14:paraId="1DFEFDB5" w14:textId="77777777" w:rsidTr="00E332D5">
        <w:tc>
          <w:tcPr>
            <w:tcW w:w="4508" w:type="dxa"/>
          </w:tcPr>
          <w:p w14:paraId="19A79D0C" w14:textId="694BF92D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>3.1 Employee Outcomes</w:t>
            </w:r>
          </w:p>
        </w:tc>
        <w:tc>
          <w:tcPr>
            <w:tcW w:w="4508" w:type="dxa"/>
          </w:tcPr>
          <w:p w14:paraId="4E4090C7" w14:textId="1D894847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761480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</w:tr>
      <w:tr w:rsidR="00E332D5" w:rsidRPr="00E332D5" w14:paraId="4E6B4C86" w14:textId="77777777" w:rsidTr="00E332D5">
        <w:tc>
          <w:tcPr>
            <w:tcW w:w="4508" w:type="dxa"/>
          </w:tcPr>
          <w:p w14:paraId="5A57D34E" w14:textId="7CD66978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3.2 Business Outcomes </w:t>
            </w:r>
          </w:p>
        </w:tc>
        <w:tc>
          <w:tcPr>
            <w:tcW w:w="4508" w:type="dxa"/>
          </w:tcPr>
          <w:p w14:paraId="76524D45" w14:textId="3033D5B3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BC6AA7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</w:tr>
      <w:tr w:rsidR="00E332D5" w:rsidRPr="00E332D5" w14:paraId="633974B3" w14:textId="77777777" w:rsidTr="00E332D5">
        <w:tc>
          <w:tcPr>
            <w:tcW w:w="4508" w:type="dxa"/>
          </w:tcPr>
          <w:p w14:paraId="05637F49" w14:textId="26B1B35C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Conclusion </w:t>
            </w:r>
          </w:p>
        </w:tc>
        <w:tc>
          <w:tcPr>
            <w:tcW w:w="4508" w:type="dxa"/>
          </w:tcPr>
          <w:p w14:paraId="5516B563" w14:textId="5FD9FFF2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BC6AA7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</w:tr>
      <w:tr w:rsidR="00E332D5" w:rsidRPr="00E332D5" w14:paraId="73B7AA2A" w14:textId="77777777" w:rsidTr="00E332D5">
        <w:tc>
          <w:tcPr>
            <w:tcW w:w="4508" w:type="dxa"/>
          </w:tcPr>
          <w:p w14:paraId="2E3ED9C9" w14:textId="784B8DE3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 xml:space="preserve">Recommendations </w:t>
            </w:r>
          </w:p>
        </w:tc>
        <w:tc>
          <w:tcPr>
            <w:tcW w:w="4508" w:type="dxa"/>
          </w:tcPr>
          <w:p w14:paraId="3C35B6EE" w14:textId="3CE924B2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BC6AA7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</w:tr>
      <w:tr w:rsidR="00E332D5" w:rsidRPr="00E332D5" w14:paraId="4B565444" w14:textId="77777777" w:rsidTr="00E332D5">
        <w:tc>
          <w:tcPr>
            <w:tcW w:w="4508" w:type="dxa"/>
          </w:tcPr>
          <w:p w14:paraId="68080810" w14:textId="39BA592D" w:rsidR="00E332D5" w:rsidRPr="00E332D5" w:rsidRDefault="00E332D5" w:rsidP="003311BD">
            <w:pPr>
              <w:rPr>
                <w:rFonts w:ascii="Century Gothic" w:hAnsi="Century Gothic"/>
                <w:sz w:val="28"/>
                <w:szCs w:val="28"/>
              </w:rPr>
            </w:pPr>
            <w:r w:rsidRPr="00E332D5">
              <w:rPr>
                <w:rFonts w:ascii="Century Gothic" w:hAnsi="Century Gothic"/>
                <w:sz w:val="28"/>
                <w:szCs w:val="28"/>
              </w:rPr>
              <w:t>References</w:t>
            </w:r>
          </w:p>
        </w:tc>
        <w:tc>
          <w:tcPr>
            <w:tcW w:w="4508" w:type="dxa"/>
          </w:tcPr>
          <w:p w14:paraId="172A42EE" w14:textId="25DB8EB5" w:rsidR="00E332D5" w:rsidRPr="00E332D5" w:rsidRDefault="00B43E5F" w:rsidP="00B43E5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</w:t>
            </w:r>
            <w:r w:rsidR="00BC6AA7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</w:tr>
    </w:tbl>
    <w:p w14:paraId="248571FB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77402E61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5DE8D994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35C3AE69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3305D1A2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43565B94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2DB922E5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6DC078CF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4DAE3FB0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6DC874BF" w14:textId="77777777" w:rsidR="003311BD" w:rsidRDefault="003311BD" w:rsidP="003311BD">
      <w:pPr>
        <w:rPr>
          <w:rFonts w:ascii="Century Gothic" w:hAnsi="Century Gothic"/>
          <w:sz w:val="32"/>
          <w:szCs w:val="32"/>
        </w:rPr>
      </w:pPr>
    </w:p>
    <w:p w14:paraId="578D1454" w14:textId="77777777" w:rsidR="00E332D5" w:rsidRDefault="00E332D5" w:rsidP="003311BD">
      <w:pPr>
        <w:rPr>
          <w:rFonts w:ascii="Century Gothic" w:hAnsi="Century Gothic"/>
          <w:sz w:val="32"/>
          <w:szCs w:val="32"/>
        </w:rPr>
      </w:pPr>
    </w:p>
    <w:p w14:paraId="4CEAE938" w14:textId="5D7E764B" w:rsidR="003311BD" w:rsidRDefault="003311BD" w:rsidP="003311B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Introduction:</w:t>
      </w:r>
    </w:p>
    <w:p w14:paraId="7FF2A888" w14:textId="5CDEAC87" w:rsidR="00B65602" w:rsidRDefault="005D18F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Diversity and inclusion have become central considerations in contemporary organisational management, reflecting the evolving expectations of employees, stakeholders, and regulators. Diversity refers to the differences among individuals in a group, including gender, ethnicity, age, sexual orientation, disability, and cognitive style (Foma, 2014). </w:t>
      </w:r>
      <w:r w:rsidR="00C22832">
        <w:rPr>
          <w:rFonts w:ascii="Century Gothic" w:hAnsi="Century Gothic"/>
        </w:rPr>
        <w:t>Incl</w:t>
      </w:r>
      <w:r w:rsidR="00185638">
        <w:rPr>
          <w:rFonts w:ascii="Century Gothic" w:hAnsi="Century Gothic"/>
        </w:rPr>
        <w:t xml:space="preserve">usion </w:t>
      </w:r>
      <w:r w:rsidR="00EC3A8F">
        <w:rPr>
          <w:rFonts w:ascii="Century Gothic" w:hAnsi="Century Gothic"/>
        </w:rPr>
        <w:t xml:space="preserve">involves </w:t>
      </w:r>
      <w:r>
        <w:rPr>
          <w:rFonts w:ascii="Century Gothic" w:hAnsi="Century Gothic"/>
        </w:rPr>
        <w:t xml:space="preserve">the active empowerment of diverse individuals, ensuring </w:t>
      </w:r>
      <w:r w:rsidR="001A3927">
        <w:rPr>
          <w:rFonts w:ascii="Century Gothic" w:hAnsi="Century Gothic"/>
        </w:rPr>
        <w:t xml:space="preserve">they feel valued and respected </w:t>
      </w:r>
      <w:r>
        <w:rPr>
          <w:rFonts w:ascii="Century Gothic" w:hAnsi="Century Gothic"/>
        </w:rPr>
        <w:t xml:space="preserve">within the workplace (Korkmaz et al., 2022). Strategically, diversity and inclusion </w:t>
      </w:r>
      <w:bookmarkStart w:id="0" w:name="_Int_wBIwkyAs"/>
      <w:r>
        <w:rPr>
          <w:rFonts w:ascii="Century Gothic" w:hAnsi="Century Gothic"/>
        </w:rPr>
        <w:t xml:space="preserve">are </w:t>
      </w:r>
      <w:r w:rsidR="00B52D41">
        <w:rPr>
          <w:rFonts w:ascii="Century Gothic" w:hAnsi="Century Gothic"/>
        </w:rPr>
        <w:t>acknowledged</w:t>
      </w:r>
      <w:bookmarkEnd w:id="0"/>
      <w:r>
        <w:rPr>
          <w:rFonts w:ascii="Century Gothic" w:hAnsi="Century Gothic"/>
        </w:rPr>
        <w:t xml:space="preserve"> as</w:t>
      </w:r>
      <w:r w:rsidR="00AA321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driver</w:t>
      </w:r>
      <w:r w:rsidR="00AA3212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of innovation, engagement, and organisational performance (Roberson, 2006). </w:t>
      </w:r>
      <w:r w:rsidR="006969A7">
        <w:rPr>
          <w:rFonts w:ascii="Century Gothic" w:hAnsi="Century Gothic"/>
        </w:rPr>
        <w:t>Increasing equality legislation, such as the Equality Act 2010 (GOV</w:t>
      </w:r>
      <w:r w:rsidR="00F471E7">
        <w:rPr>
          <w:rFonts w:ascii="Century Gothic" w:hAnsi="Century Gothic"/>
        </w:rPr>
        <w:t>.</w:t>
      </w:r>
      <w:r w:rsidR="006969A7">
        <w:rPr>
          <w:rFonts w:ascii="Century Gothic" w:hAnsi="Century Gothic"/>
        </w:rPr>
        <w:t>UK, 2025)</w:t>
      </w:r>
      <w:r w:rsidR="00DC77F2">
        <w:rPr>
          <w:rFonts w:ascii="Century Gothic" w:hAnsi="Century Gothic"/>
        </w:rPr>
        <w:t xml:space="preserve">, has further reinforced diversity and inclusion </w:t>
      </w:r>
      <w:r w:rsidR="00430353">
        <w:rPr>
          <w:rFonts w:ascii="Century Gothic" w:hAnsi="Century Gothic"/>
        </w:rPr>
        <w:t>as</w:t>
      </w:r>
      <w:r w:rsidR="00DC77F2">
        <w:rPr>
          <w:rFonts w:ascii="Century Gothic" w:hAnsi="Century Gothic"/>
        </w:rPr>
        <w:t xml:space="preserve"> a moral and legal</w:t>
      </w:r>
      <w:r w:rsidR="002E659E">
        <w:rPr>
          <w:rFonts w:ascii="Century Gothic" w:hAnsi="Century Gothic"/>
        </w:rPr>
        <w:t xml:space="preserve"> business</w:t>
      </w:r>
      <w:r w:rsidR="00DC77F2">
        <w:rPr>
          <w:rFonts w:ascii="Century Gothic" w:hAnsi="Century Gothic"/>
        </w:rPr>
        <w:t xml:space="preserve"> responsibility</w:t>
      </w:r>
      <w:r w:rsidR="002E659E">
        <w:rPr>
          <w:rFonts w:ascii="Century Gothic" w:hAnsi="Century Gothic"/>
        </w:rPr>
        <w:t>.</w:t>
      </w:r>
      <w:r w:rsidR="00DC77F2">
        <w:rPr>
          <w:rFonts w:ascii="Century Gothic" w:hAnsi="Century Gothic"/>
        </w:rPr>
        <w:t xml:space="preserve"> </w:t>
      </w:r>
    </w:p>
    <w:p w14:paraId="155AD103" w14:textId="3DC97C75" w:rsidR="00410AF1" w:rsidRDefault="005D18F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Deloitte, a leading global professional services network, provides auditing, </w:t>
      </w:r>
      <w:r w:rsidR="00C76746">
        <w:rPr>
          <w:rFonts w:ascii="Century Gothic" w:hAnsi="Century Gothic"/>
        </w:rPr>
        <w:t xml:space="preserve">tax </w:t>
      </w:r>
      <w:r>
        <w:rPr>
          <w:rFonts w:ascii="Century Gothic" w:hAnsi="Century Gothic"/>
        </w:rPr>
        <w:t xml:space="preserve">consulting, risk advisory, and financial </w:t>
      </w:r>
      <w:r w:rsidR="00CF7F40">
        <w:rPr>
          <w:rFonts w:ascii="Century Gothic" w:hAnsi="Century Gothic"/>
        </w:rPr>
        <w:t xml:space="preserve">services. </w:t>
      </w:r>
      <w:r>
        <w:rPr>
          <w:rFonts w:ascii="Century Gothic" w:hAnsi="Century Gothic"/>
        </w:rPr>
        <w:t xml:space="preserve">The organisation is highly competitive and therefore </w:t>
      </w:r>
      <w:r w:rsidR="00C00061">
        <w:rPr>
          <w:rFonts w:ascii="Century Gothic" w:hAnsi="Century Gothic"/>
        </w:rPr>
        <w:t xml:space="preserve">claims to </w:t>
      </w:r>
      <w:bookmarkStart w:id="1" w:name="_Int_2MWM7GlC"/>
      <w:r>
        <w:rPr>
          <w:rFonts w:ascii="Century Gothic" w:hAnsi="Century Gothic"/>
        </w:rPr>
        <w:t>operate</w:t>
      </w:r>
      <w:bookmarkEnd w:id="1"/>
      <w:r>
        <w:rPr>
          <w:rFonts w:ascii="Century Gothic" w:hAnsi="Century Gothic"/>
        </w:rPr>
        <w:t xml:space="preserve"> with diversity</w:t>
      </w:r>
      <w:r w:rsidR="00F471E7">
        <w:rPr>
          <w:rFonts w:ascii="Century Gothic" w:hAnsi="Century Gothic"/>
        </w:rPr>
        <w:t xml:space="preserve"> and </w:t>
      </w:r>
      <w:r>
        <w:rPr>
          <w:rFonts w:ascii="Century Gothic" w:hAnsi="Century Gothic"/>
        </w:rPr>
        <w:t xml:space="preserve">inclusivity at the forefront of </w:t>
      </w:r>
      <w:r w:rsidR="00AA79E9">
        <w:rPr>
          <w:rFonts w:ascii="Century Gothic" w:hAnsi="Century Gothic"/>
        </w:rPr>
        <w:t xml:space="preserve">its </w:t>
      </w:r>
      <w:r>
        <w:rPr>
          <w:rFonts w:ascii="Century Gothic" w:hAnsi="Century Gothic"/>
        </w:rPr>
        <w:t xml:space="preserve">company (Deloitte, 2026). </w:t>
      </w:r>
    </w:p>
    <w:p w14:paraId="316F7DE5" w14:textId="0A11ECAF" w:rsidR="005D18F3" w:rsidRDefault="00410AF1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T</w:t>
      </w:r>
      <w:r w:rsidR="005D18F3">
        <w:rPr>
          <w:rFonts w:ascii="Century Gothic" w:hAnsi="Century Gothic"/>
        </w:rPr>
        <w:t xml:space="preserve">his report </w:t>
      </w:r>
      <w:r>
        <w:rPr>
          <w:rFonts w:ascii="Century Gothic" w:hAnsi="Century Gothic"/>
        </w:rPr>
        <w:t>examine</w:t>
      </w:r>
      <w:r w:rsidR="00EE2AC6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Deloitte’s diversity and inclusion initiatives, critically an</w:t>
      </w:r>
      <w:r w:rsidR="00567FC0">
        <w:rPr>
          <w:rFonts w:ascii="Century Gothic" w:hAnsi="Century Gothic"/>
        </w:rPr>
        <w:t xml:space="preserve">alyse their </w:t>
      </w:r>
      <w:r w:rsidR="00515BDF">
        <w:rPr>
          <w:rFonts w:ascii="Century Gothic" w:hAnsi="Century Gothic"/>
        </w:rPr>
        <w:t>effectiveness,</w:t>
      </w:r>
      <w:r w:rsidR="00567FC0">
        <w:rPr>
          <w:rFonts w:ascii="Century Gothic" w:hAnsi="Century Gothic"/>
        </w:rPr>
        <w:t xml:space="preserve"> evaluate their impact on </w:t>
      </w:r>
      <w:r w:rsidR="00A06AA6">
        <w:rPr>
          <w:rFonts w:ascii="Century Gothic" w:hAnsi="Century Gothic"/>
        </w:rPr>
        <w:t xml:space="preserve">business </w:t>
      </w:r>
      <w:r w:rsidR="00B32E58">
        <w:rPr>
          <w:rFonts w:ascii="Century Gothic" w:hAnsi="Century Gothic"/>
        </w:rPr>
        <w:t>performance,</w:t>
      </w:r>
      <w:r w:rsidR="004F3F40">
        <w:rPr>
          <w:rFonts w:ascii="Century Gothic" w:hAnsi="Century Gothic"/>
        </w:rPr>
        <w:t xml:space="preserve"> and </w:t>
      </w:r>
      <w:r w:rsidR="005D18F3">
        <w:rPr>
          <w:rFonts w:ascii="Century Gothic" w:hAnsi="Century Gothic"/>
        </w:rPr>
        <w:t xml:space="preserve">provide recommendations to enhance </w:t>
      </w:r>
      <w:r w:rsidR="0012728B">
        <w:rPr>
          <w:rFonts w:ascii="Century Gothic" w:hAnsi="Century Gothic"/>
        </w:rPr>
        <w:t>Deloitte’s</w:t>
      </w:r>
      <w:r w:rsidR="005D18F3">
        <w:rPr>
          <w:rFonts w:ascii="Century Gothic" w:hAnsi="Century Gothic"/>
        </w:rPr>
        <w:t xml:space="preserve"> strategy further</w:t>
      </w:r>
      <w:r w:rsidR="00B32E58">
        <w:rPr>
          <w:rFonts w:ascii="Century Gothic" w:hAnsi="Century Gothic"/>
        </w:rPr>
        <w:t>.</w:t>
      </w:r>
    </w:p>
    <w:p w14:paraId="57A44248" w14:textId="77777777" w:rsidR="00714F93" w:rsidRDefault="00714F93" w:rsidP="005D18F3">
      <w:pPr>
        <w:rPr>
          <w:rFonts w:ascii="Century Gothic" w:hAnsi="Century Gothic"/>
        </w:rPr>
      </w:pPr>
    </w:p>
    <w:p w14:paraId="4B61A6A1" w14:textId="77777777" w:rsidR="00714F93" w:rsidRDefault="00714F93" w:rsidP="005D18F3">
      <w:pPr>
        <w:rPr>
          <w:rFonts w:ascii="Century Gothic" w:hAnsi="Century Gothic"/>
        </w:rPr>
      </w:pPr>
    </w:p>
    <w:p w14:paraId="18F6EC7F" w14:textId="77777777" w:rsidR="00714F93" w:rsidRDefault="00714F93" w:rsidP="005D18F3">
      <w:pPr>
        <w:rPr>
          <w:rFonts w:ascii="Century Gothic" w:hAnsi="Century Gothic"/>
        </w:rPr>
      </w:pPr>
    </w:p>
    <w:p w14:paraId="277CBD35" w14:textId="77777777" w:rsidR="00714F93" w:rsidRDefault="00714F93" w:rsidP="005D18F3">
      <w:pPr>
        <w:rPr>
          <w:rFonts w:ascii="Century Gothic" w:hAnsi="Century Gothic"/>
        </w:rPr>
      </w:pPr>
    </w:p>
    <w:p w14:paraId="4E3F36B4" w14:textId="77777777" w:rsidR="00B43E5F" w:rsidRDefault="00B43E5F" w:rsidP="005D18F3">
      <w:pPr>
        <w:rPr>
          <w:rFonts w:ascii="Century Gothic" w:hAnsi="Century Gothic"/>
        </w:rPr>
      </w:pPr>
    </w:p>
    <w:p w14:paraId="1A06BD68" w14:textId="16DA1727" w:rsidR="00B32E58" w:rsidRDefault="00B32E58" w:rsidP="005D18F3">
      <w:pPr>
        <w:rPr>
          <w:rFonts w:ascii="Century Gothic" w:hAnsi="Century Gothic"/>
        </w:rPr>
      </w:pPr>
    </w:p>
    <w:p w14:paraId="4D7EE7D7" w14:textId="77777777" w:rsidR="00B32E58" w:rsidRDefault="00B32E58" w:rsidP="005D18F3">
      <w:pPr>
        <w:rPr>
          <w:rFonts w:ascii="Century Gothic" w:hAnsi="Century Gothic"/>
        </w:rPr>
      </w:pPr>
    </w:p>
    <w:p w14:paraId="45FC3A3D" w14:textId="77777777" w:rsidR="00A06AA6" w:rsidRDefault="00A06AA6" w:rsidP="005D18F3">
      <w:pPr>
        <w:rPr>
          <w:rFonts w:ascii="Century Gothic" w:hAnsi="Century Gothic"/>
        </w:rPr>
      </w:pPr>
    </w:p>
    <w:p w14:paraId="22FBEB45" w14:textId="77777777" w:rsidR="00A06AA6" w:rsidRDefault="00A06AA6" w:rsidP="005D18F3">
      <w:pPr>
        <w:rPr>
          <w:rFonts w:ascii="Century Gothic" w:hAnsi="Century Gothic"/>
        </w:rPr>
      </w:pPr>
    </w:p>
    <w:p w14:paraId="6F94E8BB" w14:textId="77777777" w:rsidR="00B43E5F" w:rsidRDefault="00B43E5F" w:rsidP="005D18F3">
      <w:pPr>
        <w:rPr>
          <w:rFonts w:ascii="Century Gothic" w:hAnsi="Century Gothic"/>
        </w:rPr>
      </w:pPr>
    </w:p>
    <w:p w14:paraId="0A987714" w14:textId="77777777" w:rsidR="00714F93" w:rsidRDefault="00714F93" w:rsidP="005D18F3">
      <w:pPr>
        <w:rPr>
          <w:rFonts w:ascii="Century Gothic" w:hAnsi="Century Gothic"/>
        </w:rPr>
      </w:pPr>
    </w:p>
    <w:p w14:paraId="6D01F8E7" w14:textId="77777777" w:rsidR="00714F93" w:rsidRDefault="00714F93" w:rsidP="005D18F3">
      <w:pPr>
        <w:rPr>
          <w:rFonts w:ascii="Century Gothic" w:hAnsi="Century Gothic"/>
        </w:rPr>
      </w:pPr>
    </w:p>
    <w:p w14:paraId="41EEC101" w14:textId="77777777" w:rsidR="00AA79E9" w:rsidRDefault="00AA79E9" w:rsidP="005D18F3">
      <w:pPr>
        <w:rPr>
          <w:rFonts w:ascii="Century Gothic" w:hAnsi="Century Gothic"/>
        </w:rPr>
      </w:pPr>
    </w:p>
    <w:p w14:paraId="76A60301" w14:textId="64E424C4" w:rsidR="00714F93" w:rsidRPr="00714F93" w:rsidRDefault="00714F93" w:rsidP="00714F93">
      <w:pPr>
        <w:pStyle w:val="ListParagraph"/>
        <w:numPr>
          <w:ilvl w:val="1"/>
          <w:numId w:val="26"/>
        </w:num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Case Study Selection</w:t>
      </w:r>
    </w:p>
    <w:p w14:paraId="74BC765C" w14:textId="64C9568F" w:rsidR="00747A80" w:rsidRDefault="005A44DF" w:rsidP="00714F93">
      <w:pPr>
        <w:pStyle w:val="ListParagraph"/>
        <w:numPr>
          <w:ilvl w:val="1"/>
          <w:numId w:val="32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Deloitte Choice Reasoning </w:t>
      </w:r>
    </w:p>
    <w:p w14:paraId="00FB6069" w14:textId="39DCF6B4" w:rsidR="0089471F" w:rsidRPr="00F96959" w:rsidRDefault="005A44DF" w:rsidP="00F96959">
      <w:pPr>
        <w:rPr>
          <w:rFonts w:ascii="Century Gothic" w:hAnsi="Century Gothic"/>
        </w:rPr>
      </w:pPr>
      <w:r w:rsidRPr="00F96959">
        <w:rPr>
          <w:rFonts w:ascii="Century Gothic" w:hAnsi="Century Gothic"/>
        </w:rPr>
        <w:t xml:space="preserve">Known as one of the ‘Big Four’ accounting </w:t>
      </w:r>
      <w:r w:rsidR="00490D9D">
        <w:rPr>
          <w:rFonts w:ascii="Century Gothic" w:hAnsi="Century Gothic"/>
        </w:rPr>
        <w:t>firms</w:t>
      </w:r>
      <w:r w:rsidRPr="00F96959">
        <w:rPr>
          <w:rFonts w:ascii="Century Gothic" w:hAnsi="Century Gothic"/>
        </w:rPr>
        <w:t xml:space="preserve"> (Bright Network, 2024), Deloitte </w:t>
      </w:r>
      <w:r w:rsidR="003E5BFE">
        <w:rPr>
          <w:rFonts w:ascii="Century Gothic" w:hAnsi="Century Gothic"/>
        </w:rPr>
        <w:t xml:space="preserve">consistently highlights diversity and inclusion across its website and social media platforms. The firm regularly publishes statistics on equal pay and </w:t>
      </w:r>
      <w:r w:rsidR="00DB6AE6">
        <w:rPr>
          <w:rFonts w:ascii="Century Gothic" w:hAnsi="Century Gothic"/>
        </w:rPr>
        <w:t>disability inclusion. For this reason, Deloitte</w:t>
      </w:r>
      <w:r w:rsidR="000E33B6">
        <w:rPr>
          <w:rFonts w:ascii="Century Gothic" w:hAnsi="Century Gothic"/>
        </w:rPr>
        <w:t xml:space="preserve"> </w:t>
      </w:r>
      <w:bookmarkStart w:id="2" w:name="_Int_MV1YlUZk"/>
      <w:r w:rsidR="000E33B6">
        <w:rPr>
          <w:rFonts w:ascii="Century Gothic" w:hAnsi="Century Gothic"/>
        </w:rPr>
        <w:t>wa</w:t>
      </w:r>
      <w:r w:rsidR="00FB080C">
        <w:rPr>
          <w:rFonts w:ascii="Century Gothic" w:hAnsi="Century Gothic"/>
        </w:rPr>
        <w:t>s selected</w:t>
      </w:r>
      <w:bookmarkEnd w:id="2"/>
      <w:r w:rsidR="00FB080C">
        <w:rPr>
          <w:rFonts w:ascii="Century Gothic" w:hAnsi="Century Gothic"/>
        </w:rPr>
        <w:t xml:space="preserve"> as the focus of this analysis to critically examine its commitment </w:t>
      </w:r>
      <w:r w:rsidR="00A27AE7">
        <w:rPr>
          <w:rFonts w:ascii="Century Gothic" w:hAnsi="Century Gothic"/>
        </w:rPr>
        <w:t xml:space="preserve">to an inclusive workplace and evaluate how </w:t>
      </w:r>
      <w:r w:rsidR="002544F7">
        <w:rPr>
          <w:rFonts w:ascii="Century Gothic" w:hAnsi="Century Gothic"/>
        </w:rPr>
        <w:t>its initiatives influence organisational performance</w:t>
      </w:r>
      <w:r w:rsidR="00D74D51">
        <w:rPr>
          <w:rFonts w:ascii="Century Gothic" w:hAnsi="Century Gothic"/>
        </w:rPr>
        <w:t>.</w:t>
      </w:r>
      <w:r w:rsidR="0089471F">
        <w:rPr>
          <w:rFonts w:ascii="Century Gothic" w:hAnsi="Century Gothic"/>
        </w:rPr>
        <w:t xml:space="preserve"> </w:t>
      </w:r>
    </w:p>
    <w:p w14:paraId="02645263" w14:textId="77777777" w:rsidR="005A44DF" w:rsidRPr="005A44DF" w:rsidRDefault="005A44DF" w:rsidP="005A44DF">
      <w:pPr>
        <w:rPr>
          <w:rFonts w:ascii="Century Gothic" w:hAnsi="Century Gothic"/>
          <w:sz w:val="28"/>
          <w:szCs w:val="28"/>
        </w:rPr>
      </w:pPr>
    </w:p>
    <w:p w14:paraId="0C9BD989" w14:textId="327F9360" w:rsidR="001375BA" w:rsidRPr="001375BA" w:rsidRDefault="00714F93" w:rsidP="001375BA">
      <w:pPr>
        <w:pStyle w:val="ListParagraph"/>
        <w:numPr>
          <w:ilvl w:val="1"/>
          <w:numId w:val="32"/>
        </w:numPr>
        <w:rPr>
          <w:rFonts w:ascii="Century Gothic" w:hAnsi="Century Gothic"/>
          <w:sz w:val="28"/>
          <w:szCs w:val="28"/>
        </w:rPr>
      </w:pPr>
      <w:r w:rsidRPr="00714F93">
        <w:rPr>
          <w:rFonts w:ascii="Century Gothic" w:hAnsi="Century Gothic"/>
          <w:sz w:val="28"/>
          <w:szCs w:val="28"/>
        </w:rPr>
        <w:t xml:space="preserve">Deloitte </w:t>
      </w:r>
      <w:r w:rsidR="00212E51">
        <w:rPr>
          <w:rFonts w:ascii="Century Gothic" w:hAnsi="Century Gothic"/>
          <w:sz w:val="28"/>
          <w:szCs w:val="28"/>
        </w:rPr>
        <w:t>Hi</w:t>
      </w:r>
      <w:r w:rsidR="001375BA">
        <w:rPr>
          <w:rFonts w:ascii="Century Gothic" w:hAnsi="Century Gothic"/>
          <w:sz w:val="28"/>
          <w:szCs w:val="28"/>
        </w:rPr>
        <w:t>story</w:t>
      </w:r>
    </w:p>
    <w:p w14:paraId="3CD5650B" w14:textId="7EF03112" w:rsidR="005D18F3" w:rsidRDefault="00714F9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Founded in 1845 by William Welch Deloitte</w:t>
      </w:r>
      <w:r w:rsidR="00D74D51">
        <w:rPr>
          <w:rFonts w:ascii="Century Gothic" w:hAnsi="Century Gothic"/>
        </w:rPr>
        <w:t xml:space="preserve"> in London</w:t>
      </w:r>
      <w:r>
        <w:rPr>
          <w:rFonts w:ascii="Century Gothic" w:hAnsi="Century Gothic"/>
        </w:rPr>
        <w:t xml:space="preserve">, </w:t>
      </w:r>
      <w:r w:rsidR="00684D99">
        <w:rPr>
          <w:rFonts w:ascii="Century Gothic" w:hAnsi="Century Gothic"/>
        </w:rPr>
        <w:t xml:space="preserve">the firm started as an accountancy practice. It expanded rapidly after securing the role of auditor for the Great Western Railway, gaining clients across growing industries including banking, insurance, and </w:t>
      </w:r>
      <w:r w:rsidR="003834E8">
        <w:rPr>
          <w:rFonts w:ascii="Century Gothic" w:hAnsi="Century Gothic"/>
        </w:rPr>
        <w:t>other</w:t>
      </w:r>
      <w:r w:rsidR="00684D99">
        <w:rPr>
          <w:rFonts w:ascii="Century Gothic" w:hAnsi="Century Gothic"/>
        </w:rPr>
        <w:t xml:space="preserve"> railway companies such as the Great Northern Railway. In 1890, Deloitte opened its first overseas office in New York. During the 1950s, the firm adopted statistical sampling technologies</w:t>
      </w:r>
      <w:r w:rsidR="00877EFF">
        <w:rPr>
          <w:rFonts w:ascii="Century Gothic" w:hAnsi="Century Gothic"/>
        </w:rPr>
        <w:t xml:space="preserve"> for auditing, supporting its international growth (Ashcroft, 2022). Today, Deloitte </w:t>
      </w:r>
      <w:bookmarkStart w:id="3" w:name="_Int_hEkTYJY8"/>
      <w:r w:rsidR="00877EFF">
        <w:rPr>
          <w:rFonts w:ascii="Century Gothic" w:hAnsi="Century Gothic"/>
        </w:rPr>
        <w:t>operates</w:t>
      </w:r>
      <w:bookmarkEnd w:id="3"/>
      <w:r w:rsidR="00877EFF">
        <w:rPr>
          <w:rFonts w:ascii="Century Gothic" w:hAnsi="Century Gothic"/>
        </w:rPr>
        <w:t xml:space="preserve"> in over </w:t>
      </w:r>
      <w:r w:rsidR="00545343">
        <w:rPr>
          <w:rFonts w:ascii="Century Gothic" w:hAnsi="Century Gothic"/>
        </w:rPr>
        <w:t xml:space="preserve">150 countries and serves </w:t>
      </w:r>
      <w:r w:rsidR="003834E8">
        <w:rPr>
          <w:rFonts w:ascii="Century Gothic" w:hAnsi="Century Gothic"/>
        </w:rPr>
        <w:t>almost</w:t>
      </w:r>
      <w:r w:rsidR="00545343">
        <w:rPr>
          <w:rFonts w:ascii="Century Gothic" w:hAnsi="Century Gothic"/>
        </w:rPr>
        <w:t xml:space="preserve"> 90% of Fortune Global 500 companies (Deloitte, 2026). </w:t>
      </w:r>
    </w:p>
    <w:p w14:paraId="06AE77CB" w14:textId="77777777" w:rsidR="00545343" w:rsidRDefault="00545343" w:rsidP="005D18F3">
      <w:pPr>
        <w:rPr>
          <w:rFonts w:ascii="Century Gothic" w:hAnsi="Century Gothic"/>
        </w:rPr>
      </w:pPr>
    </w:p>
    <w:p w14:paraId="37A2DDB2" w14:textId="77777777" w:rsidR="00545343" w:rsidRDefault="00545343" w:rsidP="005D18F3">
      <w:pPr>
        <w:rPr>
          <w:rFonts w:ascii="Century Gothic" w:hAnsi="Century Gothic"/>
        </w:rPr>
      </w:pPr>
    </w:p>
    <w:p w14:paraId="11EF57C2" w14:textId="77777777" w:rsidR="005D18F3" w:rsidRDefault="005D18F3" w:rsidP="005D18F3">
      <w:pPr>
        <w:rPr>
          <w:rFonts w:ascii="Century Gothic" w:hAnsi="Century Gothic"/>
        </w:rPr>
      </w:pPr>
    </w:p>
    <w:p w14:paraId="5C217510" w14:textId="77777777" w:rsidR="005D18F3" w:rsidRDefault="005D18F3" w:rsidP="005D18F3">
      <w:pPr>
        <w:rPr>
          <w:rFonts w:ascii="Century Gothic" w:hAnsi="Century Gothic"/>
        </w:rPr>
      </w:pPr>
    </w:p>
    <w:p w14:paraId="0AEE52F8" w14:textId="77777777" w:rsidR="005D18F3" w:rsidRDefault="005D18F3" w:rsidP="005D18F3">
      <w:pPr>
        <w:rPr>
          <w:rFonts w:ascii="Century Gothic" w:hAnsi="Century Gothic"/>
        </w:rPr>
      </w:pPr>
    </w:p>
    <w:p w14:paraId="18630177" w14:textId="77777777" w:rsidR="005D18F3" w:rsidRDefault="005D18F3" w:rsidP="005D18F3">
      <w:pPr>
        <w:rPr>
          <w:rFonts w:ascii="Century Gothic" w:hAnsi="Century Gothic"/>
        </w:rPr>
      </w:pPr>
    </w:p>
    <w:p w14:paraId="7A835B70" w14:textId="77777777" w:rsidR="005D18F3" w:rsidRDefault="005D18F3" w:rsidP="005D18F3">
      <w:pPr>
        <w:rPr>
          <w:rFonts w:ascii="Century Gothic" w:hAnsi="Century Gothic"/>
        </w:rPr>
      </w:pPr>
    </w:p>
    <w:p w14:paraId="72160B28" w14:textId="77777777" w:rsidR="005D18F3" w:rsidRDefault="005D18F3" w:rsidP="005D18F3">
      <w:pPr>
        <w:rPr>
          <w:rFonts w:ascii="Century Gothic" w:hAnsi="Century Gothic"/>
        </w:rPr>
      </w:pPr>
    </w:p>
    <w:p w14:paraId="505F1069" w14:textId="77777777" w:rsidR="005D18F3" w:rsidRDefault="005D18F3" w:rsidP="005D18F3">
      <w:pPr>
        <w:rPr>
          <w:rFonts w:ascii="Century Gothic" w:hAnsi="Century Gothic"/>
        </w:rPr>
      </w:pPr>
    </w:p>
    <w:p w14:paraId="6B2C3178" w14:textId="77777777" w:rsidR="005D18F3" w:rsidRDefault="005D18F3" w:rsidP="005D18F3">
      <w:pPr>
        <w:rPr>
          <w:rFonts w:ascii="Century Gothic" w:hAnsi="Century Gothic"/>
        </w:rPr>
      </w:pPr>
    </w:p>
    <w:p w14:paraId="5FB9D7E1" w14:textId="77777777" w:rsidR="005D18F3" w:rsidRDefault="005D18F3" w:rsidP="005D18F3">
      <w:pPr>
        <w:rPr>
          <w:rFonts w:ascii="Century Gothic" w:hAnsi="Century Gothic"/>
        </w:rPr>
      </w:pPr>
    </w:p>
    <w:p w14:paraId="2DC7B271" w14:textId="77777777" w:rsidR="005D18F3" w:rsidRDefault="005D18F3" w:rsidP="005D18F3">
      <w:pPr>
        <w:rPr>
          <w:rFonts w:ascii="Century Gothic" w:hAnsi="Century Gothic"/>
        </w:rPr>
      </w:pPr>
    </w:p>
    <w:p w14:paraId="0E896AA4" w14:textId="77777777" w:rsidR="005D18F3" w:rsidRDefault="005D18F3" w:rsidP="005D18F3">
      <w:pPr>
        <w:rPr>
          <w:rFonts w:ascii="Century Gothic" w:hAnsi="Century Gothic"/>
        </w:rPr>
      </w:pPr>
    </w:p>
    <w:p w14:paraId="75BC9390" w14:textId="0E276E34" w:rsidR="005D18F3" w:rsidRPr="00B03718" w:rsidRDefault="006507F8" w:rsidP="00B03718">
      <w:pPr>
        <w:pStyle w:val="ListParagraph"/>
        <w:numPr>
          <w:ilvl w:val="1"/>
          <w:numId w:val="26"/>
        </w:numPr>
        <w:rPr>
          <w:rFonts w:ascii="Century Gothic" w:hAnsi="Century Gothic"/>
        </w:rPr>
      </w:pPr>
      <w:r w:rsidRPr="00B03718">
        <w:rPr>
          <w:rFonts w:ascii="Century Gothic" w:hAnsi="Century Gothic"/>
          <w:sz w:val="32"/>
          <w:szCs w:val="32"/>
        </w:rPr>
        <w:lastRenderedPageBreak/>
        <w:t xml:space="preserve">Analysis </w:t>
      </w:r>
      <w:r w:rsidR="00B03718" w:rsidRPr="00B03718">
        <w:rPr>
          <w:rFonts w:ascii="Century Gothic" w:hAnsi="Century Gothic"/>
          <w:sz w:val="32"/>
          <w:szCs w:val="32"/>
        </w:rPr>
        <w:t>of Diversity and Inclusivity Practices</w:t>
      </w:r>
      <w:r w:rsidRPr="00B03718">
        <w:rPr>
          <w:rFonts w:ascii="Century Gothic" w:hAnsi="Century Gothic"/>
          <w:sz w:val="32"/>
          <w:szCs w:val="32"/>
        </w:rPr>
        <w:t xml:space="preserve"> </w:t>
      </w:r>
    </w:p>
    <w:p w14:paraId="2B96525D" w14:textId="2083C328" w:rsidR="005D18F3" w:rsidRDefault="0028310A" w:rsidP="005D18F3">
      <w:pPr>
        <w:rPr>
          <w:rFonts w:ascii="Century Gothic" w:hAnsi="Century Gothic"/>
          <w:sz w:val="28"/>
          <w:szCs w:val="28"/>
        </w:rPr>
      </w:pPr>
      <w:r w:rsidRPr="00323DF2">
        <w:rPr>
          <w:rFonts w:ascii="Century Gothic" w:hAnsi="Century Gothic"/>
          <w:sz w:val="28"/>
          <w:szCs w:val="28"/>
        </w:rPr>
        <w:t>2.1 Key Initiatives</w:t>
      </w:r>
    </w:p>
    <w:p w14:paraId="737CB7CE" w14:textId="43F51934" w:rsidR="00323DF2" w:rsidRDefault="00AD7019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</w:t>
      </w:r>
      <w:r w:rsidR="00A62AA0">
        <w:rPr>
          <w:rFonts w:ascii="Century Gothic" w:hAnsi="Century Gothic"/>
        </w:rPr>
        <w:t>loitte</w:t>
      </w:r>
      <w:r w:rsidR="00FF68F9">
        <w:rPr>
          <w:rFonts w:ascii="Century Gothic" w:hAnsi="Century Gothic"/>
        </w:rPr>
        <w:t xml:space="preserve">’s inclusion </w:t>
      </w:r>
      <w:r w:rsidR="00C5767E">
        <w:rPr>
          <w:rFonts w:ascii="Century Gothic" w:hAnsi="Century Gothic"/>
        </w:rPr>
        <w:t xml:space="preserve">initiatives </w:t>
      </w:r>
      <w:r w:rsidR="00505E08">
        <w:rPr>
          <w:rFonts w:ascii="Century Gothic" w:hAnsi="Century Gothic"/>
        </w:rPr>
        <w:t xml:space="preserve">claim </w:t>
      </w:r>
      <w:r w:rsidR="000734E6">
        <w:rPr>
          <w:rFonts w:ascii="Century Gothic" w:hAnsi="Century Gothic"/>
        </w:rPr>
        <w:t>to</w:t>
      </w:r>
      <w:r w:rsidR="00FF550A">
        <w:rPr>
          <w:rFonts w:ascii="Century Gothic" w:hAnsi="Century Gothic"/>
        </w:rPr>
        <w:t xml:space="preserve"> </w:t>
      </w:r>
      <w:r w:rsidR="00C5767E">
        <w:rPr>
          <w:rFonts w:ascii="Century Gothic" w:hAnsi="Century Gothic"/>
        </w:rPr>
        <w:t>follow the</w:t>
      </w:r>
      <w:r w:rsidR="00A94892">
        <w:rPr>
          <w:rFonts w:ascii="Century Gothic" w:hAnsi="Century Gothic"/>
        </w:rPr>
        <w:t xml:space="preserve"> </w:t>
      </w:r>
      <w:r w:rsidR="00C5767E">
        <w:rPr>
          <w:rFonts w:ascii="Century Gothic" w:hAnsi="Century Gothic"/>
        </w:rPr>
        <w:t xml:space="preserve">belief that </w:t>
      </w:r>
      <w:r w:rsidR="00767F99">
        <w:rPr>
          <w:rFonts w:ascii="Century Gothic" w:hAnsi="Century Gothic"/>
        </w:rPr>
        <w:t>an inclusive workplace enables all employees to achieve their f</w:t>
      </w:r>
      <w:r w:rsidR="00B12BFC">
        <w:rPr>
          <w:rFonts w:ascii="Century Gothic" w:hAnsi="Century Gothic"/>
        </w:rPr>
        <w:t xml:space="preserve">ull </w:t>
      </w:r>
      <w:r w:rsidR="00242092">
        <w:rPr>
          <w:rFonts w:ascii="Century Gothic" w:hAnsi="Century Gothic"/>
        </w:rPr>
        <w:t>potential</w:t>
      </w:r>
      <w:r w:rsidR="00B12BFC">
        <w:rPr>
          <w:rFonts w:ascii="Century Gothic" w:hAnsi="Century Gothic"/>
        </w:rPr>
        <w:t xml:space="preserve">, </w:t>
      </w:r>
      <w:r w:rsidR="00103EB4">
        <w:rPr>
          <w:rFonts w:ascii="Century Gothic" w:hAnsi="Century Gothic"/>
        </w:rPr>
        <w:t xml:space="preserve">as well as </w:t>
      </w:r>
      <w:r w:rsidR="00767F99">
        <w:rPr>
          <w:rFonts w:ascii="Century Gothic" w:hAnsi="Century Gothic"/>
        </w:rPr>
        <w:t>driving organisational performance and innovation</w:t>
      </w:r>
      <w:r w:rsidR="00242092">
        <w:rPr>
          <w:rFonts w:ascii="Century Gothic" w:hAnsi="Century Gothic"/>
        </w:rPr>
        <w:t xml:space="preserve"> (</w:t>
      </w:r>
      <w:r w:rsidR="00BC4204">
        <w:rPr>
          <w:rFonts w:ascii="Century Gothic" w:hAnsi="Century Gothic"/>
        </w:rPr>
        <w:t>Deloitte, 202</w:t>
      </w:r>
      <w:r w:rsidR="00D2725B">
        <w:rPr>
          <w:rFonts w:ascii="Century Gothic" w:hAnsi="Century Gothic"/>
        </w:rPr>
        <w:t xml:space="preserve">6). </w:t>
      </w:r>
    </w:p>
    <w:p w14:paraId="5D362CDF" w14:textId="193102C2" w:rsidR="00D2725B" w:rsidRDefault="00D2725B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2.1.1 Gender Balance Targets</w:t>
      </w:r>
    </w:p>
    <w:p w14:paraId="052BDC82" w14:textId="12054D44" w:rsidR="00141094" w:rsidRDefault="00FD7C90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 has been </w:t>
      </w:r>
      <w:bookmarkStart w:id="4" w:name="_Int_lhesYdXo"/>
      <w:r>
        <w:rPr>
          <w:rFonts w:ascii="Century Gothic" w:hAnsi="Century Gothic"/>
        </w:rPr>
        <w:t>monitoring</w:t>
      </w:r>
      <w:bookmarkEnd w:id="4"/>
      <w:r>
        <w:rPr>
          <w:rFonts w:ascii="Century Gothic" w:hAnsi="Century Gothic"/>
        </w:rPr>
        <w:t xml:space="preserve"> the female representation at </w:t>
      </w:r>
      <w:r w:rsidR="0028295B">
        <w:rPr>
          <w:rFonts w:ascii="Century Gothic" w:hAnsi="Century Gothic"/>
        </w:rPr>
        <w:t>the compan</w:t>
      </w:r>
      <w:r w:rsidR="0055002E">
        <w:rPr>
          <w:rFonts w:ascii="Century Gothic" w:hAnsi="Century Gothic"/>
        </w:rPr>
        <w:t>y’s</w:t>
      </w:r>
      <w:r w:rsidR="0028295B">
        <w:rPr>
          <w:rFonts w:ascii="Century Gothic" w:hAnsi="Century Gothic"/>
        </w:rPr>
        <w:t xml:space="preserve"> </w:t>
      </w:r>
      <w:r w:rsidR="0055002E">
        <w:rPr>
          <w:rFonts w:ascii="Century Gothic" w:hAnsi="Century Gothic"/>
        </w:rPr>
        <w:t xml:space="preserve">leadership levels since 2019. </w:t>
      </w:r>
      <w:r w:rsidR="007E188B">
        <w:rPr>
          <w:rFonts w:ascii="Century Gothic" w:hAnsi="Century Gothic"/>
        </w:rPr>
        <w:t xml:space="preserve">In 2022, the </w:t>
      </w:r>
      <w:r w:rsidR="00FF550A">
        <w:rPr>
          <w:rFonts w:ascii="Century Gothic" w:hAnsi="Century Gothic"/>
        </w:rPr>
        <w:t>g</w:t>
      </w:r>
      <w:r w:rsidR="007E188B">
        <w:rPr>
          <w:rFonts w:ascii="Century Gothic" w:hAnsi="Century Gothic"/>
        </w:rPr>
        <w:t xml:space="preserve">lobal </w:t>
      </w:r>
      <w:r w:rsidR="00204A1F">
        <w:rPr>
          <w:rFonts w:ascii="Century Gothic" w:hAnsi="Century Gothic"/>
        </w:rPr>
        <w:t>e</w:t>
      </w:r>
      <w:r w:rsidR="00657454">
        <w:rPr>
          <w:rFonts w:ascii="Century Gothic" w:hAnsi="Century Gothic"/>
        </w:rPr>
        <w:t>xecutive</w:t>
      </w:r>
      <w:r w:rsidR="00896B58">
        <w:rPr>
          <w:rFonts w:ascii="Century Gothic" w:hAnsi="Century Gothic"/>
        </w:rPr>
        <w:t xml:space="preserve"> </w:t>
      </w:r>
      <w:bookmarkStart w:id="5" w:name="_Int_gnE9L8Gl"/>
      <w:r w:rsidR="00896B58">
        <w:rPr>
          <w:rFonts w:ascii="Century Gothic" w:hAnsi="Century Gothic"/>
        </w:rPr>
        <w:t>was made</w:t>
      </w:r>
      <w:bookmarkEnd w:id="5"/>
      <w:r w:rsidR="00896B58">
        <w:rPr>
          <w:rFonts w:ascii="Century Gothic" w:hAnsi="Century Gothic"/>
        </w:rPr>
        <w:t xml:space="preserve"> of 23</w:t>
      </w:r>
      <w:r w:rsidR="00A2244A">
        <w:rPr>
          <w:rFonts w:ascii="Century Gothic" w:hAnsi="Century Gothic"/>
        </w:rPr>
        <w:t>% women, with the board of directors being 33%.</w:t>
      </w:r>
      <w:r w:rsidR="008F4975">
        <w:rPr>
          <w:rFonts w:ascii="Century Gothic" w:hAnsi="Century Gothic"/>
        </w:rPr>
        <w:t xml:space="preserve"> While they reached their target </w:t>
      </w:r>
      <w:r w:rsidR="009217DF">
        <w:rPr>
          <w:rFonts w:ascii="Century Gothic" w:hAnsi="Century Gothic"/>
        </w:rPr>
        <w:t>of 2023 in 2022, their new goal</w:t>
      </w:r>
      <w:r w:rsidR="00485A95">
        <w:rPr>
          <w:rFonts w:ascii="Century Gothic" w:hAnsi="Century Gothic"/>
        </w:rPr>
        <w:t xml:space="preserve"> was to have 40% of women in leadership </w:t>
      </w:r>
      <w:r w:rsidR="00580E81">
        <w:rPr>
          <w:rFonts w:ascii="Century Gothic" w:hAnsi="Century Gothic"/>
        </w:rPr>
        <w:t xml:space="preserve">and partnership </w:t>
      </w:r>
      <w:r w:rsidR="00485A95">
        <w:rPr>
          <w:rFonts w:ascii="Century Gothic" w:hAnsi="Century Gothic"/>
        </w:rPr>
        <w:t>roles by 2025</w:t>
      </w:r>
      <w:r w:rsidR="00DB0486">
        <w:rPr>
          <w:rFonts w:ascii="Century Gothic" w:hAnsi="Century Gothic"/>
        </w:rPr>
        <w:t xml:space="preserve"> (Deloitte, 2022)</w:t>
      </w:r>
      <w:r w:rsidR="00485A95">
        <w:rPr>
          <w:rFonts w:ascii="Century Gothic" w:hAnsi="Century Gothic"/>
        </w:rPr>
        <w:t xml:space="preserve">. </w:t>
      </w:r>
      <w:r w:rsidR="00620269">
        <w:rPr>
          <w:rFonts w:ascii="Century Gothic" w:hAnsi="Century Gothic"/>
        </w:rPr>
        <w:t>In</w:t>
      </w:r>
      <w:r w:rsidR="00E54FDB">
        <w:rPr>
          <w:rFonts w:ascii="Century Gothic" w:hAnsi="Century Gothic"/>
        </w:rPr>
        <w:t xml:space="preserve"> the “Pay &amp; Inclusion Report 2025</w:t>
      </w:r>
      <w:r w:rsidR="0067582D">
        <w:rPr>
          <w:rFonts w:ascii="Century Gothic" w:hAnsi="Century Gothic"/>
        </w:rPr>
        <w:t>”,</w:t>
      </w:r>
      <w:r w:rsidR="00003E91">
        <w:rPr>
          <w:rFonts w:ascii="Century Gothic" w:hAnsi="Century Gothic"/>
        </w:rPr>
        <w:t xml:space="preserve"> the target </w:t>
      </w:r>
      <w:r w:rsidR="005E7E08">
        <w:rPr>
          <w:rFonts w:ascii="Century Gothic" w:hAnsi="Century Gothic"/>
        </w:rPr>
        <w:t xml:space="preserve">has </w:t>
      </w:r>
      <w:bookmarkStart w:id="6" w:name="_Int_2u2GmdGL"/>
      <w:r w:rsidR="00580E81">
        <w:rPr>
          <w:rFonts w:ascii="Century Gothic" w:hAnsi="Century Gothic"/>
        </w:rPr>
        <w:t>been revised</w:t>
      </w:r>
      <w:bookmarkEnd w:id="6"/>
      <w:r w:rsidR="00003E91">
        <w:rPr>
          <w:rFonts w:ascii="Century Gothic" w:hAnsi="Century Gothic"/>
        </w:rPr>
        <w:t xml:space="preserve"> to 37% </w:t>
      </w:r>
      <w:r w:rsidR="005E7E08">
        <w:rPr>
          <w:rFonts w:ascii="Century Gothic" w:hAnsi="Century Gothic"/>
        </w:rPr>
        <w:t xml:space="preserve">of women as female </w:t>
      </w:r>
      <w:r w:rsidR="00580E81">
        <w:rPr>
          <w:rFonts w:ascii="Century Gothic" w:hAnsi="Century Gothic"/>
        </w:rPr>
        <w:t>partners</w:t>
      </w:r>
      <w:r w:rsidR="009C5F88">
        <w:rPr>
          <w:rFonts w:ascii="Century Gothic" w:hAnsi="Century Gothic"/>
        </w:rPr>
        <w:t>,</w:t>
      </w:r>
      <w:r w:rsidR="00DC6FBE">
        <w:rPr>
          <w:rFonts w:ascii="Century Gothic" w:hAnsi="Century Gothic"/>
        </w:rPr>
        <w:t xml:space="preserve"> while the current figure is at 31% </w:t>
      </w:r>
      <w:r w:rsidR="00D2261F">
        <w:rPr>
          <w:rFonts w:ascii="Century Gothic" w:hAnsi="Century Gothic"/>
        </w:rPr>
        <w:t>for 2025</w:t>
      </w:r>
      <w:r w:rsidR="0099188A">
        <w:rPr>
          <w:rFonts w:ascii="Century Gothic" w:hAnsi="Century Gothic"/>
        </w:rPr>
        <w:t xml:space="preserve">. Similarly, </w:t>
      </w:r>
      <w:r w:rsidR="00412714">
        <w:rPr>
          <w:rFonts w:ascii="Century Gothic" w:hAnsi="Century Gothic"/>
        </w:rPr>
        <w:t xml:space="preserve">statistics of new hires for 2025 show 41.6% of early career hires being female </w:t>
      </w:r>
      <w:r w:rsidR="00D15AD2">
        <w:rPr>
          <w:rFonts w:ascii="Century Gothic" w:hAnsi="Century Gothic"/>
        </w:rPr>
        <w:t>as well as 47.6% of experienced hires being female</w:t>
      </w:r>
      <w:r w:rsidR="00786374">
        <w:rPr>
          <w:rFonts w:ascii="Century Gothic" w:hAnsi="Century Gothic"/>
        </w:rPr>
        <w:t xml:space="preserve">. Also listed in the report </w:t>
      </w:r>
      <w:r w:rsidR="000717FC">
        <w:rPr>
          <w:rFonts w:ascii="Century Gothic" w:hAnsi="Century Gothic"/>
        </w:rPr>
        <w:t xml:space="preserve">is </w:t>
      </w:r>
      <w:r w:rsidR="0007372E">
        <w:rPr>
          <w:rFonts w:ascii="Century Gothic" w:hAnsi="Century Gothic"/>
        </w:rPr>
        <w:t>their promise to continue</w:t>
      </w:r>
      <w:r w:rsidR="004E7E39">
        <w:rPr>
          <w:rFonts w:ascii="Century Gothic" w:hAnsi="Century Gothic"/>
        </w:rPr>
        <w:t xml:space="preserve"> access </w:t>
      </w:r>
      <w:r w:rsidR="0007372E">
        <w:rPr>
          <w:rFonts w:ascii="Century Gothic" w:hAnsi="Century Gothic"/>
        </w:rPr>
        <w:t xml:space="preserve">for </w:t>
      </w:r>
      <w:r w:rsidR="004E7E39">
        <w:rPr>
          <w:rFonts w:ascii="Century Gothic" w:hAnsi="Century Gothic"/>
        </w:rPr>
        <w:t xml:space="preserve">menopause support, </w:t>
      </w:r>
      <w:r w:rsidR="005A39C0">
        <w:rPr>
          <w:rFonts w:ascii="Century Gothic" w:hAnsi="Century Gothic"/>
        </w:rPr>
        <w:t xml:space="preserve">domestic abuse </w:t>
      </w:r>
      <w:r w:rsidR="004E7E39">
        <w:rPr>
          <w:rFonts w:ascii="Century Gothic" w:hAnsi="Century Gothic"/>
        </w:rPr>
        <w:t>victims support,</w:t>
      </w:r>
      <w:r w:rsidR="005A39C0">
        <w:rPr>
          <w:rFonts w:ascii="Century Gothic" w:hAnsi="Century Gothic"/>
        </w:rPr>
        <w:t xml:space="preserve"> and </w:t>
      </w:r>
      <w:r w:rsidR="00812403">
        <w:rPr>
          <w:rFonts w:ascii="Century Gothic" w:hAnsi="Century Gothic"/>
        </w:rPr>
        <w:t>firm-funded private medical insurance</w:t>
      </w:r>
      <w:r w:rsidR="00332D4D">
        <w:rPr>
          <w:rFonts w:ascii="Century Gothic" w:hAnsi="Century Gothic"/>
        </w:rPr>
        <w:t xml:space="preserve">. </w:t>
      </w:r>
      <w:r w:rsidR="0082051A">
        <w:rPr>
          <w:rFonts w:ascii="Century Gothic" w:hAnsi="Century Gothic"/>
        </w:rPr>
        <w:t>As of 2024, t</w:t>
      </w:r>
      <w:r w:rsidR="00D73237">
        <w:rPr>
          <w:rFonts w:ascii="Century Gothic" w:hAnsi="Century Gothic"/>
        </w:rPr>
        <w:t>he</w:t>
      </w:r>
      <w:r w:rsidR="00532FB0">
        <w:rPr>
          <w:rFonts w:ascii="Century Gothic" w:hAnsi="Century Gothic"/>
        </w:rPr>
        <w:t xml:space="preserve">y offered </w:t>
      </w:r>
      <w:r w:rsidR="0082051A">
        <w:rPr>
          <w:rFonts w:ascii="Century Gothic" w:hAnsi="Century Gothic"/>
        </w:rPr>
        <w:t>pa</w:t>
      </w:r>
      <w:r w:rsidR="00E83FFF">
        <w:rPr>
          <w:rFonts w:ascii="Century Gothic" w:hAnsi="Century Gothic"/>
        </w:rPr>
        <w:t xml:space="preserve">id leave for both </w:t>
      </w:r>
      <w:r w:rsidR="002866BC">
        <w:rPr>
          <w:rFonts w:ascii="Century Gothic" w:hAnsi="Century Gothic"/>
        </w:rPr>
        <w:t>parents</w:t>
      </w:r>
      <w:r w:rsidR="00E83FFF">
        <w:rPr>
          <w:rFonts w:ascii="Century Gothic" w:hAnsi="Century Gothic"/>
        </w:rPr>
        <w:t xml:space="preserve"> facing maternity leave </w:t>
      </w:r>
      <w:r w:rsidR="002866BC">
        <w:rPr>
          <w:rFonts w:ascii="Century Gothic" w:hAnsi="Century Gothic"/>
        </w:rPr>
        <w:t>for up to 26 weeks</w:t>
      </w:r>
      <w:r w:rsidR="005E3305">
        <w:rPr>
          <w:rFonts w:ascii="Century Gothic" w:hAnsi="Century Gothic"/>
        </w:rPr>
        <w:t xml:space="preserve"> and </w:t>
      </w:r>
      <w:r w:rsidR="00565658">
        <w:rPr>
          <w:rFonts w:ascii="Century Gothic" w:hAnsi="Century Gothic"/>
        </w:rPr>
        <w:t xml:space="preserve">paid </w:t>
      </w:r>
      <w:r w:rsidR="00C741C7">
        <w:rPr>
          <w:rFonts w:ascii="Century Gothic" w:hAnsi="Century Gothic"/>
        </w:rPr>
        <w:t xml:space="preserve">time off </w:t>
      </w:r>
      <w:r w:rsidR="00565658">
        <w:rPr>
          <w:rFonts w:ascii="Century Gothic" w:hAnsi="Century Gothic"/>
        </w:rPr>
        <w:t>for parents whose child is in neonatal care</w:t>
      </w:r>
      <w:r w:rsidR="00082BF4">
        <w:rPr>
          <w:rFonts w:ascii="Century Gothic" w:hAnsi="Century Gothic"/>
        </w:rPr>
        <w:t xml:space="preserve"> and </w:t>
      </w:r>
      <w:r w:rsidR="006C3B88">
        <w:rPr>
          <w:rFonts w:ascii="Century Gothic" w:hAnsi="Century Gothic"/>
        </w:rPr>
        <w:t xml:space="preserve">individuals </w:t>
      </w:r>
      <w:r w:rsidR="00F8009C">
        <w:rPr>
          <w:rFonts w:ascii="Century Gothic" w:hAnsi="Century Gothic"/>
        </w:rPr>
        <w:t xml:space="preserve">experiencing </w:t>
      </w:r>
      <w:r w:rsidR="00082BF4">
        <w:rPr>
          <w:rFonts w:ascii="Century Gothic" w:hAnsi="Century Gothic"/>
        </w:rPr>
        <w:t xml:space="preserve">fertility </w:t>
      </w:r>
      <w:r w:rsidR="00A15C7E">
        <w:rPr>
          <w:rFonts w:ascii="Century Gothic" w:hAnsi="Century Gothic"/>
        </w:rPr>
        <w:t>treatment</w:t>
      </w:r>
      <w:r w:rsidR="00850F4A">
        <w:rPr>
          <w:rFonts w:ascii="Century Gothic" w:hAnsi="Century Gothic"/>
        </w:rPr>
        <w:t>.</w:t>
      </w:r>
      <w:r w:rsidR="0099188A">
        <w:rPr>
          <w:rFonts w:ascii="Century Gothic" w:hAnsi="Century Gothic"/>
        </w:rPr>
        <w:t xml:space="preserve"> </w:t>
      </w:r>
      <w:r w:rsidR="00886AFB">
        <w:rPr>
          <w:rFonts w:ascii="Century Gothic" w:hAnsi="Century Gothic"/>
        </w:rPr>
        <w:t xml:space="preserve">Looking into the gender pay gap within the same report, </w:t>
      </w:r>
      <w:r w:rsidR="00781B94">
        <w:rPr>
          <w:rFonts w:ascii="Century Gothic" w:hAnsi="Century Gothic"/>
        </w:rPr>
        <w:t>men</w:t>
      </w:r>
      <w:r w:rsidR="000F4A17">
        <w:rPr>
          <w:rFonts w:ascii="Century Gothic" w:hAnsi="Century Gothic"/>
        </w:rPr>
        <w:t xml:space="preserve"> overall do receive higher pay than women</w:t>
      </w:r>
      <w:r w:rsidR="00BA53D5">
        <w:rPr>
          <w:rFonts w:ascii="Century Gothic" w:hAnsi="Century Gothic"/>
        </w:rPr>
        <w:t xml:space="preserve"> in 2025</w:t>
      </w:r>
      <w:r w:rsidR="001A16A8">
        <w:rPr>
          <w:rFonts w:ascii="Century Gothic" w:hAnsi="Century Gothic"/>
        </w:rPr>
        <w:t xml:space="preserve">. </w:t>
      </w:r>
      <w:r w:rsidR="00CF7590">
        <w:rPr>
          <w:rFonts w:ascii="Century Gothic" w:hAnsi="Century Gothic"/>
        </w:rPr>
        <w:t>Although the report d</w:t>
      </w:r>
      <w:r w:rsidR="00F8009C">
        <w:rPr>
          <w:rFonts w:ascii="Century Gothic" w:hAnsi="Century Gothic"/>
        </w:rPr>
        <w:t xml:space="preserve">escribes </w:t>
      </w:r>
      <w:r w:rsidR="00CF7590">
        <w:rPr>
          <w:rFonts w:ascii="Century Gothic" w:hAnsi="Century Gothic"/>
        </w:rPr>
        <w:t xml:space="preserve">women </w:t>
      </w:r>
      <w:r w:rsidR="00C038D5">
        <w:rPr>
          <w:rFonts w:ascii="Century Gothic" w:hAnsi="Century Gothic"/>
        </w:rPr>
        <w:t>receiving more</w:t>
      </w:r>
      <w:r w:rsidR="00CF7590">
        <w:rPr>
          <w:rFonts w:ascii="Century Gothic" w:hAnsi="Century Gothic"/>
        </w:rPr>
        <w:t xml:space="preserve"> bonuses than men </w:t>
      </w:r>
      <w:r w:rsidR="00770C7E">
        <w:rPr>
          <w:rFonts w:ascii="Century Gothic" w:hAnsi="Century Gothic"/>
        </w:rPr>
        <w:t>by 1.7%</w:t>
      </w:r>
      <w:r w:rsidR="004D48AC">
        <w:rPr>
          <w:rFonts w:ascii="Century Gothic" w:hAnsi="Century Gothic"/>
        </w:rPr>
        <w:t xml:space="preserve"> (Deloitte Pay and Inclusion Report 2025). </w:t>
      </w:r>
    </w:p>
    <w:p w14:paraId="40656406" w14:textId="62CF4263" w:rsidR="004D48AC" w:rsidRDefault="006B6F7D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2.1.2 Ethnic</w:t>
      </w:r>
      <w:r w:rsidR="00D11723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Representation</w:t>
      </w:r>
    </w:p>
    <w:p w14:paraId="5810ADB2" w14:textId="00E471EA" w:rsidR="00BE7537" w:rsidRDefault="00DF4D71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="005B606A">
        <w:rPr>
          <w:rFonts w:ascii="Century Gothic" w:hAnsi="Century Gothic"/>
        </w:rPr>
        <w:t xml:space="preserve">n the Deloitte website, </w:t>
      </w:r>
      <w:r w:rsidR="001E56C8">
        <w:rPr>
          <w:rFonts w:ascii="Century Gothic" w:hAnsi="Century Gothic"/>
        </w:rPr>
        <w:t xml:space="preserve">they </w:t>
      </w:r>
      <w:bookmarkStart w:id="7" w:name="_Int_QN8KFwW4"/>
      <w:r w:rsidR="001E56C8">
        <w:rPr>
          <w:rFonts w:ascii="Century Gothic" w:hAnsi="Century Gothic"/>
        </w:rPr>
        <w:t>state</w:t>
      </w:r>
      <w:bookmarkEnd w:id="7"/>
      <w:r w:rsidR="001E56C8">
        <w:rPr>
          <w:rFonts w:ascii="Century Gothic" w:hAnsi="Century Gothic"/>
        </w:rPr>
        <w:t xml:space="preserve"> that </w:t>
      </w:r>
      <w:r w:rsidR="00B2550F">
        <w:rPr>
          <w:rFonts w:ascii="Century Gothic" w:hAnsi="Century Gothic"/>
        </w:rPr>
        <w:t>s</w:t>
      </w:r>
      <w:r w:rsidR="00472809">
        <w:rPr>
          <w:rFonts w:ascii="Century Gothic" w:hAnsi="Century Gothic"/>
        </w:rPr>
        <w:t xml:space="preserve">upporting </w:t>
      </w:r>
      <w:r w:rsidR="00FB08F3">
        <w:rPr>
          <w:rFonts w:ascii="Century Gothic" w:hAnsi="Century Gothic"/>
        </w:rPr>
        <w:t>B</w:t>
      </w:r>
      <w:r w:rsidR="00472809">
        <w:rPr>
          <w:rFonts w:ascii="Century Gothic" w:hAnsi="Century Gothic"/>
        </w:rPr>
        <w:t xml:space="preserve">lack heritage is of vital importance </w:t>
      </w:r>
      <w:r w:rsidR="0019058E">
        <w:rPr>
          <w:rFonts w:ascii="Century Gothic" w:hAnsi="Century Gothic"/>
        </w:rPr>
        <w:t xml:space="preserve">to </w:t>
      </w:r>
      <w:r w:rsidR="00B2550F">
        <w:rPr>
          <w:rFonts w:ascii="Century Gothic" w:hAnsi="Century Gothic"/>
        </w:rPr>
        <w:t>Deloitte</w:t>
      </w:r>
      <w:r w:rsidR="002211DE">
        <w:rPr>
          <w:rFonts w:ascii="Century Gothic" w:hAnsi="Century Gothic"/>
        </w:rPr>
        <w:t>,</w:t>
      </w:r>
      <w:r w:rsidR="00B2550F">
        <w:rPr>
          <w:rFonts w:ascii="Century Gothic" w:hAnsi="Century Gothic"/>
        </w:rPr>
        <w:t xml:space="preserve"> </w:t>
      </w:r>
      <w:r w:rsidR="00543287">
        <w:rPr>
          <w:rFonts w:ascii="Century Gothic" w:hAnsi="Century Gothic"/>
        </w:rPr>
        <w:t>and therefore they have introduced new initiative</w:t>
      </w:r>
      <w:r w:rsidR="00B2550F">
        <w:rPr>
          <w:rFonts w:ascii="Century Gothic" w:hAnsi="Century Gothic"/>
        </w:rPr>
        <w:t>s such as</w:t>
      </w:r>
      <w:r w:rsidR="00CA279F">
        <w:rPr>
          <w:rFonts w:ascii="Century Gothic" w:hAnsi="Century Gothic"/>
        </w:rPr>
        <w:t xml:space="preserve"> “T</w:t>
      </w:r>
      <w:r w:rsidR="00543287">
        <w:rPr>
          <w:rFonts w:ascii="Century Gothic" w:hAnsi="Century Gothic"/>
        </w:rPr>
        <w:t xml:space="preserve">he Deloitte </w:t>
      </w:r>
      <w:r w:rsidR="00CA279F">
        <w:rPr>
          <w:rFonts w:ascii="Century Gothic" w:hAnsi="Century Gothic"/>
        </w:rPr>
        <w:t>B</w:t>
      </w:r>
      <w:r w:rsidR="00543287">
        <w:rPr>
          <w:rFonts w:ascii="Century Gothic" w:hAnsi="Century Gothic"/>
        </w:rPr>
        <w:t xml:space="preserve">lack </w:t>
      </w:r>
      <w:r w:rsidR="00CA279F">
        <w:rPr>
          <w:rFonts w:ascii="Century Gothic" w:hAnsi="Century Gothic"/>
        </w:rPr>
        <w:t>E</w:t>
      </w:r>
      <w:r w:rsidR="00543287">
        <w:rPr>
          <w:rFonts w:ascii="Century Gothic" w:hAnsi="Century Gothic"/>
        </w:rPr>
        <w:t>xperience</w:t>
      </w:r>
      <w:r w:rsidR="00CA279F">
        <w:rPr>
          <w:rFonts w:ascii="Century Gothic" w:hAnsi="Century Gothic"/>
        </w:rPr>
        <w:t xml:space="preserve">” </w:t>
      </w:r>
      <w:r w:rsidR="009E0DA1">
        <w:rPr>
          <w:rFonts w:ascii="Century Gothic" w:hAnsi="Century Gothic"/>
        </w:rPr>
        <w:t>that offers workshops</w:t>
      </w:r>
      <w:r w:rsidR="009C2697">
        <w:rPr>
          <w:rFonts w:ascii="Century Gothic" w:hAnsi="Century Gothic"/>
        </w:rPr>
        <w:t xml:space="preserve"> and mentoring for </w:t>
      </w:r>
      <w:r w:rsidR="00034693">
        <w:rPr>
          <w:rFonts w:ascii="Century Gothic" w:hAnsi="Century Gothic"/>
        </w:rPr>
        <w:t xml:space="preserve">the </w:t>
      </w:r>
      <w:r w:rsidR="009C2697">
        <w:rPr>
          <w:rFonts w:ascii="Century Gothic" w:hAnsi="Century Gothic"/>
        </w:rPr>
        <w:t xml:space="preserve">career development of </w:t>
      </w:r>
      <w:r w:rsidR="00034693">
        <w:rPr>
          <w:rFonts w:ascii="Century Gothic" w:hAnsi="Century Gothic"/>
        </w:rPr>
        <w:t>B</w:t>
      </w:r>
      <w:r w:rsidR="009C2697">
        <w:rPr>
          <w:rFonts w:ascii="Century Gothic" w:hAnsi="Century Gothic"/>
        </w:rPr>
        <w:t>lack colleagues</w:t>
      </w:r>
      <w:r w:rsidR="00B75D34">
        <w:rPr>
          <w:rFonts w:ascii="Century Gothic" w:hAnsi="Century Gothic"/>
        </w:rPr>
        <w:t>.</w:t>
      </w:r>
      <w:r w:rsidR="00BC7BB0">
        <w:rPr>
          <w:rFonts w:ascii="Century Gothic" w:hAnsi="Century Gothic"/>
        </w:rPr>
        <w:t xml:space="preserve"> “The Future Leaders Programme”</w:t>
      </w:r>
      <w:r w:rsidR="00B9154E">
        <w:rPr>
          <w:rFonts w:ascii="Century Gothic" w:hAnsi="Century Gothic"/>
        </w:rPr>
        <w:t xml:space="preserve"> offers support for career progression in leadership roles for ethnic minority backgrounds</w:t>
      </w:r>
      <w:r w:rsidR="004350DE">
        <w:rPr>
          <w:rFonts w:ascii="Century Gothic" w:hAnsi="Century Gothic"/>
        </w:rPr>
        <w:t>,</w:t>
      </w:r>
      <w:r w:rsidR="0079191E">
        <w:rPr>
          <w:rFonts w:ascii="Century Gothic" w:hAnsi="Century Gothic"/>
        </w:rPr>
        <w:t xml:space="preserve"> and “The Ethnicity Council” provides the company </w:t>
      </w:r>
      <w:r w:rsidR="003C67C0">
        <w:rPr>
          <w:rFonts w:ascii="Century Gothic" w:hAnsi="Century Gothic"/>
        </w:rPr>
        <w:t xml:space="preserve">with guidance on representation and </w:t>
      </w:r>
      <w:r w:rsidR="008F3211">
        <w:rPr>
          <w:rFonts w:ascii="Century Gothic" w:hAnsi="Century Gothic"/>
        </w:rPr>
        <w:t xml:space="preserve">career </w:t>
      </w:r>
      <w:r w:rsidR="003C67C0">
        <w:rPr>
          <w:rFonts w:ascii="Century Gothic" w:hAnsi="Century Gothic"/>
        </w:rPr>
        <w:t xml:space="preserve">progression </w:t>
      </w:r>
      <w:r w:rsidR="000F1387">
        <w:rPr>
          <w:rFonts w:ascii="Century Gothic" w:hAnsi="Century Gothic"/>
        </w:rPr>
        <w:t>for ethnic minority background colleagues</w:t>
      </w:r>
      <w:r w:rsidR="008F3211">
        <w:rPr>
          <w:rFonts w:ascii="Century Gothic" w:hAnsi="Century Gothic"/>
        </w:rPr>
        <w:t xml:space="preserve">. </w:t>
      </w:r>
      <w:r w:rsidR="00A85D73">
        <w:rPr>
          <w:rFonts w:ascii="Century Gothic" w:hAnsi="Century Gothic"/>
        </w:rPr>
        <w:t xml:space="preserve">In June 2025, 15% of newly promoted partners </w:t>
      </w:r>
      <w:r w:rsidR="00840E43">
        <w:rPr>
          <w:rFonts w:ascii="Century Gothic" w:hAnsi="Century Gothic"/>
        </w:rPr>
        <w:t>were from ethnic minority backgrounds</w:t>
      </w:r>
      <w:r w:rsidR="004350DE">
        <w:rPr>
          <w:rFonts w:ascii="Century Gothic" w:hAnsi="Century Gothic"/>
        </w:rPr>
        <w:t>,</w:t>
      </w:r>
      <w:r w:rsidR="00840E43">
        <w:rPr>
          <w:rFonts w:ascii="Century Gothic" w:hAnsi="Century Gothic"/>
        </w:rPr>
        <w:t xml:space="preserve"> leading to an over</w:t>
      </w:r>
      <w:r w:rsidR="00B40DCB">
        <w:rPr>
          <w:rFonts w:ascii="Century Gothic" w:hAnsi="Century Gothic"/>
        </w:rPr>
        <w:t>all</w:t>
      </w:r>
      <w:r w:rsidR="00840E43">
        <w:rPr>
          <w:rFonts w:ascii="Century Gothic" w:hAnsi="Century Gothic"/>
        </w:rPr>
        <w:t xml:space="preserve"> 12% of </w:t>
      </w:r>
      <w:r w:rsidR="00B40DCB">
        <w:rPr>
          <w:rFonts w:ascii="Century Gothic" w:hAnsi="Century Gothic"/>
        </w:rPr>
        <w:t xml:space="preserve">ethnically </w:t>
      </w:r>
      <w:bookmarkStart w:id="8" w:name="_Int_jr3NBjwN"/>
      <w:r w:rsidR="00B40DCB">
        <w:rPr>
          <w:rFonts w:ascii="Century Gothic" w:hAnsi="Century Gothic"/>
        </w:rPr>
        <w:t>represented</w:t>
      </w:r>
      <w:bookmarkEnd w:id="8"/>
      <w:r w:rsidR="00B40DCB">
        <w:rPr>
          <w:rFonts w:ascii="Century Gothic" w:hAnsi="Century Gothic"/>
        </w:rPr>
        <w:t xml:space="preserve"> partners</w:t>
      </w:r>
      <w:r w:rsidR="000F1387">
        <w:rPr>
          <w:rFonts w:ascii="Century Gothic" w:hAnsi="Century Gothic"/>
        </w:rPr>
        <w:t xml:space="preserve"> (</w:t>
      </w:r>
      <w:r w:rsidR="00BB7F1D">
        <w:rPr>
          <w:rFonts w:ascii="Century Gothic" w:hAnsi="Century Gothic"/>
        </w:rPr>
        <w:t xml:space="preserve">Deloitte, 2026). </w:t>
      </w:r>
      <w:r w:rsidR="00E34B8B">
        <w:rPr>
          <w:rFonts w:ascii="Century Gothic" w:hAnsi="Century Gothic"/>
        </w:rPr>
        <w:t>The</w:t>
      </w:r>
      <w:r w:rsidR="00E763F8">
        <w:rPr>
          <w:rFonts w:ascii="Century Gothic" w:hAnsi="Century Gothic"/>
        </w:rPr>
        <w:t xml:space="preserve"> Pay and Inclusion Report 2025 </w:t>
      </w:r>
      <w:r w:rsidR="00237D3A">
        <w:rPr>
          <w:rFonts w:ascii="Century Gothic" w:hAnsi="Century Gothic"/>
        </w:rPr>
        <w:t>suggests</w:t>
      </w:r>
      <w:r w:rsidR="00E763F8">
        <w:rPr>
          <w:rFonts w:ascii="Century Gothic" w:hAnsi="Century Gothic"/>
        </w:rPr>
        <w:t xml:space="preserve"> that </w:t>
      </w:r>
      <w:r w:rsidR="009836FF">
        <w:rPr>
          <w:rFonts w:ascii="Century Gothic" w:hAnsi="Century Gothic"/>
        </w:rPr>
        <w:t xml:space="preserve">Deloitte </w:t>
      </w:r>
      <w:r w:rsidR="00682CD5">
        <w:rPr>
          <w:rFonts w:ascii="Century Gothic" w:hAnsi="Century Gothic"/>
        </w:rPr>
        <w:t xml:space="preserve">aims to have </w:t>
      </w:r>
      <w:r w:rsidR="009836FF">
        <w:rPr>
          <w:rFonts w:ascii="Century Gothic" w:hAnsi="Century Gothic"/>
        </w:rPr>
        <w:t xml:space="preserve">25 </w:t>
      </w:r>
      <w:r w:rsidR="005E0812">
        <w:rPr>
          <w:rFonts w:ascii="Century Gothic" w:hAnsi="Century Gothic"/>
        </w:rPr>
        <w:t>B</w:t>
      </w:r>
      <w:r w:rsidR="009836FF">
        <w:rPr>
          <w:rFonts w:ascii="Century Gothic" w:hAnsi="Century Gothic"/>
        </w:rPr>
        <w:t xml:space="preserve">lack partners </w:t>
      </w:r>
      <w:r w:rsidR="00682CD5">
        <w:rPr>
          <w:rFonts w:ascii="Century Gothic" w:hAnsi="Century Gothic"/>
        </w:rPr>
        <w:t xml:space="preserve">and 16% of ethnic minority partners by </w:t>
      </w:r>
      <w:r w:rsidR="009836FF">
        <w:rPr>
          <w:rFonts w:ascii="Century Gothic" w:hAnsi="Century Gothic"/>
        </w:rPr>
        <w:t>2030</w:t>
      </w:r>
      <w:r w:rsidR="00EC5F47">
        <w:rPr>
          <w:rFonts w:ascii="Century Gothic" w:hAnsi="Century Gothic"/>
        </w:rPr>
        <w:t>.</w:t>
      </w:r>
      <w:r w:rsidR="00DC4275">
        <w:rPr>
          <w:rFonts w:ascii="Century Gothic" w:hAnsi="Century Gothic"/>
        </w:rPr>
        <w:t xml:space="preserve"> </w:t>
      </w:r>
      <w:r w:rsidR="00EC5F47">
        <w:rPr>
          <w:rFonts w:ascii="Century Gothic" w:hAnsi="Century Gothic"/>
        </w:rPr>
        <w:t>B</w:t>
      </w:r>
      <w:r w:rsidR="00DF40F1">
        <w:rPr>
          <w:rFonts w:ascii="Century Gothic" w:hAnsi="Century Gothic"/>
        </w:rPr>
        <w:t xml:space="preserve">y the end of 2025, there were 12% of partners </w:t>
      </w:r>
      <w:r w:rsidR="005E0812">
        <w:rPr>
          <w:rFonts w:ascii="Century Gothic" w:hAnsi="Century Gothic"/>
        </w:rPr>
        <w:t xml:space="preserve">who were </w:t>
      </w:r>
      <w:r w:rsidR="00F01EB5">
        <w:rPr>
          <w:rFonts w:ascii="Century Gothic" w:hAnsi="Century Gothic"/>
        </w:rPr>
        <w:t xml:space="preserve">from ethnic minority backgrounds and 1% of partners being </w:t>
      </w:r>
      <w:r w:rsidR="005E0812">
        <w:rPr>
          <w:rFonts w:ascii="Century Gothic" w:hAnsi="Century Gothic"/>
        </w:rPr>
        <w:t>B</w:t>
      </w:r>
      <w:r w:rsidR="00F01EB5">
        <w:rPr>
          <w:rFonts w:ascii="Century Gothic" w:hAnsi="Century Gothic"/>
        </w:rPr>
        <w:t xml:space="preserve">lack. </w:t>
      </w:r>
      <w:r w:rsidR="00771398">
        <w:rPr>
          <w:rFonts w:ascii="Century Gothic" w:hAnsi="Century Gothic"/>
        </w:rPr>
        <w:t xml:space="preserve">The </w:t>
      </w:r>
      <w:r w:rsidR="00771398">
        <w:rPr>
          <w:rFonts w:ascii="Century Gothic" w:hAnsi="Century Gothic"/>
        </w:rPr>
        <w:lastRenderedPageBreak/>
        <w:t>report continues to show that 28.1% of early</w:t>
      </w:r>
      <w:r w:rsidR="00174EEF">
        <w:rPr>
          <w:rFonts w:ascii="Century Gothic" w:hAnsi="Century Gothic"/>
        </w:rPr>
        <w:t>-</w:t>
      </w:r>
      <w:r w:rsidR="00771398">
        <w:rPr>
          <w:rFonts w:ascii="Century Gothic" w:hAnsi="Century Gothic"/>
        </w:rPr>
        <w:t xml:space="preserve">career new hires </w:t>
      </w:r>
      <w:r w:rsidR="00EA77C7">
        <w:rPr>
          <w:rFonts w:ascii="Century Gothic" w:hAnsi="Century Gothic"/>
        </w:rPr>
        <w:t>in 2025</w:t>
      </w:r>
      <w:r w:rsidR="000B4810">
        <w:rPr>
          <w:rFonts w:ascii="Century Gothic" w:hAnsi="Century Gothic"/>
        </w:rPr>
        <w:t xml:space="preserve"> </w:t>
      </w:r>
      <w:r w:rsidR="00771398">
        <w:rPr>
          <w:rFonts w:ascii="Century Gothic" w:hAnsi="Century Gothic"/>
        </w:rPr>
        <w:t>were from</w:t>
      </w:r>
      <w:r w:rsidR="00EA77C7">
        <w:rPr>
          <w:rFonts w:ascii="Century Gothic" w:hAnsi="Century Gothic"/>
        </w:rPr>
        <w:t xml:space="preserve"> an ethnic minority background, compared to 31.6% of experienced</w:t>
      </w:r>
      <w:r w:rsidR="003629BA">
        <w:rPr>
          <w:rFonts w:ascii="Century Gothic" w:hAnsi="Century Gothic"/>
        </w:rPr>
        <w:t xml:space="preserve"> </w:t>
      </w:r>
      <w:r w:rsidR="000B4810">
        <w:rPr>
          <w:rFonts w:ascii="Century Gothic" w:hAnsi="Century Gothic"/>
        </w:rPr>
        <w:t>new hires</w:t>
      </w:r>
      <w:r w:rsidR="00C266E5">
        <w:rPr>
          <w:rFonts w:ascii="Century Gothic" w:hAnsi="Century Gothic"/>
        </w:rPr>
        <w:t xml:space="preserve">. </w:t>
      </w:r>
      <w:r w:rsidR="00AE0CB4">
        <w:rPr>
          <w:rFonts w:ascii="Century Gothic" w:hAnsi="Century Gothic"/>
        </w:rPr>
        <w:t>Deloi</w:t>
      </w:r>
      <w:r w:rsidR="00FE0FEB">
        <w:rPr>
          <w:rFonts w:ascii="Century Gothic" w:hAnsi="Century Gothic"/>
        </w:rPr>
        <w:t xml:space="preserve">tte UK </w:t>
      </w:r>
      <w:r w:rsidR="00492867">
        <w:rPr>
          <w:rFonts w:ascii="Century Gothic" w:hAnsi="Century Gothic"/>
        </w:rPr>
        <w:t>has</w:t>
      </w:r>
      <w:r w:rsidR="00FE0FEB">
        <w:rPr>
          <w:rFonts w:ascii="Century Gothic" w:hAnsi="Century Gothic"/>
        </w:rPr>
        <w:t xml:space="preserve"> 4.3% </w:t>
      </w:r>
      <w:r w:rsidR="003629BA">
        <w:rPr>
          <w:rFonts w:ascii="Century Gothic" w:hAnsi="Century Gothic"/>
        </w:rPr>
        <w:t>B</w:t>
      </w:r>
      <w:r w:rsidR="00492867">
        <w:rPr>
          <w:rFonts w:ascii="Century Gothic" w:hAnsi="Century Gothic"/>
        </w:rPr>
        <w:t xml:space="preserve">lack </w:t>
      </w:r>
      <w:r w:rsidR="00FE0FEB">
        <w:rPr>
          <w:rFonts w:ascii="Century Gothic" w:hAnsi="Century Gothic"/>
        </w:rPr>
        <w:t>employees</w:t>
      </w:r>
      <w:r w:rsidR="002742C8">
        <w:rPr>
          <w:rFonts w:ascii="Century Gothic" w:hAnsi="Century Gothic"/>
        </w:rPr>
        <w:t xml:space="preserve"> </w:t>
      </w:r>
      <w:r w:rsidR="00492867">
        <w:rPr>
          <w:rFonts w:ascii="Century Gothic" w:hAnsi="Century Gothic"/>
        </w:rPr>
        <w:t>in total</w:t>
      </w:r>
      <w:r w:rsidR="00D0399C">
        <w:rPr>
          <w:rFonts w:ascii="Century Gothic" w:hAnsi="Century Gothic"/>
        </w:rPr>
        <w:t>,</w:t>
      </w:r>
      <w:r w:rsidR="002742C8">
        <w:rPr>
          <w:rFonts w:ascii="Century Gothic" w:hAnsi="Century Gothic"/>
        </w:rPr>
        <w:t xml:space="preserve"> 2.4% being from an e</w:t>
      </w:r>
      <w:r w:rsidR="003339C9">
        <w:rPr>
          <w:rFonts w:ascii="Century Gothic" w:hAnsi="Century Gothic"/>
        </w:rPr>
        <w:t xml:space="preserve">thnic minority background and 20.1% being Asian compared to 52.1% </w:t>
      </w:r>
      <w:r w:rsidR="00510B1F">
        <w:rPr>
          <w:rFonts w:ascii="Century Gothic" w:hAnsi="Century Gothic"/>
        </w:rPr>
        <w:t xml:space="preserve">being </w:t>
      </w:r>
      <w:r w:rsidR="00483B3C">
        <w:rPr>
          <w:rFonts w:ascii="Century Gothic" w:hAnsi="Century Gothic"/>
        </w:rPr>
        <w:t>white (</w:t>
      </w:r>
      <w:r w:rsidR="00961542">
        <w:rPr>
          <w:rFonts w:ascii="Century Gothic" w:hAnsi="Century Gothic"/>
        </w:rPr>
        <w:t xml:space="preserve">21.1% of individuals in the study </w:t>
      </w:r>
      <w:bookmarkStart w:id="9" w:name="_Int_kk8Oc86y"/>
      <w:r w:rsidR="00961542">
        <w:rPr>
          <w:rFonts w:ascii="Century Gothic" w:hAnsi="Century Gothic"/>
        </w:rPr>
        <w:t>are labelled</w:t>
      </w:r>
      <w:bookmarkEnd w:id="9"/>
      <w:r w:rsidR="00961542">
        <w:rPr>
          <w:rFonts w:ascii="Century Gothic" w:hAnsi="Century Gothic"/>
        </w:rPr>
        <w:t xml:space="preserve"> </w:t>
      </w:r>
      <w:r w:rsidR="007970F7">
        <w:rPr>
          <w:rFonts w:ascii="Century Gothic" w:hAnsi="Century Gothic"/>
        </w:rPr>
        <w:t>‘</w:t>
      </w:r>
      <w:r w:rsidR="00961542">
        <w:rPr>
          <w:rFonts w:ascii="Century Gothic" w:hAnsi="Century Gothic"/>
        </w:rPr>
        <w:t xml:space="preserve">unreported’ or </w:t>
      </w:r>
      <w:r w:rsidR="007970F7">
        <w:rPr>
          <w:rFonts w:ascii="Century Gothic" w:hAnsi="Century Gothic"/>
        </w:rPr>
        <w:t>‘prefer not to say’</w:t>
      </w:r>
      <w:r w:rsidR="0078386F">
        <w:rPr>
          <w:rFonts w:ascii="Century Gothic" w:hAnsi="Century Gothic"/>
        </w:rPr>
        <w:t>). Looking at the ethnic pay gap</w:t>
      </w:r>
      <w:r w:rsidR="00306B25">
        <w:rPr>
          <w:rFonts w:ascii="Century Gothic" w:hAnsi="Century Gothic"/>
        </w:rPr>
        <w:t>, whi</w:t>
      </w:r>
      <w:r w:rsidR="00501D78">
        <w:rPr>
          <w:rFonts w:ascii="Century Gothic" w:hAnsi="Century Gothic"/>
        </w:rPr>
        <w:t xml:space="preserve">te </w:t>
      </w:r>
      <w:r w:rsidR="001B05D6">
        <w:rPr>
          <w:rFonts w:ascii="Century Gothic" w:hAnsi="Century Gothic"/>
        </w:rPr>
        <w:t>individuals</w:t>
      </w:r>
      <w:r w:rsidR="00501D78">
        <w:rPr>
          <w:rFonts w:ascii="Century Gothic" w:hAnsi="Century Gothic"/>
        </w:rPr>
        <w:t xml:space="preserve"> receive significantly more pay across the company. </w:t>
      </w:r>
      <w:r w:rsidR="007A5FE0">
        <w:rPr>
          <w:rFonts w:ascii="Century Gothic" w:hAnsi="Century Gothic"/>
        </w:rPr>
        <w:t>Equally</w:t>
      </w:r>
      <w:r w:rsidR="00D050AA">
        <w:rPr>
          <w:rFonts w:ascii="Century Gothic" w:hAnsi="Century Gothic"/>
        </w:rPr>
        <w:t>, the gaps of bonuses between white people compared to</w:t>
      </w:r>
      <w:r w:rsidR="00140938">
        <w:rPr>
          <w:rFonts w:ascii="Century Gothic" w:hAnsi="Century Gothic"/>
        </w:rPr>
        <w:t xml:space="preserve"> ethnic minorities </w:t>
      </w:r>
      <w:bookmarkStart w:id="10" w:name="_Int_9FsUYgK8"/>
      <w:r w:rsidR="00140938">
        <w:rPr>
          <w:rFonts w:ascii="Century Gothic" w:hAnsi="Century Gothic"/>
        </w:rPr>
        <w:t>remain</w:t>
      </w:r>
      <w:bookmarkEnd w:id="10"/>
      <w:r w:rsidR="00140938">
        <w:rPr>
          <w:rFonts w:ascii="Century Gothic" w:hAnsi="Century Gothic"/>
        </w:rPr>
        <w:t xml:space="preserve"> high but overall </w:t>
      </w:r>
      <w:r w:rsidR="00C24762">
        <w:rPr>
          <w:rFonts w:ascii="Century Gothic" w:hAnsi="Century Gothic"/>
        </w:rPr>
        <w:t>are</w:t>
      </w:r>
      <w:r w:rsidR="00D6731B">
        <w:rPr>
          <w:rFonts w:ascii="Century Gothic" w:hAnsi="Century Gothic"/>
        </w:rPr>
        <w:t xml:space="preserve"> lower </w:t>
      </w:r>
      <w:r w:rsidR="0053493D">
        <w:rPr>
          <w:rFonts w:ascii="Century Gothic" w:hAnsi="Century Gothic"/>
        </w:rPr>
        <w:t xml:space="preserve">in contrast </w:t>
      </w:r>
      <w:r w:rsidR="00D6731B">
        <w:rPr>
          <w:rFonts w:ascii="Century Gothic" w:hAnsi="Century Gothic"/>
        </w:rPr>
        <w:t>to 2024 data.</w:t>
      </w:r>
      <w:r w:rsidR="005C5247">
        <w:rPr>
          <w:rFonts w:ascii="Century Gothic" w:hAnsi="Century Gothic"/>
        </w:rPr>
        <w:t xml:space="preserve"> T</w:t>
      </w:r>
      <w:r w:rsidR="00D6731B">
        <w:rPr>
          <w:rFonts w:ascii="Century Gothic" w:hAnsi="Century Gothic"/>
        </w:rPr>
        <w:t>he to</w:t>
      </w:r>
      <w:r w:rsidR="00C171D4">
        <w:rPr>
          <w:rFonts w:ascii="Century Gothic" w:hAnsi="Century Gothic"/>
        </w:rPr>
        <w:t xml:space="preserve">tal pay gap </w:t>
      </w:r>
      <w:bookmarkStart w:id="11" w:name="_Int_VSfbX5as"/>
      <w:r w:rsidR="00C171D4">
        <w:rPr>
          <w:rFonts w:ascii="Century Gothic" w:hAnsi="Century Gothic"/>
        </w:rPr>
        <w:t>is reduced</w:t>
      </w:r>
      <w:bookmarkEnd w:id="11"/>
      <w:r w:rsidR="00C171D4">
        <w:rPr>
          <w:rFonts w:ascii="Century Gothic" w:hAnsi="Century Gothic"/>
        </w:rPr>
        <w:t xml:space="preserve"> </w:t>
      </w:r>
      <w:r w:rsidR="00DC411E">
        <w:rPr>
          <w:rFonts w:ascii="Century Gothic" w:hAnsi="Century Gothic"/>
        </w:rPr>
        <w:t>by 3.1% (median</w:t>
      </w:r>
      <w:r w:rsidR="00BD008D">
        <w:rPr>
          <w:rFonts w:ascii="Century Gothic" w:hAnsi="Century Gothic"/>
        </w:rPr>
        <w:t xml:space="preserve"> average) </w:t>
      </w:r>
      <w:r w:rsidR="0053493D">
        <w:rPr>
          <w:rFonts w:ascii="Century Gothic" w:hAnsi="Century Gothic"/>
        </w:rPr>
        <w:t xml:space="preserve">from </w:t>
      </w:r>
      <w:r w:rsidR="00C171D4">
        <w:rPr>
          <w:rFonts w:ascii="Century Gothic" w:hAnsi="Century Gothic"/>
        </w:rPr>
        <w:t>2025</w:t>
      </w:r>
      <w:r w:rsidR="00DC411E">
        <w:rPr>
          <w:rFonts w:ascii="Century Gothic" w:hAnsi="Century Gothic"/>
        </w:rPr>
        <w:t xml:space="preserve"> </w:t>
      </w:r>
      <w:r w:rsidR="00C171D4">
        <w:rPr>
          <w:rFonts w:ascii="Century Gothic" w:hAnsi="Century Gothic"/>
        </w:rPr>
        <w:t>to 2024</w:t>
      </w:r>
      <w:r w:rsidR="00306B25">
        <w:rPr>
          <w:rFonts w:ascii="Century Gothic" w:hAnsi="Century Gothic"/>
        </w:rPr>
        <w:t xml:space="preserve"> (</w:t>
      </w:r>
      <w:r w:rsidR="007970F7">
        <w:rPr>
          <w:rFonts w:ascii="Century Gothic" w:hAnsi="Century Gothic"/>
        </w:rPr>
        <w:t xml:space="preserve">Deloitte Pay and Inclusion Report, 2025). </w:t>
      </w:r>
    </w:p>
    <w:p w14:paraId="40A266EC" w14:textId="3A788171" w:rsidR="00F363EA" w:rsidRDefault="00993DE2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</w:t>
      </w:r>
      <w:r w:rsidR="00E6455B">
        <w:rPr>
          <w:rFonts w:ascii="Century Gothic" w:hAnsi="Century Gothic"/>
        </w:rPr>
        <w:t xml:space="preserve">.1.3 LGBTQ+ Inclusion </w:t>
      </w:r>
    </w:p>
    <w:p w14:paraId="0165382A" w14:textId="0C0A1594" w:rsidR="00E6455B" w:rsidRDefault="004B21A2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192D34">
        <w:rPr>
          <w:rFonts w:ascii="Century Gothic" w:hAnsi="Century Gothic"/>
        </w:rPr>
        <w:t>eloitte</w:t>
      </w:r>
      <w:r w:rsidR="00507579">
        <w:rPr>
          <w:rFonts w:ascii="Century Gothic" w:hAnsi="Century Gothic"/>
        </w:rPr>
        <w:t xml:space="preserve">’s </w:t>
      </w:r>
      <w:r w:rsidR="00192D34">
        <w:rPr>
          <w:rFonts w:ascii="Century Gothic" w:hAnsi="Century Gothic"/>
        </w:rPr>
        <w:t>LGBTQ+ inclusivity stra</w:t>
      </w:r>
      <w:r w:rsidR="00094A76">
        <w:rPr>
          <w:rFonts w:ascii="Century Gothic" w:hAnsi="Century Gothic"/>
        </w:rPr>
        <w:t xml:space="preserve">tegy </w:t>
      </w:r>
      <w:bookmarkStart w:id="12" w:name="_Int_Po8JrRh1"/>
      <w:r w:rsidR="001E47B4">
        <w:rPr>
          <w:rFonts w:ascii="Century Gothic" w:hAnsi="Century Gothic"/>
        </w:rPr>
        <w:t>is suggested</w:t>
      </w:r>
      <w:bookmarkEnd w:id="12"/>
      <w:r w:rsidR="001E47B4">
        <w:rPr>
          <w:rFonts w:ascii="Century Gothic" w:hAnsi="Century Gothic"/>
        </w:rPr>
        <w:t xml:space="preserve"> to be </w:t>
      </w:r>
      <w:r w:rsidR="00094A76">
        <w:rPr>
          <w:rFonts w:ascii="Century Gothic" w:hAnsi="Century Gothic"/>
        </w:rPr>
        <w:t>an integral part of the company</w:t>
      </w:r>
      <w:r w:rsidR="009977E2">
        <w:rPr>
          <w:rFonts w:ascii="Century Gothic" w:hAnsi="Century Gothic"/>
        </w:rPr>
        <w:t xml:space="preserve">, encouraging employees to </w:t>
      </w:r>
      <w:r w:rsidR="00F42E4F">
        <w:rPr>
          <w:rFonts w:ascii="Century Gothic" w:hAnsi="Century Gothic"/>
        </w:rPr>
        <w:t xml:space="preserve">be authentic </w:t>
      </w:r>
      <w:r w:rsidR="00B14B6E">
        <w:rPr>
          <w:rFonts w:ascii="Century Gothic" w:hAnsi="Century Gothic"/>
        </w:rPr>
        <w:t xml:space="preserve">and thrive </w:t>
      </w:r>
      <w:r w:rsidR="00F42E4F">
        <w:rPr>
          <w:rFonts w:ascii="Century Gothic" w:hAnsi="Century Gothic"/>
        </w:rPr>
        <w:t>at work</w:t>
      </w:r>
      <w:r w:rsidR="00507494">
        <w:rPr>
          <w:rFonts w:ascii="Century Gothic" w:hAnsi="Century Gothic"/>
        </w:rPr>
        <w:t xml:space="preserve"> (Deloitt</w:t>
      </w:r>
      <w:r w:rsidR="008E210F">
        <w:rPr>
          <w:rFonts w:ascii="Century Gothic" w:hAnsi="Century Gothic"/>
        </w:rPr>
        <w:t>e,</w:t>
      </w:r>
      <w:r w:rsidR="00507494">
        <w:rPr>
          <w:rFonts w:ascii="Century Gothic" w:hAnsi="Century Gothic"/>
        </w:rPr>
        <w:t xml:space="preserve"> 2026)</w:t>
      </w:r>
      <w:r w:rsidR="00F42E4F">
        <w:rPr>
          <w:rFonts w:ascii="Century Gothic" w:hAnsi="Century Gothic"/>
        </w:rPr>
        <w:t>.</w:t>
      </w:r>
      <w:r w:rsidR="00507494">
        <w:rPr>
          <w:rFonts w:ascii="Century Gothic" w:hAnsi="Century Gothic"/>
        </w:rPr>
        <w:t xml:space="preserve"> </w:t>
      </w:r>
      <w:r w:rsidR="001E47B4">
        <w:rPr>
          <w:rFonts w:ascii="Century Gothic" w:hAnsi="Century Gothic"/>
        </w:rPr>
        <w:t>O</w:t>
      </w:r>
      <w:r w:rsidR="005D1667">
        <w:rPr>
          <w:rFonts w:ascii="Century Gothic" w:hAnsi="Century Gothic"/>
        </w:rPr>
        <w:t>ver the year of 2025</w:t>
      </w:r>
      <w:r w:rsidR="00655911">
        <w:rPr>
          <w:rFonts w:ascii="Century Gothic" w:hAnsi="Century Gothic"/>
        </w:rPr>
        <w:t xml:space="preserve">, </w:t>
      </w:r>
      <w:r w:rsidR="00A11766">
        <w:rPr>
          <w:rFonts w:ascii="Century Gothic" w:hAnsi="Century Gothic"/>
        </w:rPr>
        <w:t xml:space="preserve">Deloitte </w:t>
      </w:r>
      <w:r w:rsidR="00655911">
        <w:rPr>
          <w:rFonts w:ascii="Century Gothic" w:hAnsi="Century Gothic"/>
        </w:rPr>
        <w:t xml:space="preserve">aimed to </w:t>
      </w:r>
      <w:r w:rsidR="00A11766">
        <w:rPr>
          <w:rFonts w:ascii="Century Gothic" w:hAnsi="Century Gothic"/>
        </w:rPr>
        <w:t>honour this by providing a tailored series of support pages on their internal well</w:t>
      </w:r>
      <w:r w:rsidR="00A83379">
        <w:rPr>
          <w:rFonts w:ascii="Century Gothic" w:hAnsi="Century Gothic"/>
        </w:rPr>
        <w:t>-</w:t>
      </w:r>
      <w:r w:rsidR="00A11766">
        <w:rPr>
          <w:rFonts w:ascii="Century Gothic" w:hAnsi="Century Gothic"/>
        </w:rPr>
        <w:t xml:space="preserve">being system. </w:t>
      </w:r>
      <w:r w:rsidR="008E210F">
        <w:rPr>
          <w:rFonts w:ascii="Century Gothic" w:hAnsi="Century Gothic"/>
        </w:rPr>
        <w:t>T</w:t>
      </w:r>
      <w:r w:rsidR="00F95F88">
        <w:rPr>
          <w:rFonts w:ascii="Century Gothic" w:hAnsi="Century Gothic"/>
        </w:rPr>
        <w:t xml:space="preserve">he sexual orientation pay </w:t>
      </w:r>
      <w:r w:rsidR="00DC6D37">
        <w:rPr>
          <w:rFonts w:ascii="Century Gothic" w:hAnsi="Century Gothic"/>
        </w:rPr>
        <w:t xml:space="preserve">and bonus gap are both reduced from 2024 by </w:t>
      </w:r>
      <w:r w:rsidR="0010140F">
        <w:rPr>
          <w:rFonts w:ascii="Century Gothic" w:hAnsi="Century Gothic"/>
        </w:rPr>
        <w:t xml:space="preserve">3.1% (median average of pay gap) and </w:t>
      </w:r>
      <w:r w:rsidR="008E210F">
        <w:rPr>
          <w:rFonts w:ascii="Century Gothic" w:hAnsi="Century Gothic"/>
        </w:rPr>
        <w:t xml:space="preserve">by </w:t>
      </w:r>
      <w:r w:rsidR="0010140F">
        <w:rPr>
          <w:rFonts w:ascii="Century Gothic" w:hAnsi="Century Gothic"/>
        </w:rPr>
        <w:t>6.6% (median average of bonus gap)</w:t>
      </w:r>
      <w:r w:rsidR="00DA74A6">
        <w:rPr>
          <w:rFonts w:ascii="Century Gothic" w:hAnsi="Century Gothic"/>
        </w:rPr>
        <w:t xml:space="preserve">; </w:t>
      </w:r>
      <w:r w:rsidR="00F75C6C">
        <w:rPr>
          <w:rFonts w:ascii="Century Gothic" w:hAnsi="Century Gothic"/>
        </w:rPr>
        <w:t>however</w:t>
      </w:r>
      <w:r w:rsidR="001E76CC">
        <w:rPr>
          <w:rFonts w:ascii="Century Gothic" w:hAnsi="Century Gothic"/>
        </w:rPr>
        <w:t>,</w:t>
      </w:r>
      <w:r w:rsidR="00F75C6C">
        <w:rPr>
          <w:rFonts w:ascii="Century Gothic" w:hAnsi="Century Gothic"/>
        </w:rPr>
        <w:t xml:space="preserve"> the total earning gap has increased significantly by </w:t>
      </w:r>
      <w:r w:rsidR="00F66ADD">
        <w:rPr>
          <w:rFonts w:ascii="Century Gothic" w:hAnsi="Century Gothic"/>
        </w:rPr>
        <w:t>10.9% (median average) from 2024 to 2025</w:t>
      </w:r>
      <w:r w:rsidR="00E73819">
        <w:rPr>
          <w:rFonts w:ascii="Century Gothic" w:hAnsi="Century Gothic"/>
        </w:rPr>
        <w:t xml:space="preserve"> (</w:t>
      </w:r>
      <w:r w:rsidR="000C1505">
        <w:rPr>
          <w:rFonts w:ascii="Century Gothic" w:hAnsi="Century Gothic"/>
        </w:rPr>
        <w:t>Deloitte Pay and Inclusion Report, 2025)</w:t>
      </w:r>
      <w:r w:rsidR="00F66ADD">
        <w:rPr>
          <w:rFonts w:ascii="Century Gothic" w:hAnsi="Century Gothic"/>
        </w:rPr>
        <w:t xml:space="preserve">. </w:t>
      </w:r>
    </w:p>
    <w:p w14:paraId="6FAB18C4" w14:textId="76186D37" w:rsidR="005F2F97" w:rsidRDefault="005F2F97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2.1.4 Disability and Neurodiversity</w:t>
      </w:r>
      <w:r w:rsidR="009437EA">
        <w:rPr>
          <w:rFonts w:ascii="Century Gothic" w:hAnsi="Century Gothic"/>
        </w:rPr>
        <w:t xml:space="preserve"> Inclusion </w:t>
      </w:r>
    </w:p>
    <w:p w14:paraId="2AFCB666" w14:textId="11315E2D" w:rsidR="009437EA" w:rsidRDefault="009618B1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</w:t>
      </w:r>
      <w:r w:rsidR="008E5EAA">
        <w:rPr>
          <w:rFonts w:ascii="Century Gothic" w:hAnsi="Century Gothic"/>
        </w:rPr>
        <w:t xml:space="preserve">loitte </w:t>
      </w:r>
      <w:r w:rsidR="001961AB">
        <w:rPr>
          <w:rFonts w:ascii="Century Gothic" w:hAnsi="Century Gothic"/>
        </w:rPr>
        <w:t xml:space="preserve">says they </w:t>
      </w:r>
      <w:r w:rsidR="00386C53">
        <w:rPr>
          <w:rFonts w:ascii="Century Gothic" w:hAnsi="Century Gothic"/>
        </w:rPr>
        <w:t xml:space="preserve">recognise </w:t>
      </w:r>
      <w:r w:rsidR="00567DCE">
        <w:rPr>
          <w:rFonts w:ascii="Century Gothic" w:hAnsi="Century Gothic"/>
        </w:rPr>
        <w:t>disability and neurodivers</w:t>
      </w:r>
      <w:r w:rsidR="00B91723">
        <w:rPr>
          <w:rFonts w:ascii="Century Gothic" w:hAnsi="Century Gothic"/>
        </w:rPr>
        <w:t>ity</w:t>
      </w:r>
      <w:r w:rsidR="00C75421">
        <w:rPr>
          <w:rFonts w:ascii="Century Gothic" w:hAnsi="Century Gothic"/>
        </w:rPr>
        <w:t xml:space="preserve"> i</w:t>
      </w:r>
      <w:r w:rsidR="00567DCE">
        <w:rPr>
          <w:rFonts w:ascii="Century Gothic" w:hAnsi="Century Gothic"/>
        </w:rPr>
        <w:t xml:space="preserve">nclusion </w:t>
      </w:r>
      <w:r w:rsidR="00386C53">
        <w:rPr>
          <w:rFonts w:ascii="Century Gothic" w:hAnsi="Century Gothic"/>
        </w:rPr>
        <w:t xml:space="preserve">to </w:t>
      </w:r>
      <w:r w:rsidR="00567DCE">
        <w:rPr>
          <w:rFonts w:ascii="Century Gothic" w:hAnsi="Century Gothic"/>
        </w:rPr>
        <w:t>mean providing</w:t>
      </w:r>
      <w:r w:rsidR="001667EB">
        <w:rPr>
          <w:rFonts w:ascii="Century Gothic" w:hAnsi="Century Gothic"/>
        </w:rPr>
        <w:t xml:space="preserve"> </w:t>
      </w:r>
      <w:r w:rsidR="00B464F1">
        <w:rPr>
          <w:rFonts w:ascii="Century Gothic" w:hAnsi="Century Gothic"/>
        </w:rPr>
        <w:t xml:space="preserve">resources </w:t>
      </w:r>
      <w:r w:rsidR="00A81FAF">
        <w:rPr>
          <w:rFonts w:ascii="Century Gothic" w:hAnsi="Century Gothic"/>
        </w:rPr>
        <w:t xml:space="preserve">and guidance </w:t>
      </w:r>
      <w:r w:rsidR="00B464F1">
        <w:rPr>
          <w:rFonts w:ascii="Century Gothic" w:hAnsi="Century Gothic"/>
        </w:rPr>
        <w:t xml:space="preserve">to </w:t>
      </w:r>
      <w:r w:rsidR="00860FB5">
        <w:rPr>
          <w:rFonts w:ascii="Century Gothic" w:hAnsi="Century Gothic"/>
        </w:rPr>
        <w:t xml:space="preserve">enable </w:t>
      </w:r>
      <w:r w:rsidR="00241880">
        <w:rPr>
          <w:rFonts w:ascii="Century Gothic" w:hAnsi="Century Gothic"/>
        </w:rPr>
        <w:t>individuals</w:t>
      </w:r>
      <w:r w:rsidR="00860FB5">
        <w:rPr>
          <w:rFonts w:ascii="Century Gothic" w:hAnsi="Century Gothic"/>
        </w:rPr>
        <w:t xml:space="preserve"> to work to their full potential</w:t>
      </w:r>
      <w:r w:rsidR="00634A7C">
        <w:rPr>
          <w:rFonts w:ascii="Century Gothic" w:hAnsi="Century Gothic"/>
        </w:rPr>
        <w:t xml:space="preserve">. </w:t>
      </w:r>
      <w:r w:rsidR="007D726C">
        <w:rPr>
          <w:rFonts w:ascii="Century Gothic" w:hAnsi="Century Gothic"/>
        </w:rPr>
        <w:t>In January 20</w:t>
      </w:r>
      <w:r w:rsidR="001667EB">
        <w:rPr>
          <w:rFonts w:ascii="Century Gothic" w:hAnsi="Century Gothic"/>
        </w:rPr>
        <w:t>1</w:t>
      </w:r>
      <w:r w:rsidR="007D726C">
        <w:rPr>
          <w:rFonts w:ascii="Century Gothic" w:hAnsi="Century Gothic"/>
        </w:rPr>
        <w:t xml:space="preserve">9, during the World Economic Forum Annual Meeting, Deloitte Global pledged </w:t>
      </w:r>
      <w:r w:rsidR="00FD505C">
        <w:rPr>
          <w:rFonts w:ascii="Century Gothic" w:hAnsi="Century Gothic"/>
        </w:rPr>
        <w:t xml:space="preserve">its support to the Valuable 500 initiative, reinforcing its organisation-wide commitment to prioritising disability inclusion at </w:t>
      </w:r>
      <w:r w:rsidR="004622B4">
        <w:rPr>
          <w:rFonts w:ascii="Century Gothic" w:hAnsi="Century Gothic"/>
        </w:rPr>
        <w:t>the</w:t>
      </w:r>
      <w:r w:rsidR="00760539">
        <w:rPr>
          <w:rFonts w:ascii="Century Gothic" w:hAnsi="Century Gothic"/>
        </w:rPr>
        <w:t xml:space="preserve"> </w:t>
      </w:r>
      <w:r w:rsidR="00FD505C">
        <w:rPr>
          <w:rFonts w:ascii="Century Gothic" w:hAnsi="Century Gothic"/>
        </w:rPr>
        <w:t>leadership</w:t>
      </w:r>
      <w:r w:rsidR="000F3BDF">
        <w:rPr>
          <w:rFonts w:ascii="Century Gothic" w:hAnsi="Century Gothic"/>
        </w:rPr>
        <w:t xml:space="preserve"> level and embedding it within its global strategy.</w:t>
      </w:r>
      <w:r w:rsidR="00860FB5">
        <w:rPr>
          <w:rFonts w:ascii="Century Gothic" w:hAnsi="Century Gothic"/>
        </w:rPr>
        <w:t xml:space="preserve"> (Deloitte, 2026).</w:t>
      </w:r>
      <w:r w:rsidR="00681137">
        <w:rPr>
          <w:rFonts w:ascii="Century Gothic" w:hAnsi="Century Gothic"/>
        </w:rPr>
        <w:t xml:space="preserve"> </w:t>
      </w:r>
      <w:r w:rsidR="00F8225B">
        <w:rPr>
          <w:rFonts w:ascii="Century Gothic" w:hAnsi="Century Gothic"/>
        </w:rPr>
        <w:t xml:space="preserve">Over 2025, </w:t>
      </w:r>
      <w:r w:rsidR="00FB4A03">
        <w:rPr>
          <w:rFonts w:ascii="Century Gothic" w:hAnsi="Century Gothic"/>
        </w:rPr>
        <w:t xml:space="preserve">Deloitte </w:t>
      </w:r>
      <w:r w:rsidR="00FA723F">
        <w:rPr>
          <w:rFonts w:ascii="Century Gothic" w:hAnsi="Century Gothic"/>
        </w:rPr>
        <w:t>h</w:t>
      </w:r>
      <w:r w:rsidR="00760539">
        <w:rPr>
          <w:rFonts w:ascii="Century Gothic" w:hAnsi="Century Gothic"/>
        </w:rPr>
        <w:t xml:space="preserve">as </w:t>
      </w:r>
      <w:r w:rsidR="00FD21DB">
        <w:rPr>
          <w:rFonts w:ascii="Century Gothic" w:hAnsi="Century Gothic"/>
        </w:rPr>
        <w:t xml:space="preserve">worked with Liz Kendall MP to discuss how </w:t>
      </w:r>
      <w:r w:rsidR="00ED1CCD">
        <w:rPr>
          <w:rFonts w:ascii="Century Gothic" w:hAnsi="Century Gothic"/>
        </w:rPr>
        <w:t>businesses can work with the government to offer support and inclusivity for disabled individuals</w:t>
      </w:r>
      <w:r w:rsidR="007562F5">
        <w:rPr>
          <w:rFonts w:ascii="Century Gothic" w:hAnsi="Century Gothic"/>
        </w:rPr>
        <w:t xml:space="preserve"> </w:t>
      </w:r>
      <w:r w:rsidR="00CC65C0">
        <w:rPr>
          <w:rFonts w:ascii="Century Gothic" w:hAnsi="Century Gothic"/>
        </w:rPr>
        <w:t>to help them thrive in the workplace.</w:t>
      </w:r>
      <w:r w:rsidR="008F755A">
        <w:rPr>
          <w:rFonts w:ascii="Century Gothic" w:hAnsi="Century Gothic"/>
        </w:rPr>
        <w:t xml:space="preserve"> Similarly, the company </w:t>
      </w:r>
      <w:r w:rsidR="00152AA8">
        <w:rPr>
          <w:rFonts w:ascii="Century Gothic" w:hAnsi="Century Gothic"/>
        </w:rPr>
        <w:t xml:space="preserve">continues to pledge </w:t>
      </w:r>
      <w:r w:rsidR="007F2970">
        <w:rPr>
          <w:rFonts w:ascii="Century Gothic" w:hAnsi="Century Gothic"/>
        </w:rPr>
        <w:t>accessibility across</w:t>
      </w:r>
      <w:r w:rsidR="00152AA8">
        <w:rPr>
          <w:rFonts w:ascii="Century Gothic" w:hAnsi="Century Gothic"/>
        </w:rPr>
        <w:t xml:space="preserve"> </w:t>
      </w:r>
      <w:r w:rsidR="007F2970">
        <w:rPr>
          <w:rFonts w:ascii="Century Gothic" w:hAnsi="Century Gothic"/>
        </w:rPr>
        <w:t>in-person and remote roles.</w:t>
      </w:r>
      <w:r w:rsidR="00003CF3">
        <w:rPr>
          <w:rFonts w:ascii="Century Gothic" w:hAnsi="Century Gothic"/>
        </w:rPr>
        <w:t xml:space="preserve"> Finally, De</w:t>
      </w:r>
      <w:r w:rsidR="00D611B8">
        <w:rPr>
          <w:rFonts w:ascii="Century Gothic" w:hAnsi="Century Gothic"/>
        </w:rPr>
        <w:t>loitte updated their ‘Workplace Adjustments</w:t>
      </w:r>
      <w:r w:rsidR="00AE049C">
        <w:rPr>
          <w:rFonts w:ascii="Century Gothic" w:hAnsi="Century Gothic"/>
        </w:rPr>
        <w:t xml:space="preserve"> </w:t>
      </w:r>
      <w:r w:rsidR="00D611B8">
        <w:rPr>
          <w:rFonts w:ascii="Century Gothic" w:hAnsi="Century Gothic"/>
        </w:rPr>
        <w:t xml:space="preserve">- How To Guide’ to </w:t>
      </w:r>
      <w:r w:rsidR="00DD6B88">
        <w:rPr>
          <w:rFonts w:ascii="Century Gothic" w:hAnsi="Century Gothic"/>
        </w:rPr>
        <w:t xml:space="preserve">better understand the needs and support of disabled individuals. </w:t>
      </w:r>
      <w:r w:rsidR="00B75F0F">
        <w:rPr>
          <w:rFonts w:ascii="Century Gothic" w:hAnsi="Century Gothic"/>
        </w:rPr>
        <w:t xml:space="preserve">The pay gap report shows a </w:t>
      </w:r>
      <w:r w:rsidR="00A5197B">
        <w:rPr>
          <w:rFonts w:ascii="Century Gothic" w:hAnsi="Century Gothic"/>
        </w:rPr>
        <w:t>decreas</w:t>
      </w:r>
      <w:r w:rsidR="00AE049C">
        <w:rPr>
          <w:rFonts w:ascii="Century Gothic" w:hAnsi="Century Gothic"/>
        </w:rPr>
        <w:t>e</w:t>
      </w:r>
      <w:r w:rsidR="00A5197B">
        <w:rPr>
          <w:rFonts w:ascii="Century Gothic" w:hAnsi="Century Gothic"/>
        </w:rPr>
        <w:t xml:space="preserve"> </w:t>
      </w:r>
      <w:r w:rsidR="00F92292">
        <w:rPr>
          <w:rFonts w:ascii="Century Gothic" w:hAnsi="Century Gothic"/>
        </w:rPr>
        <w:t xml:space="preserve">in the pay gap </w:t>
      </w:r>
      <w:r w:rsidR="007D4246">
        <w:rPr>
          <w:rFonts w:ascii="Century Gothic" w:hAnsi="Century Gothic"/>
        </w:rPr>
        <w:t>from 2024 in the lower and lower-middle income categories</w:t>
      </w:r>
      <w:r w:rsidR="00106794">
        <w:rPr>
          <w:rFonts w:ascii="Century Gothic" w:hAnsi="Century Gothic"/>
        </w:rPr>
        <w:t xml:space="preserve">, although it has </w:t>
      </w:r>
      <w:r w:rsidR="00F92292">
        <w:rPr>
          <w:rFonts w:ascii="Century Gothic" w:hAnsi="Century Gothic"/>
        </w:rPr>
        <w:t>increased</w:t>
      </w:r>
      <w:r w:rsidR="00106794">
        <w:rPr>
          <w:rFonts w:ascii="Century Gothic" w:hAnsi="Century Gothic"/>
        </w:rPr>
        <w:t xml:space="preserve"> in the </w:t>
      </w:r>
      <w:r w:rsidR="00A9573E">
        <w:rPr>
          <w:rFonts w:ascii="Century Gothic" w:hAnsi="Century Gothic"/>
        </w:rPr>
        <w:t xml:space="preserve">upper </w:t>
      </w:r>
      <w:bookmarkStart w:id="13" w:name="_Int_vKoFnyLb"/>
      <w:r w:rsidR="00A9573E">
        <w:rPr>
          <w:rFonts w:ascii="Century Gothic" w:hAnsi="Century Gothic"/>
        </w:rPr>
        <w:t>middle and upper income</w:t>
      </w:r>
      <w:bookmarkEnd w:id="13"/>
      <w:r w:rsidR="00A9573E">
        <w:rPr>
          <w:rFonts w:ascii="Century Gothic" w:hAnsi="Century Gothic"/>
        </w:rPr>
        <w:t xml:space="preserve"> categories. </w:t>
      </w:r>
      <w:r w:rsidR="00C357D6">
        <w:rPr>
          <w:rFonts w:ascii="Century Gothic" w:hAnsi="Century Gothic"/>
        </w:rPr>
        <w:t xml:space="preserve">The bonus gap has increased (median average) by </w:t>
      </w:r>
      <w:r w:rsidR="00300581">
        <w:rPr>
          <w:rFonts w:ascii="Century Gothic" w:hAnsi="Century Gothic"/>
        </w:rPr>
        <w:t xml:space="preserve">2.3% from 2024 to 2025. This means an overall decrease in the </w:t>
      </w:r>
      <w:r w:rsidR="0019701B">
        <w:rPr>
          <w:rFonts w:ascii="Century Gothic" w:hAnsi="Century Gothic"/>
        </w:rPr>
        <w:t xml:space="preserve">total earnings </w:t>
      </w:r>
      <w:r w:rsidR="00300581">
        <w:rPr>
          <w:rFonts w:ascii="Century Gothic" w:hAnsi="Century Gothic"/>
        </w:rPr>
        <w:t>gap by 0.9% (median average)</w:t>
      </w:r>
      <w:r w:rsidR="0019701B">
        <w:rPr>
          <w:rFonts w:ascii="Century Gothic" w:hAnsi="Century Gothic"/>
        </w:rPr>
        <w:t xml:space="preserve"> </w:t>
      </w:r>
      <w:r w:rsidR="00A036F2">
        <w:rPr>
          <w:rFonts w:ascii="Century Gothic" w:hAnsi="Century Gothic"/>
        </w:rPr>
        <w:t>(Deloitte Pay and Inclusion Report, 2025)</w:t>
      </w:r>
      <w:r w:rsidR="005D7BF0">
        <w:rPr>
          <w:rFonts w:ascii="Century Gothic" w:hAnsi="Century Gothic"/>
        </w:rPr>
        <w:t xml:space="preserve">. </w:t>
      </w:r>
    </w:p>
    <w:p w14:paraId="55A77E6B" w14:textId="3C54E02B" w:rsidR="005D7BF0" w:rsidRDefault="005D7BF0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2.1.5 </w:t>
      </w:r>
      <w:r w:rsidR="00D73167">
        <w:rPr>
          <w:rFonts w:ascii="Century Gothic" w:hAnsi="Century Gothic"/>
        </w:rPr>
        <w:t>Hy</w:t>
      </w:r>
      <w:r w:rsidR="00AA7A41">
        <w:rPr>
          <w:rFonts w:ascii="Century Gothic" w:hAnsi="Century Gothic"/>
        </w:rPr>
        <w:t xml:space="preserve">brid and Flexible Working Policies </w:t>
      </w:r>
    </w:p>
    <w:p w14:paraId="61AEA150" w14:textId="530BDF8B" w:rsidR="00BE7537" w:rsidRDefault="00D33EB5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Deloitte</w:t>
      </w:r>
      <w:r w:rsidR="00BE72D7">
        <w:rPr>
          <w:rFonts w:ascii="Century Gothic" w:hAnsi="Century Gothic"/>
        </w:rPr>
        <w:t xml:space="preserve"> </w:t>
      </w:r>
      <w:r w:rsidR="006D1924">
        <w:rPr>
          <w:rFonts w:ascii="Century Gothic" w:hAnsi="Century Gothic"/>
        </w:rPr>
        <w:t xml:space="preserve">claims </w:t>
      </w:r>
      <w:r w:rsidR="001961AB">
        <w:rPr>
          <w:rFonts w:ascii="Century Gothic" w:hAnsi="Century Gothic"/>
        </w:rPr>
        <w:t xml:space="preserve">to </w:t>
      </w:r>
      <w:r w:rsidR="00BE72D7">
        <w:rPr>
          <w:rFonts w:ascii="Century Gothic" w:hAnsi="Century Gothic"/>
        </w:rPr>
        <w:t xml:space="preserve">understand the </w:t>
      </w:r>
      <w:r w:rsidR="00026F82">
        <w:rPr>
          <w:rFonts w:ascii="Century Gothic" w:hAnsi="Century Gothic"/>
        </w:rPr>
        <w:t>choice</w:t>
      </w:r>
      <w:r w:rsidR="00BE72D7">
        <w:rPr>
          <w:rFonts w:ascii="Century Gothic" w:hAnsi="Century Gothic"/>
        </w:rPr>
        <w:t xml:space="preserve"> </w:t>
      </w:r>
      <w:r w:rsidR="00026F82">
        <w:rPr>
          <w:rFonts w:ascii="Century Gothic" w:hAnsi="Century Gothic"/>
        </w:rPr>
        <w:t>of flexible and hybrid working is important to many employees</w:t>
      </w:r>
      <w:r w:rsidR="00BB3B0E">
        <w:rPr>
          <w:rFonts w:ascii="Century Gothic" w:hAnsi="Century Gothic"/>
        </w:rPr>
        <w:t>,</w:t>
      </w:r>
      <w:r w:rsidR="002738EC">
        <w:rPr>
          <w:rFonts w:ascii="Century Gothic" w:hAnsi="Century Gothic"/>
        </w:rPr>
        <w:t xml:space="preserve"> from </w:t>
      </w:r>
      <w:r w:rsidR="00BB3B0E">
        <w:rPr>
          <w:rFonts w:ascii="Century Gothic" w:hAnsi="Century Gothic"/>
        </w:rPr>
        <w:t xml:space="preserve">a </w:t>
      </w:r>
      <w:r w:rsidR="00AC4BE4">
        <w:rPr>
          <w:rFonts w:ascii="Century Gothic" w:hAnsi="Century Gothic"/>
        </w:rPr>
        <w:t>quote on their webpage</w:t>
      </w:r>
      <w:r w:rsidR="00AD212D">
        <w:rPr>
          <w:rFonts w:ascii="Century Gothic" w:hAnsi="Century Gothic"/>
        </w:rPr>
        <w:t>:</w:t>
      </w:r>
      <w:r w:rsidR="00AC4BE4">
        <w:rPr>
          <w:rFonts w:ascii="Century Gothic" w:hAnsi="Century Gothic"/>
        </w:rPr>
        <w:t xml:space="preserve"> “</w:t>
      </w:r>
      <w:r w:rsidR="00D6315B">
        <w:rPr>
          <w:rFonts w:ascii="Century Gothic" w:hAnsi="Century Gothic"/>
        </w:rPr>
        <w:t xml:space="preserve">Life </w:t>
      </w:r>
      <w:r w:rsidR="00AC4BE4">
        <w:rPr>
          <w:rFonts w:ascii="Century Gothic" w:hAnsi="Century Gothic"/>
        </w:rPr>
        <w:t>is about more than work</w:t>
      </w:r>
      <w:r w:rsidR="00AD212D">
        <w:rPr>
          <w:rFonts w:ascii="Century Gothic" w:hAnsi="Century Gothic"/>
        </w:rPr>
        <w:t>.</w:t>
      </w:r>
      <w:r w:rsidR="00527E62">
        <w:rPr>
          <w:rFonts w:ascii="Century Gothic" w:hAnsi="Century Gothic"/>
        </w:rPr>
        <w:t xml:space="preserve"> </w:t>
      </w:r>
      <w:r w:rsidR="00AC4BE4">
        <w:rPr>
          <w:rFonts w:ascii="Century Gothic" w:hAnsi="Century Gothic"/>
        </w:rPr>
        <w:t xml:space="preserve">We believe it’s important for everyone to balance </w:t>
      </w:r>
      <w:r w:rsidR="00D6315B">
        <w:rPr>
          <w:rFonts w:ascii="Century Gothic" w:hAnsi="Century Gothic"/>
        </w:rPr>
        <w:t>their career with other priorities…”</w:t>
      </w:r>
      <w:r w:rsidR="00527E62">
        <w:rPr>
          <w:rFonts w:ascii="Century Gothic" w:hAnsi="Century Gothic"/>
        </w:rPr>
        <w:t xml:space="preserve"> (De</w:t>
      </w:r>
      <w:r w:rsidR="0078254F">
        <w:rPr>
          <w:rFonts w:ascii="Century Gothic" w:hAnsi="Century Gothic"/>
        </w:rPr>
        <w:t xml:space="preserve">loitte, 2026). The policies involved </w:t>
      </w:r>
      <w:r w:rsidR="00F72B8C">
        <w:rPr>
          <w:rFonts w:ascii="Century Gothic" w:hAnsi="Century Gothic"/>
        </w:rPr>
        <w:t>include</w:t>
      </w:r>
      <w:r w:rsidR="0078254F">
        <w:rPr>
          <w:rFonts w:ascii="Century Gothic" w:hAnsi="Century Gothic"/>
        </w:rPr>
        <w:t xml:space="preserve"> hybrid and f</w:t>
      </w:r>
      <w:r w:rsidR="003730FA">
        <w:rPr>
          <w:rFonts w:ascii="Century Gothic" w:hAnsi="Century Gothic"/>
        </w:rPr>
        <w:t>lexible working</w:t>
      </w:r>
      <w:r w:rsidR="00896690">
        <w:rPr>
          <w:rFonts w:ascii="Century Gothic" w:hAnsi="Century Gothic"/>
        </w:rPr>
        <w:t xml:space="preserve">, </w:t>
      </w:r>
      <w:r w:rsidR="002E65EB">
        <w:rPr>
          <w:rFonts w:ascii="Century Gothic" w:hAnsi="Century Gothic"/>
        </w:rPr>
        <w:t>favouring work/life balance for their employees by making most roles hybrid roles</w:t>
      </w:r>
      <w:r w:rsidR="00A31DCA">
        <w:rPr>
          <w:rFonts w:ascii="Century Gothic" w:hAnsi="Century Gothic"/>
        </w:rPr>
        <w:t>;</w:t>
      </w:r>
      <w:r w:rsidR="002E65EB">
        <w:rPr>
          <w:rFonts w:ascii="Century Gothic" w:hAnsi="Century Gothic"/>
        </w:rPr>
        <w:t xml:space="preserve"> </w:t>
      </w:r>
      <w:r w:rsidR="00D618DC">
        <w:rPr>
          <w:rFonts w:ascii="Century Gothic" w:hAnsi="Century Gothic"/>
        </w:rPr>
        <w:t>offering equal pay during family leave to all parents (including maternity, adoptio</w:t>
      </w:r>
      <w:r w:rsidR="00F94EF0">
        <w:rPr>
          <w:rFonts w:ascii="Century Gothic" w:hAnsi="Century Gothic"/>
        </w:rPr>
        <w:t>n, surrogacy, paternity and shared parental leave)</w:t>
      </w:r>
      <w:r w:rsidR="002E7D95">
        <w:rPr>
          <w:rFonts w:ascii="Century Gothic" w:hAnsi="Century Gothic"/>
        </w:rPr>
        <w:t xml:space="preserve">; </w:t>
      </w:r>
      <w:r w:rsidR="00F94EF0">
        <w:rPr>
          <w:rFonts w:ascii="Century Gothic" w:hAnsi="Century Gothic"/>
        </w:rPr>
        <w:t>a ‘Time Out’ scheme that allows employees to</w:t>
      </w:r>
      <w:r w:rsidR="00494E27">
        <w:rPr>
          <w:rFonts w:ascii="Century Gothic" w:hAnsi="Century Gothic"/>
        </w:rPr>
        <w:t xml:space="preserve"> take 4 weeks of unpaid leave at a time that suits them and the business</w:t>
      </w:r>
      <w:r w:rsidR="002E7D95">
        <w:rPr>
          <w:rFonts w:ascii="Century Gothic" w:hAnsi="Century Gothic"/>
        </w:rPr>
        <w:t xml:space="preserve">; </w:t>
      </w:r>
      <w:r w:rsidR="00F14F60">
        <w:rPr>
          <w:rFonts w:ascii="Century Gothic" w:hAnsi="Century Gothic"/>
        </w:rPr>
        <w:t>offering diversity networks to be able to connect and relate to other colleagues within communities</w:t>
      </w:r>
      <w:r w:rsidR="009D404F">
        <w:rPr>
          <w:rFonts w:ascii="Century Gothic" w:hAnsi="Century Gothic"/>
        </w:rPr>
        <w:t xml:space="preserve"> and, offering a working environment that supports both the mental and physical health of all employees. </w:t>
      </w:r>
      <w:r w:rsidR="009D5E1C">
        <w:rPr>
          <w:rFonts w:ascii="Century Gothic" w:hAnsi="Century Gothic"/>
        </w:rPr>
        <w:t>Separately, they also offer a</w:t>
      </w:r>
      <w:r w:rsidR="00E0093B">
        <w:rPr>
          <w:rFonts w:ascii="Century Gothic" w:hAnsi="Century Gothic"/>
        </w:rPr>
        <w:t xml:space="preserve">n emergency back-up </w:t>
      </w:r>
      <w:r w:rsidR="00195419">
        <w:rPr>
          <w:rFonts w:ascii="Century Gothic" w:hAnsi="Century Gothic"/>
        </w:rPr>
        <w:t xml:space="preserve">childcare </w:t>
      </w:r>
      <w:r w:rsidR="00E0093B">
        <w:rPr>
          <w:rFonts w:ascii="Century Gothic" w:hAnsi="Century Gothic"/>
        </w:rPr>
        <w:t xml:space="preserve">service that allows parents to have 5 </w:t>
      </w:r>
      <w:r w:rsidR="00195419">
        <w:rPr>
          <w:rFonts w:ascii="Century Gothic" w:hAnsi="Century Gothic"/>
        </w:rPr>
        <w:t>fully subsidised</w:t>
      </w:r>
      <w:r w:rsidR="00E0093B">
        <w:rPr>
          <w:rFonts w:ascii="Century Gothic" w:hAnsi="Century Gothic"/>
        </w:rPr>
        <w:t xml:space="preserve"> and 5 </w:t>
      </w:r>
      <w:r w:rsidR="00195419">
        <w:rPr>
          <w:rFonts w:ascii="Century Gothic" w:hAnsi="Century Gothic"/>
        </w:rPr>
        <w:t xml:space="preserve">part-subsidised </w:t>
      </w:r>
      <w:r w:rsidR="00416571">
        <w:rPr>
          <w:rFonts w:ascii="Century Gothic" w:hAnsi="Century Gothic"/>
        </w:rPr>
        <w:t>sessions of day nursery, a childminder, hol</w:t>
      </w:r>
      <w:r w:rsidR="00560BDB">
        <w:rPr>
          <w:rFonts w:ascii="Century Gothic" w:hAnsi="Century Gothic"/>
        </w:rPr>
        <w:t xml:space="preserve">iday </w:t>
      </w:r>
      <w:r w:rsidR="00674BA0">
        <w:rPr>
          <w:rFonts w:ascii="Century Gothic" w:hAnsi="Century Gothic"/>
        </w:rPr>
        <w:t>club,</w:t>
      </w:r>
      <w:r w:rsidR="00560BDB">
        <w:rPr>
          <w:rFonts w:ascii="Century Gothic" w:hAnsi="Century Gothic"/>
        </w:rPr>
        <w:t xml:space="preserve"> or a home carer</w:t>
      </w:r>
      <w:r w:rsidR="00AB5524">
        <w:rPr>
          <w:rFonts w:ascii="Century Gothic" w:hAnsi="Century Gothic"/>
        </w:rPr>
        <w:t xml:space="preserve"> (Deloitte, 2026)</w:t>
      </w:r>
      <w:r w:rsidR="00560BDB">
        <w:rPr>
          <w:rFonts w:ascii="Century Gothic" w:hAnsi="Century Gothic"/>
        </w:rPr>
        <w:t xml:space="preserve">. </w:t>
      </w:r>
      <w:r w:rsidR="00F74A0A">
        <w:rPr>
          <w:rFonts w:ascii="Century Gothic" w:hAnsi="Century Gothic"/>
        </w:rPr>
        <w:t>H</w:t>
      </w:r>
      <w:r w:rsidR="00A2562D">
        <w:rPr>
          <w:rFonts w:ascii="Century Gothic" w:hAnsi="Century Gothic"/>
        </w:rPr>
        <w:t>ybrid work</w:t>
      </w:r>
      <w:r w:rsidR="0005122D">
        <w:rPr>
          <w:rFonts w:ascii="Century Gothic" w:hAnsi="Century Gothic"/>
        </w:rPr>
        <w:t xml:space="preserve"> </w:t>
      </w:r>
      <w:bookmarkStart w:id="14" w:name="_Int_7fYpSNSi"/>
      <w:r w:rsidR="00F74A0A">
        <w:rPr>
          <w:rFonts w:ascii="Century Gothic" w:hAnsi="Century Gothic"/>
        </w:rPr>
        <w:t>is supported</w:t>
      </w:r>
      <w:bookmarkEnd w:id="14"/>
      <w:r w:rsidR="00F74A0A">
        <w:rPr>
          <w:rFonts w:ascii="Century Gothic" w:hAnsi="Century Gothic"/>
        </w:rPr>
        <w:t xml:space="preserve"> </w:t>
      </w:r>
      <w:r w:rsidR="0005122D">
        <w:rPr>
          <w:rFonts w:ascii="Century Gothic" w:hAnsi="Century Gothic"/>
        </w:rPr>
        <w:t>by</w:t>
      </w:r>
      <w:r w:rsidR="00674BA0">
        <w:rPr>
          <w:rFonts w:ascii="Century Gothic" w:hAnsi="Century Gothic"/>
        </w:rPr>
        <w:t xml:space="preserve"> </w:t>
      </w:r>
      <w:r w:rsidR="0005122D">
        <w:rPr>
          <w:rFonts w:ascii="Century Gothic" w:hAnsi="Century Gothic"/>
        </w:rPr>
        <w:t>accessible resources</w:t>
      </w:r>
      <w:r w:rsidR="003D4507">
        <w:rPr>
          <w:rFonts w:ascii="Century Gothic" w:hAnsi="Century Gothic"/>
        </w:rPr>
        <w:t xml:space="preserve"> </w:t>
      </w:r>
      <w:r w:rsidR="00E4397F">
        <w:rPr>
          <w:rFonts w:ascii="Century Gothic" w:hAnsi="Century Gothic"/>
        </w:rPr>
        <w:t>on their internal ‘My Wellbeing Portal’ (</w:t>
      </w:r>
      <w:r w:rsidR="00AB5524">
        <w:rPr>
          <w:rFonts w:ascii="Century Gothic" w:hAnsi="Century Gothic"/>
        </w:rPr>
        <w:t>Deloitte, 2023).</w:t>
      </w:r>
    </w:p>
    <w:p w14:paraId="57608ABB" w14:textId="77777777" w:rsidR="00AB5524" w:rsidRDefault="00AB5524" w:rsidP="005D18F3">
      <w:pPr>
        <w:rPr>
          <w:rFonts w:ascii="Century Gothic" w:hAnsi="Century Gothic"/>
        </w:rPr>
      </w:pPr>
    </w:p>
    <w:p w14:paraId="6448502E" w14:textId="77777777" w:rsidR="00BE7537" w:rsidRDefault="00BE7537" w:rsidP="005D18F3">
      <w:pPr>
        <w:rPr>
          <w:rFonts w:ascii="Century Gothic" w:hAnsi="Century Gothic"/>
        </w:rPr>
      </w:pPr>
    </w:p>
    <w:p w14:paraId="2422F5F9" w14:textId="77777777" w:rsidR="0028527D" w:rsidRDefault="0028527D" w:rsidP="005D18F3">
      <w:pPr>
        <w:rPr>
          <w:rFonts w:ascii="Century Gothic" w:hAnsi="Century Gothic"/>
        </w:rPr>
      </w:pPr>
    </w:p>
    <w:p w14:paraId="624C348E" w14:textId="77777777" w:rsidR="0028527D" w:rsidRDefault="0028527D" w:rsidP="005D18F3">
      <w:pPr>
        <w:rPr>
          <w:rFonts w:ascii="Century Gothic" w:hAnsi="Century Gothic"/>
        </w:rPr>
      </w:pPr>
    </w:p>
    <w:p w14:paraId="2FD46356" w14:textId="77777777" w:rsidR="00BE7537" w:rsidRDefault="00BE7537" w:rsidP="005D18F3">
      <w:pPr>
        <w:rPr>
          <w:rFonts w:ascii="Century Gothic" w:hAnsi="Century Gothic"/>
        </w:rPr>
      </w:pPr>
    </w:p>
    <w:p w14:paraId="79AFE512" w14:textId="77777777" w:rsidR="00BE7537" w:rsidRDefault="00BE7537" w:rsidP="005D18F3">
      <w:pPr>
        <w:rPr>
          <w:rFonts w:ascii="Century Gothic" w:hAnsi="Century Gothic"/>
        </w:rPr>
      </w:pPr>
    </w:p>
    <w:p w14:paraId="669CCCC9" w14:textId="77777777" w:rsidR="002816E4" w:rsidRDefault="002816E4" w:rsidP="005D18F3">
      <w:pPr>
        <w:rPr>
          <w:rFonts w:ascii="Century Gothic" w:hAnsi="Century Gothic"/>
        </w:rPr>
      </w:pPr>
    </w:p>
    <w:p w14:paraId="64C1D187" w14:textId="77777777" w:rsidR="002816E4" w:rsidRDefault="002816E4" w:rsidP="005D18F3">
      <w:pPr>
        <w:rPr>
          <w:rFonts w:ascii="Century Gothic" w:hAnsi="Century Gothic"/>
        </w:rPr>
      </w:pPr>
    </w:p>
    <w:p w14:paraId="058A7FE7" w14:textId="77777777" w:rsidR="002816E4" w:rsidRDefault="002816E4" w:rsidP="005D18F3">
      <w:pPr>
        <w:rPr>
          <w:rFonts w:ascii="Century Gothic" w:hAnsi="Century Gothic"/>
        </w:rPr>
      </w:pPr>
    </w:p>
    <w:p w14:paraId="5A2F6B3E" w14:textId="77777777" w:rsidR="002816E4" w:rsidRDefault="002816E4" w:rsidP="005D18F3">
      <w:pPr>
        <w:rPr>
          <w:rFonts w:ascii="Century Gothic" w:hAnsi="Century Gothic"/>
        </w:rPr>
      </w:pPr>
    </w:p>
    <w:p w14:paraId="04A60D73" w14:textId="77777777" w:rsidR="00BE7537" w:rsidRDefault="00BE7537" w:rsidP="005D18F3">
      <w:pPr>
        <w:rPr>
          <w:rFonts w:ascii="Century Gothic" w:hAnsi="Century Gothic"/>
        </w:rPr>
      </w:pPr>
    </w:p>
    <w:p w14:paraId="075B91EB" w14:textId="77777777" w:rsidR="00F84C37" w:rsidRDefault="00F84C37" w:rsidP="005D18F3">
      <w:pPr>
        <w:rPr>
          <w:rFonts w:ascii="Century Gothic" w:hAnsi="Century Gothic"/>
        </w:rPr>
      </w:pPr>
    </w:p>
    <w:p w14:paraId="27297E2E" w14:textId="77777777" w:rsidR="00F84C37" w:rsidRDefault="00F84C37" w:rsidP="005D18F3">
      <w:pPr>
        <w:rPr>
          <w:rFonts w:ascii="Century Gothic" w:hAnsi="Century Gothic"/>
        </w:rPr>
      </w:pPr>
    </w:p>
    <w:p w14:paraId="2DD49FE2" w14:textId="77777777" w:rsidR="00674BA0" w:rsidRDefault="00674BA0" w:rsidP="005D18F3">
      <w:pPr>
        <w:rPr>
          <w:rFonts w:ascii="Century Gothic" w:hAnsi="Century Gothic"/>
        </w:rPr>
      </w:pPr>
    </w:p>
    <w:p w14:paraId="56A62014" w14:textId="77777777" w:rsidR="00BE7537" w:rsidRDefault="00BE7537" w:rsidP="005D18F3">
      <w:pPr>
        <w:rPr>
          <w:rFonts w:ascii="Century Gothic" w:hAnsi="Century Gothic"/>
        </w:rPr>
      </w:pPr>
    </w:p>
    <w:p w14:paraId="59C6FF15" w14:textId="09CF4B91" w:rsidR="00BE7537" w:rsidRDefault="001B3F93" w:rsidP="005D18F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>2.2 Critical Analysis of Initiatives</w:t>
      </w:r>
    </w:p>
    <w:p w14:paraId="2153FC85" w14:textId="2B4E0518" w:rsidR="00D2725B" w:rsidRDefault="005878E9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2.2.1 Gender Balance Targets</w:t>
      </w:r>
    </w:p>
    <w:p w14:paraId="4EBF073D" w14:textId="4C490F92" w:rsidR="00F05C29" w:rsidRDefault="00524177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140508">
        <w:rPr>
          <w:rFonts w:ascii="Century Gothic" w:hAnsi="Century Gothic"/>
        </w:rPr>
        <w:t>eloitte UK has set explicit gender balance ambitions, including a target of 37% female partners by 2030</w:t>
      </w:r>
      <w:r w:rsidR="00A76E33">
        <w:rPr>
          <w:rFonts w:ascii="Century Gothic" w:hAnsi="Century Gothic"/>
        </w:rPr>
        <w:t xml:space="preserve">, </w:t>
      </w:r>
      <w:r w:rsidR="003F04EC">
        <w:rPr>
          <w:rFonts w:ascii="Century Gothic" w:hAnsi="Century Gothic"/>
        </w:rPr>
        <w:t xml:space="preserve">rising </w:t>
      </w:r>
      <w:r w:rsidR="00A76E33">
        <w:rPr>
          <w:rFonts w:ascii="Century Gothic" w:hAnsi="Century Gothic"/>
        </w:rPr>
        <w:t>from 13% in 2013 to 31%</w:t>
      </w:r>
      <w:r w:rsidR="003F04EC">
        <w:rPr>
          <w:rFonts w:ascii="Century Gothic" w:hAnsi="Century Gothic"/>
        </w:rPr>
        <w:t xml:space="preserve"> currently</w:t>
      </w:r>
      <w:r w:rsidR="00A76E33">
        <w:rPr>
          <w:rFonts w:ascii="Century Gothic" w:hAnsi="Century Gothic"/>
        </w:rPr>
        <w:t xml:space="preserve">. This </w:t>
      </w:r>
      <w:r w:rsidR="003F04EC">
        <w:rPr>
          <w:rFonts w:ascii="Century Gothic" w:hAnsi="Century Gothic"/>
        </w:rPr>
        <w:t xml:space="preserve">progress contributed to </w:t>
      </w:r>
      <w:r w:rsidR="00D1743A">
        <w:rPr>
          <w:rFonts w:ascii="Century Gothic" w:hAnsi="Century Gothic"/>
        </w:rPr>
        <w:t>recognition as one of</w:t>
      </w:r>
      <w:r w:rsidR="00A76E33">
        <w:rPr>
          <w:rFonts w:ascii="Century Gothic" w:hAnsi="Century Gothic"/>
        </w:rPr>
        <w:t xml:space="preserve"> T</w:t>
      </w:r>
      <w:r w:rsidR="00407FC7">
        <w:rPr>
          <w:rFonts w:ascii="Century Gothic" w:hAnsi="Century Gothic"/>
        </w:rPr>
        <w:t>he Times</w:t>
      </w:r>
      <w:r w:rsidR="0096445A">
        <w:rPr>
          <w:rFonts w:ascii="Century Gothic" w:hAnsi="Century Gothic"/>
        </w:rPr>
        <w:t>’</w:t>
      </w:r>
      <w:r w:rsidR="00407FC7">
        <w:rPr>
          <w:rFonts w:ascii="Century Gothic" w:hAnsi="Century Gothic"/>
        </w:rPr>
        <w:t xml:space="preserve"> Top 50 Employers for Gender Equality</w:t>
      </w:r>
      <w:r w:rsidR="00F05C29">
        <w:rPr>
          <w:rFonts w:ascii="Century Gothic" w:hAnsi="Century Gothic"/>
        </w:rPr>
        <w:t>.</w:t>
      </w:r>
      <w:r w:rsidR="00EE6D36">
        <w:rPr>
          <w:rFonts w:ascii="Century Gothic" w:hAnsi="Century Gothic"/>
        </w:rPr>
        <w:t xml:space="preserve"> </w:t>
      </w:r>
      <w:r w:rsidR="00DB6E6E">
        <w:rPr>
          <w:rFonts w:ascii="Century Gothic" w:hAnsi="Century Gothic"/>
        </w:rPr>
        <w:t xml:space="preserve">Clear </w:t>
      </w:r>
      <w:r w:rsidR="00EE6D36">
        <w:rPr>
          <w:rFonts w:ascii="Century Gothic" w:hAnsi="Century Gothic"/>
        </w:rPr>
        <w:t xml:space="preserve">policies and </w:t>
      </w:r>
      <w:r w:rsidR="00793655">
        <w:rPr>
          <w:rFonts w:ascii="Century Gothic" w:hAnsi="Century Gothic"/>
        </w:rPr>
        <w:t>targets</w:t>
      </w:r>
      <w:r w:rsidR="00DB6E6E">
        <w:rPr>
          <w:rFonts w:ascii="Century Gothic" w:hAnsi="Century Gothic"/>
        </w:rPr>
        <w:t xml:space="preserve">, including </w:t>
      </w:r>
      <w:r w:rsidR="00D40546">
        <w:rPr>
          <w:rFonts w:ascii="Century Gothic" w:hAnsi="Century Gothic"/>
        </w:rPr>
        <w:t xml:space="preserve">extended parental leave, </w:t>
      </w:r>
      <w:bookmarkStart w:id="15" w:name="_Int_RYBwwcxP"/>
      <w:r w:rsidR="00D40546">
        <w:rPr>
          <w:rFonts w:ascii="Century Gothic" w:hAnsi="Century Gothic"/>
        </w:rPr>
        <w:t>demonstrate</w:t>
      </w:r>
      <w:bookmarkEnd w:id="15"/>
      <w:r w:rsidR="00D40546">
        <w:rPr>
          <w:rFonts w:ascii="Century Gothic" w:hAnsi="Century Gothic"/>
        </w:rPr>
        <w:t xml:space="preserve"> strategic intent and </w:t>
      </w:r>
      <w:r w:rsidR="00B64C3C">
        <w:rPr>
          <w:rFonts w:ascii="Century Gothic" w:hAnsi="Century Gothic"/>
        </w:rPr>
        <w:t>accountability (</w:t>
      </w:r>
      <w:r w:rsidR="00F05C29">
        <w:rPr>
          <w:rFonts w:ascii="Century Gothic" w:hAnsi="Century Gothic"/>
        </w:rPr>
        <w:t xml:space="preserve">Deloitte, 2026). However, </w:t>
      </w:r>
      <w:r w:rsidR="005F49AA">
        <w:rPr>
          <w:rFonts w:ascii="Century Gothic" w:hAnsi="Century Gothic"/>
        </w:rPr>
        <w:t xml:space="preserve">the </w:t>
      </w:r>
      <w:r w:rsidR="00585569">
        <w:rPr>
          <w:rFonts w:ascii="Century Gothic" w:hAnsi="Century Gothic"/>
        </w:rPr>
        <w:t xml:space="preserve">2025 </w:t>
      </w:r>
      <w:r w:rsidR="00B5248E">
        <w:rPr>
          <w:rFonts w:ascii="Century Gothic" w:hAnsi="Century Gothic"/>
        </w:rPr>
        <w:t xml:space="preserve">revision of its target </w:t>
      </w:r>
      <w:r w:rsidR="00585569">
        <w:rPr>
          <w:rFonts w:ascii="Century Gothic" w:hAnsi="Century Gothic"/>
        </w:rPr>
        <w:t xml:space="preserve">from 40% </w:t>
      </w:r>
      <w:r w:rsidR="00B5248E">
        <w:rPr>
          <w:rFonts w:ascii="Century Gothic" w:hAnsi="Century Gothic"/>
        </w:rPr>
        <w:t>to 37%</w:t>
      </w:r>
      <w:r w:rsidR="00637DBD">
        <w:rPr>
          <w:rFonts w:ascii="Century Gothic" w:hAnsi="Century Gothic"/>
        </w:rPr>
        <w:t xml:space="preserve"> </w:t>
      </w:r>
      <w:r w:rsidR="00585569">
        <w:rPr>
          <w:rFonts w:ascii="Century Gothic" w:hAnsi="Century Gothic"/>
        </w:rPr>
        <w:t>of women</w:t>
      </w:r>
      <w:r w:rsidR="00380EC5">
        <w:rPr>
          <w:rFonts w:ascii="Century Gothic" w:hAnsi="Century Gothic"/>
        </w:rPr>
        <w:t xml:space="preserve"> in leadership </w:t>
      </w:r>
      <w:r w:rsidR="00637DBD">
        <w:rPr>
          <w:rFonts w:ascii="Century Gothic" w:hAnsi="Century Gothic"/>
        </w:rPr>
        <w:t>may suggest an emphasis on achieving realistic targets</w:t>
      </w:r>
      <w:r w:rsidR="00E91763">
        <w:rPr>
          <w:rFonts w:ascii="Century Gothic" w:hAnsi="Century Gothic"/>
        </w:rPr>
        <w:t xml:space="preserve"> rather than accelerating structural change at senior levels. </w:t>
      </w:r>
      <w:r w:rsidR="001F6061">
        <w:rPr>
          <w:rFonts w:ascii="Century Gothic" w:hAnsi="Century Gothic"/>
        </w:rPr>
        <w:t xml:space="preserve">Deloitte’s Pay and Inclusion Report (2025) </w:t>
      </w:r>
      <w:bookmarkStart w:id="16" w:name="_Int_hJgU4Zdm"/>
      <w:r w:rsidR="001F6061">
        <w:rPr>
          <w:rFonts w:ascii="Century Gothic" w:hAnsi="Century Gothic"/>
        </w:rPr>
        <w:t>shows</w:t>
      </w:r>
      <w:bookmarkEnd w:id="16"/>
      <w:r w:rsidR="001F6061">
        <w:rPr>
          <w:rFonts w:ascii="Century Gothic" w:hAnsi="Century Gothic"/>
        </w:rPr>
        <w:t xml:space="preserve"> men </w:t>
      </w:r>
      <w:r w:rsidR="00B64C3C">
        <w:rPr>
          <w:rFonts w:ascii="Century Gothic" w:hAnsi="Century Gothic"/>
        </w:rPr>
        <w:t xml:space="preserve">are </w:t>
      </w:r>
      <w:r w:rsidR="001F6061">
        <w:rPr>
          <w:rFonts w:ascii="Century Gothic" w:hAnsi="Century Gothic"/>
        </w:rPr>
        <w:t>over</w:t>
      </w:r>
      <w:r w:rsidR="005F49AA">
        <w:rPr>
          <w:rFonts w:ascii="Century Gothic" w:hAnsi="Century Gothic"/>
        </w:rPr>
        <w:t>-</w:t>
      </w:r>
      <w:r w:rsidR="001F6061">
        <w:rPr>
          <w:rFonts w:ascii="Century Gothic" w:hAnsi="Century Gothic"/>
        </w:rPr>
        <w:t xml:space="preserve">represented in leadership, contributing to the gender pay gap. </w:t>
      </w:r>
      <w:r w:rsidR="00576541">
        <w:rPr>
          <w:rFonts w:ascii="Century Gothic" w:hAnsi="Century Gothic"/>
        </w:rPr>
        <w:t xml:space="preserve">Research </w:t>
      </w:r>
      <w:r w:rsidR="00B64C3C">
        <w:rPr>
          <w:rFonts w:ascii="Century Gothic" w:hAnsi="Century Gothic"/>
        </w:rPr>
        <w:t>says</w:t>
      </w:r>
      <w:r w:rsidR="00576541">
        <w:rPr>
          <w:rFonts w:ascii="Century Gothic" w:hAnsi="Century Gothic"/>
        </w:rPr>
        <w:t xml:space="preserve"> that formal equality policies alone do not </w:t>
      </w:r>
      <w:r w:rsidR="00DB5ECC">
        <w:rPr>
          <w:rFonts w:ascii="Century Gothic" w:hAnsi="Century Gothic"/>
        </w:rPr>
        <w:t>significantly improve women’s representation in leadership</w:t>
      </w:r>
      <w:r w:rsidR="00A54252">
        <w:rPr>
          <w:rFonts w:ascii="Century Gothic" w:hAnsi="Century Gothic"/>
        </w:rPr>
        <w:t xml:space="preserve"> (</w:t>
      </w:r>
      <w:r w:rsidR="00321084">
        <w:rPr>
          <w:rFonts w:ascii="Century Gothic" w:hAnsi="Century Gothic"/>
        </w:rPr>
        <w:t>Ali et al., 2025</w:t>
      </w:r>
      <w:r w:rsidR="00793EE1">
        <w:rPr>
          <w:rFonts w:ascii="Century Gothic" w:hAnsi="Century Gothic"/>
        </w:rPr>
        <w:t xml:space="preserve">). </w:t>
      </w:r>
      <w:r w:rsidR="00FC09D9">
        <w:rPr>
          <w:rFonts w:ascii="Century Gothic" w:hAnsi="Century Gothic"/>
        </w:rPr>
        <w:t>Structural barriers such as organisational norms, networks and cultural capital persist despite diversity</w:t>
      </w:r>
      <w:r w:rsidR="00B533F9">
        <w:rPr>
          <w:rFonts w:ascii="Century Gothic" w:hAnsi="Century Gothic"/>
        </w:rPr>
        <w:t xml:space="preserve"> initiatives</w:t>
      </w:r>
      <w:r w:rsidR="008422B3">
        <w:rPr>
          <w:rFonts w:ascii="Century Gothic" w:hAnsi="Century Gothic"/>
        </w:rPr>
        <w:t xml:space="preserve"> (H</w:t>
      </w:r>
      <w:r w:rsidR="009E2346">
        <w:rPr>
          <w:rFonts w:ascii="Century Gothic" w:hAnsi="Century Gothic"/>
        </w:rPr>
        <w:t xml:space="preserve">aynes, 2013). </w:t>
      </w:r>
      <w:r w:rsidR="003D17F9">
        <w:rPr>
          <w:rFonts w:ascii="Century Gothic" w:hAnsi="Century Gothic"/>
        </w:rPr>
        <w:t>A</w:t>
      </w:r>
      <w:r w:rsidR="005E101C">
        <w:rPr>
          <w:rFonts w:ascii="Century Gothic" w:hAnsi="Century Gothic"/>
        </w:rPr>
        <w:t xml:space="preserve"> Cornell University case study of women in the software industry</w:t>
      </w:r>
      <w:r w:rsidR="00951E12">
        <w:rPr>
          <w:rFonts w:ascii="Century Gothic" w:hAnsi="Century Gothic"/>
        </w:rPr>
        <w:t xml:space="preserve"> </w:t>
      </w:r>
      <w:r w:rsidR="00AA7374">
        <w:rPr>
          <w:rFonts w:ascii="Century Gothic" w:hAnsi="Century Gothic"/>
        </w:rPr>
        <w:t>found</w:t>
      </w:r>
      <w:r w:rsidR="00951E12">
        <w:rPr>
          <w:rFonts w:ascii="Century Gothic" w:hAnsi="Century Gothic"/>
        </w:rPr>
        <w:t xml:space="preserve"> challenges </w:t>
      </w:r>
      <w:r w:rsidR="001014CF">
        <w:rPr>
          <w:rFonts w:ascii="Century Gothic" w:hAnsi="Century Gothic"/>
        </w:rPr>
        <w:t>including hostile sexism, lack of recognition and the ‘maternal wall</w:t>
      </w:r>
      <w:bookmarkStart w:id="17" w:name="_Int_03VHu2n9"/>
      <w:r w:rsidR="001014CF">
        <w:rPr>
          <w:rFonts w:ascii="Century Gothic" w:hAnsi="Century Gothic"/>
        </w:rPr>
        <w:t>’,</w:t>
      </w:r>
      <w:bookmarkEnd w:id="17"/>
      <w:r w:rsidR="001014CF">
        <w:rPr>
          <w:rFonts w:ascii="Century Gothic" w:hAnsi="Century Gothic"/>
        </w:rPr>
        <w:t xml:space="preserve"> recommending visible role models, </w:t>
      </w:r>
      <w:r w:rsidR="002E658D">
        <w:rPr>
          <w:rFonts w:ascii="Century Gothic" w:hAnsi="Century Gothic"/>
        </w:rPr>
        <w:t xml:space="preserve">equal </w:t>
      </w:r>
      <w:r w:rsidR="00AA7374">
        <w:rPr>
          <w:rFonts w:ascii="Century Gothic" w:hAnsi="Century Gothic"/>
        </w:rPr>
        <w:t>pay,</w:t>
      </w:r>
      <w:r w:rsidR="002E658D">
        <w:rPr>
          <w:rFonts w:ascii="Century Gothic" w:hAnsi="Century Gothic"/>
        </w:rPr>
        <w:t xml:space="preserve"> and recognition to improve retention </w:t>
      </w:r>
      <w:r w:rsidR="00552171">
        <w:rPr>
          <w:rFonts w:ascii="Century Gothic" w:hAnsi="Century Gothic"/>
        </w:rPr>
        <w:t>(</w:t>
      </w:r>
      <w:r w:rsidR="009E11CF">
        <w:rPr>
          <w:rFonts w:ascii="Century Gothic" w:hAnsi="Century Gothic"/>
        </w:rPr>
        <w:t>Trinkenreich et al., 2022</w:t>
      </w:r>
      <w:r w:rsidR="00463838">
        <w:rPr>
          <w:rFonts w:ascii="Century Gothic" w:hAnsi="Century Gothic"/>
        </w:rPr>
        <w:t xml:space="preserve">). </w:t>
      </w:r>
      <w:r w:rsidR="0044316D">
        <w:rPr>
          <w:rFonts w:ascii="Century Gothic" w:hAnsi="Century Gothic"/>
        </w:rPr>
        <w:t xml:space="preserve">While targets </w:t>
      </w:r>
      <w:bookmarkStart w:id="18" w:name="_Int_R4TAVAzj"/>
      <w:r w:rsidR="00AA7374">
        <w:rPr>
          <w:rFonts w:ascii="Century Gothic" w:hAnsi="Century Gothic"/>
        </w:rPr>
        <w:t>monitor</w:t>
      </w:r>
      <w:bookmarkEnd w:id="18"/>
      <w:r w:rsidR="00AA7374">
        <w:rPr>
          <w:rFonts w:ascii="Century Gothic" w:hAnsi="Century Gothic"/>
        </w:rPr>
        <w:t xml:space="preserve"> progress, sustainable change requires cultural</w:t>
      </w:r>
      <w:r w:rsidR="001C0594">
        <w:rPr>
          <w:rFonts w:ascii="Century Gothic" w:hAnsi="Century Gothic"/>
        </w:rPr>
        <w:t xml:space="preserve"> and structural transformation. </w:t>
      </w:r>
    </w:p>
    <w:p w14:paraId="7EAD5FAC" w14:textId="1D64B1B4" w:rsidR="00797CB0" w:rsidRDefault="00797CB0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2.2.2 Ethnic Representation </w:t>
      </w:r>
    </w:p>
    <w:p w14:paraId="5A5C3776" w14:textId="7C908865" w:rsidR="00797CB0" w:rsidRDefault="00953485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Deloitte’s ethnicity action plan</w:t>
      </w:r>
      <w:r w:rsidR="00C80758">
        <w:rPr>
          <w:rFonts w:ascii="Century Gothic" w:hAnsi="Century Gothic"/>
        </w:rPr>
        <w:t xml:space="preserve"> includes initiatives such as the </w:t>
      </w:r>
      <w:r w:rsidR="00851266">
        <w:rPr>
          <w:rFonts w:ascii="Century Gothic" w:hAnsi="Century Gothic"/>
        </w:rPr>
        <w:t>Deloitte Black Experience, Future Leaders and the Ethnicity C</w:t>
      </w:r>
      <w:r w:rsidR="00F32541">
        <w:rPr>
          <w:rFonts w:ascii="Century Gothic" w:hAnsi="Century Gothic"/>
        </w:rPr>
        <w:t>ouncil. The company reports 15</w:t>
      </w:r>
      <w:r w:rsidR="00C72A3C">
        <w:rPr>
          <w:rFonts w:ascii="Century Gothic" w:hAnsi="Century Gothic"/>
        </w:rPr>
        <w:t xml:space="preserve">% of newly promoted partners are from ethnic minority backgrounds, </w:t>
      </w:r>
      <w:r w:rsidR="00BF7AB7">
        <w:rPr>
          <w:rFonts w:ascii="Century Gothic" w:hAnsi="Century Gothic"/>
        </w:rPr>
        <w:t>increasing overall representation to 12%</w:t>
      </w:r>
      <w:r w:rsidR="003056AD">
        <w:rPr>
          <w:rFonts w:ascii="Century Gothic" w:hAnsi="Century Gothic"/>
        </w:rPr>
        <w:t xml:space="preserve"> (Deloitte, 2026). Publishing these figures</w:t>
      </w:r>
      <w:r w:rsidR="003A3BFE">
        <w:rPr>
          <w:rFonts w:ascii="Century Gothic" w:hAnsi="Century Gothic"/>
        </w:rPr>
        <w:t xml:space="preserve"> promotes transparency and accountability. However, the 2025 Pay and Inclusion Report </w:t>
      </w:r>
      <w:r w:rsidR="00805E2B">
        <w:rPr>
          <w:rFonts w:ascii="Century Gothic" w:hAnsi="Century Gothic"/>
        </w:rPr>
        <w:t>2025</w:t>
      </w:r>
      <w:r w:rsidR="0006696D">
        <w:rPr>
          <w:rFonts w:ascii="Century Gothic" w:hAnsi="Century Gothic"/>
        </w:rPr>
        <w:t xml:space="preserve"> </w:t>
      </w:r>
      <w:r w:rsidR="00805E2B">
        <w:rPr>
          <w:rFonts w:ascii="Century Gothic" w:hAnsi="Century Gothic"/>
        </w:rPr>
        <w:t xml:space="preserve">shows only 80.6% of employees </w:t>
      </w:r>
      <w:bookmarkStart w:id="19" w:name="_Int_UkAMXoth"/>
      <w:r w:rsidR="00805E2B">
        <w:rPr>
          <w:rFonts w:ascii="Century Gothic" w:hAnsi="Century Gothic"/>
        </w:rPr>
        <w:t>disclosed</w:t>
      </w:r>
      <w:bookmarkEnd w:id="19"/>
      <w:r w:rsidR="00805E2B">
        <w:rPr>
          <w:rFonts w:ascii="Century Gothic" w:hAnsi="Century Gothic"/>
        </w:rPr>
        <w:t xml:space="preserve"> their ethnicity, and 52.1% of employees identify as White, </w:t>
      </w:r>
      <w:bookmarkStart w:id="20" w:name="_Int_90tgPD8s"/>
      <w:r w:rsidR="00805E2B">
        <w:rPr>
          <w:rFonts w:ascii="Century Gothic" w:hAnsi="Century Gothic"/>
        </w:rPr>
        <w:t>indicating</w:t>
      </w:r>
      <w:bookmarkEnd w:id="20"/>
      <w:r w:rsidR="00805E2B">
        <w:rPr>
          <w:rFonts w:ascii="Century Gothic" w:hAnsi="Century Gothic"/>
        </w:rPr>
        <w:t xml:space="preserve"> persistent imbalance. </w:t>
      </w:r>
      <w:r w:rsidR="001D642C">
        <w:rPr>
          <w:rFonts w:ascii="Century Gothic" w:hAnsi="Century Gothic"/>
        </w:rPr>
        <w:t>Ethnic pay and bonus gaps reflect under</w:t>
      </w:r>
      <w:r w:rsidR="0006696D">
        <w:rPr>
          <w:rFonts w:ascii="Century Gothic" w:hAnsi="Century Gothic"/>
        </w:rPr>
        <w:t>-</w:t>
      </w:r>
      <w:r w:rsidR="001D642C">
        <w:rPr>
          <w:rFonts w:ascii="Century Gothic" w:hAnsi="Century Gothic"/>
        </w:rPr>
        <w:t xml:space="preserve">representation at senior levels. Research suggests that barriers such as limited mentoring and unaddressed workplace culture can leave minority employees feeling isolated </w:t>
      </w:r>
      <w:r w:rsidR="0092761C">
        <w:rPr>
          <w:rFonts w:ascii="Century Gothic" w:hAnsi="Century Gothic"/>
        </w:rPr>
        <w:t>(Weaver et al., 2025). Although Deloitte’s policies increase awareness</w:t>
      </w:r>
      <w:r w:rsidR="0033334E">
        <w:rPr>
          <w:rFonts w:ascii="Century Gothic" w:hAnsi="Century Gothic"/>
        </w:rPr>
        <w:t xml:space="preserve">, limit disclosure </w:t>
      </w:r>
      <w:r w:rsidR="007F7B3A">
        <w:rPr>
          <w:rFonts w:ascii="Century Gothic" w:hAnsi="Century Gothic"/>
        </w:rPr>
        <w:t>rates,</w:t>
      </w:r>
      <w:r w:rsidR="0033334E">
        <w:rPr>
          <w:rFonts w:ascii="Century Gothic" w:hAnsi="Century Gothic"/>
        </w:rPr>
        <w:t xml:space="preserve"> and representation gaps show structural change is still </w:t>
      </w:r>
      <w:bookmarkStart w:id="21" w:name="_Int_RqRKg4qb"/>
      <w:r w:rsidR="0033334E">
        <w:rPr>
          <w:rFonts w:ascii="Century Gothic" w:hAnsi="Century Gothic"/>
        </w:rPr>
        <w:t>required</w:t>
      </w:r>
      <w:bookmarkEnd w:id="21"/>
      <w:r w:rsidR="0033334E">
        <w:rPr>
          <w:rFonts w:ascii="Century Gothic" w:hAnsi="Century Gothic"/>
        </w:rPr>
        <w:t xml:space="preserve">. </w:t>
      </w:r>
    </w:p>
    <w:p w14:paraId="632FE9A1" w14:textId="77777777" w:rsidR="007F7B3A" w:rsidRDefault="007F7B3A" w:rsidP="005D18F3">
      <w:pPr>
        <w:rPr>
          <w:rFonts w:ascii="Century Gothic" w:hAnsi="Century Gothic"/>
        </w:rPr>
      </w:pPr>
    </w:p>
    <w:p w14:paraId="0EAE2401" w14:textId="77777777" w:rsidR="007F7B3A" w:rsidRDefault="007F7B3A" w:rsidP="005D18F3">
      <w:pPr>
        <w:rPr>
          <w:rFonts w:ascii="Century Gothic" w:hAnsi="Century Gothic"/>
        </w:rPr>
      </w:pPr>
    </w:p>
    <w:p w14:paraId="76E07FA6" w14:textId="77777777" w:rsidR="00DC3280" w:rsidRDefault="00DC3280" w:rsidP="005D18F3">
      <w:pPr>
        <w:rPr>
          <w:rFonts w:ascii="Century Gothic" w:hAnsi="Century Gothic"/>
        </w:rPr>
      </w:pPr>
    </w:p>
    <w:p w14:paraId="3E03C6FE" w14:textId="6799F6DC" w:rsidR="00DC3280" w:rsidRDefault="00DC3280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2.2.3 LGBTQ+ Inclusion </w:t>
      </w:r>
    </w:p>
    <w:p w14:paraId="34E1005E" w14:textId="4EBF018D" w:rsidR="00C06188" w:rsidRDefault="00461B9D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Supporting LGBTQ+ colleag</w:t>
      </w:r>
      <w:r w:rsidR="008D5C36">
        <w:rPr>
          <w:rFonts w:ascii="Century Gothic" w:hAnsi="Century Gothic"/>
        </w:rPr>
        <w:t xml:space="preserve">ues through the Proud at Deloitte Network and </w:t>
      </w:r>
      <w:r w:rsidR="00275977">
        <w:rPr>
          <w:rFonts w:ascii="Century Gothic" w:hAnsi="Century Gothic"/>
        </w:rPr>
        <w:t xml:space="preserve">other </w:t>
      </w:r>
      <w:r w:rsidR="008D5C36">
        <w:rPr>
          <w:rFonts w:ascii="Century Gothic" w:hAnsi="Century Gothic"/>
        </w:rPr>
        <w:t xml:space="preserve">wellbeing resources </w:t>
      </w:r>
      <w:r w:rsidR="00696E76">
        <w:rPr>
          <w:rFonts w:ascii="Century Gothic" w:hAnsi="Century Gothic"/>
        </w:rPr>
        <w:t xml:space="preserve">aligns </w:t>
      </w:r>
      <w:r w:rsidR="00FE665F">
        <w:rPr>
          <w:rFonts w:ascii="Century Gothic" w:hAnsi="Century Gothic"/>
        </w:rPr>
        <w:t xml:space="preserve">with frameworks like the UN Standards of Conduct for Business in </w:t>
      </w:r>
      <w:r w:rsidR="00A47C84">
        <w:rPr>
          <w:rFonts w:ascii="Century Gothic" w:hAnsi="Century Gothic"/>
        </w:rPr>
        <w:t>Tackling Discrimination against LGBTI people (</w:t>
      </w:r>
      <w:r w:rsidR="00B56A77">
        <w:rPr>
          <w:rFonts w:ascii="Century Gothic" w:hAnsi="Century Gothic"/>
        </w:rPr>
        <w:t xml:space="preserve">Deloitte, 2026). </w:t>
      </w:r>
      <w:r w:rsidR="00C46A28">
        <w:rPr>
          <w:rFonts w:ascii="Century Gothic" w:hAnsi="Century Gothic"/>
        </w:rPr>
        <w:t>A</w:t>
      </w:r>
      <w:r w:rsidR="007C78D4">
        <w:rPr>
          <w:rFonts w:ascii="Century Gothic" w:hAnsi="Century Gothic"/>
        </w:rPr>
        <w:t>ctive employee networks and external commitments</w:t>
      </w:r>
      <w:r w:rsidR="003258C3">
        <w:rPr>
          <w:rFonts w:ascii="Century Gothic" w:hAnsi="Century Gothic"/>
        </w:rPr>
        <w:t xml:space="preserve"> </w:t>
      </w:r>
      <w:bookmarkStart w:id="22" w:name="_Int_tWKFmlYA"/>
      <w:r w:rsidR="003258C3">
        <w:rPr>
          <w:rFonts w:ascii="Century Gothic" w:hAnsi="Century Gothic"/>
        </w:rPr>
        <w:t>demonstrate</w:t>
      </w:r>
      <w:bookmarkEnd w:id="22"/>
      <w:r w:rsidR="003258C3">
        <w:rPr>
          <w:rFonts w:ascii="Century Gothic" w:hAnsi="Century Gothic"/>
        </w:rPr>
        <w:t xml:space="preserve"> intent to create safe environments for LGBTQ+ staff</w:t>
      </w:r>
      <w:r w:rsidR="00B30CA4">
        <w:rPr>
          <w:rFonts w:ascii="Century Gothic" w:hAnsi="Century Gothic"/>
        </w:rPr>
        <w:t>.</w:t>
      </w:r>
      <w:r w:rsidR="001C763A">
        <w:rPr>
          <w:rFonts w:ascii="Century Gothic" w:hAnsi="Century Gothic"/>
        </w:rPr>
        <w:t xml:space="preserve"> </w:t>
      </w:r>
      <w:r w:rsidR="00BE6ABC">
        <w:rPr>
          <w:rFonts w:ascii="Century Gothic" w:hAnsi="Century Gothic"/>
        </w:rPr>
        <w:t xml:space="preserve">The focus on allyship and wellbeing tools supports inclusion beyond symbolic action (Deloitte, 2026). However, </w:t>
      </w:r>
      <w:r w:rsidR="00FB4AA5">
        <w:rPr>
          <w:rFonts w:ascii="Century Gothic" w:hAnsi="Century Gothic"/>
        </w:rPr>
        <w:t xml:space="preserve">the pay and inclusion report shows that only 69.7% of employees </w:t>
      </w:r>
      <w:bookmarkStart w:id="23" w:name="_Int_PuykU3mN"/>
      <w:r w:rsidR="00FB4AA5">
        <w:rPr>
          <w:rFonts w:ascii="Century Gothic" w:hAnsi="Century Gothic"/>
        </w:rPr>
        <w:t>disclosed</w:t>
      </w:r>
      <w:bookmarkEnd w:id="23"/>
      <w:r w:rsidR="00FB4AA5">
        <w:rPr>
          <w:rFonts w:ascii="Century Gothic" w:hAnsi="Century Gothic"/>
        </w:rPr>
        <w:t xml:space="preserve"> their sexual orientation, </w:t>
      </w:r>
      <w:r w:rsidR="00DC311D">
        <w:rPr>
          <w:rFonts w:ascii="Century Gothic" w:hAnsi="Century Gothic"/>
        </w:rPr>
        <w:t>with</w:t>
      </w:r>
      <w:r w:rsidR="00FB4AA5">
        <w:rPr>
          <w:rFonts w:ascii="Century Gothic" w:hAnsi="Century Gothic"/>
        </w:rPr>
        <w:t xml:space="preserve"> representation gaps</w:t>
      </w:r>
      <w:r w:rsidR="005742B2">
        <w:rPr>
          <w:rFonts w:ascii="Century Gothic" w:hAnsi="Century Gothic"/>
        </w:rPr>
        <w:t xml:space="preserve"> in the upper pay grades. Total earnings in 2025 decreased by a mean average of 19.1% compared to 2024</w:t>
      </w:r>
      <w:r w:rsidR="00A46B46">
        <w:rPr>
          <w:rFonts w:ascii="Century Gothic" w:hAnsi="Century Gothic"/>
        </w:rPr>
        <w:t xml:space="preserve">. Deloitte </w:t>
      </w:r>
      <w:r w:rsidR="00643ECF">
        <w:rPr>
          <w:rFonts w:ascii="Century Gothic" w:hAnsi="Century Gothic"/>
        </w:rPr>
        <w:t xml:space="preserve">justifies this to be higher </w:t>
      </w:r>
      <w:r w:rsidR="00DC311D">
        <w:rPr>
          <w:rFonts w:ascii="Century Gothic" w:hAnsi="Century Gothic"/>
        </w:rPr>
        <w:t>concentrations</w:t>
      </w:r>
      <w:r w:rsidR="00643ECF">
        <w:rPr>
          <w:rFonts w:ascii="Century Gothic" w:hAnsi="Century Gothic"/>
        </w:rPr>
        <w:t xml:space="preserve"> of LGBTQ+ individuals at junior levels</w:t>
      </w:r>
      <w:r w:rsidR="00AF15A4">
        <w:rPr>
          <w:rFonts w:ascii="Century Gothic" w:hAnsi="Century Gothic"/>
        </w:rPr>
        <w:t xml:space="preserve"> (Deloitte Pay and Inclusion Report, 2025)</w:t>
      </w:r>
      <w:r w:rsidR="00643ECF">
        <w:rPr>
          <w:rFonts w:ascii="Century Gothic" w:hAnsi="Century Gothic"/>
        </w:rPr>
        <w:t xml:space="preserve">. Despite workshops and training, </w:t>
      </w:r>
      <w:r w:rsidR="003B1CE8">
        <w:rPr>
          <w:rFonts w:ascii="Century Gothic" w:hAnsi="Century Gothic"/>
        </w:rPr>
        <w:t>fewer than</w:t>
      </w:r>
      <w:r w:rsidR="00643ECF">
        <w:rPr>
          <w:rFonts w:ascii="Century Gothic" w:hAnsi="Century Gothic"/>
        </w:rPr>
        <w:t xml:space="preserve"> 50% of individuals report feeling </w:t>
      </w:r>
      <w:r w:rsidR="00523E55">
        <w:rPr>
          <w:rFonts w:ascii="Century Gothic" w:hAnsi="Century Gothic"/>
        </w:rPr>
        <w:t xml:space="preserve">comfortable being open about their sexual orientation at work due to fear of undermining behaviour </w:t>
      </w:r>
      <w:r w:rsidR="00A80BFD">
        <w:rPr>
          <w:rFonts w:ascii="Century Gothic" w:hAnsi="Century Gothic"/>
        </w:rPr>
        <w:t xml:space="preserve">(Deloitte, 2023). This reflects research suggesting workplace culture </w:t>
      </w:r>
      <w:r w:rsidR="00245EBF">
        <w:rPr>
          <w:rFonts w:ascii="Century Gothic" w:hAnsi="Century Gothic"/>
        </w:rPr>
        <w:t>is</w:t>
      </w:r>
      <w:r w:rsidR="00A80BFD">
        <w:rPr>
          <w:rFonts w:ascii="Century Gothic" w:hAnsi="Century Gothic"/>
        </w:rPr>
        <w:t xml:space="preserve"> resistant </w:t>
      </w:r>
      <w:r w:rsidR="0073004A">
        <w:rPr>
          <w:rFonts w:ascii="Century Gothic" w:hAnsi="Century Gothic"/>
        </w:rPr>
        <w:t>to policy change</w:t>
      </w:r>
      <w:r w:rsidR="00245EBF">
        <w:rPr>
          <w:rFonts w:ascii="Century Gothic" w:hAnsi="Century Gothic"/>
        </w:rPr>
        <w:t xml:space="preserve"> (Bryan, 2026). While Deloitte’s policies and networks are positive, </w:t>
      </w:r>
      <w:r w:rsidR="00AB1FF1">
        <w:rPr>
          <w:rFonts w:ascii="Century Gothic" w:hAnsi="Century Gothic"/>
        </w:rPr>
        <w:t>lasting inclusion means necessary change to deeper cultural change.</w:t>
      </w:r>
      <w:r w:rsidR="0073004A">
        <w:rPr>
          <w:rFonts w:ascii="Century Gothic" w:hAnsi="Century Gothic"/>
        </w:rPr>
        <w:t xml:space="preserve"> </w:t>
      </w:r>
    </w:p>
    <w:p w14:paraId="1487B0E8" w14:textId="705A909D" w:rsidR="0090613F" w:rsidRDefault="0090613F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2.2.4 Disability and Neurodiversity</w:t>
      </w:r>
    </w:p>
    <w:p w14:paraId="2EF87E13" w14:textId="3D0E66AC" w:rsidR="00B8455A" w:rsidRDefault="00656B22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 is a </w:t>
      </w:r>
      <w:r w:rsidR="009B1B06">
        <w:rPr>
          <w:rFonts w:ascii="Century Gothic" w:hAnsi="Century Gothic"/>
        </w:rPr>
        <w:t>D</w:t>
      </w:r>
      <w:r>
        <w:rPr>
          <w:rFonts w:ascii="Century Gothic" w:hAnsi="Century Gothic"/>
        </w:rPr>
        <w:t xml:space="preserve">isability </w:t>
      </w:r>
      <w:r w:rsidR="009B1B06">
        <w:rPr>
          <w:rFonts w:ascii="Century Gothic" w:hAnsi="Century Gothic"/>
        </w:rPr>
        <w:t>C</w:t>
      </w:r>
      <w:r>
        <w:rPr>
          <w:rFonts w:ascii="Century Gothic" w:hAnsi="Century Gothic"/>
        </w:rPr>
        <w:t xml:space="preserve">onfident </w:t>
      </w:r>
      <w:r w:rsidR="009B1B06">
        <w:rPr>
          <w:rFonts w:ascii="Century Gothic" w:hAnsi="Century Gothic"/>
        </w:rPr>
        <w:t>E</w:t>
      </w:r>
      <w:r>
        <w:rPr>
          <w:rFonts w:ascii="Century Gothic" w:hAnsi="Century Gothic"/>
        </w:rPr>
        <w:t xml:space="preserve">mployer </w:t>
      </w:r>
      <w:r w:rsidR="009B1B06">
        <w:rPr>
          <w:rFonts w:ascii="Century Gothic" w:hAnsi="Century Gothic"/>
        </w:rPr>
        <w:t xml:space="preserve">(Level 2) </w:t>
      </w:r>
      <w:r>
        <w:rPr>
          <w:rFonts w:ascii="Century Gothic" w:hAnsi="Century Gothic"/>
        </w:rPr>
        <w:t xml:space="preserve">that has </w:t>
      </w:r>
      <w:r w:rsidR="00B13E7A">
        <w:rPr>
          <w:rFonts w:ascii="Century Gothic" w:hAnsi="Century Gothic"/>
        </w:rPr>
        <w:t>publicly</w:t>
      </w:r>
      <w:r>
        <w:rPr>
          <w:rFonts w:ascii="Century Gothic" w:hAnsi="Century Gothic"/>
        </w:rPr>
        <w:t xml:space="preserve"> published guides on workplace</w:t>
      </w:r>
      <w:r w:rsidR="00B13E7A">
        <w:rPr>
          <w:rFonts w:ascii="Century Gothic" w:hAnsi="Century Gothic"/>
        </w:rPr>
        <w:t xml:space="preserve"> adjustments and recognises neurodiversity as a strategic inclusion priority (</w:t>
      </w:r>
      <w:r w:rsidR="009B1B06">
        <w:rPr>
          <w:rFonts w:ascii="Century Gothic" w:hAnsi="Century Gothic"/>
        </w:rPr>
        <w:t>Deloitte</w:t>
      </w:r>
      <w:r w:rsidR="00D47944">
        <w:rPr>
          <w:rFonts w:ascii="Century Gothic" w:hAnsi="Century Gothic"/>
        </w:rPr>
        <w:t xml:space="preserve">, 2026). </w:t>
      </w:r>
      <w:r w:rsidR="001572F1">
        <w:rPr>
          <w:rFonts w:ascii="Century Gothic" w:hAnsi="Century Gothic"/>
        </w:rPr>
        <w:t>De</w:t>
      </w:r>
      <w:r w:rsidR="006B16ED">
        <w:rPr>
          <w:rFonts w:ascii="Century Gothic" w:hAnsi="Century Gothic"/>
        </w:rPr>
        <w:t xml:space="preserve">loitte is successful at providing adjustments to </w:t>
      </w:r>
      <w:r w:rsidR="00374F82">
        <w:rPr>
          <w:rFonts w:ascii="Century Gothic" w:hAnsi="Century Gothic"/>
        </w:rPr>
        <w:t xml:space="preserve">disabled and neurodiverse individuals to </w:t>
      </w:r>
      <w:r w:rsidR="00E30E7D">
        <w:rPr>
          <w:rFonts w:ascii="Century Gothic" w:hAnsi="Century Gothic"/>
        </w:rPr>
        <w:t>support them reaching their full professional potential. The tailored support</w:t>
      </w:r>
      <w:r w:rsidR="000F6608">
        <w:rPr>
          <w:rFonts w:ascii="Century Gothic" w:hAnsi="Century Gothic"/>
        </w:rPr>
        <w:t xml:space="preserve"> and </w:t>
      </w:r>
      <w:r w:rsidR="007C2635">
        <w:rPr>
          <w:rFonts w:ascii="Century Gothic" w:hAnsi="Century Gothic"/>
        </w:rPr>
        <w:t xml:space="preserve">internal and external networks fully commit to </w:t>
      </w:r>
      <w:r w:rsidR="00C524B6">
        <w:rPr>
          <w:rFonts w:ascii="Century Gothic" w:hAnsi="Century Gothic"/>
        </w:rPr>
        <w:t xml:space="preserve">supporting in a multilayered approach rather than merely </w:t>
      </w:r>
      <w:bookmarkStart w:id="24" w:name="_Int_jvqBZWHv"/>
      <w:r w:rsidR="00C524B6">
        <w:rPr>
          <w:rFonts w:ascii="Century Gothic" w:hAnsi="Century Gothic"/>
        </w:rPr>
        <w:t>complying with</w:t>
      </w:r>
      <w:bookmarkEnd w:id="24"/>
      <w:r w:rsidR="00C524B6">
        <w:rPr>
          <w:rFonts w:ascii="Century Gothic" w:hAnsi="Century Gothic"/>
        </w:rPr>
        <w:t xml:space="preserve"> legal requirements. </w:t>
      </w:r>
      <w:r w:rsidR="00F354B0">
        <w:rPr>
          <w:rFonts w:ascii="Century Gothic" w:hAnsi="Century Gothic"/>
        </w:rPr>
        <w:t xml:space="preserve">However, the Pay and Inclusion Report 2025 </w:t>
      </w:r>
      <w:bookmarkStart w:id="25" w:name="_Int_YgvV1h7K"/>
      <w:r w:rsidR="00F354B0">
        <w:rPr>
          <w:rFonts w:ascii="Century Gothic" w:hAnsi="Century Gothic"/>
        </w:rPr>
        <w:t>shows</w:t>
      </w:r>
      <w:bookmarkEnd w:id="25"/>
      <w:r w:rsidR="00F354B0">
        <w:rPr>
          <w:rFonts w:ascii="Century Gothic" w:hAnsi="Century Gothic"/>
        </w:rPr>
        <w:t xml:space="preserve"> the difference in bonuses given to</w:t>
      </w:r>
      <w:r w:rsidR="00014F24">
        <w:rPr>
          <w:rFonts w:ascii="Century Gothic" w:hAnsi="Century Gothic"/>
        </w:rPr>
        <w:t xml:space="preserve"> abled individuals compared to disabled</w:t>
      </w:r>
      <w:r w:rsidR="00716542">
        <w:rPr>
          <w:rFonts w:ascii="Century Gothic" w:hAnsi="Century Gothic"/>
        </w:rPr>
        <w:t xml:space="preserve"> individuals. Similarly, the progress of policies and activities </w:t>
      </w:r>
      <w:r w:rsidR="002E589B">
        <w:rPr>
          <w:rFonts w:ascii="Century Gothic" w:hAnsi="Century Gothic"/>
        </w:rPr>
        <w:t xml:space="preserve">is </w:t>
      </w:r>
      <w:r w:rsidR="00716542">
        <w:rPr>
          <w:rFonts w:ascii="Century Gothic" w:hAnsi="Century Gothic"/>
        </w:rPr>
        <w:t xml:space="preserve">minimal over the year of 2025. </w:t>
      </w:r>
      <w:r w:rsidR="0071593F">
        <w:rPr>
          <w:rFonts w:ascii="Century Gothic" w:hAnsi="Century Gothic"/>
        </w:rPr>
        <w:t>Deloitte’s own research</w:t>
      </w:r>
      <w:r w:rsidR="00C75038">
        <w:rPr>
          <w:rFonts w:ascii="Century Gothic" w:hAnsi="Century Gothic"/>
        </w:rPr>
        <w:t xml:space="preserve"> shows that </w:t>
      </w:r>
      <w:r w:rsidR="00794612">
        <w:rPr>
          <w:rFonts w:ascii="Century Gothic" w:hAnsi="Century Gothic"/>
        </w:rPr>
        <w:t>40% of survey</w:t>
      </w:r>
      <w:r w:rsidR="00E87686">
        <w:rPr>
          <w:rFonts w:ascii="Century Gothic" w:hAnsi="Century Gothic"/>
        </w:rPr>
        <w:t xml:space="preserve"> respondents (disable</w:t>
      </w:r>
      <w:r w:rsidR="001238EA">
        <w:rPr>
          <w:rFonts w:ascii="Century Gothic" w:hAnsi="Century Gothic"/>
        </w:rPr>
        <w:t>d</w:t>
      </w:r>
      <w:r w:rsidR="00E87686">
        <w:rPr>
          <w:rFonts w:ascii="Century Gothic" w:hAnsi="Century Gothic"/>
        </w:rPr>
        <w:t xml:space="preserve">, neurodivergent or </w:t>
      </w:r>
      <w:r w:rsidR="001238EA">
        <w:rPr>
          <w:rFonts w:ascii="Century Gothic" w:hAnsi="Century Gothic"/>
        </w:rPr>
        <w:t xml:space="preserve">individuals with chronic health conditions) face </w:t>
      </w:r>
      <w:r w:rsidR="003202DC">
        <w:rPr>
          <w:rFonts w:ascii="Century Gothic" w:hAnsi="Century Gothic"/>
        </w:rPr>
        <w:t>micro-aggressions, harassment, or workplace bullying.</w:t>
      </w:r>
      <w:r w:rsidR="00FA1AF9">
        <w:rPr>
          <w:rFonts w:ascii="Century Gothic" w:hAnsi="Century Gothic"/>
        </w:rPr>
        <w:t xml:space="preserve"> 39% of UK respondents </w:t>
      </w:r>
      <w:r w:rsidR="0070500B">
        <w:rPr>
          <w:rFonts w:ascii="Century Gothic" w:hAnsi="Century Gothic"/>
        </w:rPr>
        <w:t xml:space="preserve">also </w:t>
      </w:r>
      <w:r w:rsidR="00FA1AF9">
        <w:rPr>
          <w:rFonts w:ascii="Century Gothic" w:hAnsi="Century Gothic"/>
        </w:rPr>
        <w:t>said that access to workplace role models with</w:t>
      </w:r>
      <w:r w:rsidR="002733C3">
        <w:rPr>
          <w:rFonts w:ascii="Century Gothic" w:hAnsi="Century Gothic"/>
        </w:rPr>
        <w:t xml:space="preserve"> disabilities would </w:t>
      </w:r>
      <w:r w:rsidR="005C70AB">
        <w:rPr>
          <w:rFonts w:ascii="Century Gothic" w:hAnsi="Century Gothic"/>
        </w:rPr>
        <w:t xml:space="preserve">support an </w:t>
      </w:r>
      <w:r w:rsidR="0070500B">
        <w:rPr>
          <w:rFonts w:ascii="Century Gothic" w:hAnsi="Century Gothic"/>
        </w:rPr>
        <w:t>organisation</w:t>
      </w:r>
      <w:r w:rsidR="002E589B">
        <w:rPr>
          <w:rFonts w:ascii="Century Gothic" w:hAnsi="Century Gothic"/>
        </w:rPr>
        <w:t>’</w:t>
      </w:r>
      <w:r w:rsidR="0070500B">
        <w:rPr>
          <w:rFonts w:ascii="Century Gothic" w:hAnsi="Century Gothic"/>
        </w:rPr>
        <w:t>s inclusive workplace culture</w:t>
      </w:r>
      <w:r w:rsidR="005C70AB">
        <w:rPr>
          <w:rFonts w:ascii="Century Gothic" w:hAnsi="Century Gothic"/>
        </w:rPr>
        <w:t xml:space="preserve"> (Deloitte, 2024). </w:t>
      </w:r>
      <w:r w:rsidR="00AA3AC8">
        <w:rPr>
          <w:rFonts w:ascii="Century Gothic" w:hAnsi="Century Gothic"/>
        </w:rPr>
        <w:t>D</w:t>
      </w:r>
      <w:r w:rsidR="007E637A">
        <w:rPr>
          <w:rFonts w:ascii="Century Gothic" w:hAnsi="Century Gothic"/>
        </w:rPr>
        <w:t xml:space="preserve">eloitte’s policies recognise disability and neurodiversity, but there are </w:t>
      </w:r>
      <w:r w:rsidR="00330731">
        <w:rPr>
          <w:rFonts w:ascii="Century Gothic" w:hAnsi="Century Gothic"/>
        </w:rPr>
        <w:t xml:space="preserve">still pay gaps in bonuses and a </w:t>
      </w:r>
      <w:r w:rsidR="000C4AA8">
        <w:rPr>
          <w:rFonts w:ascii="Century Gothic" w:hAnsi="Century Gothic"/>
        </w:rPr>
        <w:t xml:space="preserve">lack of progress in culture change over the </w:t>
      </w:r>
      <w:bookmarkStart w:id="26" w:name="_Int_3mntaWJb"/>
      <w:r w:rsidR="00834783">
        <w:rPr>
          <w:rFonts w:ascii="Century Gothic" w:hAnsi="Century Gothic"/>
        </w:rPr>
        <w:t>year of 2025 as a whole</w:t>
      </w:r>
      <w:bookmarkEnd w:id="26"/>
      <w:r w:rsidR="00834783">
        <w:rPr>
          <w:rFonts w:ascii="Century Gothic" w:hAnsi="Century Gothic"/>
        </w:rPr>
        <w:t xml:space="preserve">. </w:t>
      </w:r>
    </w:p>
    <w:p w14:paraId="5D5D31E4" w14:textId="77777777" w:rsidR="00C16BFB" w:rsidRDefault="00C16BFB" w:rsidP="005D18F3">
      <w:pPr>
        <w:rPr>
          <w:rFonts w:ascii="Century Gothic" w:hAnsi="Century Gothic"/>
        </w:rPr>
      </w:pPr>
    </w:p>
    <w:p w14:paraId="231C7CE9" w14:textId="77777777" w:rsidR="00C16BFB" w:rsidRDefault="00C16BFB" w:rsidP="005D18F3">
      <w:pPr>
        <w:rPr>
          <w:rFonts w:ascii="Century Gothic" w:hAnsi="Century Gothic"/>
        </w:rPr>
      </w:pPr>
    </w:p>
    <w:p w14:paraId="53EFD5C9" w14:textId="00273AAB" w:rsidR="00834783" w:rsidRDefault="0083478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2.2.5 Hybrid and Flexible Working</w:t>
      </w:r>
    </w:p>
    <w:p w14:paraId="10045865" w14:textId="0A65E49D" w:rsidR="00C06188" w:rsidRDefault="0083478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Deloitte</w:t>
      </w:r>
      <w:r w:rsidR="000B0F52">
        <w:rPr>
          <w:rFonts w:ascii="Century Gothic" w:hAnsi="Century Gothic"/>
        </w:rPr>
        <w:t>’s hybrid working strategy emphasises trust, choice and flexibility, allowing teams to manage how and where they work</w:t>
      </w:r>
      <w:r w:rsidR="000E2F92">
        <w:rPr>
          <w:rFonts w:ascii="Century Gothic" w:hAnsi="Century Gothic"/>
        </w:rPr>
        <w:t xml:space="preserve"> to support an</w:t>
      </w:r>
      <w:r w:rsidR="00771D27">
        <w:rPr>
          <w:rFonts w:ascii="Century Gothic" w:hAnsi="Century Gothic"/>
        </w:rPr>
        <w:t xml:space="preserve"> improved work-life balance</w:t>
      </w:r>
      <w:r w:rsidR="000E2F92">
        <w:rPr>
          <w:rFonts w:ascii="Century Gothic" w:hAnsi="Century Gothic"/>
        </w:rPr>
        <w:t xml:space="preserve"> (</w:t>
      </w:r>
      <w:r w:rsidR="00CF6EF3">
        <w:rPr>
          <w:rFonts w:ascii="Century Gothic" w:hAnsi="Century Gothic"/>
        </w:rPr>
        <w:t>Deloitte</w:t>
      </w:r>
      <w:r w:rsidR="003760B6">
        <w:rPr>
          <w:rFonts w:ascii="Century Gothic" w:hAnsi="Century Gothic"/>
        </w:rPr>
        <w:t xml:space="preserve">, 2022). </w:t>
      </w:r>
      <w:r w:rsidR="00730B32">
        <w:rPr>
          <w:rFonts w:ascii="Century Gothic" w:hAnsi="Century Gothic"/>
        </w:rPr>
        <w:t>Deloitte’s trust-based hybrid model can advance inclusion for employees with caregiving responsibili</w:t>
      </w:r>
      <w:r w:rsidR="003A043B">
        <w:rPr>
          <w:rFonts w:ascii="Century Gothic" w:hAnsi="Century Gothic"/>
        </w:rPr>
        <w:t xml:space="preserve">ties, disabilities or health needs. </w:t>
      </w:r>
      <w:r w:rsidR="007B38DC">
        <w:rPr>
          <w:rFonts w:ascii="Century Gothic" w:hAnsi="Century Gothic"/>
        </w:rPr>
        <w:t xml:space="preserve">Offering flexible working </w:t>
      </w:r>
      <w:r w:rsidR="00CE2101">
        <w:rPr>
          <w:rFonts w:ascii="Century Gothic" w:hAnsi="Century Gothic"/>
        </w:rPr>
        <w:t xml:space="preserve">often leads to greater employee satisfaction </w:t>
      </w:r>
      <w:r w:rsidR="00323149">
        <w:rPr>
          <w:rFonts w:ascii="Century Gothic" w:hAnsi="Century Gothic"/>
        </w:rPr>
        <w:t>and retention (</w:t>
      </w:r>
      <w:r w:rsidR="005F60FC">
        <w:rPr>
          <w:rFonts w:ascii="Century Gothic" w:hAnsi="Century Gothic"/>
        </w:rPr>
        <w:t>B</w:t>
      </w:r>
      <w:r w:rsidR="000C46A0">
        <w:rPr>
          <w:rFonts w:ascii="Century Gothic" w:hAnsi="Century Gothic"/>
        </w:rPr>
        <w:t xml:space="preserve">arnett Waddingham, 2025). </w:t>
      </w:r>
      <w:r w:rsidR="000D3F5B">
        <w:rPr>
          <w:rFonts w:ascii="Century Gothic" w:hAnsi="Century Gothic"/>
        </w:rPr>
        <w:t xml:space="preserve">However, </w:t>
      </w:r>
      <w:r w:rsidR="00F12A96">
        <w:rPr>
          <w:rFonts w:ascii="Century Gothic" w:hAnsi="Century Gothic"/>
        </w:rPr>
        <w:t xml:space="preserve">some roles may implicitly penalise those who spend more time working remotely </w:t>
      </w:r>
      <w:r w:rsidR="00E254A8">
        <w:rPr>
          <w:rFonts w:ascii="Century Gothic" w:hAnsi="Century Gothic"/>
        </w:rPr>
        <w:t>and can inadvertently increase visibility bias (Santos et al.,</w:t>
      </w:r>
      <w:r w:rsidR="00B46486">
        <w:rPr>
          <w:rFonts w:ascii="Century Gothic" w:hAnsi="Century Gothic"/>
        </w:rPr>
        <w:t xml:space="preserve"> 2024). </w:t>
      </w:r>
      <w:r w:rsidR="00977833">
        <w:rPr>
          <w:rFonts w:ascii="Century Gothic" w:hAnsi="Century Gothic"/>
        </w:rPr>
        <w:t xml:space="preserve">Similarly, without clear metrics, hybrid working can reproduce existing inequalities where senior staff </w:t>
      </w:r>
      <w:r w:rsidR="001C5A31">
        <w:rPr>
          <w:rFonts w:ascii="Century Gothic" w:hAnsi="Century Gothic"/>
        </w:rPr>
        <w:t xml:space="preserve">benefit more than internal junior groups </w:t>
      </w:r>
      <w:r w:rsidR="00953FF9">
        <w:rPr>
          <w:rFonts w:ascii="Century Gothic" w:hAnsi="Century Gothic"/>
        </w:rPr>
        <w:t xml:space="preserve">and access to flexible working </w:t>
      </w:r>
      <w:r w:rsidR="00A07D66">
        <w:rPr>
          <w:rFonts w:ascii="Century Gothic" w:hAnsi="Century Gothic"/>
        </w:rPr>
        <w:t>becomes unequal in workload and productivity (</w:t>
      </w:r>
      <w:r w:rsidR="00C53B26">
        <w:rPr>
          <w:rFonts w:ascii="Century Gothic" w:hAnsi="Century Gothic"/>
        </w:rPr>
        <w:t xml:space="preserve">CIPD, 2025). </w:t>
      </w:r>
      <w:r w:rsidR="006F1247">
        <w:rPr>
          <w:rFonts w:ascii="Century Gothic" w:hAnsi="Century Gothic"/>
        </w:rPr>
        <w:t xml:space="preserve">Saying that, Deloitte’s </w:t>
      </w:r>
      <w:r w:rsidR="003F63D2">
        <w:rPr>
          <w:rFonts w:ascii="Century Gothic" w:hAnsi="Century Gothic"/>
        </w:rPr>
        <w:t xml:space="preserve">company </w:t>
      </w:r>
      <w:r w:rsidR="006F1247">
        <w:rPr>
          <w:rFonts w:ascii="Century Gothic" w:hAnsi="Century Gothic"/>
        </w:rPr>
        <w:t xml:space="preserve">structure of offering all </w:t>
      </w:r>
      <w:r w:rsidR="003F63D2">
        <w:rPr>
          <w:rFonts w:ascii="Century Gothic" w:hAnsi="Century Gothic"/>
        </w:rPr>
        <w:t xml:space="preserve">employment types across </w:t>
      </w:r>
      <w:r w:rsidR="00755AC4">
        <w:rPr>
          <w:rFonts w:ascii="Century Gothic" w:hAnsi="Century Gothic"/>
        </w:rPr>
        <w:t xml:space="preserve">all roles is a strong benefit to </w:t>
      </w:r>
      <w:r w:rsidR="00E14283">
        <w:rPr>
          <w:rFonts w:ascii="Century Gothic" w:hAnsi="Century Gothic"/>
        </w:rPr>
        <w:t xml:space="preserve">a successful global company. However, it is important to manage hybrid and remote working correctly to ensure </w:t>
      </w:r>
      <w:r w:rsidR="00587D19">
        <w:rPr>
          <w:rFonts w:ascii="Century Gothic" w:hAnsi="Century Gothic"/>
        </w:rPr>
        <w:t xml:space="preserve">support for all employees and clear lines of online communication between </w:t>
      </w:r>
      <w:r w:rsidR="00F33940">
        <w:rPr>
          <w:rFonts w:ascii="Century Gothic" w:hAnsi="Century Gothic"/>
        </w:rPr>
        <w:t xml:space="preserve">teams to reduce visibility bias. </w:t>
      </w:r>
    </w:p>
    <w:p w14:paraId="38117D8E" w14:textId="06F69F60" w:rsidR="00F33940" w:rsidRDefault="00F33940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2.2.6 Overall Critical Analysis </w:t>
      </w:r>
    </w:p>
    <w:p w14:paraId="328B59CA" w14:textId="16FD1414" w:rsidR="00753E36" w:rsidRDefault="009209A9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</w:t>
      </w:r>
      <w:r w:rsidR="004A1963">
        <w:rPr>
          <w:rFonts w:ascii="Century Gothic" w:hAnsi="Century Gothic"/>
        </w:rPr>
        <w:t>loitte’s diversity and inclusion policies span a broad set of strategic priorities</w:t>
      </w:r>
      <w:r w:rsidR="004C6E0F">
        <w:rPr>
          <w:rFonts w:ascii="Century Gothic" w:hAnsi="Century Gothic"/>
        </w:rPr>
        <w:t>,</w:t>
      </w:r>
      <w:r w:rsidR="00AB714B">
        <w:rPr>
          <w:rFonts w:ascii="Century Gothic" w:hAnsi="Century Gothic"/>
        </w:rPr>
        <w:t xml:space="preserve"> </w:t>
      </w:r>
      <w:r w:rsidR="00C24153">
        <w:rPr>
          <w:rFonts w:ascii="Century Gothic" w:hAnsi="Century Gothic"/>
        </w:rPr>
        <w:t>and m</w:t>
      </w:r>
      <w:r w:rsidR="00042899">
        <w:rPr>
          <w:rFonts w:ascii="Century Gothic" w:hAnsi="Century Gothic"/>
        </w:rPr>
        <w:t>any of these initiatives align with recognised and respected best practices. However</w:t>
      </w:r>
      <w:r w:rsidR="00FA78EF">
        <w:rPr>
          <w:rFonts w:ascii="Century Gothic" w:hAnsi="Century Gothic"/>
        </w:rPr>
        <w:t xml:space="preserve">, both internal and external research shows that </w:t>
      </w:r>
      <w:r w:rsidR="0018296B">
        <w:rPr>
          <w:rFonts w:ascii="Century Gothic" w:hAnsi="Century Gothic"/>
        </w:rPr>
        <w:t xml:space="preserve">policies need to </w:t>
      </w:r>
      <w:bookmarkStart w:id="27" w:name="_Int_rZpvci2e"/>
      <w:r w:rsidR="0018296B">
        <w:rPr>
          <w:rFonts w:ascii="Century Gothic" w:hAnsi="Century Gothic"/>
        </w:rPr>
        <w:t>be carefully managed</w:t>
      </w:r>
      <w:bookmarkEnd w:id="27"/>
      <w:r w:rsidR="0018296B">
        <w:rPr>
          <w:rFonts w:ascii="Century Gothic" w:hAnsi="Century Gothic"/>
        </w:rPr>
        <w:t xml:space="preserve"> against </w:t>
      </w:r>
      <w:r w:rsidR="00091ED7">
        <w:rPr>
          <w:rFonts w:ascii="Century Gothic" w:hAnsi="Century Gothic"/>
        </w:rPr>
        <w:t xml:space="preserve">focused </w:t>
      </w:r>
      <w:r w:rsidR="00A0644F">
        <w:rPr>
          <w:rFonts w:ascii="Century Gothic" w:hAnsi="Century Gothic"/>
        </w:rPr>
        <w:t xml:space="preserve">statistics </w:t>
      </w:r>
      <w:r w:rsidR="00E10E56">
        <w:rPr>
          <w:rFonts w:ascii="Century Gothic" w:hAnsi="Century Gothic"/>
        </w:rPr>
        <w:t xml:space="preserve">and </w:t>
      </w:r>
      <w:r w:rsidR="001A43B2">
        <w:rPr>
          <w:rFonts w:ascii="Century Gothic" w:hAnsi="Century Gothic"/>
        </w:rPr>
        <w:t xml:space="preserve">directly manage everyday interactions instead to </w:t>
      </w:r>
      <w:r w:rsidR="006D1914">
        <w:rPr>
          <w:rFonts w:ascii="Century Gothic" w:hAnsi="Century Gothic"/>
        </w:rPr>
        <w:t xml:space="preserve">remove </w:t>
      </w:r>
      <w:r w:rsidR="00833227">
        <w:rPr>
          <w:rFonts w:ascii="Century Gothic" w:hAnsi="Century Gothic"/>
        </w:rPr>
        <w:t xml:space="preserve">barriers and </w:t>
      </w:r>
      <w:r w:rsidR="006D1914">
        <w:rPr>
          <w:rFonts w:ascii="Century Gothic" w:hAnsi="Century Gothic"/>
        </w:rPr>
        <w:t xml:space="preserve">a negative </w:t>
      </w:r>
      <w:r w:rsidR="00833227">
        <w:rPr>
          <w:rFonts w:ascii="Century Gothic" w:hAnsi="Century Gothic"/>
        </w:rPr>
        <w:t>work culture for minority groups.</w:t>
      </w:r>
      <w:r w:rsidR="00821574">
        <w:rPr>
          <w:rFonts w:ascii="Century Gothic" w:hAnsi="Century Gothic"/>
        </w:rPr>
        <w:t xml:space="preserve"> Similarly, managing everyday interactions will combat the presence of </w:t>
      </w:r>
      <w:r w:rsidR="008F7AEF">
        <w:rPr>
          <w:rFonts w:ascii="Century Gothic" w:hAnsi="Century Gothic"/>
        </w:rPr>
        <w:t xml:space="preserve">tokenism, where diversity </w:t>
      </w:r>
      <w:bookmarkStart w:id="28" w:name="_Int_9jamVRE8"/>
      <w:r w:rsidR="008F7AEF">
        <w:rPr>
          <w:rFonts w:ascii="Century Gothic" w:hAnsi="Century Gothic"/>
        </w:rPr>
        <w:t>is highlighted</w:t>
      </w:r>
      <w:bookmarkEnd w:id="28"/>
      <w:r w:rsidR="008F7AEF">
        <w:rPr>
          <w:rFonts w:ascii="Century Gothic" w:hAnsi="Century Gothic"/>
        </w:rPr>
        <w:t xml:space="preserve"> symbolically rat</w:t>
      </w:r>
      <w:r w:rsidR="00503CE6">
        <w:rPr>
          <w:rFonts w:ascii="Century Gothic" w:hAnsi="Century Gothic"/>
        </w:rPr>
        <w:t>her than a way of celebrating differences and working collaboratively (</w:t>
      </w:r>
      <w:r w:rsidR="00D17917">
        <w:rPr>
          <w:rFonts w:ascii="Century Gothic" w:hAnsi="Century Gothic"/>
        </w:rPr>
        <w:t xml:space="preserve">Lee, 2020). </w:t>
      </w:r>
    </w:p>
    <w:p w14:paraId="56638CCB" w14:textId="77777777" w:rsidR="00753E36" w:rsidRDefault="00753E36" w:rsidP="005D18F3">
      <w:pPr>
        <w:rPr>
          <w:rFonts w:ascii="Century Gothic" w:hAnsi="Century Gothic"/>
        </w:rPr>
      </w:pPr>
    </w:p>
    <w:p w14:paraId="2E58F540" w14:textId="77777777" w:rsidR="00753E36" w:rsidRDefault="00753E36" w:rsidP="005D18F3">
      <w:pPr>
        <w:rPr>
          <w:rFonts w:ascii="Century Gothic" w:hAnsi="Century Gothic"/>
        </w:rPr>
      </w:pPr>
    </w:p>
    <w:p w14:paraId="1F8652C2" w14:textId="77777777" w:rsidR="00753E36" w:rsidRDefault="00753E36" w:rsidP="005D18F3">
      <w:pPr>
        <w:rPr>
          <w:rFonts w:ascii="Century Gothic" w:hAnsi="Century Gothic"/>
        </w:rPr>
      </w:pPr>
    </w:p>
    <w:p w14:paraId="48767477" w14:textId="77777777" w:rsidR="00753E36" w:rsidRDefault="00753E36" w:rsidP="005D18F3">
      <w:pPr>
        <w:rPr>
          <w:rFonts w:ascii="Century Gothic" w:hAnsi="Century Gothic"/>
        </w:rPr>
      </w:pPr>
    </w:p>
    <w:p w14:paraId="661F3EDE" w14:textId="77777777" w:rsidR="00753E36" w:rsidRDefault="00753E36" w:rsidP="005D18F3">
      <w:pPr>
        <w:rPr>
          <w:rFonts w:ascii="Century Gothic" w:hAnsi="Century Gothic"/>
        </w:rPr>
      </w:pPr>
    </w:p>
    <w:p w14:paraId="2E950111" w14:textId="77777777" w:rsidR="00C16BFB" w:rsidRDefault="00C16BFB" w:rsidP="005D18F3">
      <w:pPr>
        <w:rPr>
          <w:rFonts w:ascii="Century Gothic" w:hAnsi="Century Gothic"/>
        </w:rPr>
      </w:pPr>
    </w:p>
    <w:p w14:paraId="2CAE8BF6" w14:textId="77777777" w:rsidR="004C6E0F" w:rsidRDefault="004C6E0F" w:rsidP="005D18F3">
      <w:pPr>
        <w:rPr>
          <w:rFonts w:ascii="Century Gothic" w:hAnsi="Century Gothic"/>
        </w:rPr>
      </w:pPr>
    </w:p>
    <w:p w14:paraId="0A1D1DCE" w14:textId="77777777" w:rsidR="00C16BFB" w:rsidRDefault="00C16BFB" w:rsidP="005D18F3">
      <w:pPr>
        <w:rPr>
          <w:rFonts w:ascii="Century Gothic" w:hAnsi="Century Gothic"/>
        </w:rPr>
      </w:pPr>
    </w:p>
    <w:p w14:paraId="414FE7B7" w14:textId="77777777" w:rsidR="00753E36" w:rsidRDefault="00753E36" w:rsidP="005D18F3">
      <w:pPr>
        <w:rPr>
          <w:rFonts w:ascii="Century Gothic" w:hAnsi="Century Gothic"/>
        </w:rPr>
      </w:pPr>
    </w:p>
    <w:p w14:paraId="4BC65A37" w14:textId="0CBABE94" w:rsidR="00753E36" w:rsidRDefault="00B80262" w:rsidP="005D18F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2.3 </w:t>
      </w:r>
      <w:r w:rsidR="00753E36">
        <w:rPr>
          <w:rFonts w:ascii="Century Gothic" w:hAnsi="Century Gothic"/>
          <w:sz w:val="28"/>
          <w:szCs w:val="28"/>
        </w:rPr>
        <w:t>C</w:t>
      </w:r>
      <w:r>
        <w:rPr>
          <w:rFonts w:ascii="Century Gothic" w:hAnsi="Century Gothic"/>
          <w:sz w:val="28"/>
          <w:szCs w:val="28"/>
        </w:rPr>
        <w:t>ontext Alignments</w:t>
      </w:r>
    </w:p>
    <w:p w14:paraId="3F8ADFB1" w14:textId="493635CF" w:rsidR="00487099" w:rsidRDefault="00A75CEE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Deloitte’s policies must align with </w:t>
      </w:r>
      <w:r w:rsidR="004C6E0F">
        <w:rPr>
          <w:rFonts w:ascii="Century Gothic" w:hAnsi="Century Gothic"/>
        </w:rPr>
        <w:t xml:space="preserve">the </w:t>
      </w:r>
      <w:r>
        <w:rPr>
          <w:rFonts w:ascii="Century Gothic" w:hAnsi="Century Gothic"/>
        </w:rPr>
        <w:t xml:space="preserve">UK Equality Act 2010. This legally protects characteristics </w:t>
      </w:r>
      <w:r w:rsidR="006E55D2">
        <w:rPr>
          <w:rFonts w:ascii="Century Gothic" w:hAnsi="Century Gothic"/>
        </w:rPr>
        <w:t>such as gender, race, disability, and sexual orientation</w:t>
      </w:r>
      <w:r w:rsidR="00FF6995">
        <w:rPr>
          <w:rFonts w:ascii="Century Gothic" w:hAnsi="Century Gothic"/>
        </w:rPr>
        <w:t xml:space="preserve"> (GOV.UK, 2013)</w:t>
      </w:r>
      <w:r w:rsidR="006E55D2">
        <w:rPr>
          <w:rFonts w:ascii="Century Gothic" w:hAnsi="Century Gothic"/>
        </w:rPr>
        <w:t xml:space="preserve">. </w:t>
      </w:r>
      <w:r w:rsidR="00911AC8">
        <w:rPr>
          <w:rFonts w:ascii="Century Gothic" w:hAnsi="Century Gothic"/>
        </w:rPr>
        <w:t>Similarly, the Gender Pay Gap Reporting Regulations 2017</w:t>
      </w:r>
      <w:r w:rsidR="002D3FFC">
        <w:rPr>
          <w:rFonts w:ascii="Century Gothic" w:hAnsi="Century Gothic"/>
        </w:rPr>
        <w:t xml:space="preserve"> </w:t>
      </w:r>
      <w:r w:rsidR="00911AC8">
        <w:rPr>
          <w:rFonts w:ascii="Century Gothic" w:hAnsi="Century Gothic"/>
        </w:rPr>
        <w:t>mean that D</w:t>
      </w:r>
      <w:r w:rsidR="00EC3F4A">
        <w:rPr>
          <w:rFonts w:ascii="Century Gothic" w:hAnsi="Century Gothic"/>
        </w:rPr>
        <w:t>e</w:t>
      </w:r>
      <w:r w:rsidR="00911AC8">
        <w:rPr>
          <w:rFonts w:ascii="Century Gothic" w:hAnsi="Century Gothic"/>
        </w:rPr>
        <w:t>loitte</w:t>
      </w:r>
      <w:r w:rsidR="00EC3F4A">
        <w:rPr>
          <w:rFonts w:ascii="Century Gothic" w:hAnsi="Century Gothic"/>
        </w:rPr>
        <w:t xml:space="preserve"> is legally obliged to report its gender pay gap data. The </w:t>
      </w:r>
      <w:r w:rsidR="00AA62EF">
        <w:rPr>
          <w:rFonts w:ascii="Century Gothic" w:hAnsi="Century Gothic"/>
        </w:rPr>
        <w:t xml:space="preserve">Gender Pay Gap Reporting Regulations 2017 is legislation by the UK </w:t>
      </w:r>
      <w:r w:rsidR="002D3FFC">
        <w:rPr>
          <w:rFonts w:ascii="Century Gothic" w:hAnsi="Century Gothic"/>
        </w:rPr>
        <w:t>g</w:t>
      </w:r>
      <w:r w:rsidR="00AA62EF">
        <w:rPr>
          <w:rFonts w:ascii="Century Gothic" w:hAnsi="Century Gothic"/>
        </w:rPr>
        <w:t>overnment that enforces companies of 250</w:t>
      </w:r>
      <w:r w:rsidR="006B68EE">
        <w:rPr>
          <w:rFonts w:ascii="Century Gothic" w:hAnsi="Century Gothic"/>
        </w:rPr>
        <w:t xml:space="preserve"> employees and above to </w:t>
      </w:r>
      <w:r w:rsidR="00E173AB">
        <w:rPr>
          <w:rFonts w:ascii="Century Gothic" w:hAnsi="Century Gothic"/>
        </w:rPr>
        <w:t>officially release</w:t>
      </w:r>
      <w:r w:rsidR="00267767">
        <w:rPr>
          <w:rFonts w:ascii="Century Gothic" w:hAnsi="Century Gothic"/>
        </w:rPr>
        <w:t xml:space="preserve"> </w:t>
      </w:r>
      <w:r w:rsidR="005B3D04">
        <w:rPr>
          <w:rFonts w:ascii="Century Gothic" w:hAnsi="Century Gothic"/>
        </w:rPr>
        <w:t>gender data (</w:t>
      </w:r>
      <w:r w:rsidR="00CE3D5F">
        <w:rPr>
          <w:rFonts w:ascii="Century Gothic" w:hAnsi="Century Gothic"/>
        </w:rPr>
        <w:t>Government Equalities Office, 2018).</w:t>
      </w:r>
    </w:p>
    <w:p w14:paraId="01AC854A" w14:textId="1B926DBF" w:rsidR="00487099" w:rsidRDefault="00BC4CFD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Deloitte</w:t>
      </w:r>
      <w:r w:rsidR="00E173AB">
        <w:rPr>
          <w:rFonts w:ascii="Century Gothic" w:hAnsi="Century Gothic"/>
        </w:rPr>
        <w:t xml:space="preserve">’s </w:t>
      </w:r>
      <w:r w:rsidR="00E43851">
        <w:rPr>
          <w:rFonts w:ascii="Century Gothic" w:hAnsi="Century Gothic"/>
        </w:rPr>
        <w:t>competitive market</w:t>
      </w:r>
      <w:r w:rsidR="00436092">
        <w:rPr>
          <w:rFonts w:ascii="Century Gothic" w:hAnsi="Century Gothic"/>
        </w:rPr>
        <w:t xml:space="preserve"> </w:t>
      </w:r>
      <w:r w:rsidR="00E43851">
        <w:rPr>
          <w:rFonts w:ascii="Century Gothic" w:hAnsi="Century Gothic"/>
        </w:rPr>
        <w:t xml:space="preserve">with </w:t>
      </w:r>
      <w:r w:rsidR="0051580F">
        <w:rPr>
          <w:rFonts w:ascii="Century Gothic" w:hAnsi="Century Gothic"/>
        </w:rPr>
        <w:t xml:space="preserve">the ‘Big Four’ </w:t>
      </w:r>
      <w:r w:rsidR="00436092">
        <w:rPr>
          <w:rFonts w:ascii="Century Gothic" w:hAnsi="Century Gothic"/>
        </w:rPr>
        <w:t xml:space="preserve">has </w:t>
      </w:r>
      <w:r w:rsidR="00802467">
        <w:rPr>
          <w:rFonts w:ascii="Century Gothic" w:hAnsi="Century Gothic"/>
        </w:rPr>
        <w:t>previously</w:t>
      </w:r>
      <w:r w:rsidR="00436092">
        <w:rPr>
          <w:rFonts w:ascii="Century Gothic" w:hAnsi="Century Gothic"/>
        </w:rPr>
        <w:t xml:space="preserve"> meant </w:t>
      </w:r>
      <w:r w:rsidR="00802467">
        <w:rPr>
          <w:rFonts w:ascii="Century Gothic" w:hAnsi="Century Gothic"/>
        </w:rPr>
        <w:t xml:space="preserve">competition </w:t>
      </w:r>
      <w:r w:rsidR="000A1446">
        <w:rPr>
          <w:rFonts w:ascii="Century Gothic" w:hAnsi="Century Gothic"/>
        </w:rPr>
        <w:t xml:space="preserve">by long working hours, </w:t>
      </w:r>
      <w:r w:rsidR="00950DF6">
        <w:rPr>
          <w:rFonts w:ascii="Century Gothic" w:hAnsi="Century Gothic"/>
        </w:rPr>
        <w:t xml:space="preserve">a </w:t>
      </w:r>
      <w:r w:rsidR="000A1446">
        <w:rPr>
          <w:rFonts w:ascii="Century Gothic" w:hAnsi="Century Gothic"/>
        </w:rPr>
        <w:t xml:space="preserve">client-driven performance culture and partnership promotion models that historically favour </w:t>
      </w:r>
      <w:r w:rsidR="005E4CF7">
        <w:rPr>
          <w:rFonts w:ascii="Century Gothic" w:hAnsi="Century Gothic"/>
        </w:rPr>
        <w:t>uninterrupted career progression (</w:t>
      </w:r>
      <w:r w:rsidR="00F37DBB">
        <w:rPr>
          <w:rFonts w:ascii="Century Gothic" w:hAnsi="Century Gothic"/>
        </w:rPr>
        <w:t xml:space="preserve">Ashley &amp; Empson, 2016). </w:t>
      </w:r>
      <w:r w:rsidR="007549F6">
        <w:rPr>
          <w:rFonts w:ascii="Century Gothic" w:hAnsi="Century Gothic"/>
        </w:rPr>
        <w:t xml:space="preserve">However, with </w:t>
      </w:r>
      <w:r w:rsidR="00A06ED3">
        <w:rPr>
          <w:rFonts w:ascii="Century Gothic" w:hAnsi="Century Gothic"/>
        </w:rPr>
        <w:t xml:space="preserve">increased regulation by UK </w:t>
      </w:r>
      <w:r w:rsidR="00434332">
        <w:rPr>
          <w:rFonts w:ascii="Century Gothic" w:hAnsi="Century Gothic"/>
        </w:rPr>
        <w:t>g</w:t>
      </w:r>
      <w:r w:rsidR="00A06ED3">
        <w:rPr>
          <w:rFonts w:ascii="Century Gothic" w:hAnsi="Century Gothic"/>
        </w:rPr>
        <w:t xml:space="preserve">overnments, Deloitte </w:t>
      </w:r>
      <w:r w:rsidR="008379F2">
        <w:rPr>
          <w:rFonts w:ascii="Century Gothic" w:hAnsi="Century Gothic"/>
        </w:rPr>
        <w:t xml:space="preserve">are publicly committed to representation goals and breaking down barriers to move to meaningful change. </w:t>
      </w:r>
    </w:p>
    <w:p w14:paraId="0ACD2A3C" w14:textId="26C9F75C" w:rsidR="00AA54DD" w:rsidRDefault="00780AA1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Deloitte’s diversity and inclusion policies are </w:t>
      </w:r>
      <w:r w:rsidR="005F556A">
        <w:rPr>
          <w:rFonts w:ascii="Century Gothic" w:hAnsi="Century Gothic"/>
        </w:rPr>
        <w:t>influenced</w:t>
      </w:r>
      <w:r>
        <w:rPr>
          <w:rFonts w:ascii="Century Gothic" w:hAnsi="Century Gothic"/>
        </w:rPr>
        <w:t xml:space="preserve"> by broader labour market dynamics</w:t>
      </w:r>
      <w:r w:rsidR="00FB4CD8">
        <w:rPr>
          <w:rFonts w:ascii="Century Gothic" w:hAnsi="Century Gothic"/>
        </w:rPr>
        <w:t>. P</w:t>
      </w:r>
      <w:r w:rsidR="00F815B0">
        <w:rPr>
          <w:rFonts w:ascii="Century Gothic" w:hAnsi="Century Gothic"/>
        </w:rPr>
        <w:t>ost</w:t>
      </w:r>
      <w:r w:rsidR="009E628F">
        <w:rPr>
          <w:rFonts w:ascii="Century Gothic" w:hAnsi="Century Gothic"/>
        </w:rPr>
        <w:t>-</w:t>
      </w:r>
      <w:r w:rsidR="00F815B0">
        <w:rPr>
          <w:rFonts w:ascii="Century Gothic" w:hAnsi="Century Gothic"/>
        </w:rPr>
        <w:t xml:space="preserve">pandemic shifts in employee expectations </w:t>
      </w:r>
      <w:r w:rsidR="00FB4CD8">
        <w:rPr>
          <w:rFonts w:ascii="Century Gothic" w:hAnsi="Century Gothic"/>
        </w:rPr>
        <w:t>mean offering</w:t>
      </w:r>
      <w:r w:rsidR="00F815B0">
        <w:rPr>
          <w:rFonts w:ascii="Century Gothic" w:hAnsi="Century Gothic"/>
        </w:rPr>
        <w:t xml:space="preserve"> flexibility</w:t>
      </w:r>
      <w:r w:rsidR="00FB4CD8">
        <w:rPr>
          <w:rFonts w:ascii="Century Gothic" w:hAnsi="Century Gothic"/>
        </w:rPr>
        <w:t xml:space="preserve"> to promote wellbeing</w:t>
      </w:r>
      <w:r w:rsidR="008F5B58">
        <w:rPr>
          <w:rFonts w:ascii="Century Gothic" w:hAnsi="Century Gothic"/>
        </w:rPr>
        <w:t xml:space="preserve">. </w:t>
      </w:r>
      <w:r w:rsidR="006F0809">
        <w:rPr>
          <w:rFonts w:ascii="Century Gothic" w:hAnsi="Century Gothic"/>
        </w:rPr>
        <w:t>While the UK’s high-skill professional labour market is increasingly competi</w:t>
      </w:r>
      <w:r w:rsidR="00222C98">
        <w:rPr>
          <w:rFonts w:ascii="Century Gothic" w:hAnsi="Century Gothic"/>
        </w:rPr>
        <w:t>tive, younger generations prioritise inclusive cultures and hybrid working</w:t>
      </w:r>
      <w:r w:rsidR="00803987">
        <w:rPr>
          <w:rFonts w:ascii="Century Gothic" w:hAnsi="Century Gothic"/>
        </w:rPr>
        <w:t xml:space="preserve"> (</w:t>
      </w:r>
      <w:r w:rsidR="00973916">
        <w:rPr>
          <w:rFonts w:ascii="Century Gothic" w:hAnsi="Century Gothic"/>
        </w:rPr>
        <w:t>Deloitte, 2024</w:t>
      </w:r>
      <w:r w:rsidR="009413EB">
        <w:rPr>
          <w:rFonts w:ascii="Century Gothic" w:hAnsi="Century Gothic"/>
        </w:rPr>
        <w:t xml:space="preserve">). </w:t>
      </w:r>
      <w:r w:rsidR="00E22577">
        <w:rPr>
          <w:rFonts w:ascii="Century Gothic" w:hAnsi="Century Gothic"/>
        </w:rPr>
        <w:t>However,</w:t>
      </w:r>
      <w:r w:rsidR="004158D8">
        <w:rPr>
          <w:rFonts w:ascii="Century Gothic" w:hAnsi="Century Gothic"/>
        </w:rPr>
        <w:t xml:space="preserve"> some groups can face wider inequality from hybrid and remote models of work</w:t>
      </w:r>
      <w:r w:rsidR="009E628F">
        <w:rPr>
          <w:rFonts w:ascii="Century Gothic" w:hAnsi="Century Gothic"/>
        </w:rPr>
        <w:t>;</w:t>
      </w:r>
      <w:r w:rsidR="004158D8">
        <w:rPr>
          <w:rFonts w:ascii="Century Gothic" w:hAnsi="Century Gothic"/>
        </w:rPr>
        <w:t xml:space="preserve"> this means added management to ensure extra support </w:t>
      </w:r>
      <w:r w:rsidR="002B7273">
        <w:rPr>
          <w:rFonts w:ascii="Century Gothic" w:hAnsi="Century Gothic"/>
        </w:rPr>
        <w:t>to offer fairness and equality through roles (Florisson et al., 2021).</w:t>
      </w:r>
      <w:r w:rsidR="00A007B6">
        <w:rPr>
          <w:rFonts w:ascii="Century Gothic" w:hAnsi="Century Gothic"/>
        </w:rPr>
        <w:t xml:space="preserve"> </w:t>
      </w:r>
      <w:r w:rsidR="009413EB">
        <w:rPr>
          <w:rFonts w:ascii="Century Gothic" w:hAnsi="Century Gothic"/>
        </w:rPr>
        <w:t xml:space="preserve">National data </w:t>
      </w:r>
      <w:bookmarkStart w:id="29" w:name="_Int_52M4okQj"/>
      <w:r w:rsidR="009413EB">
        <w:rPr>
          <w:rFonts w:ascii="Century Gothic" w:hAnsi="Century Gothic"/>
        </w:rPr>
        <w:t>shows</w:t>
      </w:r>
      <w:bookmarkEnd w:id="29"/>
      <w:r w:rsidR="009413EB">
        <w:rPr>
          <w:rFonts w:ascii="Century Gothic" w:hAnsi="Century Gothic"/>
        </w:rPr>
        <w:t xml:space="preserve"> p</w:t>
      </w:r>
      <w:r w:rsidR="00BD086B">
        <w:rPr>
          <w:rFonts w:ascii="Century Gothic" w:hAnsi="Century Gothic"/>
        </w:rPr>
        <w:t>ersistent employment</w:t>
      </w:r>
      <w:r w:rsidR="008F5B58">
        <w:rPr>
          <w:rFonts w:ascii="Century Gothic" w:hAnsi="Century Gothic"/>
        </w:rPr>
        <w:t xml:space="preserve"> </w:t>
      </w:r>
      <w:r w:rsidR="00BD086B">
        <w:rPr>
          <w:rFonts w:ascii="Century Gothic" w:hAnsi="Century Gothic"/>
        </w:rPr>
        <w:t xml:space="preserve">pay gaps affecting women, ethnic </w:t>
      </w:r>
      <w:r w:rsidR="00185269">
        <w:rPr>
          <w:rFonts w:ascii="Century Gothic" w:hAnsi="Century Gothic"/>
        </w:rPr>
        <w:t>minorities, and disabled people</w:t>
      </w:r>
      <w:r w:rsidR="008F5B58">
        <w:rPr>
          <w:rFonts w:ascii="Century Gothic" w:hAnsi="Century Gothic"/>
        </w:rPr>
        <w:t>. O</w:t>
      </w:r>
      <w:r w:rsidR="00185269">
        <w:rPr>
          <w:rFonts w:ascii="Century Gothic" w:hAnsi="Century Gothic"/>
        </w:rPr>
        <w:t>rganisations are facing both social and econom</w:t>
      </w:r>
      <w:r w:rsidR="00E946AF">
        <w:rPr>
          <w:rFonts w:ascii="Century Gothic" w:hAnsi="Century Gothic"/>
        </w:rPr>
        <w:t>ic pressure to address inequality (</w:t>
      </w:r>
      <w:r w:rsidR="00856F27">
        <w:rPr>
          <w:rFonts w:ascii="Century Gothic" w:hAnsi="Century Gothic"/>
        </w:rPr>
        <w:t>Offic</w:t>
      </w:r>
      <w:r w:rsidR="006E32CB">
        <w:rPr>
          <w:rFonts w:ascii="Century Gothic" w:hAnsi="Century Gothic"/>
        </w:rPr>
        <w:t>e for National Statistics, 202</w:t>
      </w:r>
      <w:r w:rsidR="00A25797">
        <w:rPr>
          <w:rFonts w:ascii="Century Gothic" w:hAnsi="Century Gothic"/>
        </w:rPr>
        <w:t>3</w:t>
      </w:r>
      <w:r w:rsidR="006E32CB">
        <w:rPr>
          <w:rFonts w:ascii="Century Gothic" w:hAnsi="Century Gothic"/>
        </w:rPr>
        <w:t>).</w:t>
      </w:r>
    </w:p>
    <w:p w14:paraId="7259A17B" w14:textId="77777777" w:rsidR="00AA54DD" w:rsidRDefault="00AA54DD" w:rsidP="005D18F3">
      <w:pPr>
        <w:rPr>
          <w:rFonts w:ascii="Century Gothic" w:hAnsi="Century Gothic"/>
        </w:rPr>
      </w:pPr>
    </w:p>
    <w:p w14:paraId="30697B77" w14:textId="77777777" w:rsidR="00A007B6" w:rsidRDefault="00A007B6" w:rsidP="005D18F3">
      <w:pPr>
        <w:rPr>
          <w:rFonts w:ascii="Century Gothic" w:hAnsi="Century Gothic"/>
        </w:rPr>
      </w:pPr>
    </w:p>
    <w:p w14:paraId="29C4563D" w14:textId="77777777" w:rsidR="00A007B6" w:rsidRDefault="00A007B6" w:rsidP="005D18F3">
      <w:pPr>
        <w:rPr>
          <w:rFonts w:ascii="Century Gothic" w:hAnsi="Century Gothic"/>
        </w:rPr>
      </w:pPr>
    </w:p>
    <w:p w14:paraId="1E43FF19" w14:textId="77777777" w:rsidR="00A007B6" w:rsidRDefault="00A007B6" w:rsidP="005D18F3">
      <w:pPr>
        <w:rPr>
          <w:rFonts w:ascii="Century Gothic" w:hAnsi="Century Gothic"/>
        </w:rPr>
      </w:pPr>
    </w:p>
    <w:p w14:paraId="19AAD53E" w14:textId="77777777" w:rsidR="00A007B6" w:rsidRDefault="00A007B6" w:rsidP="005D18F3">
      <w:pPr>
        <w:rPr>
          <w:rFonts w:ascii="Century Gothic" w:hAnsi="Century Gothic"/>
        </w:rPr>
      </w:pPr>
    </w:p>
    <w:p w14:paraId="6A33F13C" w14:textId="77777777" w:rsidR="00A007B6" w:rsidRDefault="00A007B6" w:rsidP="005D18F3">
      <w:pPr>
        <w:rPr>
          <w:rFonts w:ascii="Century Gothic" w:hAnsi="Century Gothic"/>
        </w:rPr>
      </w:pPr>
    </w:p>
    <w:p w14:paraId="3DE3EE29" w14:textId="77777777" w:rsidR="00A007B6" w:rsidRDefault="00A007B6" w:rsidP="005D18F3">
      <w:pPr>
        <w:rPr>
          <w:rFonts w:ascii="Century Gothic" w:hAnsi="Century Gothic"/>
        </w:rPr>
      </w:pPr>
    </w:p>
    <w:p w14:paraId="3072845F" w14:textId="77777777" w:rsidR="00A007B6" w:rsidRDefault="00A007B6" w:rsidP="005D18F3">
      <w:pPr>
        <w:rPr>
          <w:rFonts w:ascii="Century Gothic" w:hAnsi="Century Gothic"/>
        </w:rPr>
      </w:pPr>
    </w:p>
    <w:p w14:paraId="1392D27E" w14:textId="77777777" w:rsidR="00AA54DD" w:rsidRDefault="00AA54DD" w:rsidP="005D18F3">
      <w:pPr>
        <w:rPr>
          <w:rFonts w:ascii="Century Gothic" w:hAnsi="Century Gothic"/>
        </w:rPr>
      </w:pPr>
    </w:p>
    <w:p w14:paraId="16E48D17" w14:textId="2300781A" w:rsidR="00AA54DD" w:rsidRPr="0000588F" w:rsidRDefault="0000588F" w:rsidP="000B455A">
      <w:pPr>
        <w:pStyle w:val="ListParagraph"/>
        <w:numPr>
          <w:ilvl w:val="1"/>
          <w:numId w:val="26"/>
        </w:numPr>
        <w:rPr>
          <w:rFonts w:ascii="Century Gothic" w:hAnsi="Century Gothic"/>
        </w:rPr>
      </w:pPr>
      <w:r>
        <w:rPr>
          <w:rFonts w:ascii="Century Gothic" w:hAnsi="Century Gothic"/>
          <w:sz w:val="32"/>
          <w:szCs w:val="32"/>
        </w:rPr>
        <w:t>Impact on Organisational Performance</w:t>
      </w:r>
    </w:p>
    <w:p w14:paraId="22C2CA4A" w14:textId="295A9254" w:rsidR="0000588F" w:rsidRDefault="004A077B" w:rsidP="0000588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3.1 Employee Outcomes </w:t>
      </w:r>
    </w:p>
    <w:p w14:paraId="56376681" w14:textId="141EA2FE" w:rsidR="00A031FE" w:rsidRDefault="004252EF" w:rsidP="0000588F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Academic research consistently links inclusive practices with higher employee job satisfaction. When employees feel respected and </w:t>
      </w:r>
      <w:r w:rsidR="00A23117">
        <w:rPr>
          <w:rFonts w:ascii="Century Gothic" w:hAnsi="Century Gothic"/>
        </w:rPr>
        <w:t>included,</w:t>
      </w:r>
      <w:r w:rsidR="00FC40C4">
        <w:rPr>
          <w:rFonts w:ascii="Century Gothic" w:hAnsi="Century Gothic"/>
        </w:rPr>
        <w:t xml:space="preserve"> </w:t>
      </w:r>
      <w:r w:rsidR="00767069">
        <w:rPr>
          <w:rFonts w:ascii="Century Gothic" w:hAnsi="Century Gothic"/>
        </w:rPr>
        <w:t xml:space="preserve">they </w:t>
      </w:r>
      <w:r w:rsidR="007D5A5F">
        <w:rPr>
          <w:rFonts w:ascii="Century Gothic" w:hAnsi="Century Gothic"/>
        </w:rPr>
        <w:t xml:space="preserve">are more likely to align with organisational values (Shore et al., 2011). </w:t>
      </w:r>
      <w:r w:rsidR="00B461A4">
        <w:rPr>
          <w:rFonts w:ascii="Century Gothic" w:hAnsi="Century Gothic"/>
        </w:rPr>
        <w:t xml:space="preserve">Psychological safety </w:t>
      </w:r>
      <w:r w:rsidR="00AB29CB">
        <w:rPr>
          <w:rFonts w:ascii="Century Gothic" w:hAnsi="Century Gothic"/>
        </w:rPr>
        <w:t>allows individuals to be their authentic self without negative consequences</w:t>
      </w:r>
      <w:r w:rsidR="007B60E0">
        <w:rPr>
          <w:rFonts w:ascii="Century Gothic" w:hAnsi="Century Gothic"/>
        </w:rPr>
        <w:t xml:space="preserve">. It predicts employee satisfaction and improved decision-making </w:t>
      </w:r>
      <w:r w:rsidR="007E7114">
        <w:rPr>
          <w:rFonts w:ascii="Century Gothic" w:hAnsi="Century Gothic"/>
        </w:rPr>
        <w:t>(Malik &amp; Clarke, 2024), enabling employees to contribute without fear of judgement. Psychological safety and satisfaction are closely correlated</w:t>
      </w:r>
      <w:r w:rsidR="00A07ECE">
        <w:rPr>
          <w:rFonts w:ascii="Century Gothic" w:hAnsi="Century Gothic"/>
        </w:rPr>
        <w:t xml:space="preserve">, highlighting their importance in building inclusive </w:t>
      </w:r>
      <w:r w:rsidR="004F6550">
        <w:rPr>
          <w:rFonts w:ascii="Century Gothic" w:hAnsi="Century Gothic"/>
        </w:rPr>
        <w:t xml:space="preserve">work </w:t>
      </w:r>
      <w:r w:rsidR="00A07ECE">
        <w:rPr>
          <w:rFonts w:ascii="Century Gothic" w:hAnsi="Century Gothic"/>
        </w:rPr>
        <w:t>environments.</w:t>
      </w:r>
      <w:r w:rsidR="007E7114">
        <w:rPr>
          <w:rFonts w:ascii="Century Gothic" w:hAnsi="Century Gothic"/>
        </w:rPr>
        <w:t xml:space="preserve"> </w:t>
      </w:r>
    </w:p>
    <w:p w14:paraId="656795CF" w14:textId="5D033142" w:rsidR="009947E3" w:rsidRDefault="007A23AF" w:rsidP="0000588F">
      <w:pPr>
        <w:rPr>
          <w:rFonts w:ascii="Century Gothic" w:hAnsi="Century Gothic"/>
        </w:rPr>
      </w:pPr>
      <w:r>
        <w:rPr>
          <w:rFonts w:ascii="Century Gothic" w:hAnsi="Century Gothic"/>
        </w:rPr>
        <w:t>C</w:t>
      </w:r>
      <w:r w:rsidR="009947E3">
        <w:rPr>
          <w:rFonts w:ascii="Century Gothic" w:hAnsi="Century Gothic"/>
        </w:rPr>
        <w:t>reating an inclusive workspace encourage</w:t>
      </w:r>
      <w:r w:rsidR="00D624FD">
        <w:rPr>
          <w:rFonts w:ascii="Century Gothic" w:hAnsi="Century Gothic"/>
        </w:rPr>
        <w:t>s</w:t>
      </w:r>
      <w:r w:rsidR="009947E3">
        <w:rPr>
          <w:rFonts w:ascii="Century Gothic" w:hAnsi="Century Gothic"/>
        </w:rPr>
        <w:t xml:space="preserve"> </w:t>
      </w:r>
      <w:r w:rsidR="00A23117">
        <w:rPr>
          <w:rFonts w:ascii="Century Gothic" w:hAnsi="Century Gothic"/>
        </w:rPr>
        <w:t xml:space="preserve">a reduced turnover. </w:t>
      </w:r>
      <w:r w:rsidR="00581D4E">
        <w:rPr>
          <w:rFonts w:ascii="Century Gothic" w:hAnsi="Century Gothic"/>
        </w:rPr>
        <w:t xml:space="preserve">For employees, a high turnover rate </w:t>
      </w:r>
      <w:r w:rsidR="00251AFA">
        <w:rPr>
          <w:rFonts w:ascii="Century Gothic" w:hAnsi="Century Gothic"/>
        </w:rPr>
        <w:t xml:space="preserve">can mean an unhealthy work culture, </w:t>
      </w:r>
      <w:r w:rsidR="007959F3">
        <w:rPr>
          <w:rFonts w:ascii="Century Gothic" w:hAnsi="Century Gothic"/>
        </w:rPr>
        <w:t>while</w:t>
      </w:r>
      <w:r w:rsidR="00251AFA">
        <w:rPr>
          <w:rFonts w:ascii="Century Gothic" w:hAnsi="Century Gothic"/>
        </w:rPr>
        <w:t xml:space="preserve"> workforce stability </w:t>
      </w:r>
      <w:r w:rsidR="00E2623F">
        <w:rPr>
          <w:rFonts w:ascii="Century Gothic" w:hAnsi="Century Gothic"/>
        </w:rPr>
        <w:t xml:space="preserve">reflects collaboration and productivity (Hastwell, 2023). Inclusive cultures </w:t>
      </w:r>
      <w:r w:rsidR="003B78AA">
        <w:rPr>
          <w:rFonts w:ascii="Century Gothic" w:hAnsi="Century Gothic"/>
        </w:rPr>
        <w:t xml:space="preserve">lead to </w:t>
      </w:r>
      <w:r w:rsidR="00E2623F">
        <w:rPr>
          <w:rFonts w:ascii="Century Gothic" w:hAnsi="Century Gothic"/>
        </w:rPr>
        <w:t>stronger engagement</w:t>
      </w:r>
      <w:r w:rsidR="007959F3">
        <w:rPr>
          <w:rFonts w:ascii="Century Gothic" w:hAnsi="Century Gothic"/>
        </w:rPr>
        <w:t xml:space="preserve">, rising </w:t>
      </w:r>
      <w:r w:rsidR="005F556A">
        <w:rPr>
          <w:rFonts w:ascii="Century Gothic" w:hAnsi="Century Gothic"/>
        </w:rPr>
        <w:t>morale,</w:t>
      </w:r>
      <w:r w:rsidR="007959F3">
        <w:rPr>
          <w:rFonts w:ascii="Century Gothic" w:hAnsi="Century Gothic"/>
        </w:rPr>
        <w:t xml:space="preserve"> and </w:t>
      </w:r>
      <w:r w:rsidR="003B78AA">
        <w:rPr>
          <w:rFonts w:ascii="Century Gothic" w:hAnsi="Century Gothic"/>
        </w:rPr>
        <w:t xml:space="preserve">improved </w:t>
      </w:r>
      <w:r w:rsidR="007959F3">
        <w:rPr>
          <w:rFonts w:ascii="Century Gothic" w:hAnsi="Century Gothic"/>
        </w:rPr>
        <w:t xml:space="preserve">performance (Moor, 2026). </w:t>
      </w:r>
    </w:p>
    <w:p w14:paraId="229768A6" w14:textId="3D09F685" w:rsidR="0001497B" w:rsidRDefault="003B78AA" w:rsidP="0000588F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Deloitte’s inclusion networks </w:t>
      </w:r>
      <w:r w:rsidR="00C33170">
        <w:rPr>
          <w:rFonts w:ascii="Century Gothic" w:hAnsi="Century Gothic"/>
        </w:rPr>
        <w:t xml:space="preserve">and flexible work policies show an interest </w:t>
      </w:r>
      <w:r w:rsidR="00C7608C">
        <w:rPr>
          <w:rFonts w:ascii="Century Gothic" w:hAnsi="Century Gothic"/>
        </w:rPr>
        <w:t>in</w:t>
      </w:r>
      <w:r w:rsidR="00C33170">
        <w:rPr>
          <w:rFonts w:ascii="Century Gothic" w:hAnsi="Century Gothic"/>
        </w:rPr>
        <w:t xml:space="preserve"> improving wellbeing (Deloitte, 2026). Although it does not publish</w:t>
      </w:r>
      <w:r w:rsidR="003E4158">
        <w:rPr>
          <w:rFonts w:ascii="Century Gothic" w:hAnsi="Century Gothic"/>
        </w:rPr>
        <w:t xml:space="preserve"> </w:t>
      </w:r>
      <w:r w:rsidR="003211DF">
        <w:rPr>
          <w:rFonts w:ascii="Century Gothic" w:hAnsi="Century Gothic"/>
        </w:rPr>
        <w:t>direct job satisfaction</w:t>
      </w:r>
      <w:r w:rsidR="00ED4040">
        <w:rPr>
          <w:rFonts w:ascii="Century Gothic" w:hAnsi="Century Gothic"/>
        </w:rPr>
        <w:t xml:space="preserve"> data</w:t>
      </w:r>
      <w:r w:rsidR="003211DF">
        <w:rPr>
          <w:rFonts w:ascii="Century Gothic" w:hAnsi="Century Gothic"/>
        </w:rPr>
        <w:t xml:space="preserve">, it emphasises inclusive leadership efforts (Deloitte Pay and Inclusion Report, 2025). </w:t>
      </w:r>
      <w:r w:rsidR="00621AB7">
        <w:rPr>
          <w:rFonts w:ascii="Century Gothic" w:hAnsi="Century Gothic"/>
        </w:rPr>
        <w:t>Conversely</w:t>
      </w:r>
      <w:r w:rsidR="004A4AF5">
        <w:rPr>
          <w:rFonts w:ascii="Century Gothic" w:hAnsi="Century Gothic"/>
        </w:rPr>
        <w:t xml:space="preserve">, research suggests inclusive policies must </w:t>
      </w:r>
      <w:bookmarkStart w:id="30" w:name="_Int_wCIrzRhS"/>
      <w:r w:rsidR="004A4AF5">
        <w:rPr>
          <w:rFonts w:ascii="Century Gothic" w:hAnsi="Century Gothic"/>
        </w:rPr>
        <w:t>be supported</w:t>
      </w:r>
      <w:bookmarkEnd w:id="30"/>
      <w:r w:rsidR="004A4AF5">
        <w:rPr>
          <w:rFonts w:ascii="Century Gothic" w:hAnsi="Century Gothic"/>
        </w:rPr>
        <w:t xml:space="preserve"> by managerial accountability to achieve </w:t>
      </w:r>
      <w:r w:rsidR="007439E7">
        <w:rPr>
          <w:rFonts w:ascii="Century Gothic" w:hAnsi="Century Gothic"/>
        </w:rPr>
        <w:t>meaningful change rather than symbolic impact (Barak et al., 2016).</w:t>
      </w:r>
    </w:p>
    <w:p w14:paraId="58449C05" w14:textId="77777777" w:rsidR="007439E7" w:rsidRDefault="007439E7" w:rsidP="0000588F">
      <w:pPr>
        <w:rPr>
          <w:rFonts w:ascii="Century Gothic" w:hAnsi="Century Gothic"/>
        </w:rPr>
      </w:pPr>
    </w:p>
    <w:p w14:paraId="4BEB714F" w14:textId="77777777" w:rsidR="007439E7" w:rsidRDefault="007439E7" w:rsidP="0000588F">
      <w:pPr>
        <w:rPr>
          <w:rFonts w:ascii="Century Gothic" w:hAnsi="Century Gothic"/>
        </w:rPr>
      </w:pPr>
    </w:p>
    <w:p w14:paraId="5DBB23B0" w14:textId="77777777" w:rsidR="007439E7" w:rsidRDefault="007439E7" w:rsidP="0000588F">
      <w:pPr>
        <w:rPr>
          <w:rFonts w:ascii="Century Gothic" w:hAnsi="Century Gothic"/>
        </w:rPr>
      </w:pPr>
    </w:p>
    <w:p w14:paraId="298EA97E" w14:textId="77777777" w:rsidR="007439E7" w:rsidRDefault="007439E7" w:rsidP="0000588F">
      <w:pPr>
        <w:rPr>
          <w:rFonts w:ascii="Century Gothic" w:hAnsi="Century Gothic"/>
        </w:rPr>
      </w:pPr>
    </w:p>
    <w:p w14:paraId="321EA7C8" w14:textId="77777777" w:rsidR="007439E7" w:rsidRDefault="007439E7" w:rsidP="0000588F">
      <w:pPr>
        <w:rPr>
          <w:rFonts w:ascii="Century Gothic" w:hAnsi="Century Gothic"/>
        </w:rPr>
      </w:pPr>
    </w:p>
    <w:p w14:paraId="159C2A33" w14:textId="77777777" w:rsidR="0001497B" w:rsidRDefault="0001497B" w:rsidP="0000588F">
      <w:pPr>
        <w:rPr>
          <w:rFonts w:ascii="Century Gothic" w:hAnsi="Century Gothic"/>
        </w:rPr>
      </w:pPr>
    </w:p>
    <w:p w14:paraId="1189EE3C" w14:textId="77777777" w:rsidR="0001497B" w:rsidRDefault="0001497B" w:rsidP="0000588F">
      <w:pPr>
        <w:rPr>
          <w:rFonts w:ascii="Century Gothic" w:hAnsi="Century Gothic"/>
        </w:rPr>
      </w:pPr>
    </w:p>
    <w:p w14:paraId="55A26137" w14:textId="77777777" w:rsidR="0001497B" w:rsidRDefault="0001497B" w:rsidP="0000588F">
      <w:pPr>
        <w:rPr>
          <w:rFonts w:ascii="Century Gothic" w:hAnsi="Century Gothic"/>
        </w:rPr>
      </w:pPr>
    </w:p>
    <w:p w14:paraId="4F9DBB39" w14:textId="77777777" w:rsidR="007A23AF" w:rsidRDefault="007A23AF" w:rsidP="0000588F">
      <w:pPr>
        <w:rPr>
          <w:rFonts w:ascii="Century Gothic" w:hAnsi="Century Gothic"/>
        </w:rPr>
      </w:pPr>
    </w:p>
    <w:p w14:paraId="0FC554B0" w14:textId="77777777" w:rsidR="0001497B" w:rsidRDefault="0001497B" w:rsidP="0000588F">
      <w:pPr>
        <w:rPr>
          <w:rFonts w:ascii="Century Gothic" w:hAnsi="Century Gothic"/>
        </w:rPr>
      </w:pPr>
    </w:p>
    <w:p w14:paraId="0560A929" w14:textId="77777777" w:rsidR="0001497B" w:rsidRDefault="0001497B" w:rsidP="0000588F">
      <w:pPr>
        <w:rPr>
          <w:rFonts w:ascii="Century Gothic" w:hAnsi="Century Gothic"/>
        </w:rPr>
      </w:pPr>
    </w:p>
    <w:p w14:paraId="4FC13FAC" w14:textId="284752A7" w:rsidR="00DF593B" w:rsidRDefault="00667339" w:rsidP="0000588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3.2 Business Outcomes</w:t>
      </w:r>
    </w:p>
    <w:p w14:paraId="4A173557" w14:textId="7F2118BE" w:rsidR="00AA1AF3" w:rsidRDefault="00667339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Fro</w:t>
      </w:r>
      <w:r w:rsidR="004304EE">
        <w:rPr>
          <w:rFonts w:ascii="Century Gothic" w:hAnsi="Century Gothic"/>
        </w:rPr>
        <w:t xml:space="preserve">m an </w:t>
      </w:r>
      <w:r>
        <w:rPr>
          <w:rFonts w:ascii="Century Gothic" w:hAnsi="Century Gothic"/>
        </w:rPr>
        <w:t xml:space="preserve">organisational perspective, </w:t>
      </w:r>
      <w:r w:rsidR="003A0D19">
        <w:rPr>
          <w:rFonts w:ascii="Century Gothic" w:hAnsi="Century Gothic"/>
        </w:rPr>
        <w:t>becoming more diverse an</w:t>
      </w:r>
      <w:r w:rsidR="006D1589">
        <w:rPr>
          <w:rFonts w:ascii="Century Gothic" w:hAnsi="Century Gothic"/>
        </w:rPr>
        <w:t>d</w:t>
      </w:r>
      <w:r w:rsidR="003A0D19">
        <w:rPr>
          <w:rFonts w:ascii="Century Gothic" w:hAnsi="Century Gothic"/>
        </w:rPr>
        <w:t xml:space="preserve"> </w:t>
      </w:r>
      <w:r w:rsidR="006D1589">
        <w:rPr>
          <w:rFonts w:ascii="Century Gothic" w:hAnsi="Century Gothic"/>
        </w:rPr>
        <w:t>inclusive benefits employees</w:t>
      </w:r>
      <w:r w:rsidR="003A0D19">
        <w:rPr>
          <w:rFonts w:ascii="Century Gothic" w:hAnsi="Century Gothic"/>
        </w:rPr>
        <w:t xml:space="preserve"> but also the organisation itself. </w:t>
      </w:r>
      <w:r w:rsidR="007E6F9A">
        <w:rPr>
          <w:rFonts w:ascii="Century Gothic" w:hAnsi="Century Gothic"/>
        </w:rPr>
        <w:t>Research shows that diverse organisations outperform competitors in financial metrics</w:t>
      </w:r>
      <w:r w:rsidR="00F52406">
        <w:rPr>
          <w:rFonts w:ascii="Century Gothic" w:hAnsi="Century Gothic"/>
        </w:rPr>
        <w:t xml:space="preserve"> (</w:t>
      </w:r>
      <w:r w:rsidR="00087DEB">
        <w:rPr>
          <w:rFonts w:ascii="Century Gothic" w:hAnsi="Century Gothic"/>
        </w:rPr>
        <w:t xml:space="preserve">McKinsey </w:t>
      </w:r>
      <w:r w:rsidR="00EA5380">
        <w:rPr>
          <w:rFonts w:ascii="Century Gothic" w:hAnsi="Century Gothic"/>
        </w:rPr>
        <w:t>&amp;</w:t>
      </w:r>
      <w:r w:rsidR="00087DEB">
        <w:rPr>
          <w:rFonts w:ascii="Century Gothic" w:hAnsi="Century Gothic"/>
        </w:rPr>
        <w:t xml:space="preserve"> Company, 2023)</w:t>
      </w:r>
      <w:r w:rsidR="00EA5380">
        <w:rPr>
          <w:rFonts w:ascii="Century Gothic" w:hAnsi="Century Gothic"/>
        </w:rPr>
        <w:t xml:space="preserve">. </w:t>
      </w:r>
      <w:r w:rsidR="006B6E1E">
        <w:rPr>
          <w:rFonts w:ascii="Century Gothic" w:hAnsi="Century Gothic"/>
        </w:rPr>
        <w:t xml:space="preserve">While Deloitte does not </w:t>
      </w:r>
      <w:bookmarkStart w:id="31" w:name="_Int_d7Od1iCW"/>
      <w:r w:rsidR="006B6E1E">
        <w:rPr>
          <w:rFonts w:ascii="Century Gothic" w:hAnsi="Century Gothic"/>
        </w:rPr>
        <w:t>disclose</w:t>
      </w:r>
      <w:bookmarkEnd w:id="31"/>
      <w:r w:rsidR="006B6E1E">
        <w:rPr>
          <w:rFonts w:ascii="Century Gothic" w:hAnsi="Century Gothic"/>
        </w:rPr>
        <w:t xml:space="preserve"> its own financial metrics</w:t>
      </w:r>
      <w:r w:rsidR="00C03FF3">
        <w:rPr>
          <w:rFonts w:ascii="Century Gothic" w:hAnsi="Century Gothic"/>
        </w:rPr>
        <w:t xml:space="preserve">, </w:t>
      </w:r>
      <w:r w:rsidR="001C1C72">
        <w:rPr>
          <w:rFonts w:ascii="Century Gothic" w:hAnsi="Century Gothic"/>
        </w:rPr>
        <w:t>research</w:t>
      </w:r>
      <w:r w:rsidR="00C03FF3">
        <w:rPr>
          <w:rFonts w:ascii="Century Gothic" w:hAnsi="Century Gothic"/>
        </w:rPr>
        <w:t xml:space="preserve"> by Deloitte themsel</w:t>
      </w:r>
      <w:r w:rsidR="008649B2">
        <w:rPr>
          <w:rFonts w:ascii="Century Gothic" w:hAnsi="Century Gothic"/>
        </w:rPr>
        <w:t xml:space="preserve">ves </w:t>
      </w:r>
      <w:r w:rsidR="00C03FF3">
        <w:rPr>
          <w:rFonts w:ascii="Century Gothic" w:hAnsi="Century Gothic"/>
        </w:rPr>
        <w:t>suggests that for every £1 spent on supporting employee mental health and wellbeing</w:t>
      </w:r>
      <w:r w:rsidR="008649B2">
        <w:rPr>
          <w:rFonts w:ascii="Century Gothic" w:hAnsi="Century Gothic"/>
        </w:rPr>
        <w:t>,</w:t>
      </w:r>
      <w:r w:rsidR="00C03FF3">
        <w:rPr>
          <w:rFonts w:ascii="Century Gothic" w:hAnsi="Century Gothic"/>
        </w:rPr>
        <w:t xml:space="preserve"> </w:t>
      </w:r>
      <w:r w:rsidR="008649B2">
        <w:rPr>
          <w:rFonts w:ascii="Century Gothic" w:hAnsi="Century Gothic"/>
        </w:rPr>
        <w:t xml:space="preserve">there is </w:t>
      </w:r>
      <w:r w:rsidR="00570944">
        <w:rPr>
          <w:rFonts w:ascii="Century Gothic" w:hAnsi="Century Gothic"/>
        </w:rPr>
        <w:t>around</w:t>
      </w:r>
      <w:r w:rsidR="00C03FF3">
        <w:rPr>
          <w:rFonts w:ascii="Century Gothic" w:hAnsi="Century Gothic"/>
        </w:rPr>
        <w:t xml:space="preserve"> £4.70 ROI for employers (Deloitte, 2024).</w:t>
      </w:r>
      <w:r w:rsidR="008B0726">
        <w:rPr>
          <w:rFonts w:ascii="Century Gothic" w:hAnsi="Century Gothic"/>
        </w:rPr>
        <w:t xml:space="preserve"> </w:t>
      </w:r>
      <w:r w:rsidR="003D0B90">
        <w:rPr>
          <w:rFonts w:ascii="Century Gothic" w:hAnsi="Century Gothic"/>
        </w:rPr>
        <w:t xml:space="preserve">This </w:t>
      </w:r>
      <w:bookmarkStart w:id="32" w:name="_Int_e6grrQIh"/>
      <w:r w:rsidR="003F5ED8">
        <w:rPr>
          <w:rFonts w:ascii="Century Gothic" w:hAnsi="Century Gothic"/>
        </w:rPr>
        <w:t>demonstrates</w:t>
      </w:r>
      <w:bookmarkEnd w:id="32"/>
      <w:r w:rsidR="003F5ED8">
        <w:rPr>
          <w:rFonts w:ascii="Century Gothic" w:hAnsi="Century Gothic"/>
        </w:rPr>
        <w:t xml:space="preserve"> that investing in employees can generate measurable financial benefits. </w:t>
      </w:r>
    </w:p>
    <w:p w14:paraId="1EE0035B" w14:textId="52680196" w:rsidR="0089017C" w:rsidRDefault="006B209C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C</w:t>
      </w:r>
      <w:r w:rsidR="00DF134D">
        <w:rPr>
          <w:rFonts w:ascii="Century Gothic" w:hAnsi="Century Gothic"/>
        </w:rPr>
        <w:t xml:space="preserve">lients </w:t>
      </w:r>
      <w:r w:rsidR="00C523C0">
        <w:rPr>
          <w:rFonts w:ascii="Century Gothic" w:hAnsi="Century Gothic"/>
        </w:rPr>
        <w:t>increasing</w:t>
      </w:r>
      <w:r>
        <w:rPr>
          <w:rFonts w:ascii="Century Gothic" w:hAnsi="Century Gothic"/>
        </w:rPr>
        <w:t xml:space="preserve">ly </w:t>
      </w:r>
      <w:r w:rsidR="00C523C0">
        <w:rPr>
          <w:rFonts w:ascii="Century Gothic" w:hAnsi="Century Gothic"/>
        </w:rPr>
        <w:t>expect advisory firms to reflect their own diverse values. Deloitte reports that</w:t>
      </w:r>
      <w:r>
        <w:rPr>
          <w:rFonts w:ascii="Century Gothic" w:hAnsi="Century Gothic"/>
        </w:rPr>
        <w:t xml:space="preserve"> </w:t>
      </w:r>
      <w:r w:rsidR="00C523C0">
        <w:rPr>
          <w:rFonts w:ascii="Century Gothic" w:hAnsi="Century Gothic"/>
        </w:rPr>
        <w:t xml:space="preserve">diverse teams </w:t>
      </w:r>
      <w:r>
        <w:rPr>
          <w:rFonts w:ascii="Century Gothic" w:hAnsi="Century Gothic"/>
        </w:rPr>
        <w:t xml:space="preserve">improve </w:t>
      </w:r>
      <w:r w:rsidR="00C523C0">
        <w:rPr>
          <w:rFonts w:ascii="Century Gothic" w:hAnsi="Century Gothic"/>
        </w:rPr>
        <w:t xml:space="preserve">client understanding </w:t>
      </w:r>
      <w:r w:rsidR="00200371">
        <w:rPr>
          <w:rFonts w:ascii="Century Gothic" w:hAnsi="Century Gothic"/>
        </w:rPr>
        <w:t>a</w:t>
      </w:r>
      <w:r w:rsidR="0054052E">
        <w:rPr>
          <w:rFonts w:ascii="Century Gothic" w:hAnsi="Century Gothic"/>
        </w:rPr>
        <w:t xml:space="preserve">nd </w:t>
      </w:r>
      <w:r w:rsidR="00B945D6">
        <w:rPr>
          <w:rFonts w:ascii="Century Gothic" w:hAnsi="Century Gothic"/>
        </w:rPr>
        <w:t xml:space="preserve">strengthen </w:t>
      </w:r>
      <w:r w:rsidR="0054052E">
        <w:rPr>
          <w:rFonts w:ascii="Century Gothic" w:hAnsi="Century Gothic"/>
        </w:rPr>
        <w:t xml:space="preserve">trust (Deloitte, 2026). </w:t>
      </w:r>
      <w:r w:rsidR="00F47459">
        <w:rPr>
          <w:rFonts w:ascii="Century Gothic" w:hAnsi="Century Gothic"/>
        </w:rPr>
        <w:t xml:space="preserve">Research </w:t>
      </w:r>
      <w:r w:rsidR="00B945D6">
        <w:rPr>
          <w:rFonts w:ascii="Century Gothic" w:hAnsi="Century Gothic"/>
        </w:rPr>
        <w:t xml:space="preserve">further </w:t>
      </w:r>
      <w:r w:rsidR="00F47459">
        <w:rPr>
          <w:rFonts w:ascii="Century Gothic" w:hAnsi="Century Gothic"/>
        </w:rPr>
        <w:t xml:space="preserve">suggests that </w:t>
      </w:r>
      <w:r w:rsidR="0087785F">
        <w:rPr>
          <w:rFonts w:ascii="Century Gothic" w:hAnsi="Century Gothic"/>
        </w:rPr>
        <w:t>divers</w:t>
      </w:r>
      <w:r w:rsidR="006776A7">
        <w:rPr>
          <w:rFonts w:ascii="Century Gothic" w:hAnsi="Century Gothic"/>
        </w:rPr>
        <w:t>ity enhances</w:t>
      </w:r>
      <w:r w:rsidR="009A1120">
        <w:rPr>
          <w:rFonts w:ascii="Century Gothic" w:hAnsi="Century Gothic"/>
        </w:rPr>
        <w:t xml:space="preserve"> innovation</w:t>
      </w:r>
      <w:r w:rsidR="00D80748">
        <w:rPr>
          <w:rFonts w:ascii="Century Gothic" w:hAnsi="Century Gothic"/>
        </w:rPr>
        <w:t xml:space="preserve"> and problem-solving capabilities of a</w:t>
      </w:r>
      <w:r w:rsidR="0087785F">
        <w:rPr>
          <w:rFonts w:ascii="Century Gothic" w:hAnsi="Century Gothic"/>
        </w:rPr>
        <w:t xml:space="preserve"> team</w:t>
      </w:r>
      <w:r w:rsidR="001D753F">
        <w:rPr>
          <w:rFonts w:ascii="Century Gothic" w:hAnsi="Century Gothic"/>
        </w:rPr>
        <w:t xml:space="preserve"> </w:t>
      </w:r>
      <w:r w:rsidR="00377AB5">
        <w:rPr>
          <w:rFonts w:ascii="Century Gothic" w:hAnsi="Century Gothic"/>
        </w:rPr>
        <w:t>(</w:t>
      </w:r>
      <w:r w:rsidR="00795D5E">
        <w:rPr>
          <w:rFonts w:ascii="Century Gothic" w:hAnsi="Century Gothic"/>
        </w:rPr>
        <w:t xml:space="preserve">Prism, 2023). </w:t>
      </w:r>
    </w:p>
    <w:p w14:paraId="662EC1CB" w14:textId="1873ED1B" w:rsidR="00795D5E" w:rsidRDefault="006F1AD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As a global company, creating a</w:t>
      </w:r>
      <w:r w:rsidR="00116BA0">
        <w:rPr>
          <w:rFonts w:ascii="Century Gothic" w:hAnsi="Century Gothic"/>
        </w:rPr>
        <w:t xml:space="preserve">n </w:t>
      </w:r>
      <w:r>
        <w:rPr>
          <w:rFonts w:ascii="Century Gothic" w:hAnsi="Century Gothic"/>
        </w:rPr>
        <w:t xml:space="preserve">inclusive work environment </w:t>
      </w:r>
      <w:r w:rsidR="00116BA0">
        <w:rPr>
          <w:rFonts w:ascii="Century Gothic" w:hAnsi="Century Gothic"/>
        </w:rPr>
        <w:t xml:space="preserve">expands </w:t>
      </w:r>
      <w:r>
        <w:rPr>
          <w:rFonts w:ascii="Century Gothic" w:hAnsi="Century Gothic"/>
        </w:rPr>
        <w:t xml:space="preserve">access to </w:t>
      </w:r>
      <w:r w:rsidR="00DE1027">
        <w:rPr>
          <w:rFonts w:ascii="Century Gothic" w:hAnsi="Century Gothic"/>
        </w:rPr>
        <w:t xml:space="preserve">a greater talent pool. </w:t>
      </w:r>
      <w:r w:rsidR="00A96A33">
        <w:rPr>
          <w:rFonts w:ascii="Century Gothic" w:hAnsi="Century Gothic"/>
        </w:rPr>
        <w:t xml:space="preserve">Attracting and </w:t>
      </w:r>
      <w:bookmarkStart w:id="33" w:name="_Int_fNASfAW5"/>
      <w:r w:rsidR="00A96A33">
        <w:rPr>
          <w:rFonts w:ascii="Century Gothic" w:hAnsi="Century Gothic"/>
        </w:rPr>
        <w:t>retaining</w:t>
      </w:r>
      <w:bookmarkEnd w:id="33"/>
      <w:r w:rsidR="00A96A33">
        <w:rPr>
          <w:rFonts w:ascii="Century Gothic" w:hAnsi="Century Gothic"/>
        </w:rPr>
        <w:t xml:space="preserve"> diverse talent supports organisational performance, </w:t>
      </w:r>
      <w:bookmarkStart w:id="34" w:name="_Int_X1TCR7FT"/>
      <w:r w:rsidR="00A96A33">
        <w:rPr>
          <w:rFonts w:ascii="Century Gothic" w:hAnsi="Century Gothic"/>
        </w:rPr>
        <w:t>innovation</w:t>
      </w:r>
      <w:bookmarkEnd w:id="34"/>
      <w:r w:rsidR="00A96A33">
        <w:rPr>
          <w:rFonts w:ascii="Century Gothic" w:hAnsi="Century Gothic"/>
        </w:rPr>
        <w:t xml:space="preserve"> and long-term competitiveness </w:t>
      </w:r>
      <w:r w:rsidR="00AD2C8D">
        <w:rPr>
          <w:rFonts w:ascii="Century Gothic" w:hAnsi="Century Gothic"/>
        </w:rPr>
        <w:t>(</w:t>
      </w:r>
      <w:r w:rsidR="000A5121">
        <w:rPr>
          <w:rFonts w:ascii="Century Gothic" w:hAnsi="Century Gothic"/>
        </w:rPr>
        <w:t>Hong &amp; Page, 2004)</w:t>
      </w:r>
      <w:r w:rsidR="00A75393">
        <w:rPr>
          <w:rFonts w:ascii="Century Gothic" w:hAnsi="Century Gothic"/>
        </w:rPr>
        <w:t>.</w:t>
      </w:r>
    </w:p>
    <w:p w14:paraId="39A4CD5B" w14:textId="77777777" w:rsidR="00D26E4A" w:rsidRDefault="00D26E4A" w:rsidP="005D18F3">
      <w:pPr>
        <w:rPr>
          <w:rFonts w:ascii="Century Gothic" w:hAnsi="Century Gothic"/>
        </w:rPr>
      </w:pPr>
    </w:p>
    <w:p w14:paraId="67E13FF1" w14:textId="77777777" w:rsidR="00882578" w:rsidRDefault="00882578" w:rsidP="005D18F3">
      <w:pPr>
        <w:rPr>
          <w:rFonts w:ascii="Century Gothic" w:hAnsi="Century Gothic"/>
        </w:rPr>
      </w:pPr>
    </w:p>
    <w:p w14:paraId="1D8B18E4" w14:textId="77777777" w:rsidR="00882578" w:rsidRDefault="00882578" w:rsidP="005D18F3">
      <w:pPr>
        <w:rPr>
          <w:rFonts w:ascii="Century Gothic" w:hAnsi="Century Gothic"/>
        </w:rPr>
      </w:pPr>
    </w:p>
    <w:p w14:paraId="3B76DAB5" w14:textId="77777777" w:rsidR="00882578" w:rsidRDefault="00882578" w:rsidP="005D18F3">
      <w:pPr>
        <w:rPr>
          <w:rFonts w:ascii="Century Gothic" w:hAnsi="Century Gothic"/>
        </w:rPr>
      </w:pPr>
    </w:p>
    <w:p w14:paraId="7A80D34E" w14:textId="77777777" w:rsidR="00882578" w:rsidRDefault="00882578" w:rsidP="005D18F3">
      <w:pPr>
        <w:rPr>
          <w:rFonts w:ascii="Century Gothic" w:hAnsi="Century Gothic"/>
        </w:rPr>
      </w:pPr>
    </w:p>
    <w:p w14:paraId="53C76AA8" w14:textId="77777777" w:rsidR="00882578" w:rsidRDefault="00882578" w:rsidP="005D18F3">
      <w:pPr>
        <w:rPr>
          <w:rFonts w:ascii="Century Gothic" w:hAnsi="Century Gothic"/>
        </w:rPr>
      </w:pPr>
    </w:p>
    <w:p w14:paraId="354BF273" w14:textId="77777777" w:rsidR="00882578" w:rsidRDefault="00882578" w:rsidP="005D18F3">
      <w:pPr>
        <w:rPr>
          <w:rFonts w:ascii="Century Gothic" w:hAnsi="Century Gothic"/>
        </w:rPr>
      </w:pPr>
    </w:p>
    <w:p w14:paraId="63924C8B" w14:textId="77777777" w:rsidR="00882578" w:rsidRDefault="00882578" w:rsidP="005D18F3">
      <w:pPr>
        <w:rPr>
          <w:rFonts w:ascii="Century Gothic" w:hAnsi="Century Gothic"/>
        </w:rPr>
      </w:pPr>
    </w:p>
    <w:p w14:paraId="5E1A4943" w14:textId="77777777" w:rsidR="00882578" w:rsidRDefault="00882578" w:rsidP="005D18F3">
      <w:pPr>
        <w:rPr>
          <w:rFonts w:ascii="Century Gothic" w:hAnsi="Century Gothic"/>
        </w:rPr>
      </w:pPr>
    </w:p>
    <w:p w14:paraId="0B1D3C52" w14:textId="77777777" w:rsidR="00A96A33" w:rsidRDefault="00A96A33" w:rsidP="005D18F3">
      <w:pPr>
        <w:rPr>
          <w:rFonts w:ascii="Century Gothic" w:hAnsi="Century Gothic"/>
        </w:rPr>
      </w:pPr>
    </w:p>
    <w:p w14:paraId="3CF8DBDE" w14:textId="77777777" w:rsidR="00A96A33" w:rsidRDefault="00A96A33" w:rsidP="005D18F3">
      <w:pPr>
        <w:rPr>
          <w:rFonts w:ascii="Century Gothic" w:hAnsi="Century Gothic"/>
        </w:rPr>
      </w:pPr>
    </w:p>
    <w:p w14:paraId="4E200BD8" w14:textId="77777777" w:rsidR="00A96A33" w:rsidRDefault="00A96A33" w:rsidP="005D18F3">
      <w:pPr>
        <w:rPr>
          <w:rFonts w:ascii="Century Gothic" w:hAnsi="Century Gothic"/>
        </w:rPr>
      </w:pPr>
    </w:p>
    <w:p w14:paraId="6728CBD5" w14:textId="77777777" w:rsidR="00A96A33" w:rsidRDefault="00A96A33" w:rsidP="005D18F3">
      <w:pPr>
        <w:rPr>
          <w:rFonts w:ascii="Century Gothic" w:hAnsi="Century Gothic"/>
        </w:rPr>
      </w:pPr>
    </w:p>
    <w:p w14:paraId="2D476044" w14:textId="77777777" w:rsidR="00882578" w:rsidRDefault="00882578" w:rsidP="005D18F3">
      <w:pPr>
        <w:rPr>
          <w:rFonts w:ascii="Century Gothic" w:hAnsi="Century Gothic"/>
        </w:rPr>
      </w:pPr>
    </w:p>
    <w:p w14:paraId="3078041D" w14:textId="43A44DF5" w:rsidR="00882578" w:rsidRDefault="00882578" w:rsidP="005D18F3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Conclusion:</w:t>
      </w:r>
    </w:p>
    <w:p w14:paraId="3614165D" w14:textId="4162C22D" w:rsidR="00882578" w:rsidRDefault="007A3A65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conclusion, Deloitte </w:t>
      </w:r>
      <w:bookmarkStart w:id="35" w:name="_Int_Ymg5ueYe"/>
      <w:r>
        <w:rPr>
          <w:rFonts w:ascii="Century Gothic" w:hAnsi="Century Gothic"/>
        </w:rPr>
        <w:t>demonstrates</w:t>
      </w:r>
      <w:bookmarkEnd w:id="35"/>
      <w:r>
        <w:rPr>
          <w:rFonts w:ascii="Century Gothic" w:hAnsi="Century Gothic"/>
        </w:rPr>
        <w:t xml:space="preserve"> a reputable </w:t>
      </w:r>
      <w:r w:rsidR="00A2519B">
        <w:rPr>
          <w:rFonts w:ascii="Century Gothic" w:hAnsi="Century Gothic"/>
        </w:rPr>
        <w:t xml:space="preserve">approach to diversity and inclusion. Through clear gender balance targets, ethnicity action planning, LGBTQ+ inclusion networks, disability and neurodiversity </w:t>
      </w:r>
      <w:r w:rsidR="00CF1062">
        <w:rPr>
          <w:rFonts w:ascii="Century Gothic" w:hAnsi="Century Gothic"/>
        </w:rPr>
        <w:t>initiatives</w:t>
      </w:r>
      <w:r w:rsidR="00A2519B">
        <w:rPr>
          <w:rFonts w:ascii="Century Gothic" w:hAnsi="Century Gothic"/>
        </w:rPr>
        <w:t xml:space="preserve"> and hybrid and flexible working approaches</w:t>
      </w:r>
      <w:r w:rsidR="005F2E0C">
        <w:rPr>
          <w:rFonts w:ascii="Century Gothic" w:hAnsi="Century Gothic"/>
        </w:rPr>
        <w:t xml:space="preserve">, the organisation has positioned itself well as a proactive role model </w:t>
      </w:r>
      <w:r w:rsidR="00524ADC">
        <w:rPr>
          <w:rFonts w:ascii="Century Gothic" w:hAnsi="Century Gothic"/>
        </w:rPr>
        <w:t xml:space="preserve">within its industry. Its willingness to report transparently and align with legislation suggests Deloitte </w:t>
      </w:r>
      <w:bookmarkStart w:id="36" w:name="_Int_Enj8IqOV"/>
      <w:r w:rsidR="00524ADC">
        <w:rPr>
          <w:rFonts w:ascii="Century Gothic" w:hAnsi="Century Gothic"/>
        </w:rPr>
        <w:t>seeks</w:t>
      </w:r>
      <w:bookmarkEnd w:id="36"/>
      <w:r w:rsidR="00524ADC">
        <w:rPr>
          <w:rFonts w:ascii="Century Gothic" w:hAnsi="Century Gothic"/>
        </w:rPr>
        <w:t xml:space="preserve"> not only </w:t>
      </w:r>
      <w:r w:rsidR="007655D6">
        <w:rPr>
          <w:rFonts w:ascii="Century Gothic" w:hAnsi="Century Gothic"/>
        </w:rPr>
        <w:t xml:space="preserve">compliance but also industry leadership. </w:t>
      </w:r>
      <w:r w:rsidR="00D2533A">
        <w:rPr>
          <w:rFonts w:ascii="Century Gothic" w:hAnsi="Century Gothic"/>
        </w:rPr>
        <w:t>C</w:t>
      </w:r>
      <w:r w:rsidR="007655D6">
        <w:rPr>
          <w:rFonts w:ascii="Century Gothic" w:hAnsi="Century Gothic"/>
        </w:rPr>
        <w:t>ontribut</w:t>
      </w:r>
      <w:r w:rsidR="00D2533A">
        <w:rPr>
          <w:rFonts w:ascii="Century Gothic" w:hAnsi="Century Gothic"/>
        </w:rPr>
        <w:t>ing</w:t>
      </w:r>
      <w:r w:rsidR="007655D6">
        <w:rPr>
          <w:rFonts w:ascii="Century Gothic" w:hAnsi="Century Gothic"/>
        </w:rPr>
        <w:t xml:space="preserve"> positively to the growing needs of the labour market</w:t>
      </w:r>
      <w:r w:rsidR="000F19AD">
        <w:rPr>
          <w:rFonts w:ascii="Century Gothic" w:hAnsi="Century Gothic"/>
        </w:rPr>
        <w:t>,</w:t>
      </w:r>
      <w:r w:rsidR="00D2533A">
        <w:rPr>
          <w:rFonts w:ascii="Century Gothic" w:hAnsi="Century Gothic"/>
        </w:rPr>
        <w:t xml:space="preserve"> they </w:t>
      </w:r>
      <w:bookmarkStart w:id="37" w:name="_Int_PyfhsT0H"/>
      <w:r w:rsidR="00D2533A">
        <w:rPr>
          <w:rFonts w:ascii="Century Gothic" w:hAnsi="Century Gothic"/>
        </w:rPr>
        <w:t>benefit</w:t>
      </w:r>
      <w:bookmarkEnd w:id="37"/>
      <w:r w:rsidR="00D2533A">
        <w:rPr>
          <w:rFonts w:ascii="Century Gothic" w:hAnsi="Century Gothic"/>
        </w:rPr>
        <w:t xml:space="preserve"> from </w:t>
      </w:r>
      <w:r w:rsidR="006E4DEB">
        <w:rPr>
          <w:rFonts w:ascii="Century Gothic" w:hAnsi="Century Gothic"/>
        </w:rPr>
        <w:t xml:space="preserve">engagement, </w:t>
      </w:r>
      <w:r w:rsidR="00D86DE9">
        <w:rPr>
          <w:rFonts w:ascii="Century Gothic" w:hAnsi="Century Gothic"/>
        </w:rPr>
        <w:t xml:space="preserve">retention, psychological safety, </w:t>
      </w:r>
      <w:r w:rsidR="00B63F54">
        <w:rPr>
          <w:rFonts w:ascii="Century Gothic" w:hAnsi="Century Gothic"/>
        </w:rPr>
        <w:t xml:space="preserve">client trust, financial metric increase, and competitiveness. </w:t>
      </w:r>
    </w:p>
    <w:p w14:paraId="27B7C6EF" w14:textId="0B98D994" w:rsidR="00B63F54" w:rsidRDefault="00847353" w:rsidP="005D18F3">
      <w:pPr>
        <w:rPr>
          <w:rFonts w:ascii="Century Gothic" w:hAnsi="Century Gothic"/>
        </w:rPr>
      </w:pPr>
      <w:r>
        <w:rPr>
          <w:rFonts w:ascii="Century Gothic" w:hAnsi="Century Gothic"/>
        </w:rPr>
        <w:t>In contrast</w:t>
      </w:r>
      <w:r w:rsidR="00B63F54">
        <w:rPr>
          <w:rFonts w:ascii="Century Gothic" w:hAnsi="Century Gothic"/>
        </w:rPr>
        <w:t xml:space="preserve">, </w:t>
      </w:r>
      <w:r w:rsidR="00D747BE">
        <w:rPr>
          <w:rFonts w:ascii="Century Gothic" w:hAnsi="Century Gothic"/>
        </w:rPr>
        <w:t xml:space="preserve">the </w:t>
      </w:r>
      <w:r w:rsidR="00B63F54">
        <w:rPr>
          <w:rFonts w:ascii="Century Gothic" w:hAnsi="Century Gothic"/>
        </w:rPr>
        <w:t xml:space="preserve">structural inequalities </w:t>
      </w:r>
      <w:r w:rsidR="00052115">
        <w:rPr>
          <w:rFonts w:ascii="Century Gothic" w:hAnsi="Century Gothic"/>
        </w:rPr>
        <w:t xml:space="preserve">that still exist within the industry mean that the professional services sector </w:t>
      </w:r>
      <w:bookmarkStart w:id="38" w:name="_Int_LsQDdSpz"/>
      <w:r w:rsidR="00052115">
        <w:rPr>
          <w:rFonts w:ascii="Century Gothic" w:hAnsi="Century Gothic"/>
        </w:rPr>
        <w:t>remains</w:t>
      </w:r>
      <w:bookmarkEnd w:id="38"/>
      <w:r w:rsidR="00D747BE">
        <w:rPr>
          <w:rFonts w:ascii="Century Gothic" w:hAnsi="Century Gothic"/>
        </w:rPr>
        <w:t xml:space="preserve"> </w:t>
      </w:r>
      <w:r w:rsidR="00DB1ADD">
        <w:rPr>
          <w:rFonts w:ascii="Century Gothic" w:hAnsi="Century Gothic"/>
        </w:rPr>
        <w:t xml:space="preserve">non-representative </w:t>
      </w:r>
      <w:r w:rsidR="00485EBE">
        <w:rPr>
          <w:rFonts w:ascii="Century Gothic" w:hAnsi="Century Gothic"/>
        </w:rPr>
        <w:t>at senior levels. T</w:t>
      </w:r>
      <w:r w:rsidR="00F45019">
        <w:rPr>
          <w:rFonts w:ascii="Century Gothic" w:hAnsi="Century Gothic"/>
        </w:rPr>
        <w:t xml:space="preserve">o achieve a sustainable impact, </w:t>
      </w:r>
      <w:r w:rsidR="001E72C2">
        <w:rPr>
          <w:rFonts w:ascii="Century Gothic" w:hAnsi="Century Gothic"/>
        </w:rPr>
        <w:t>diversity and inclusivity must move beyond numerical representation and policy towards deeper cultural change by managing inclusive behaviours</w:t>
      </w:r>
      <w:r w:rsidR="007C3E04">
        <w:rPr>
          <w:rFonts w:ascii="Century Gothic" w:hAnsi="Century Gothic"/>
        </w:rPr>
        <w:t xml:space="preserve"> </w:t>
      </w:r>
      <w:r w:rsidR="008B4564">
        <w:rPr>
          <w:rFonts w:ascii="Century Gothic" w:hAnsi="Century Gothic"/>
        </w:rPr>
        <w:t xml:space="preserve">(norms) </w:t>
      </w:r>
      <w:r w:rsidR="007C3E04">
        <w:rPr>
          <w:rFonts w:ascii="Century Gothic" w:hAnsi="Century Gothic"/>
        </w:rPr>
        <w:t xml:space="preserve">and </w:t>
      </w:r>
      <w:r w:rsidR="008F1945">
        <w:rPr>
          <w:rFonts w:ascii="Century Gothic" w:hAnsi="Century Gothic"/>
        </w:rPr>
        <w:t>equal promotional pathways</w:t>
      </w:r>
      <w:r w:rsidR="007C3E04">
        <w:rPr>
          <w:rFonts w:ascii="Century Gothic" w:hAnsi="Century Gothic"/>
        </w:rPr>
        <w:t xml:space="preserve">. </w:t>
      </w:r>
      <w:r w:rsidR="00D02B1A">
        <w:rPr>
          <w:rFonts w:ascii="Century Gothic" w:hAnsi="Century Gothic"/>
        </w:rPr>
        <w:t>Deloitte’s</w:t>
      </w:r>
      <w:r w:rsidR="007C3E04">
        <w:rPr>
          <w:rFonts w:ascii="Century Gothic" w:hAnsi="Century Gothic"/>
        </w:rPr>
        <w:t xml:space="preserve"> long-term success will depend </w:t>
      </w:r>
      <w:r w:rsidR="00BD7E85">
        <w:rPr>
          <w:rFonts w:ascii="Century Gothic" w:hAnsi="Century Gothic"/>
        </w:rPr>
        <w:t xml:space="preserve">on reaching targets by transforming the structures that </w:t>
      </w:r>
      <w:bookmarkStart w:id="39" w:name="_Int_44mk6xhx"/>
      <w:r w:rsidR="00BD7E85">
        <w:rPr>
          <w:rFonts w:ascii="Century Gothic" w:hAnsi="Century Gothic"/>
        </w:rPr>
        <w:t>determine</w:t>
      </w:r>
      <w:bookmarkEnd w:id="39"/>
      <w:r w:rsidR="00BD7E85">
        <w:rPr>
          <w:rFonts w:ascii="Century Gothic" w:hAnsi="Century Gothic"/>
        </w:rPr>
        <w:t xml:space="preserve"> progression and leadership.</w:t>
      </w:r>
    </w:p>
    <w:p w14:paraId="26661A11" w14:textId="77777777" w:rsidR="00D02B1A" w:rsidRDefault="00D02B1A" w:rsidP="005D18F3">
      <w:pPr>
        <w:rPr>
          <w:rFonts w:ascii="Century Gothic" w:hAnsi="Century Gothic"/>
        </w:rPr>
      </w:pPr>
    </w:p>
    <w:p w14:paraId="219117E4" w14:textId="77777777" w:rsidR="00D02B1A" w:rsidRDefault="00D02B1A" w:rsidP="005D18F3">
      <w:pPr>
        <w:rPr>
          <w:rFonts w:ascii="Century Gothic" w:hAnsi="Century Gothic"/>
        </w:rPr>
      </w:pPr>
    </w:p>
    <w:p w14:paraId="16AAC0F4" w14:textId="77777777" w:rsidR="00D02B1A" w:rsidRDefault="00D02B1A" w:rsidP="005D18F3">
      <w:pPr>
        <w:rPr>
          <w:rFonts w:ascii="Century Gothic" w:hAnsi="Century Gothic"/>
        </w:rPr>
      </w:pPr>
    </w:p>
    <w:p w14:paraId="685E3EE1" w14:textId="77777777" w:rsidR="00D02B1A" w:rsidRDefault="00D02B1A" w:rsidP="005D18F3">
      <w:pPr>
        <w:rPr>
          <w:rFonts w:ascii="Century Gothic" w:hAnsi="Century Gothic"/>
        </w:rPr>
      </w:pPr>
    </w:p>
    <w:p w14:paraId="2DD9891C" w14:textId="77777777" w:rsidR="00D02B1A" w:rsidRDefault="00D02B1A" w:rsidP="005D18F3">
      <w:pPr>
        <w:rPr>
          <w:rFonts w:ascii="Century Gothic" w:hAnsi="Century Gothic"/>
        </w:rPr>
      </w:pPr>
    </w:p>
    <w:p w14:paraId="46A263AA" w14:textId="77777777" w:rsidR="00D02B1A" w:rsidRDefault="00D02B1A" w:rsidP="005D18F3">
      <w:pPr>
        <w:rPr>
          <w:rFonts w:ascii="Century Gothic" w:hAnsi="Century Gothic"/>
        </w:rPr>
      </w:pPr>
    </w:p>
    <w:p w14:paraId="5E857AEA" w14:textId="77777777" w:rsidR="00D02B1A" w:rsidRDefault="00D02B1A" w:rsidP="005D18F3">
      <w:pPr>
        <w:rPr>
          <w:rFonts w:ascii="Century Gothic" w:hAnsi="Century Gothic"/>
        </w:rPr>
      </w:pPr>
    </w:p>
    <w:p w14:paraId="645A9286" w14:textId="77777777" w:rsidR="00D02B1A" w:rsidRDefault="00D02B1A" w:rsidP="005D18F3">
      <w:pPr>
        <w:rPr>
          <w:rFonts w:ascii="Century Gothic" w:hAnsi="Century Gothic"/>
        </w:rPr>
      </w:pPr>
    </w:p>
    <w:p w14:paraId="71182F10" w14:textId="77777777" w:rsidR="00D02B1A" w:rsidRDefault="00D02B1A" w:rsidP="005D18F3">
      <w:pPr>
        <w:rPr>
          <w:rFonts w:ascii="Century Gothic" w:hAnsi="Century Gothic"/>
        </w:rPr>
      </w:pPr>
    </w:p>
    <w:p w14:paraId="6E09B31D" w14:textId="77777777" w:rsidR="00D02B1A" w:rsidRDefault="00D02B1A" w:rsidP="005D18F3">
      <w:pPr>
        <w:rPr>
          <w:rFonts w:ascii="Century Gothic" w:hAnsi="Century Gothic"/>
        </w:rPr>
      </w:pPr>
    </w:p>
    <w:p w14:paraId="1E9B4F39" w14:textId="77777777" w:rsidR="00D02B1A" w:rsidRDefault="00D02B1A" w:rsidP="005D18F3">
      <w:pPr>
        <w:rPr>
          <w:rFonts w:ascii="Century Gothic" w:hAnsi="Century Gothic"/>
        </w:rPr>
      </w:pPr>
    </w:p>
    <w:p w14:paraId="5C7F871A" w14:textId="77777777" w:rsidR="00BD7E85" w:rsidRDefault="00BD7E85" w:rsidP="005D18F3">
      <w:pPr>
        <w:rPr>
          <w:rFonts w:ascii="Century Gothic" w:hAnsi="Century Gothic"/>
        </w:rPr>
      </w:pPr>
    </w:p>
    <w:p w14:paraId="6E920A53" w14:textId="77777777" w:rsidR="00BD7E85" w:rsidRDefault="00BD7E85" w:rsidP="005D18F3">
      <w:pPr>
        <w:rPr>
          <w:rFonts w:ascii="Century Gothic" w:hAnsi="Century Gothic"/>
        </w:rPr>
      </w:pPr>
    </w:p>
    <w:p w14:paraId="4F29DFA7" w14:textId="77777777" w:rsidR="00BD7E85" w:rsidRDefault="00BD7E85" w:rsidP="005D18F3">
      <w:pPr>
        <w:rPr>
          <w:rFonts w:ascii="Century Gothic" w:hAnsi="Century Gothic"/>
        </w:rPr>
      </w:pPr>
    </w:p>
    <w:p w14:paraId="3BF5E32A" w14:textId="77777777" w:rsidR="00D02B1A" w:rsidRDefault="00D02B1A" w:rsidP="005D18F3">
      <w:pPr>
        <w:rPr>
          <w:rFonts w:ascii="Century Gothic" w:hAnsi="Century Gothic"/>
        </w:rPr>
      </w:pPr>
    </w:p>
    <w:p w14:paraId="7790EC60" w14:textId="7C6F7982" w:rsidR="00D02B1A" w:rsidRDefault="00087070" w:rsidP="005D18F3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Recommendations:</w:t>
      </w:r>
    </w:p>
    <w:p w14:paraId="0CED75D2" w14:textId="09C948AE" w:rsidR="00087070" w:rsidRDefault="00783D22" w:rsidP="00CF5DBD">
      <w:pPr>
        <w:pStyle w:val="ListParagraph"/>
        <w:numPr>
          <w:ilvl w:val="1"/>
          <w:numId w:val="2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Increase transparency around progression rates. </w:t>
      </w:r>
    </w:p>
    <w:p w14:paraId="3931E8BD" w14:textId="01DFB858" w:rsidR="00783D22" w:rsidRDefault="00783D22" w:rsidP="00783D22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To remain transparent and </w:t>
      </w:r>
      <w:r w:rsidR="00561851">
        <w:rPr>
          <w:rFonts w:ascii="Century Gothic" w:hAnsi="Century Gothic"/>
        </w:rPr>
        <w:t xml:space="preserve">pledge accountability, </w:t>
      </w:r>
      <w:r w:rsidR="005A7046">
        <w:rPr>
          <w:rFonts w:ascii="Century Gothic" w:hAnsi="Century Gothic"/>
        </w:rPr>
        <w:t xml:space="preserve">Deloitte should publish more internal data about progression, retention and promotion rates across gender, ethnicity, </w:t>
      </w:r>
      <w:r w:rsidR="004215F6">
        <w:rPr>
          <w:rFonts w:ascii="Century Gothic" w:hAnsi="Century Gothic"/>
        </w:rPr>
        <w:t>disability,</w:t>
      </w:r>
      <w:r w:rsidR="005A7046">
        <w:rPr>
          <w:rFonts w:ascii="Century Gothic" w:hAnsi="Century Gothic"/>
        </w:rPr>
        <w:t xml:space="preserve"> and </w:t>
      </w:r>
      <w:r w:rsidR="00B060EC">
        <w:rPr>
          <w:rFonts w:ascii="Century Gothic" w:hAnsi="Century Gothic"/>
        </w:rPr>
        <w:t>other intersectional categories</w:t>
      </w:r>
      <w:r w:rsidR="00EE040B">
        <w:rPr>
          <w:rFonts w:ascii="Century Gothic" w:hAnsi="Century Gothic"/>
        </w:rPr>
        <w:t xml:space="preserve">, particularly at senior and partner levels. </w:t>
      </w:r>
      <w:r w:rsidR="008159E6">
        <w:rPr>
          <w:rFonts w:ascii="Century Gothic" w:hAnsi="Century Gothic"/>
        </w:rPr>
        <w:t xml:space="preserve">A successful example of this is a competitor, PwC, </w:t>
      </w:r>
      <w:r w:rsidR="007524DE">
        <w:rPr>
          <w:rFonts w:ascii="Century Gothic" w:hAnsi="Century Gothic"/>
        </w:rPr>
        <w:t xml:space="preserve">who publishes </w:t>
      </w:r>
      <w:r w:rsidR="004B0184">
        <w:rPr>
          <w:rFonts w:ascii="Century Gothic" w:hAnsi="Century Gothic"/>
        </w:rPr>
        <w:t xml:space="preserve">recruitment and representation metrics. The company have </w:t>
      </w:r>
      <w:r w:rsidR="00190519">
        <w:rPr>
          <w:rFonts w:ascii="Century Gothic" w:hAnsi="Century Gothic"/>
        </w:rPr>
        <w:t>improved employee confidence and received recognition in external rankings (</w:t>
      </w:r>
      <w:r w:rsidR="00C813EF">
        <w:rPr>
          <w:rFonts w:ascii="Century Gothic" w:hAnsi="Century Gothic"/>
        </w:rPr>
        <w:t>Woffindin, 2024)</w:t>
      </w:r>
      <w:r w:rsidR="002A3DFC">
        <w:rPr>
          <w:rFonts w:ascii="Century Gothic" w:hAnsi="Century Gothic"/>
        </w:rPr>
        <w:t xml:space="preserve">. This means that increased public reporting may strengthen Deloitte’s accountability and </w:t>
      </w:r>
      <w:r w:rsidR="00A92B1F">
        <w:rPr>
          <w:rFonts w:ascii="Century Gothic" w:hAnsi="Century Gothic"/>
        </w:rPr>
        <w:t xml:space="preserve">employee </w:t>
      </w:r>
      <w:r w:rsidR="002A3DFC">
        <w:rPr>
          <w:rFonts w:ascii="Century Gothic" w:hAnsi="Century Gothic"/>
        </w:rPr>
        <w:t xml:space="preserve">confidence in diverse leadership. </w:t>
      </w:r>
    </w:p>
    <w:p w14:paraId="564CFBB7" w14:textId="39F3A141" w:rsidR="00834E20" w:rsidRDefault="00877E26" w:rsidP="00834E20">
      <w:pPr>
        <w:pStyle w:val="ListParagraph"/>
        <w:numPr>
          <w:ilvl w:val="1"/>
          <w:numId w:val="25"/>
        </w:numPr>
        <w:rPr>
          <w:rFonts w:ascii="Century Gothic" w:hAnsi="Century Gothic"/>
        </w:rPr>
      </w:pPr>
      <w:r>
        <w:rPr>
          <w:rFonts w:ascii="Century Gothic" w:hAnsi="Century Gothic"/>
        </w:rPr>
        <w:t>Move from target-based diversity to inclusion metrics.</w:t>
      </w:r>
    </w:p>
    <w:p w14:paraId="47D28F9C" w14:textId="5EC31135" w:rsidR="00877E26" w:rsidRDefault="005B1959" w:rsidP="00877E26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Numerical targets </w:t>
      </w:r>
      <w:r w:rsidR="007E5932">
        <w:rPr>
          <w:rFonts w:ascii="Century Gothic" w:hAnsi="Century Gothic"/>
        </w:rPr>
        <w:t xml:space="preserve">are important to track progression at a statistical </w:t>
      </w:r>
      <w:r w:rsidR="00892CB7">
        <w:rPr>
          <w:rFonts w:ascii="Century Gothic" w:hAnsi="Century Gothic"/>
        </w:rPr>
        <w:t>level;</w:t>
      </w:r>
      <w:r w:rsidR="007E5932">
        <w:rPr>
          <w:rFonts w:ascii="Century Gothic" w:hAnsi="Century Gothic"/>
        </w:rPr>
        <w:t xml:space="preserve"> however, they do not recognise further barriers to already set policy. </w:t>
      </w:r>
      <w:r w:rsidR="00511F45">
        <w:rPr>
          <w:rFonts w:ascii="Century Gothic" w:hAnsi="Century Gothic"/>
        </w:rPr>
        <w:t>By internally measuring qualitative data, employees would better be able to communicate to an organisation</w:t>
      </w:r>
      <w:r w:rsidR="00BF3A2F">
        <w:rPr>
          <w:rFonts w:ascii="Century Gothic" w:hAnsi="Century Gothic"/>
        </w:rPr>
        <w:t xml:space="preserve"> any continued barriers to equality. </w:t>
      </w:r>
      <w:r w:rsidR="00220633">
        <w:rPr>
          <w:rFonts w:ascii="Century Gothic" w:hAnsi="Century Gothic"/>
        </w:rPr>
        <w:t>An example of this working successfully is at EY</w:t>
      </w:r>
      <w:r w:rsidR="00A00F65">
        <w:rPr>
          <w:rFonts w:ascii="Century Gothic" w:hAnsi="Century Gothic"/>
        </w:rPr>
        <w:t>. The business</w:t>
      </w:r>
      <w:r w:rsidR="00A21DD5">
        <w:rPr>
          <w:rFonts w:ascii="Century Gothic" w:hAnsi="Century Gothic"/>
        </w:rPr>
        <w:t xml:space="preserve"> developed a</w:t>
      </w:r>
      <w:r w:rsidR="00961635">
        <w:rPr>
          <w:rFonts w:ascii="Century Gothic" w:hAnsi="Century Gothic"/>
        </w:rPr>
        <w:t xml:space="preserve"> </w:t>
      </w:r>
      <w:r w:rsidR="00A00F65">
        <w:rPr>
          <w:rFonts w:ascii="Century Gothic" w:hAnsi="Century Gothic"/>
        </w:rPr>
        <w:t xml:space="preserve">“Belonging Index” to measure </w:t>
      </w:r>
      <w:r w:rsidR="00EA4038">
        <w:rPr>
          <w:rFonts w:ascii="Century Gothic" w:hAnsi="Century Gothic"/>
        </w:rPr>
        <w:t>employees' sense of belong</w:t>
      </w:r>
      <w:r w:rsidR="00111595">
        <w:rPr>
          <w:rFonts w:ascii="Century Gothic" w:hAnsi="Century Gothic"/>
        </w:rPr>
        <w:t>ing</w:t>
      </w:r>
      <w:r w:rsidR="00EA4038">
        <w:rPr>
          <w:rFonts w:ascii="Century Gothic" w:hAnsi="Century Gothic"/>
        </w:rPr>
        <w:t xml:space="preserve"> through anonymous surveys</w:t>
      </w:r>
      <w:r w:rsidR="00003DD9">
        <w:rPr>
          <w:rFonts w:ascii="Century Gothic" w:hAnsi="Century Gothic"/>
        </w:rPr>
        <w:t>,</w:t>
      </w:r>
      <w:r w:rsidR="00305CF2">
        <w:rPr>
          <w:rFonts w:ascii="Century Gothic" w:hAnsi="Century Gothic"/>
        </w:rPr>
        <w:t xml:space="preserve"> regular </w:t>
      </w:r>
      <w:r w:rsidR="00111595">
        <w:rPr>
          <w:rFonts w:ascii="Century Gothic" w:hAnsi="Century Gothic"/>
        </w:rPr>
        <w:t>feedback, and</w:t>
      </w:r>
      <w:r w:rsidR="00003DD9">
        <w:rPr>
          <w:rFonts w:ascii="Century Gothic" w:hAnsi="Century Gothic"/>
        </w:rPr>
        <w:t xml:space="preserve"> </w:t>
      </w:r>
      <w:r w:rsidR="00111595">
        <w:rPr>
          <w:rFonts w:ascii="Century Gothic" w:hAnsi="Century Gothic"/>
        </w:rPr>
        <w:t xml:space="preserve">psychological safety scores. In </w:t>
      </w:r>
      <w:r w:rsidR="00305CF2">
        <w:rPr>
          <w:rFonts w:ascii="Century Gothic" w:hAnsi="Century Gothic"/>
        </w:rPr>
        <w:t>turn</w:t>
      </w:r>
      <w:r w:rsidR="003E795E">
        <w:rPr>
          <w:rFonts w:ascii="Century Gothic" w:hAnsi="Century Gothic"/>
        </w:rPr>
        <w:t>,</w:t>
      </w:r>
      <w:r w:rsidR="00305CF2">
        <w:rPr>
          <w:rFonts w:ascii="Century Gothic" w:hAnsi="Century Gothic"/>
        </w:rPr>
        <w:t xml:space="preserve"> this increased retention rates and </w:t>
      </w:r>
      <w:r w:rsidR="00B94058">
        <w:rPr>
          <w:rFonts w:ascii="Century Gothic" w:hAnsi="Century Gothic"/>
        </w:rPr>
        <w:t xml:space="preserve">higher scores on employee engagement (Burt, 2025). </w:t>
      </w:r>
      <w:r w:rsidR="009E29B0">
        <w:rPr>
          <w:rFonts w:ascii="Century Gothic" w:hAnsi="Century Gothic"/>
        </w:rPr>
        <w:t xml:space="preserve">This </w:t>
      </w:r>
      <w:r w:rsidR="00494B0F">
        <w:rPr>
          <w:rFonts w:ascii="Century Gothic" w:hAnsi="Century Gothic"/>
        </w:rPr>
        <w:t>im</w:t>
      </w:r>
      <w:r w:rsidR="002A1F05">
        <w:rPr>
          <w:rFonts w:ascii="Century Gothic" w:hAnsi="Century Gothic"/>
        </w:rPr>
        <w:t xml:space="preserve">plies </w:t>
      </w:r>
      <w:r w:rsidR="00861FA6">
        <w:rPr>
          <w:rFonts w:ascii="Century Gothic" w:hAnsi="Century Gothic"/>
        </w:rPr>
        <w:t>that Deloitte should strengthen its capacity to address underlying</w:t>
      </w:r>
      <w:r w:rsidR="00494B0F">
        <w:rPr>
          <w:rFonts w:ascii="Century Gothic" w:hAnsi="Century Gothic"/>
        </w:rPr>
        <w:t xml:space="preserve"> structural inclusivity challenges. </w:t>
      </w:r>
    </w:p>
    <w:p w14:paraId="407EB76C" w14:textId="5BFD4B58" w:rsidR="00892CB7" w:rsidRDefault="00123F53" w:rsidP="00892CB7">
      <w:pPr>
        <w:pStyle w:val="ListParagraph"/>
        <w:numPr>
          <w:ilvl w:val="1"/>
          <w:numId w:val="25"/>
        </w:numPr>
        <w:rPr>
          <w:rFonts w:ascii="Century Gothic" w:hAnsi="Century Gothic"/>
        </w:rPr>
      </w:pPr>
      <w:r>
        <w:rPr>
          <w:rFonts w:ascii="Century Gothic" w:hAnsi="Century Gothic"/>
        </w:rPr>
        <w:t>Introduce independent auditing of diversity and inclusion outcomes.</w:t>
      </w:r>
    </w:p>
    <w:p w14:paraId="03AE36EA" w14:textId="517D1C72" w:rsidR="00123F53" w:rsidRDefault="002A310B" w:rsidP="00123F53">
      <w:pPr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123F53">
        <w:rPr>
          <w:rFonts w:ascii="Century Gothic" w:hAnsi="Century Gothic"/>
        </w:rPr>
        <w:t>xternal audits of the promotion process, pay equity and workplace culture would enhance Deloitte’s credibility as an organisation</w:t>
      </w:r>
      <w:r w:rsidR="00887E43">
        <w:rPr>
          <w:rFonts w:ascii="Century Gothic" w:hAnsi="Century Gothic"/>
        </w:rPr>
        <w:t xml:space="preserve"> </w:t>
      </w:r>
      <w:r w:rsidR="00195F8B">
        <w:rPr>
          <w:rFonts w:ascii="Century Gothic" w:hAnsi="Century Gothic"/>
        </w:rPr>
        <w:t xml:space="preserve">by </w:t>
      </w:r>
      <w:r w:rsidR="00887E43">
        <w:rPr>
          <w:rFonts w:ascii="Century Gothic" w:hAnsi="Century Gothic"/>
        </w:rPr>
        <w:t xml:space="preserve">reducing bias </w:t>
      </w:r>
      <w:r w:rsidR="00A46251">
        <w:rPr>
          <w:rFonts w:ascii="Century Gothic" w:hAnsi="Century Gothic"/>
        </w:rPr>
        <w:t xml:space="preserve">and lived employee experience. </w:t>
      </w:r>
      <w:r w:rsidR="001B6441">
        <w:rPr>
          <w:rFonts w:ascii="Century Gothic" w:hAnsi="Century Gothic"/>
        </w:rPr>
        <w:t xml:space="preserve">An example of </w:t>
      </w:r>
      <w:r w:rsidR="00CB19FD">
        <w:rPr>
          <w:rFonts w:ascii="Century Gothic" w:hAnsi="Century Gothic"/>
        </w:rPr>
        <w:t>this is</w:t>
      </w:r>
      <w:r w:rsidR="00C247F4">
        <w:rPr>
          <w:rFonts w:ascii="Century Gothic" w:hAnsi="Century Gothic"/>
        </w:rPr>
        <w:t xml:space="preserve"> </w:t>
      </w:r>
      <w:r w:rsidR="00C36CD7">
        <w:rPr>
          <w:rFonts w:ascii="Century Gothic" w:hAnsi="Century Gothic"/>
        </w:rPr>
        <w:t>Voda</w:t>
      </w:r>
      <w:r w:rsidR="003E795E">
        <w:rPr>
          <w:rFonts w:ascii="Century Gothic" w:hAnsi="Century Gothic"/>
        </w:rPr>
        <w:t>f</w:t>
      </w:r>
      <w:r w:rsidR="00C36CD7">
        <w:rPr>
          <w:rFonts w:ascii="Century Gothic" w:hAnsi="Century Gothic"/>
        </w:rPr>
        <w:t xml:space="preserve">one Group using an external </w:t>
      </w:r>
      <w:r w:rsidR="00AB35EE">
        <w:rPr>
          <w:rFonts w:ascii="Century Gothic" w:hAnsi="Century Gothic"/>
        </w:rPr>
        <w:t xml:space="preserve">ESG </w:t>
      </w:r>
      <w:r w:rsidR="00C36CD7">
        <w:rPr>
          <w:rFonts w:ascii="Century Gothic" w:hAnsi="Century Gothic"/>
        </w:rPr>
        <w:t xml:space="preserve">audit </w:t>
      </w:r>
      <w:r w:rsidR="00C56F7D">
        <w:rPr>
          <w:rFonts w:ascii="Century Gothic" w:hAnsi="Century Gothic"/>
        </w:rPr>
        <w:t xml:space="preserve">from KPMG LLP </w:t>
      </w:r>
      <w:r w:rsidR="00C36CD7">
        <w:rPr>
          <w:rFonts w:ascii="Century Gothic" w:hAnsi="Century Gothic"/>
        </w:rPr>
        <w:t xml:space="preserve">to assure transparency </w:t>
      </w:r>
      <w:r w:rsidR="00C56F7D">
        <w:rPr>
          <w:rFonts w:ascii="Century Gothic" w:hAnsi="Century Gothic"/>
        </w:rPr>
        <w:t xml:space="preserve">to consumers and employees </w:t>
      </w:r>
      <w:r w:rsidR="00AB35EE">
        <w:rPr>
          <w:rFonts w:ascii="Century Gothic" w:hAnsi="Century Gothic"/>
        </w:rPr>
        <w:t xml:space="preserve">over their diversity and inclusivity </w:t>
      </w:r>
      <w:r w:rsidR="00950975">
        <w:rPr>
          <w:rFonts w:ascii="Century Gothic" w:hAnsi="Century Gothic"/>
        </w:rPr>
        <w:t>metrics (</w:t>
      </w:r>
      <w:r w:rsidR="00111890">
        <w:rPr>
          <w:rFonts w:ascii="Century Gothic" w:hAnsi="Century Gothic"/>
        </w:rPr>
        <w:t>Voda</w:t>
      </w:r>
      <w:r w:rsidR="007B423B">
        <w:rPr>
          <w:rFonts w:ascii="Century Gothic" w:hAnsi="Century Gothic"/>
        </w:rPr>
        <w:t>f</w:t>
      </w:r>
      <w:r w:rsidR="00111890">
        <w:rPr>
          <w:rFonts w:ascii="Century Gothic" w:hAnsi="Century Gothic"/>
        </w:rPr>
        <w:t xml:space="preserve">one Group Plc, 2024). By doing this, </w:t>
      </w:r>
      <w:r w:rsidR="00AC1B85">
        <w:rPr>
          <w:rFonts w:ascii="Century Gothic" w:hAnsi="Century Gothic"/>
        </w:rPr>
        <w:t>Voda</w:t>
      </w:r>
      <w:r w:rsidR="007B423B">
        <w:rPr>
          <w:rFonts w:ascii="Century Gothic" w:hAnsi="Century Gothic"/>
        </w:rPr>
        <w:t>f</w:t>
      </w:r>
      <w:r w:rsidR="00AC1B85">
        <w:rPr>
          <w:rFonts w:ascii="Century Gothic" w:hAnsi="Century Gothic"/>
        </w:rPr>
        <w:t xml:space="preserve">one are ensuring their reputation </w:t>
      </w:r>
      <w:r w:rsidR="00B43E5F">
        <w:rPr>
          <w:rFonts w:ascii="Century Gothic" w:hAnsi="Century Gothic"/>
        </w:rPr>
        <w:t>stays</w:t>
      </w:r>
      <w:r w:rsidR="00AC1B85">
        <w:rPr>
          <w:rFonts w:ascii="Century Gothic" w:hAnsi="Century Gothic"/>
        </w:rPr>
        <w:t xml:space="preserve"> credible for </w:t>
      </w:r>
      <w:r w:rsidR="00E6642F">
        <w:rPr>
          <w:rFonts w:ascii="Century Gothic" w:hAnsi="Century Gothic"/>
        </w:rPr>
        <w:t xml:space="preserve">public data reporting. Deloitte opting for an external audit would offer the same rewards, such as credibility, accountability, </w:t>
      </w:r>
      <w:r w:rsidR="007B423B">
        <w:rPr>
          <w:rFonts w:ascii="Century Gothic" w:hAnsi="Century Gothic"/>
        </w:rPr>
        <w:t xml:space="preserve">and </w:t>
      </w:r>
      <w:r w:rsidR="00835583">
        <w:rPr>
          <w:rFonts w:ascii="Century Gothic" w:hAnsi="Century Gothic"/>
        </w:rPr>
        <w:t xml:space="preserve">a true representation of data. </w:t>
      </w:r>
    </w:p>
    <w:p w14:paraId="1EC79C3D" w14:textId="77777777" w:rsidR="000B2361" w:rsidRDefault="000B2361" w:rsidP="00123F53">
      <w:pPr>
        <w:rPr>
          <w:rFonts w:ascii="Century Gothic" w:hAnsi="Century Gothic"/>
        </w:rPr>
      </w:pPr>
    </w:p>
    <w:p w14:paraId="1F67B8EC" w14:textId="77777777" w:rsidR="000B2361" w:rsidRDefault="000B2361" w:rsidP="00123F53">
      <w:pPr>
        <w:rPr>
          <w:rFonts w:ascii="Century Gothic" w:hAnsi="Century Gothic"/>
        </w:rPr>
      </w:pPr>
    </w:p>
    <w:p w14:paraId="63A77411" w14:textId="77777777" w:rsidR="00835583" w:rsidRDefault="00835583" w:rsidP="00123F53">
      <w:pPr>
        <w:rPr>
          <w:rFonts w:ascii="Century Gothic" w:hAnsi="Century Gothic"/>
        </w:rPr>
      </w:pPr>
    </w:p>
    <w:p w14:paraId="04D40FEE" w14:textId="0B71774D" w:rsidR="00A46251" w:rsidRDefault="0091751E" w:rsidP="00123F53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References: </w:t>
      </w:r>
    </w:p>
    <w:p w14:paraId="570E39E1" w14:textId="3C1B162A" w:rsidR="0091751E" w:rsidRDefault="0091751E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Ali, M., Baker, M., Grabarski, M. K., &amp; Konrad, A. M. (2025). Influence of gender equality practices and work-life programs on women in leadership, management, and nonmanagement: The role of industry gender composition. </w:t>
      </w:r>
      <w:r>
        <w:rPr>
          <w:rFonts w:ascii="Times New Roman" w:hAnsi="Times New Roman" w:cs="Times New Roman"/>
          <w:i/>
          <w:iCs/>
        </w:rPr>
        <w:t xml:space="preserve">European Management Journal. </w:t>
      </w:r>
      <w:hyperlink r:id="rId7" w:history="1">
        <w:r w:rsidRPr="00A806A7">
          <w:rPr>
            <w:rStyle w:val="Hyperlink"/>
            <w:rFonts w:ascii="Times New Roman" w:hAnsi="Times New Roman" w:cs="Times New Roman"/>
          </w:rPr>
          <w:t>https://doi.org/10.1016/j.emj.2025.12.010</w:t>
        </w:r>
      </w:hyperlink>
    </w:p>
    <w:p w14:paraId="09039E37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Ashcroft, S. (2022). Deloitte- a professional services timeline through history. </w:t>
      </w:r>
      <w:r>
        <w:rPr>
          <w:rFonts w:ascii="Times New Roman" w:hAnsi="Times New Roman" w:cs="Times New Roman"/>
          <w:i/>
          <w:iCs/>
        </w:rPr>
        <w:t xml:space="preserve">Supply Chain Risk Management. </w:t>
      </w:r>
      <w:hyperlink r:id="rId8" w:history="1">
        <w:r w:rsidRPr="00B43E5F">
          <w:rPr>
            <w:rStyle w:val="Hyperlink"/>
            <w:rFonts w:ascii="Times New Roman" w:hAnsi="Times New Roman" w:cs="Times New Roman"/>
          </w:rPr>
          <w:t>https://supplychaindigital.com/supply-chain-risk-management/deloitte-a-professional-services-timeline-through-history</w:t>
        </w:r>
      </w:hyperlink>
    </w:p>
    <w:p w14:paraId="569CF09F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Ashley, L. &amp; Empson, L. (2016). Understanding social exclusion in elite professional service firms: field level dynamics and the ‘professional project’. </w:t>
      </w:r>
      <w:r>
        <w:rPr>
          <w:rFonts w:ascii="Times New Roman" w:hAnsi="Times New Roman" w:cs="Times New Roman"/>
          <w:i/>
          <w:iCs/>
        </w:rPr>
        <w:t>Work, Employment and Society. 31</w:t>
      </w:r>
      <w:r>
        <w:rPr>
          <w:rFonts w:ascii="Times New Roman" w:hAnsi="Times New Roman" w:cs="Times New Roman"/>
        </w:rPr>
        <w:t xml:space="preserve">(2) 211-229. </w:t>
      </w:r>
      <w:hyperlink r:id="rId9" w:history="1">
        <w:r w:rsidRPr="00A806A7">
          <w:rPr>
            <w:rStyle w:val="Hyperlink"/>
            <w:rFonts w:ascii="Times New Roman" w:hAnsi="Times New Roman" w:cs="Times New Roman"/>
          </w:rPr>
          <w:t>https://doi.org/10.1177/0950017015621480</w:t>
        </w:r>
      </w:hyperlink>
    </w:p>
    <w:p w14:paraId="09760E83" w14:textId="555E9E3C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Barak, M. E., Lizano, E. L., Kim, A., Duan, L., Rhee, M., Hsiao, H., &amp; Brimhall, K. C. (2016). The promise of diversity management for climate of inclusion: a state-of-the-art review and Meta-analysis. </w:t>
      </w:r>
      <w:r>
        <w:rPr>
          <w:rFonts w:ascii="Times New Roman" w:hAnsi="Times New Roman" w:cs="Times New Roman"/>
          <w:i/>
          <w:iCs/>
        </w:rPr>
        <w:t>Human Service Organizations: Management, Leadership &amp; Governance. 40</w:t>
      </w:r>
      <w:r>
        <w:rPr>
          <w:rFonts w:ascii="Times New Roman" w:hAnsi="Times New Roman" w:cs="Times New Roman"/>
        </w:rPr>
        <w:t xml:space="preserve">(4) 305-333. </w:t>
      </w:r>
      <w:hyperlink r:id="rId10" w:history="1">
        <w:r w:rsidRPr="00A806A7">
          <w:rPr>
            <w:rStyle w:val="Hyperlink"/>
            <w:rFonts w:ascii="Times New Roman" w:hAnsi="Times New Roman" w:cs="Times New Roman"/>
          </w:rPr>
          <w:t>https://dx.doi.org/10.1080/23303131.2016.1138915</w:t>
        </w:r>
      </w:hyperlink>
    </w:p>
    <w:p w14:paraId="68F4B591" w14:textId="369B430B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Barnett Waddingham. (2025). Flexible working and work-life balance: how to support your people. </w:t>
      </w:r>
      <w:hyperlink r:id="rId11" w:history="1">
        <w:r w:rsidRPr="00A806A7">
          <w:rPr>
            <w:rStyle w:val="Hyperlink"/>
            <w:rFonts w:ascii="Times New Roman" w:hAnsi="Times New Roman" w:cs="Times New Roman"/>
          </w:rPr>
          <w:t>https://www.barnett-waddingham.co.uk/comment-insight/blog/flexible-working-and-work-life-balance-how-to-support-your-people/</w:t>
        </w:r>
      </w:hyperlink>
    </w:p>
    <w:p w14:paraId="1B9CF0E5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Bright Network. (2024). What are the differences between the Big Four accounting firms?. </w:t>
      </w:r>
      <w:hyperlink r:id="rId12" w:history="1">
        <w:r w:rsidRPr="00A806A7">
          <w:rPr>
            <w:rStyle w:val="Hyperlink"/>
            <w:rFonts w:ascii="Times New Roman" w:hAnsi="Times New Roman" w:cs="Times New Roman"/>
          </w:rPr>
          <w:t>https://www.brightnetwork.co.uk/career-path-guides/accounting-audit-tax/differences-big-four-firms/</w:t>
        </w:r>
      </w:hyperlink>
    </w:p>
    <w:p w14:paraId="73FFA71C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Bryan, J. (2026). Why culture undermines change more than strategy- and what HR must do about it. </w:t>
      </w:r>
      <w:r>
        <w:rPr>
          <w:rFonts w:ascii="Times New Roman" w:hAnsi="Times New Roman" w:cs="Times New Roman"/>
          <w:i/>
          <w:iCs/>
        </w:rPr>
        <w:t xml:space="preserve">The People Space. </w:t>
      </w:r>
      <w:hyperlink r:id="rId13" w:history="1">
        <w:r w:rsidRPr="0091751E">
          <w:rPr>
            <w:rStyle w:val="Hyperlink"/>
            <w:rFonts w:ascii="Times New Roman" w:hAnsi="Times New Roman" w:cs="Times New Roman"/>
          </w:rPr>
          <w:t>https://www.thepeoplespace.com/insights/ideas/why-culture-undermines-change-more-strategy-and-what-hr-must-do-about-it</w:t>
        </w:r>
      </w:hyperlink>
    </w:p>
    <w:p w14:paraId="1CF85404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Burt, A. (2025). 10 Inspiring case studies of successful inclusion strategies that drive results. </w:t>
      </w:r>
      <w:r>
        <w:rPr>
          <w:rFonts w:ascii="Times New Roman" w:hAnsi="Times New Roman" w:cs="Times New Roman"/>
          <w:i/>
          <w:iCs/>
        </w:rPr>
        <w:t xml:space="preserve">Edtech Mate. </w:t>
      </w:r>
      <w:hyperlink r:id="rId14" w:history="1">
        <w:r w:rsidRPr="00A806A7">
          <w:rPr>
            <w:rStyle w:val="Hyperlink"/>
            <w:rFonts w:ascii="Times New Roman" w:hAnsi="Times New Roman" w:cs="Times New Roman"/>
          </w:rPr>
          <w:t>https://edtechmate.com/10-inspiring-case-studies-of-successful-inclusion-strategies-that-drive-results</w:t>
        </w:r>
      </w:hyperlink>
    </w:p>
    <w:p w14:paraId="30A4CF5D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CIPD. (2025). Flexible and hybrid working practices in 2025. </w:t>
      </w:r>
      <w:r>
        <w:rPr>
          <w:rFonts w:ascii="Times New Roman" w:hAnsi="Times New Roman" w:cs="Times New Roman"/>
          <w:i/>
          <w:iCs/>
        </w:rPr>
        <w:t xml:space="preserve">Reports. </w:t>
      </w:r>
      <w:hyperlink r:id="rId15" w:history="1">
        <w:r w:rsidRPr="00A806A7">
          <w:rPr>
            <w:rStyle w:val="Hyperlink"/>
            <w:rFonts w:ascii="Times New Roman" w:hAnsi="Times New Roman" w:cs="Times New Roman"/>
          </w:rPr>
          <w:t>https://www.cipd.org/uk/knowledge/reports/flexible-hybrid-working/</w:t>
        </w:r>
      </w:hyperlink>
    </w:p>
    <w:p w14:paraId="743020EF" w14:textId="44B15D05" w:rsidR="00B43E5F" w:rsidRP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Deloitte. (2022). 2022 Global impact report. </w:t>
      </w:r>
      <w:r>
        <w:rPr>
          <w:rFonts w:ascii="Times New Roman" w:hAnsi="Times New Roman" w:cs="Times New Roman"/>
          <w:i/>
          <w:iCs/>
        </w:rPr>
        <w:t xml:space="preserve">Gender Balance. </w:t>
      </w:r>
      <w:hyperlink r:id="rId16" w:history="1">
        <w:r w:rsidRPr="00A806A7">
          <w:rPr>
            <w:rStyle w:val="Hyperlink"/>
            <w:rFonts w:ascii="Times New Roman" w:hAnsi="Times New Roman" w:cs="Times New Roman"/>
            <w:i/>
            <w:iCs/>
          </w:rPr>
          <w:t>https://www.deloitte.com/global/en/about/story/purpose-values/gender-balance-gir.html</w:t>
        </w:r>
      </w:hyperlink>
    </w:p>
    <w:p w14:paraId="36574221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(2022). Has hybrid working changed your life for the better?. </w:t>
      </w:r>
      <w:hyperlink r:id="rId17" w:history="1">
        <w:r w:rsidRPr="00A806A7">
          <w:rPr>
            <w:rStyle w:val="Hyperlink"/>
            <w:rFonts w:ascii="Times New Roman" w:hAnsi="Times New Roman" w:cs="Times New Roman"/>
          </w:rPr>
          <w:t>https://www.deloitte.com/uk/en/about/story/impact/hybrid-working.html</w:t>
        </w:r>
      </w:hyperlink>
    </w:p>
    <w:p w14:paraId="459BC393" w14:textId="668E49F2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(2024). Disability inclusion at work. </w:t>
      </w:r>
      <w:r>
        <w:rPr>
          <w:rFonts w:ascii="Times New Roman" w:hAnsi="Times New Roman" w:cs="Times New Roman"/>
          <w:i/>
          <w:iCs/>
        </w:rPr>
        <w:t xml:space="preserve">News. </w:t>
      </w:r>
      <w:hyperlink r:id="rId18" w:history="1">
        <w:r w:rsidRPr="0091751E">
          <w:rPr>
            <w:rStyle w:val="Hyperlink"/>
            <w:rFonts w:ascii="Times New Roman" w:hAnsi="Times New Roman" w:cs="Times New Roman"/>
          </w:rPr>
          <w:t>https://www.deloitte.com/uk/en/about/press-room/deloitte-first-disability-inclusion-at-work-report.html</w:t>
        </w:r>
      </w:hyperlink>
    </w:p>
    <w:p w14:paraId="32CC0489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(2024). Poor mental health costs UK employers £51 billion a year for employees. </w:t>
      </w:r>
      <w:r>
        <w:rPr>
          <w:rFonts w:ascii="Times New Roman" w:hAnsi="Times New Roman" w:cs="Times New Roman"/>
          <w:i/>
          <w:iCs/>
        </w:rPr>
        <w:t xml:space="preserve">News. </w:t>
      </w:r>
      <w:hyperlink r:id="rId19" w:history="1">
        <w:r w:rsidRPr="00A806A7">
          <w:rPr>
            <w:rStyle w:val="Hyperlink"/>
            <w:rFonts w:ascii="Times New Roman" w:hAnsi="Times New Roman" w:cs="Times New Roman"/>
          </w:rPr>
          <w:t>https://www.deloitte.com/uk/en/about/press-room/poor-mental-health-costs-uk-employers-51-billion-a-year-for-employees.html</w:t>
        </w:r>
      </w:hyperlink>
    </w:p>
    <w:p w14:paraId="4F82265F" w14:textId="3C40E8D1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(2025). Deloitte UK: pay &amp; inclusion report 2025. </w:t>
      </w:r>
      <w:hyperlink r:id="rId20" w:history="1">
        <w:r w:rsidRPr="00A806A7">
          <w:rPr>
            <w:rStyle w:val="Hyperlink"/>
            <w:rFonts w:ascii="Times New Roman" w:hAnsi="Times New Roman" w:cs="Times New Roman"/>
          </w:rPr>
          <w:t>https://www.deloitte.com/content/dam/assets-zone2/uk/en/docs/about/2025/deloitte-uk-annual-review-2025-pay-report.pdf</w:t>
        </w:r>
      </w:hyperlink>
    </w:p>
    <w:p w14:paraId="484EB5CB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Deloitte. (2025). 2025 Gen Z and millennial survey. </w:t>
      </w:r>
      <w:hyperlink r:id="rId21" w:history="1">
        <w:r w:rsidRPr="00A806A7">
          <w:rPr>
            <w:rStyle w:val="Hyperlink"/>
            <w:rFonts w:ascii="Times New Roman" w:hAnsi="Times New Roman" w:cs="Times New Roman"/>
          </w:rPr>
          <w:t>https://www.deloitte.com/global/en/issues/work/genz-millennial-survey.html</w:t>
        </w:r>
      </w:hyperlink>
    </w:p>
    <w:p w14:paraId="59A265B6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(2026). Diversity inclusion at Deloitte. </w:t>
      </w:r>
      <w:hyperlink r:id="rId22" w:history="1">
        <w:r w:rsidRPr="00A806A7">
          <w:rPr>
            <w:rStyle w:val="Hyperlink"/>
            <w:rFonts w:ascii="Times New Roman" w:hAnsi="Times New Roman" w:cs="Times New Roman"/>
          </w:rPr>
          <w:t>https://www.deloitte.com/uk/en/about/people/social-responsibility/disability-inclusion-at-deloitte.html</w:t>
        </w:r>
      </w:hyperlink>
    </w:p>
    <w:p w14:paraId="076B410D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(2026). Diversity, inclusion &amp; wellbeing. </w:t>
      </w:r>
      <w:hyperlink r:id="rId23" w:history="1">
        <w:r w:rsidRPr="00A806A7">
          <w:rPr>
            <w:rStyle w:val="Hyperlink"/>
            <w:rFonts w:ascii="Times New Roman" w:hAnsi="Times New Roman" w:cs="Times New Roman"/>
          </w:rPr>
          <w:t>https://www.deloitte.com/uk/en/careers/discover-deloitte/careers-diversity-and-inclusion.html</w:t>
        </w:r>
      </w:hyperlink>
    </w:p>
    <w:p w14:paraId="2A6FE71A" w14:textId="4421CFE6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(2026). Facts and figures. </w:t>
      </w:r>
      <w:hyperlink r:id="rId24" w:history="1">
        <w:r w:rsidRPr="00A806A7">
          <w:rPr>
            <w:rStyle w:val="Hyperlink"/>
            <w:rFonts w:ascii="Times New Roman" w:hAnsi="Times New Roman" w:cs="Times New Roman"/>
          </w:rPr>
          <w:t>https://www.deloitte.com/global/en/about/governance/facts-and-figures.html</w:t>
        </w:r>
      </w:hyperlink>
    </w:p>
    <w:p w14:paraId="2C9DCFF9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(2026). Making an impact that matters, together. </w:t>
      </w:r>
      <w:hyperlink r:id="rId25" w:history="1">
        <w:r w:rsidRPr="00A806A7">
          <w:rPr>
            <w:rStyle w:val="Hyperlink"/>
            <w:rFonts w:ascii="Times New Roman" w:hAnsi="Times New Roman" w:cs="Times New Roman"/>
          </w:rPr>
          <w:t>https://www.deloitte.com/dk/en/about/story/purpose-values.html</w:t>
        </w:r>
      </w:hyperlink>
    </w:p>
    <w:p w14:paraId="677CFF2E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Deloitte. (2026). Together makes progress. </w:t>
      </w:r>
      <w:hyperlink r:id="rId26" w:history="1">
        <w:r w:rsidRPr="00A806A7">
          <w:rPr>
            <w:rStyle w:val="Hyperlink"/>
            <w:rFonts w:ascii="Times New Roman" w:hAnsi="Times New Roman" w:cs="Times New Roman"/>
          </w:rPr>
          <w:t>https://www.deloitte.com/global/en/what-we-do.html</w:t>
        </w:r>
      </w:hyperlink>
    </w:p>
    <w:p w14:paraId="6870F4D1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Foma, E. (2014). Impact of workplace diversity. </w:t>
      </w:r>
      <w:r>
        <w:rPr>
          <w:rFonts w:ascii="Times New Roman" w:hAnsi="Times New Roman" w:cs="Times New Roman"/>
          <w:i/>
          <w:iCs/>
        </w:rPr>
        <w:t>Review of Business &amp; Economics, 3</w:t>
      </w:r>
      <w:r>
        <w:rPr>
          <w:rFonts w:ascii="Times New Roman" w:hAnsi="Times New Roman" w:cs="Times New Roman"/>
        </w:rPr>
        <w:t xml:space="preserve">(1), 402-410. </w:t>
      </w:r>
      <w:hyperlink r:id="rId27" w:history="1">
        <w:r w:rsidRPr="00A806A7">
          <w:rPr>
            <w:rStyle w:val="Hyperlink"/>
            <w:rFonts w:ascii="Times New Roman" w:hAnsi="Times New Roman" w:cs="Times New Roman"/>
          </w:rPr>
          <w:t>https://buscompress.com/uploads/3/4/9/8/34980536/riber_sk14-026__402-410_.pdf</w:t>
        </w:r>
      </w:hyperlink>
    </w:p>
    <w:p w14:paraId="63405C0E" w14:textId="1B5232B8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Florrison, R., Taylor, H., &amp; Spratt, L. (2021). Post-pandemic hybrid working poses new challenges to diversity and inclusion. </w:t>
      </w:r>
      <w:r>
        <w:rPr>
          <w:rFonts w:ascii="Times New Roman" w:hAnsi="Times New Roman" w:cs="Times New Roman"/>
          <w:i/>
          <w:iCs/>
        </w:rPr>
        <w:t xml:space="preserve">Work Foundation. </w:t>
      </w:r>
      <w:hyperlink r:id="rId28" w:history="1">
        <w:r w:rsidRPr="00B43E5F">
          <w:rPr>
            <w:rStyle w:val="Hyperlink"/>
            <w:rFonts w:ascii="Times New Roman" w:hAnsi="Times New Roman" w:cs="Times New Roman"/>
          </w:rPr>
          <w:t>https://www.lancaster.ac.uk/work-foundation/publications/post-pandemic-hybrid-working-poses-new-challenges-to-diversity-and-inclusion</w:t>
        </w:r>
      </w:hyperlink>
    </w:p>
    <w:p w14:paraId="1BB2C8E1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GOV.UK. (2013). Equality Act 2010: guidance. </w:t>
      </w:r>
      <w:hyperlink r:id="rId29" w:history="1">
        <w:r w:rsidRPr="00A806A7">
          <w:rPr>
            <w:rStyle w:val="Hyperlink"/>
            <w:rFonts w:ascii="Times New Roman" w:hAnsi="Times New Roman" w:cs="Times New Roman"/>
          </w:rPr>
          <w:t>https://www.gov.uk/guidance/equality-act-2010-guidance</w:t>
        </w:r>
      </w:hyperlink>
    </w:p>
    <w:p w14:paraId="0A5CADB4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GOV.UK. (2025). 2025 Gender pay gap report. </w:t>
      </w:r>
      <w:r>
        <w:rPr>
          <w:rFonts w:ascii="Times New Roman" w:hAnsi="Times New Roman" w:cs="Times New Roman"/>
          <w:i/>
          <w:iCs/>
        </w:rPr>
        <w:t>Department of health &amp; Social Care.</w:t>
      </w:r>
      <w:r w:rsidRPr="0091751E">
        <w:rPr>
          <w:rFonts w:ascii="Times New Roman" w:hAnsi="Times New Roman" w:cs="Times New Roman"/>
          <w:i/>
          <w:iCs/>
        </w:rPr>
        <w:t xml:space="preserve"> </w:t>
      </w:r>
      <w:hyperlink r:id="rId30" w:history="1">
        <w:r w:rsidRPr="0091751E">
          <w:rPr>
            <w:rStyle w:val="Hyperlink"/>
            <w:rFonts w:ascii="Times New Roman" w:hAnsi="Times New Roman" w:cs="Times New Roman"/>
          </w:rPr>
          <w:t>https://www.gov.uk/government/publications/dhsc-gender-pay-gap-report-and-data-2025/2025-gender-pay-gap-report</w:t>
        </w:r>
      </w:hyperlink>
    </w:p>
    <w:p w14:paraId="202C7426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 Equalities Office. (2018). Gender pay gap information regulations 2017. </w:t>
      </w:r>
      <w:hyperlink r:id="rId31" w:history="1">
        <w:r w:rsidRPr="00A806A7">
          <w:rPr>
            <w:rStyle w:val="Hyperlink"/>
            <w:rFonts w:ascii="Times New Roman" w:hAnsi="Times New Roman" w:cs="Times New Roman"/>
          </w:rPr>
          <w:t>https://assets.publishing.service.gov.uk/media/5bd0882ded915d78a0dc1009/GPG-Reporting-Portal-Report.pdf</w:t>
        </w:r>
      </w:hyperlink>
    </w:p>
    <w:p w14:paraId="1A7B1456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Hastwell, C. (2023). 8 Signs of a toxic company culture that drive employee turnover. </w:t>
      </w:r>
      <w:r>
        <w:rPr>
          <w:rFonts w:ascii="Times New Roman" w:hAnsi="Times New Roman" w:cs="Times New Roman"/>
          <w:i/>
          <w:iCs/>
        </w:rPr>
        <w:t xml:space="preserve">Great Place to Work. </w:t>
      </w:r>
      <w:hyperlink r:id="rId32" w:history="1">
        <w:r w:rsidRPr="00B43E5F">
          <w:rPr>
            <w:rStyle w:val="Hyperlink"/>
            <w:rFonts w:ascii="Times New Roman" w:hAnsi="Times New Roman" w:cs="Times New Roman"/>
          </w:rPr>
          <w:t>https://www.greatplacetowork.com/resources/blog/toxic-company-culture</w:t>
        </w:r>
      </w:hyperlink>
    </w:p>
    <w:p w14:paraId="3DF03CC9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Haynes, K. (2013). Gender and diversity challenges in professional services firms. </w:t>
      </w:r>
      <w:r>
        <w:rPr>
          <w:rFonts w:ascii="Times New Roman" w:hAnsi="Times New Roman" w:cs="Times New Roman"/>
          <w:i/>
          <w:iCs/>
        </w:rPr>
        <w:t xml:space="preserve">Managing Services: Challenges and Innovation. </w:t>
      </w:r>
      <w:r>
        <w:rPr>
          <w:rFonts w:ascii="Times New Roman" w:hAnsi="Times New Roman" w:cs="Times New Roman"/>
        </w:rPr>
        <w:t xml:space="preserve">65-82. </w:t>
      </w:r>
      <w:hyperlink r:id="rId33" w:history="1">
        <w:r w:rsidRPr="00A806A7">
          <w:rPr>
            <w:rStyle w:val="Hyperlink"/>
            <w:rFonts w:ascii="Times New Roman" w:hAnsi="Times New Roman" w:cs="Times New Roman"/>
          </w:rPr>
          <w:t>https://doi.org/10.1093/ac93/acprof:oso/9780199696086.003.0005</w:t>
        </w:r>
      </w:hyperlink>
    </w:p>
    <w:p w14:paraId="6EC6D52B" w14:textId="5FE0B63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Hong, L. &amp; Page, S. E. (2004). Groups of diverse problem solvers can outperform groups of high-ability problem solvers. </w:t>
      </w:r>
      <w:hyperlink r:id="rId34" w:history="1">
        <w:r w:rsidRPr="00A806A7">
          <w:rPr>
            <w:rStyle w:val="Hyperlink"/>
            <w:rFonts w:ascii="Times New Roman" w:hAnsi="Times New Roman" w:cs="Times New Roman"/>
          </w:rPr>
          <w:t>https://doi.org/10.1073/pnas.0403723101</w:t>
        </w:r>
      </w:hyperlink>
    </w:p>
    <w:p w14:paraId="29A04898" w14:textId="77777777" w:rsidR="00B43E5F" w:rsidRDefault="00B43E5F" w:rsidP="00B43E5F">
      <w:pPr>
        <w:spacing w:line="480" w:lineRule="auto"/>
        <w:ind w:left="720" w:hanging="720"/>
      </w:pPr>
      <w:r>
        <w:rPr>
          <w:rFonts w:ascii="Times New Roman" w:hAnsi="Times New Roman" w:cs="Times New Roman"/>
        </w:rPr>
        <w:t xml:space="preserve">Korkmaz, A.V., Engen, M. L., Knappert, L., &amp; Schalk, R. (2022). About and beyond leading uniqueness and belongingness: A systematic review of inclusive leadership research. </w:t>
      </w:r>
      <w:r>
        <w:rPr>
          <w:rFonts w:ascii="Times New Roman" w:hAnsi="Times New Roman" w:cs="Times New Roman"/>
          <w:i/>
          <w:iCs/>
        </w:rPr>
        <w:t>Human Resource Management Review. 32</w:t>
      </w:r>
      <w:r>
        <w:rPr>
          <w:rFonts w:ascii="Times New Roman" w:hAnsi="Times New Roman" w:cs="Times New Roman"/>
        </w:rPr>
        <w:t xml:space="preserve">(4). </w:t>
      </w:r>
      <w:hyperlink r:id="rId35" w:history="1">
        <w:r w:rsidRPr="00A806A7">
          <w:rPr>
            <w:rStyle w:val="Hyperlink"/>
            <w:rFonts w:ascii="Times New Roman" w:hAnsi="Times New Roman" w:cs="Times New Roman"/>
          </w:rPr>
          <w:t>https://doi.org/10.1016/j.hrmr.2022.100894</w:t>
        </w:r>
      </w:hyperlink>
    </w:p>
    <w:p w14:paraId="0C6F60C5" w14:textId="43A60376" w:rsidR="00180D36" w:rsidRPr="00D961F4" w:rsidRDefault="001B700B" w:rsidP="00180D36">
      <w:pPr>
        <w:spacing w:line="480" w:lineRule="auto"/>
        <w:ind w:left="720" w:hanging="720"/>
        <w:rPr>
          <w:rFonts w:ascii="Times New Roman" w:hAnsi="Times New Roman" w:cs="Times New Roman"/>
        </w:rPr>
      </w:pPr>
      <w:r w:rsidRPr="00D961F4">
        <w:rPr>
          <w:rFonts w:ascii="Times New Roman" w:hAnsi="Times New Roman" w:cs="Times New Roman"/>
        </w:rPr>
        <w:t xml:space="preserve">Lee, A. </w:t>
      </w:r>
      <w:r w:rsidR="00E0095B" w:rsidRPr="00D961F4">
        <w:rPr>
          <w:rFonts w:ascii="Times New Roman" w:hAnsi="Times New Roman" w:cs="Times New Roman"/>
        </w:rPr>
        <w:t>R</w:t>
      </w:r>
      <w:r w:rsidRPr="00D961F4">
        <w:rPr>
          <w:rFonts w:ascii="Times New Roman" w:hAnsi="Times New Roman" w:cs="Times New Roman"/>
        </w:rPr>
        <w:t>. (2020)</w:t>
      </w:r>
      <w:r w:rsidR="00E0095B" w:rsidRPr="00D961F4">
        <w:rPr>
          <w:rFonts w:ascii="Times New Roman" w:hAnsi="Times New Roman" w:cs="Times New Roman"/>
        </w:rPr>
        <w:t xml:space="preserve">. All you have gotten is tokenism. </w:t>
      </w:r>
      <w:r w:rsidR="001A6D78" w:rsidRPr="00886E8B">
        <w:rPr>
          <w:rFonts w:ascii="Times New Roman" w:hAnsi="Times New Roman" w:cs="Times New Roman"/>
          <w:i/>
          <w:iCs/>
        </w:rPr>
        <w:t>Pre</w:t>
      </w:r>
      <w:r w:rsidR="001D0255" w:rsidRPr="00886E8B">
        <w:rPr>
          <w:rFonts w:ascii="Times New Roman" w:hAnsi="Times New Roman" w:cs="Times New Roman"/>
          <w:i/>
          <w:iCs/>
        </w:rPr>
        <w:t>judice, Stigma, Privilege and Oppression.</w:t>
      </w:r>
      <w:r w:rsidR="001D0255" w:rsidRPr="00D961F4">
        <w:rPr>
          <w:rFonts w:ascii="Times New Roman" w:hAnsi="Times New Roman" w:cs="Times New Roman"/>
        </w:rPr>
        <w:t xml:space="preserve"> </w:t>
      </w:r>
      <w:r w:rsidR="00C52672" w:rsidRPr="00D961F4">
        <w:rPr>
          <w:rFonts w:ascii="Times New Roman" w:hAnsi="Times New Roman" w:cs="Times New Roman"/>
        </w:rPr>
        <w:t>387-399</w:t>
      </w:r>
      <w:r w:rsidR="00C04D2F" w:rsidRPr="00D961F4">
        <w:rPr>
          <w:rFonts w:ascii="Times New Roman" w:hAnsi="Times New Roman" w:cs="Times New Roman"/>
        </w:rPr>
        <w:t xml:space="preserve">. </w:t>
      </w:r>
      <w:hyperlink r:id="rId36" w:history="1">
        <w:r w:rsidR="00180D36" w:rsidRPr="00D961F4">
          <w:rPr>
            <w:rStyle w:val="Hyperlink"/>
            <w:rFonts w:ascii="Times New Roman" w:hAnsi="Times New Roman" w:cs="Times New Roman"/>
          </w:rPr>
          <w:t>https://doi.org/10.1007/978-3-030-35517-3_2</w:t>
        </w:r>
      </w:hyperlink>
    </w:p>
    <w:p w14:paraId="36C31FC5" w14:textId="77777777" w:rsidR="00B43E5F" w:rsidRDefault="00B43E5F" w:rsidP="00DF441E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Malik, Q., &amp; Clarke, K. (2024). Tools for challenging bias and discrimination. </w:t>
      </w:r>
      <w:r>
        <w:rPr>
          <w:rFonts w:ascii="Times New Roman" w:hAnsi="Times New Roman" w:cs="Times New Roman"/>
          <w:i/>
          <w:iCs/>
        </w:rPr>
        <w:t xml:space="preserve">The Royal College of Radiologists. </w:t>
      </w:r>
      <w:hyperlink r:id="rId37" w:history="1">
        <w:r w:rsidRPr="00A806A7">
          <w:rPr>
            <w:rStyle w:val="Hyperlink"/>
            <w:rFonts w:ascii="Times New Roman" w:hAnsi="Times New Roman" w:cs="Times New Roman"/>
          </w:rPr>
          <w:t>https://www.rcr.ac.uk/media/tpwjncbr/session-3-dr-qaiser-malik.pdf</w:t>
        </w:r>
      </w:hyperlink>
    </w:p>
    <w:p w14:paraId="1D29DD06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McKinsey &amp; Company. (2023). Diversity matters even more: The case for holistic impact. </w:t>
      </w:r>
      <w:r>
        <w:rPr>
          <w:rFonts w:ascii="Times New Roman" w:hAnsi="Times New Roman" w:cs="Times New Roman"/>
          <w:i/>
          <w:iCs/>
        </w:rPr>
        <w:t xml:space="preserve">Report. </w:t>
      </w:r>
      <w:hyperlink r:id="rId38" w:history="1">
        <w:r w:rsidRPr="00A806A7">
          <w:rPr>
            <w:rStyle w:val="Hyperlink"/>
            <w:rFonts w:ascii="Times New Roman" w:hAnsi="Times New Roman" w:cs="Times New Roman"/>
          </w:rPr>
          <w:t>https://www.mckinsey.com/featured-insights/diversity-and-inclusion/diversity-matters-even-more-the-case-for-holistic-impact</w:t>
        </w:r>
      </w:hyperlink>
    </w:p>
    <w:p w14:paraId="4BC4585E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Moore, E. (2026). The emotional investment of reward and recognition. </w:t>
      </w:r>
      <w:r>
        <w:rPr>
          <w:rFonts w:ascii="Times New Roman" w:hAnsi="Times New Roman" w:cs="Times New Roman"/>
          <w:i/>
          <w:iCs/>
        </w:rPr>
        <w:t xml:space="preserve">Red Blaze. </w:t>
      </w:r>
      <w:hyperlink r:id="rId39" w:history="1">
        <w:r w:rsidRPr="00B43E5F">
          <w:rPr>
            <w:rStyle w:val="Hyperlink"/>
            <w:rFonts w:ascii="Times New Roman" w:hAnsi="Times New Roman" w:cs="Times New Roman"/>
          </w:rPr>
          <w:t>https://redblaze.co.uk/the-emotional-investment-of-reward-and-recognition/</w:t>
        </w:r>
      </w:hyperlink>
    </w:p>
    <w:p w14:paraId="1F35D536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Office for National Statistics. (2023). Our poverty and equality statistics. </w:t>
      </w:r>
      <w:r>
        <w:rPr>
          <w:rFonts w:ascii="Times New Roman" w:hAnsi="Times New Roman" w:cs="Times New Roman"/>
          <w:i/>
          <w:iCs/>
        </w:rPr>
        <w:t xml:space="preserve">Data and Analysis from Census 2021. </w:t>
      </w:r>
      <w:hyperlink r:id="rId40" w:history="1">
        <w:r w:rsidRPr="00B43E5F">
          <w:rPr>
            <w:rStyle w:val="Hyperlink"/>
            <w:rFonts w:ascii="Times New Roman" w:hAnsi="Times New Roman" w:cs="Times New Roman"/>
          </w:rPr>
          <w:t>https://www.ons.gov.uk/aboutus/usingpublicdatatoproducestatistics/examplesofhowdataandstatisticsbenefityou/ourpovertyandequalitystatistics</w:t>
        </w:r>
      </w:hyperlink>
    </w:p>
    <w:p w14:paraId="173FC66B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Prism. (2023). Why a diverse workforce is best for your business. </w:t>
      </w:r>
      <w:hyperlink r:id="rId41" w:history="1">
        <w:r w:rsidRPr="00A806A7">
          <w:rPr>
            <w:rStyle w:val="Hyperlink"/>
            <w:rFonts w:ascii="Times New Roman" w:hAnsi="Times New Roman" w:cs="Times New Roman"/>
          </w:rPr>
          <w:t>https://prism7resourcing.co.uk/why-a-diverse-workforce-is-best-for-your-business/</w:t>
        </w:r>
      </w:hyperlink>
    </w:p>
    <w:p w14:paraId="53510F58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Roberson, Q. M. (2006). Disentangling the meanings of diversity and inclusion in organisations. </w:t>
      </w:r>
      <w:r>
        <w:rPr>
          <w:rFonts w:ascii="Times New Roman" w:hAnsi="Times New Roman" w:cs="Times New Roman"/>
          <w:i/>
          <w:iCs/>
        </w:rPr>
        <w:t>Group &amp; Organisation Management, 31</w:t>
      </w:r>
      <w:r>
        <w:rPr>
          <w:rFonts w:ascii="Times New Roman" w:hAnsi="Times New Roman" w:cs="Times New Roman"/>
        </w:rPr>
        <w:t xml:space="preserve">(2), 212-236. </w:t>
      </w:r>
      <w:hyperlink r:id="rId42" w:history="1">
        <w:r w:rsidRPr="00A806A7">
          <w:rPr>
            <w:rStyle w:val="Hyperlink"/>
            <w:rFonts w:ascii="Times New Roman" w:hAnsi="Times New Roman" w:cs="Times New Roman"/>
          </w:rPr>
          <w:t>https://doi.org/10.1177/1059601104273064</w:t>
        </w:r>
      </w:hyperlink>
    </w:p>
    <w:p w14:paraId="6FFD2679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Santos, R. S., Magalhes, C., Santons, R., &amp; Correa-Nato, J. (2024). Exploring hybrid work realities: A case study with software professionals from underrepresented groups. </w:t>
      </w:r>
      <w:r>
        <w:rPr>
          <w:rFonts w:ascii="Times New Roman" w:hAnsi="Times New Roman" w:cs="Times New Roman"/>
          <w:i/>
          <w:iCs/>
        </w:rPr>
        <w:t xml:space="preserve">Cornell University. </w:t>
      </w:r>
      <w:hyperlink r:id="rId43" w:history="1">
        <w:r w:rsidRPr="00A806A7">
          <w:rPr>
            <w:rStyle w:val="Hyperlink"/>
            <w:rFonts w:ascii="Times New Roman" w:hAnsi="Times New Roman" w:cs="Times New Roman"/>
          </w:rPr>
          <w:t>https://doi.org/10.48550/arXiv.2404.13462</w:t>
        </w:r>
      </w:hyperlink>
    </w:p>
    <w:p w14:paraId="55EF7BF3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Shore, L. M., Randel, A. E., Chung, B. G., Dean, M. A., Ehrhart, K. H., &amp; Singh, G. (2011). Inclusion and diversity in work groups: a review and model for future research. </w:t>
      </w:r>
      <w:r>
        <w:rPr>
          <w:rFonts w:ascii="Times New Roman" w:hAnsi="Times New Roman" w:cs="Times New Roman"/>
          <w:i/>
          <w:iCs/>
        </w:rPr>
        <w:t>Journal of Management. 37</w:t>
      </w:r>
      <w:r>
        <w:rPr>
          <w:rFonts w:ascii="Times New Roman" w:hAnsi="Times New Roman" w:cs="Times New Roman"/>
        </w:rPr>
        <w:t xml:space="preserve">(4) 1262-1289. </w:t>
      </w:r>
      <w:hyperlink r:id="rId44" w:history="1">
        <w:r w:rsidRPr="00A806A7">
          <w:rPr>
            <w:rStyle w:val="Hyperlink"/>
            <w:rFonts w:ascii="Times New Roman" w:hAnsi="Times New Roman" w:cs="Times New Roman"/>
          </w:rPr>
          <w:t>https://doi.org/10.1177/0149206310385943</w:t>
        </w:r>
      </w:hyperlink>
    </w:p>
    <w:p w14:paraId="506F844F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Trinkenreich, B., Britto, R., Gerosa, M. A., &amp; Steinmacher, I. (2022). An empirical investigation on the challenges faced by women in the software industry: A case study. </w:t>
      </w:r>
      <w:r>
        <w:rPr>
          <w:rFonts w:ascii="Times New Roman" w:hAnsi="Times New Roman" w:cs="Times New Roman"/>
          <w:i/>
          <w:iCs/>
        </w:rPr>
        <w:t xml:space="preserve">Cornell University. </w:t>
      </w:r>
      <w:hyperlink r:id="rId45" w:history="1">
        <w:r w:rsidRPr="00A806A7">
          <w:rPr>
            <w:rStyle w:val="Hyperlink"/>
            <w:rFonts w:ascii="Times New Roman" w:hAnsi="Times New Roman" w:cs="Times New Roman"/>
          </w:rPr>
          <w:t>https://doi.org/10.48550/arXiv.2203.10555</w:t>
        </w:r>
      </w:hyperlink>
    </w:p>
    <w:p w14:paraId="1860DBDC" w14:textId="736A8155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Voda</w:t>
      </w:r>
      <w:r w:rsidR="007B423B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one Group plc. (2024). Vodaphone 2024 summary. </w:t>
      </w:r>
      <w:hyperlink r:id="rId46" w:history="1">
        <w:r w:rsidRPr="00A806A7">
          <w:rPr>
            <w:rStyle w:val="Hyperlink"/>
            <w:rFonts w:ascii="Times New Roman" w:hAnsi="Times New Roman" w:cs="Times New Roman"/>
          </w:rPr>
          <w:t>https://reports.investors.vodafone.com/view/504459497/II/</w:t>
        </w:r>
      </w:hyperlink>
    </w:p>
    <w:p w14:paraId="7C46AE4B" w14:textId="77777777" w:rsidR="00B43E5F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Weaver, A. K., Libby, N. E, Goodale, G., &amp; Alexander, S. (2025). Workplace diversity initiatives: More than ticking a box. </w:t>
      </w:r>
      <w:r>
        <w:rPr>
          <w:rFonts w:ascii="Times New Roman" w:hAnsi="Times New Roman" w:cs="Times New Roman"/>
          <w:i/>
          <w:iCs/>
        </w:rPr>
        <w:t>Discover Social Science and Health. 5</w:t>
      </w:r>
      <w:r>
        <w:rPr>
          <w:rFonts w:ascii="Times New Roman" w:hAnsi="Times New Roman" w:cs="Times New Roman"/>
        </w:rPr>
        <w:t xml:space="preserve">(33). </w:t>
      </w:r>
      <w:hyperlink r:id="rId47" w:history="1">
        <w:r w:rsidRPr="00A806A7">
          <w:rPr>
            <w:rStyle w:val="Hyperlink"/>
            <w:rFonts w:ascii="Times New Roman" w:hAnsi="Times New Roman" w:cs="Times New Roman"/>
          </w:rPr>
          <w:t>https://doi.org/10.1007/s44155-025-00176-7</w:t>
        </w:r>
      </w:hyperlink>
    </w:p>
    <w:p w14:paraId="1660AE72" w14:textId="6615FE07" w:rsidR="0091751E" w:rsidRDefault="00B43E5F" w:rsidP="00B43E5F">
      <w:pPr>
        <w:spacing w:line="48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Woffindin, L. (2024). Case study: Organisations leading the way in equality initiatives. </w:t>
      </w:r>
      <w:r>
        <w:rPr>
          <w:rFonts w:ascii="Times New Roman" w:hAnsi="Times New Roman" w:cs="Times New Roman"/>
          <w:i/>
          <w:iCs/>
        </w:rPr>
        <w:t xml:space="preserve">CPD Online College. </w:t>
      </w:r>
      <w:hyperlink r:id="rId48" w:history="1">
        <w:r w:rsidRPr="00B43E5F">
          <w:rPr>
            <w:rStyle w:val="Hyperlink"/>
            <w:rFonts w:ascii="Times New Roman" w:hAnsi="Times New Roman" w:cs="Times New Roman"/>
          </w:rPr>
          <w:t>https://cpdonline.co.uk/knowledge-base/business/organisations-leading-way-equality-initiatives</w:t>
        </w:r>
      </w:hyperlink>
    </w:p>
    <w:p w14:paraId="68A5B446" w14:textId="77777777" w:rsidR="00B43E5F" w:rsidRPr="00B43E5F" w:rsidRDefault="00B43E5F" w:rsidP="00B43E5F">
      <w:pPr>
        <w:ind w:left="720" w:hanging="720"/>
        <w:rPr>
          <w:rFonts w:ascii="Times New Roman" w:hAnsi="Times New Roman" w:cs="Times New Roman"/>
        </w:rPr>
      </w:pPr>
    </w:p>
    <w:sectPr w:rsidR="00B43E5F" w:rsidRPr="00B43E5F">
      <w:footerReference w:type="even" r:id="rId49"/>
      <w:footerReference w:type="default" r:id="rId5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A3197" w14:textId="77777777" w:rsidR="00CB6929" w:rsidRDefault="00CB6929" w:rsidP="00714F93">
      <w:pPr>
        <w:spacing w:after="0" w:line="240" w:lineRule="auto"/>
      </w:pPr>
      <w:r>
        <w:separator/>
      </w:r>
    </w:p>
  </w:endnote>
  <w:endnote w:type="continuationSeparator" w:id="0">
    <w:p w14:paraId="23979509" w14:textId="77777777" w:rsidR="00CB6929" w:rsidRDefault="00CB6929" w:rsidP="00714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44801873"/>
      <w:docPartObj>
        <w:docPartGallery w:val="Page Numbers (Bottom of Page)"/>
        <w:docPartUnique/>
      </w:docPartObj>
    </w:sdtPr>
    <w:sdtContent>
      <w:p w14:paraId="03AEDFB8" w14:textId="53BDF892" w:rsidR="003C1020" w:rsidRDefault="003C1020" w:rsidP="00A806A7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961B842" w14:textId="77777777" w:rsidR="003C1020" w:rsidRDefault="003C10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64749127"/>
      <w:docPartObj>
        <w:docPartGallery w:val="Page Numbers (Bottom of Page)"/>
        <w:docPartUnique/>
      </w:docPartObj>
    </w:sdtPr>
    <w:sdtContent>
      <w:p w14:paraId="1EBC7A27" w14:textId="13B768D9" w:rsidR="003C1020" w:rsidRDefault="003C1020" w:rsidP="00A806A7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E8F7344" w14:textId="77777777" w:rsidR="003C1020" w:rsidRDefault="003C1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3C8E0" w14:textId="77777777" w:rsidR="00CB6929" w:rsidRDefault="00CB6929" w:rsidP="00714F93">
      <w:pPr>
        <w:spacing w:after="0" w:line="240" w:lineRule="auto"/>
      </w:pPr>
      <w:r>
        <w:separator/>
      </w:r>
    </w:p>
  </w:footnote>
  <w:footnote w:type="continuationSeparator" w:id="0">
    <w:p w14:paraId="2D9DF699" w14:textId="77777777" w:rsidR="00CB6929" w:rsidRDefault="00CB6929" w:rsidP="00714F9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mg5ueYe" int2:invalidationBookmarkName="" int2:hashCode="SMFwPIHakRGYAb" int2:id="DsmqP7Yk">
      <int2:state int2:value="Rejected" int2:type="style"/>
    </int2:bookmark>
    <int2:bookmark int2:bookmarkName="_Int_d7Od1iCW" int2:invalidationBookmarkName="" int2:hashCode="yJV07ijneSP6Sw" int2:id="DuZBtuOv">
      <int2:state int2:value="Rejected" int2:type="style"/>
    </int2:bookmark>
    <int2:bookmark int2:bookmarkName="_Int_PuykU3mN" int2:invalidationBookmarkName="" int2:hashCode="o9s5qaB2pEWUUc" int2:id="eyDwQioG">
      <int2:state int2:value="Rejected" int2:type="style"/>
    </int2:bookmark>
    <int2:bookmark int2:bookmarkName="_Int_PyfhsT0H" int2:invalidationBookmarkName="" int2:hashCode="ISQDfKZqM8FMSE" int2:id="0cQcyhq6">
      <int2:state int2:value="Rejected" int2:type="style"/>
    </int2:bookmark>
    <int2:bookmark int2:bookmarkName="_Int_wCIrzRhS" int2:invalidationBookmarkName="" int2:hashCode="4x0dk1pDdsD9fx" int2:id="O97hz9VS">
      <int2:state int2:value="Rejected" int2:type="style"/>
    </int2:bookmark>
    <int2:bookmark int2:bookmarkName="_Int_52M4okQj" int2:invalidationBookmarkName="" int2:hashCode="2VCKDl9K9HQ8Vh" int2:id="y5oTxiY7">
      <int2:state int2:value="Rejected" int2:type="gram"/>
    </int2:bookmark>
    <int2:bookmark int2:bookmarkName="_Int_rZpvci2e" int2:invalidationBookmarkName="" int2:hashCode="7WXA1NsxbjowQE" int2:id="XjzcEHot">
      <int2:state int2:value="Rejected" int2:type="style"/>
    </int2:bookmark>
    <int2:bookmark int2:bookmarkName="_Int_lhesYdXo" int2:invalidationBookmarkName="" int2:hashCode="wauZJOzaG+r4u6" int2:id="ifGOQuU6">
      <int2:state int2:value="Rejected" int2:type="style"/>
    </int2:bookmark>
    <int2:bookmark int2:bookmarkName="_Int_gnE9L8Gl" int2:invalidationBookmarkName="" int2:hashCode="/p/42Ve89ZIz6q" int2:id="sFvMoIMe">
      <int2:state int2:value="Rejected" int2:type="style"/>
    </int2:bookmark>
    <int2:bookmark int2:bookmarkName="_Int_hEkTYJY8" int2:invalidationBookmarkName="" int2:hashCode="lYDxgaT6QVo2Hp" int2:id="bcEL3YqO">
      <int2:state int2:value="Rejected" int2:type="style"/>
    </int2:bookmark>
    <int2:bookmark int2:bookmarkName="_Int_VSfbX5as" int2:invalidationBookmarkName="" int2:hashCode="i1wS7chpbgrMZC" int2:id="DuwyMV0K">
      <int2:state int2:value="Rejected" int2:type="style"/>
    </int2:bookmark>
    <int2:bookmark int2:bookmarkName="_Int_3mntaWJb" int2:invalidationBookmarkName="" int2:hashCode="T9/VSma30qN89o" int2:id="8TuOrLE1">
      <int2:state int2:value="Rejected" int2:type="style"/>
    </int2:bookmark>
    <int2:bookmark int2:bookmarkName="_Int_jr3NBjwN" int2:invalidationBookmarkName="" int2:hashCode="6eCTr2hKDvOwL4" int2:id="8sVI3qlP">
      <int2:state int2:value="Rejected" int2:type="style"/>
    </int2:bookmark>
    <int2:bookmark int2:bookmarkName="_Int_Po8JrRh1" int2:invalidationBookmarkName="" int2:hashCode="pAiXs/rMdCfmrZ" int2:id="tGQr8tDj">
      <int2:state int2:value="Rejected" int2:type="style"/>
    </int2:bookmark>
    <int2:bookmark int2:bookmarkName="_Int_vKoFnyLb" int2:invalidationBookmarkName="" int2:hashCode="B4kn4shvAYTvty" int2:id="gcDFZo8N">
      <int2:state int2:value="Rejected" int2:type="gram"/>
    </int2:bookmark>
    <int2:bookmark int2:bookmarkName="_Int_RYBwwcxP" int2:invalidationBookmarkName="" int2:hashCode="SLGLFARhzcGrh6" int2:id="TFJp1dFt">
      <int2:state int2:value="Rejected" int2:type="style"/>
    </int2:bookmark>
    <int2:bookmark int2:bookmarkName="_Int_LsQDdSpz" int2:invalidationBookmarkName="" int2:hashCode="dalNooyseA++F1" int2:id="1FhEXf81">
      <int2:state int2:value="Rejected" int2:type="style"/>
    </int2:bookmark>
    <int2:bookmark int2:bookmarkName="_Int_hJgU4Zdm" int2:invalidationBookmarkName="" int2:hashCode="2VCKDl9K9HQ8Vh" int2:id="zMmRLcQm">
      <int2:state int2:value="Rejected" int2:type="gram"/>
    </int2:bookmark>
    <int2:bookmark int2:bookmarkName="_Int_44mk6xhx" int2:invalidationBookmarkName="" int2:hashCode="351r0XWD+hEdsL" int2:id="TswMlgSt">
      <int2:state int2:value="Rejected" int2:type="style"/>
    </int2:bookmark>
    <int2:bookmark int2:bookmarkName="_Int_7fYpSNSi" int2:invalidationBookmarkName="" int2:hashCode="/5aGncXwjRgebT" int2:id="RROQIcio">
      <int2:state int2:value="Rejected" int2:type="style"/>
    </int2:bookmark>
    <int2:bookmark int2:bookmarkName="_Int_R4TAVAzj" int2:invalidationBookmarkName="" int2:hashCode="l5aAn32uSC0xI8" int2:id="fNSTVSKz">
      <int2:state int2:value="Rejected" int2:type="style"/>
    </int2:bookmark>
    <int2:bookmark int2:bookmarkName="_Int_RqRKg4qb" int2:invalidationBookmarkName="" int2:hashCode="GnfUFiJMu+d6Q5" int2:id="ow5FwdFg">
      <int2:state int2:value="Rejected" int2:type="style"/>
    </int2:bookmark>
    <int2:bookmark int2:bookmarkName="_Int_tWKFmlYA" int2:invalidationBookmarkName="" int2:hashCode="SLGLFARhzcGrh6" int2:id="R9bq08VQ">
      <int2:state int2:value="Rejected" int2:type="style"/>
    </int2:bookmark>
    <int2:bookmark int2:bookmarkName="_Int_03VHu2n9" int2:invalidationBookmarkName="" int2:hashCode="NkPdJ9i9g1wpGP" int2:id="1xwHrMl8">
      <int2:state int2:value="Rejected" int2:type="style"/>
    </int2:bookmark>
    <int2:bookmark int2:bookmarkName="_Int_90tgPD8s" int2:invalidationBookmarkName="" int2:hashCode="7d6FDksqtNekOY" int2:id="WfmWVxfD">
      <int2:state int2:value="Rejected" int2:type="style"/>
    </int2:bookmark>
    <int2:bookmark int2:bookmarkName="_Int_UkAMXoth" int2:invalidationBookmarkName="" int2:hashCode="o9s5qaB2pEWUUc" int2:id="Hpj0L24f">
      <int2:state int2:value="Rejected" int2:type="style"/>
    </int2:bookmark>
    <int2:bookmark int2:bookmarkName="_Int_YgvV1h7K" int2:invalidationBookmarkName="" int2:hashCode="2VCKDl9K9HQ8Vh" int2:id="l7fwUto7">
      <int2:state int2:value="Rejected" int2:type="gram"/>
    </int2:bookmark>
    <int2:bookmark int2:bookmarkName="_Int_jvqBZWHv" int2:invalidationBookmarkName="" int2:hashCode="agxCLWDTygHSgM" int2:id="7aVLdsyv">
      <int2:state int2:value="Rejected" int2:type="style"/>
    </int2:bookmark>
    <int2:bookmark int2:bookmarkName="_Int_kk8Oc86y" int2:invalidationBookmarkName="" int2:hashCode="u7n1IPJwv9oCs0" int2:id="dY8yG8cw">
      <int2:state int2:value="Rejected" int2:type="style"/>
    </int2:bookmark>
    <int2:bookmark int2:bookmarkName="_Int_wBIwkyAs" int2:invalidationBookmarkName="" int2:hashCode="KY4lrqUSB2orV0" int2:id="SX04iCGf">
      <int2:state int2:value="Rejected" int2:type="style"/>
    </int2:bookmark>
    <int2:bookmark int2:bookmarkName="_Int_e6grrQIh" int2:invalidationBookmarkName="" int2:hashCode="SMFwPIHakRGYAb" int2:id="l6fhttWm">
      <int2:state int2:value="Rejected" int2:type="style"/>
    </int2:bookmark>
    <int2:bookmark int2:bookmarkName="_Int_fNASfAW5" int2:invalidationBookmarkName="" int2:hashCode="a62FJoEJTbi94b" int2:id="tgLkf0dA">
      <int2:state int2:value="Rejected" int2:type="style"/>
    </int2:bookmark>
    <int2:bookmark int2:bookmarkName="_Int_X1TCR7FT" int2:invalidationBookmarkName="" int2:hashCode="pljuTCRWMcIJhp" int2:id="RBq5wOwh">
      <int2:state int2:value="Rejected" int2:type="style"/>
    </int2:bookmark>
    <int2:bookmark int2:bookmarkName="_Int_Enj8IqOV" int2:invalidationBookmarkName="" int2:hashCode="OFYXKXAfBAKJwz" int2:id="kbSdc6xn">
      <int2:state int2:value="Rejected" int2:type="style"/>
    </int2:bookmark>
    <int2:bookmark int2:bookmarkName="_Int_2MWM7GlC" int2:invalidationBookmarkName="" int2:hashCode="3bPvKjIwSOetA5" int2:id="c5R5Pe4d">
      <int2:state int2:value="Rejected" int2:type="style"/>
    </int2:bookmark>
    <int2:bookmark int2:bookmarkName="_Int_QN8KFwW4" int2:invalidationBookmarkName="" int2:hashCode="qkpfgSXyNBguLe" int2:id="2enXiUYP">
      <int2:state int2:value="Rejected" int2:type="style"/>
    </int2:bookmark>
    <int2:bookmark int2:bookmarkName="_Int_MV1YlUZk" int2:invalidationBookmarkName="" int2:hashCode="ZoiIM1cnwwtkkh" int2:id="RrwjKRgZ">
      <int2:state int2:value="Rejected" int2:type="style"/>
    </int2:bookmark>
    <int2:bookmark int2:bookmarkName="_Int_2u2GmdGL" int2:invalidationBookmarkName="" int2:hashCode="xFiFiQH+tipdUO" int2:id="Tef07laC">
      <int2:state int2:value="Rejected" int2:type="style"/>
    </int2:bookmark>
    <int2:bookmark int2:bookmarkName="_Int_9FsUYgK8" int2:invalidationBookmarkName="" int2:hashCode="dkmkRuVDysnpuX" int2:id="Cz3JjE8T">
      <int2:state int2:value="Rejected" int2:type="style"/>
    </int2:bookmark>
    <int2:bookmark int2:bookmarkName="_Int_9jamVRE8" int2:invalidationBookmarkName="" int2:hashCode="a4QDL24FdKXfk+" int2:id="d8dDkum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150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260FE"/>
    <w:multiLevelType w:val="multilevel"/>
    <w:tmpl w:val="5BCE8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505A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BB1E41"/>
    <w:multiLevelType w:val="multilevel"/>
    <w:tmpl w:val="FFFFFFFF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E7C286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C50A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616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0970A5"/>
    <w:multiLevelType w:val="multilevel"/>
    <w:tmpl w:val="3E76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4E30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7E641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C063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420D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48785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B50913"/>
    <w:multiLevelType w:val="multilevel"/>
    <w:tmpl w:val="4FB4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32"/>
        <w:szCs w:val="3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526FD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986989"/>
    <w:multiLevelType w:val="multilevel"/>
    <w:tmpl w:val="47E8E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4A65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D22B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847971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0846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 w16cid:durableId="1207453060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 w16cid:durableId="157839689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 w16cid:durableId="966936607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 w16cid:durableId="644822460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 w16cid:durableId="1296832288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8" w16cid:durableId="1635872125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 w16cid:durableId="144915785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 w16cid:durableId="1746143959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1" w16cid:durableId="125704609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2" w16cid:durableId="1935701707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3" w16cid:durableId="167217332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4" w16cid:durableId="102967219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 w16cid:durableId="56472921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6" w16cid:durableId="592667073">
    <w:abstractNumId w:val="11"/>
  </w:num>
  <w:num w:numId="17" w16cid:durableId="124543572">
    <w:abstractNumId w:val="14"/>
  </w:num>
  <w:num w:numId="18" w16cid:durableId="875314771">
    <w:abstractNumId w:val="17"/>
  </w:num>
  <w:num w:numId="19" w16cid:durableId="349259073">
    <w:abstractNumId w:val="10"/>
  </w:num>
  <w:num w:numId="20" w16cid:durableId="472530203">
    <w:abstractNumId w:val="6"/>
  </w:num>
  <w:num w:numId="21" w16cid:durableId="1856841397">
    <w:abstractNumId w:val="16"/>
  </w:num>
  <w:num w:numId="22" w16cid:durableId="540901191">
    <w:abstractNumId w:val="9"/>
  </w:num>
  <w:num w:numId="23" w16cid:durableId="1853565596">
    <w:abstractNumId w:val="5"/>
  </w:num>
  <w:num w:numId="24" w16cid:durableId="1954168166">
    <w:abstractNumId w:val="12"/>
  </w:num>
  <w:num w:numId="25" w16cid:durableId="827674227">
    <w:abstractNumId w:val="7"/>
  </w:num>
  <w:num w:numId="26" w16cid:durableId="1258907448">
    <w:abstractNumId w:val="13"/>
  </w:num>
  <w:num w:numId="27" w16cid:durableId="1316763641">
    <w:abstractNumId w:val="8"/>
  </w:num>
  <w:num w:numId="28" w16cid:durableId="1827547257">
    <w:abstractNumId w:val="0"/>
  </w:num>
  <w:num w:numId="29" w16cid:durableId="1957519867">
    <w:abstractNumId w:val="15"/>
  </w:num>
  <w:num w:numId="30" w16cid:durableId="223565312">
    <w:abstractNumId w:val="4"/>
  </w:num>
  <w:num w:numId="31" w16cid:durableId="420764596">
    <w:abstractNumId w:val="2"/>
  </w:num>
  <w:num w:numId="32" w16cid:durableId="12806440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F2"/>
    <w:rsid w:val="00003CF3"/>
    <w:rsid w:val="00003DD9"/>
    <w:rsid w:val="00003E91"/>
    <w:rsid w:val="0000588F"/>
    <w:rsid w:val="0001260B"/>
    <w:rsid w:val="0001363B"/>
    <w:rsid w:val="0001497B"/>
    <w:rsid w:val="00014F24"/>
    <w:rsid w:val="00025A38"/>
    <w:rsid w:val="00026186"/>
    <w:rsid w:val="00026F82"/>
    <w:rsid w:val="00030D5B"/>
    <w:rsid w:val="00034693"/>
    <w:rsid w:val="0003789D"/>
    <w:rsid w:val="00042899"/>
    <w:rsid w:val="0005122D"/>
    <w:rsid w:val="00052115"/>
    <w:rsid w:val="00055EFC"/>
    <w:rsid w:val="0006652E"/>
    <w:rsid w:val="0006696D"/>
    <w:rsid w:val="00067DA3"/>
    <w:rsid w:val="000717FC"/>
    <w:rsid w:val="000734E6"/>
    <w:rsid w:val="0007372E"/>
    <w:rsid w:val="00074F48"/>
    <w:rsid w:val="00082BF4"/>
    <w:rsid w:val="00087070"/>
    <w:rsid w:val="00087DEB"/>
    <w:rsid w:val="0009144D"/>
    <w:rsid w:val="00091ED7"/>
    <w:rsid w:val="00094A76"/>
    <w:rsid w:val="000A1446"/>
    <w:rsid w:val="000A5121"/>
    <w:rsid w:val="000B0F52"/>
    <w:rsid w:val="000B2361"/>
    <w:rsid w:val="000B2AD8"/>
    <w:rsid w:val="000B446A"/>
    <w:rsid w:val="000B455A"/>
    <w:rsid w:val="000B4810"/>
    <w:rsid w:val="000C1505"/>
    <w:rsid w:val="000C3710"/>
    <w:rsid w:val="000C46A0"/>
    <w:rsid w:val="000C4AA8"/>
    <w:rsid w:val="000C7F10"/>
    <w:rsid w:val="000D0560"/>
    <w:rsid w:val="000D2535"/>
    <w:rsid w:val="000D3F5B"/>
    <w:rsid w:val="000E2F92"/>
    <w:rsid w:val="000E33B6"/>
    <w:rsid w:val="000E3F6C"/>
    <w:rsid w:val="000E537E"/>
    <w:rsid w:val="000E54BF"/>
    <w:rsid w:val="000F1387"/>
    <w:rsid w:val="000F19AD"/>
    <w:rsid w:val="000F3BDF"/>
    <w:rsid w:val="000F4A17"/>
    <w:rsid w:val="000F6608"/>
    <w:rsid w:val="0010140F"/>
    <w:rsid w:val="001014CF"/>
    <w:rsid w:val="00103EB4"/>
    <w:rsid w:val="00106794"/>
    <w:rsid w:val="00111595"/>
    <w:rsid w:val="00111890"/>
    <w:rsid w:val="00114E56"/>
    <w:rsid w:val="00116BA0"/>
    <w:rsid w:val="00117898"/>
    <w:rsid w:val="001238EA"/>
    <w:rsid w:val="00123F53"/>
    <w:rsid w:val="0012728B"/>
    <w:rsid w:val="00134159"/>
    <w:rsid w:val="00135109"/>
    <w:rsid w:val="001375BA"/>
    <w:rsid w:val="00137B4D"/>
    <w:rsid w:val="00137B5D"/>
    <w:rsid w:val="00140508"/>
    <w:rsid w:val="00140938"/>
    <w:rsid w:val="00141094"/>
    <w:rsid w:val="001433A3"/>
    <w:rsid w:val="00150DFF"/>
    <w:rsid w:val="00152AA8"/>
    <w:rsid w:val="001572F1"/>
    <w:rsid w:val="00161A4E"/>
    <w:rsid w:val="00163630"/>
    <w:rsid w:val="001667EB"/>
    <w:rsid w:val="00172654"/>
    <w:rsid w:val="00174EEC"/>
    <w:rsid w:val="00174EEF"/>
    <w:rsid w:val="00180D36"/>
    <w:rsid w:val="00180F28"/>
    <w:rsid w:val="0018296B"/>
    <w:rsid w:val="00185269"/>
    <w:rsid w:val="00185414"/>
    <w:rsid w:val="00185638"/>
    <w:rsid w:val="00190519"/>
    <w:rsid w:val="0019058E"/>
    <w:rsid w:val="001917F9"/>
    <w:rsid w:val="00192D34"/>
    <w:rsid w:val="00195419"/>
    <w:rsid w:val="00195F8B"/>
    <w:rsid w:val="001961AB"/>
    <w:rsid w:val="0019701B"/>
    <w:rsid w:val="00197696"/>
    <w:rsid w:val="001A16A8"/>
    <w:rsid w:val="001A3927"/>
    <w:rsid w:val="001A43B2"/>
    <w:rsid w:val="001A69ED"/>
    <w:rsid w:val="001A6D78"/>
    <w:rsid w:val="001B05D6"/>
    <w:rsid w:val="001B3F93"/>
    <w:rsid w:val="001B6441"/>
    <w:rsid w:val="001B700B"/>
    <w:rsid w:val="001C0594"/>
    <w:rsid w:val="001C1C72"/>
    <w:rsid w:val="001C5A31"/>
    <w:rsid w:val="001C763A"/>
    <w:rsid w:val="001D0255"/>
    <w:rsid w:val="001D084F"/>
    <w:rsid w:val="001D5783"/>
    <w:rsid w:val="001D642C"/>
    <w:rsid w:val="001D753F"/>
    <w:rsid w:val="001E1841"/>
    <w:rsid w:val="001E47B4"/>
    <w:rsid w:val="001E4C6F"/>
    <w:rsid w:val="001E56C8"/>
    <w:rsid w:val="001E72C2"/>
    <w:rsid w:val="001E76CC"/>
    <w:rsid w:val="001F6061"/>
    <w:rsid w:val="00200371"/>
    <w:rsid w:val="00204A1F"/>
    <w:rsid w:val="00212E51"/>
    <w:rsid w:val="002142C0"/>
    <w:rsid w:val="00216C9C"/>
    <w:rsid w:val="00220633"/>
    <w:rsid w:val="002211DE"/>
    <w:rsid w:val="00222C98"/>
    <w:rsid w:val="00226F3D"/>
    <w:rsid w:val="002319F3"/>
    <w:rsid w:val="00237D3A"/>
    <w:rsid w:val="00241613"/>
    <w:rsid w:val="00241880"/>
    <w:rsid w:val="00242092"/>
    <w:rsid w:val="00245636"/>
    <w:rsid w:val="00245EBF"/>
    <w:rsid w:val="00251AFA"/>
    <w:rsid w:val="00254082"/>
    <w:rsid w:val="00254275"/>
    <w:rsid w:val="002544F7"/>
    <w:rsid w:val="00261F56"/>
    <w:rsid w:val="002648F7"/>
    <w:rsid w:val="00267767"/>
    <w:rsid w:val="00267BEE"/>
    <w:rsid w:val="002733C3"/>
    <w:rsid w:val="002738EC"/>
    <w:rsid w:val="002742C8"/>
    <w:rsid w:val="00275977"/>
    <w:rsid w:val="002816E4"/>
    <w:rsid w:val="0028295B"/>
    <w:rsid w:val="0028310A"/>
    <w:rsid w:val="0028527D"/>
    <w:rsid w:val="002866BC"/>
    <w:rsid w:val="0029799F"/>
    <w:rsid w:val="002A1F05"/>
    <w:rsid w:val="002A310B"/>
    <w:rsid w:val="002A35BA"/>
    <w:rsid w:val="002A3DFC"/>
    <w:rsid w:val="002B3708"/>
    <w:rsid w:val="002B7273"/>
    <w:rsid w:val="002C17D2"/>
    <w:rsid w:val="002C38E7"/>
    <w:rsid w:val="002D1DA2"/>
    <w:rsid w:val="002D3FFC"/>
    <w:rsid w:val="002E589B"/>
    <w:rsid w:val="002E658D"/>
    <w:rsid w:val="002E659E"/>
    <w:rsid w:val="002E65EB"/>
    <w:rsid w:val="002E7D95"/>
    <w:rsid w:val="002F0F7A"/>
    <w:rsid w:val="002F3CFB"/>
    <w:rsid w:val="002F77C9"/>
    <w:rsid w:val="00300581"/>
    <w:rsid w:val="003034D4"/>
    <w:rsid w:val="00303889"/>
    <w:rsid w:val="003045AF"/>
    <w:rsid w:val="003056AD"/>
    <w:rsid w:val="00305CF2"/>
    <w:rsid w:val="00306B25"/>
    <w:rsid w:val="00317D18"/>
    <w:rsid w:val="003202DC"/>
    <w:rsid w:val="00321084"/>
    <w:rsid w:val="003211DF"/>
    <w:rsid w:val="00321EB4"/>
    <w:rsid w:val="00323149"/>
    <w:rsid w:val="00323DF2"/>
    <w:rsid w:val="003258C3"/>
    <w:rsid w:val="00330731"/>
    <w:rsid w:val="003311BD"/>
    <w:rsid w:val="00332D4D"/>
    <w:rsid w:val="0033334E"/>
    <w:rsid w:val="003339C9"/>
    <w:rsid w:val="00340E50"/>
    <w:rsid w:val="00350798"/>
    <w:rsid w:val="00351403"/>
    <w:rsid w:val="003629BA"/>
    <w:rsid w:val="00367D42"/>
    <w:rsid w:val="003730FA"/>
    <w:rsid w:val="00374F82"/>
    <w:rsid w:val="003760B6"/>
    <w:rsid w:val="00377AB5"/>
    <w:rsid w:val="00380EC5"/>
    <w:rsid w:val="003834E8"/>
    <w:rsid w:val="00386C53"/>
    <w:rsid w:val="00387604"/>
    <w:rsid w:val="003902E9"/>
    <w:rsid w:val="00395D00"/>
    <w:rsid w:val="003A043B"/>
    <w:rsid w:val="003A0D19"/>
    <w:rsid w:val="003A35A4"/>
    <w:rsid w:val="003A3BFE"/>
    <w:rsid w:val="003A7268"/>
    <w:rsid w:val="003A732D"/>
    <w:rsid w:val="003B1CE8"/>
    <w:rsid w:val="003B528D"/>
    <w:rsid w:val="003B54E5"/>
    <w:rsid w:val="003B78AA"/>
    <w:rsid w:val="003C1020"/>
    <w:rsid w:val="003C2326"/>
    <w:rsid w:val="003C3A06"/>
    <w:rsid w:val="003C4366"/>
    <w:rsid w:val="003C67C0"/>
    <w:rsid w:val="003D0B90"/>
    <w:rsid w:val="003D1088"/>
    <w:rsid w:val="003D15E4"/>
    <w:rsid w:val="003D17F9"/>
    <w:rsid w:val="003D4507"/>
    <w:rsid w:val="003D64A5"/>
    <w:rsid w:val="003E3431"/>
    <w:rsid w:val="003E4158"/>
    <w:rsid w:val="003E5BFE"/>
    <w:rsid w:val="003E6DEF"/>
    <w:rsid w:val="003E795E"/>
    <w:rsid w:val="003F04EC"/>
    <w:rsid w:val="003F5ED8"/>
    <w:rsid w:val="003F63D2"/>
    <w:rsid w:val="00404873"/>
    <w:rsid w:val="00406137"/>
    <w:rsid w:val="00407FC7"/>
    <w:rsid w:val="004105C6"/>
    <w:rsid w:val="00410AD6"/>
    <w:rsid w:val="00410AF1"/>
    <w:rsid w:val="00412714"/>
    <w:rsid w:val="004158D8"/>
    <w:rsid w:val="00416571"/>
    <w:rsid w:val="004214F3"/>
    <w:rsid w:val="004215F6"/>
    <w:rsid w:val="00422D3B"/>
    <w:rsid w:val="00424107"/>
    <w:rsid w:val="004252EF"/>
    <w:rsid w:val="00430353"/>
    <w:rsid w:val="004304EE"/>
    <w:rsid w:val="00434332"/>
    <w:rsid w:val="004350DE"/>
    <w:rsid w:val="00436092"/>
    <w:rsid w:val="00437B46"/>
    <w:rsid w:val="00437D42"/>
    <w:rsid w:val="00442CE8"/>
    <w:rsid w:val="0044316D"/>
    <w:rsid w:val="00460669"/>
    <w:rsid w:val="00461B9D"/>
    <w:rsid w:val="004622B4"/>
    <w:rsid w:val="00463838"/>
    <w:rsid w:val="00472809"/>
    <w:rsid w:val="004816A4"/>
    <w:rsid w:val="00483855"/>
    <w:rsid w:val="00483B3C"/>
    <w:rsid w:val="004856A1"/>
    <w:rsid w:val="00485A95"/>
    <w:rsid w:val="00485EBE"/>
    <w:rsid w:val="00487099"/>
    <w:rsid w:val="00490D9D"/>
    <w:rsid w:val="00492867"/>
    <w:rsid w:val="004935C9"/>
    <w:rsid w:val="004938B8"/>
    <w:rsid w:val="0049398E"/>
    <w:rsid w:val="00494B0F"/>
    <w:rsid w:val="00494E27"/>
    <w:rsid w:val="00497B39"/>
    <w:rsid w:val="004A077B"/>
    <w:rsid w:val="004A1963"/>
    <w:rsid w:val="004A4AF5"/>
    <w:rsid w:val="004A7412"/>
    <w:rsid w:val="004B0184"/>
    <w:rsid w:val="004B21A2"/>
    <w:rsid w:val="004B2E95"/>
    <w:rsid w:val="004B3238"/>
    <w:rsid w:val="004B3EEE"/>
    <w:rsid w:val="004B4F11"/>
    <w:rsid w:val="004B73E0"/>
    <w:rsid w:val="004C038B"/>
    <w:rsid w:val="004C2CAF"/>
    <w:rsid w:val="004C6E0F"/>
    <w:rsid w:val="004D48AC"/>
    <w:rsid w:val="004D54C7"/>
    <w:rsid w:val="004D6AA5"/>
    <w:rsid w:val="004E5B7C"/>
    <w:rsid w:val="004E7E39"/>
    <w:rsid w:val="004F112D"/>
    <w:rsid w:val="004F38E0"/>
    <w:rsid w:val="004F3F40"/>
    <w:rsid w:val="004F4C46"/>
    <w:rsid w:val="004F6550"/>
    <w:rsid w:val="00500AAA"/>
    <w:rsid w:val="00501D78"/>
    <w:rsid w:val="00503CE6"/>
    <w:rsid w:val="00505E08"/>
    <w:rsid w:val="00507494"/>
    <w:rsid w:val="00507579"/>
    <w:rsid w:val="00510B1F"/>
    <w:rsid w:val="00511882"/>
    <w:rsid w:val="00511F45"/>
    <w:rsid w:val="0051580F"/>
    <w:rsid w:val="00515BDF"/>
    <w:rsid w:val="00523E55"/>
    <w:rsid w:val="00524177"/>
    <w:rsid w:val="00524ADC"/>
    <w:rsid w:val="00526707"/>
    <w:rsid w:val="00527E62"/>
    <w:rsid w:val="00530BB7"/>
    <w:rsid w:val="00532FB0"/>
    <w:rsid w:val="0053493D"/>
    <w:rsid w:val="00534984"/>
    <w:rsid w:val="00534E8B"/>
    <w:rsid w:val="0054052E"/>
    <w:rsid w:val="00541D0E"/>
    <w:rsid w:val="00543287"/>
    <w:rsid w:val="005450C7"/>
    <w:rsid w:val="00545343"/>
    <w:rsid w:val="0055002E"/>
    <w:rsid w:val="0055162D"/>
    <w:rsid w:val="00552171"/>
    <w:rsid w:val="00560BDB"/>
    <w:rsid w:val="00561851"/>
    <w:rsid w:val="00565658"/>
    <w:rsid w:val="00567DCE"/>
    <w:rsid w:val="00567FC0"/>
    <w:rsid w:val="00570944"/>
    <w:rsid w:val="005742B2"/>
    <w:rsid w:val="00576541"/>
    <w:rsid w:val="0057788F"/>
    <w:rsid w:val="00580E81"/>
    <w:rsid w:val="0058188A"/>
    <w:rsid w:val="00581D4E"/>
    <w:rsid w:val="00585569"/>
    <w:rsid w:val="005878E9"/>
    <w:rsid w:val="00587AFB"/>
    <w:rsid w:val="00587D19"/>
    <w:rsid w:val="005A39C0"/>
    <w:rsid w:val="005A44DF"/>
    <w:rsid w:val="005A47CC"/>
    <w:rsid w:val="005A5079"/>
    <w:rsid w:val="005A7046"/>
    <w:rsid w:val="005B1959"/>
    <w:rsid w:val="005B3D04"/>
    <w:rsid w:val="005B606A"/>
    <w:rsid w:val="005C5247"/>
    <w:rsid w:val="005C5EF7"/>
    <w:rsid w:val="005C70AB"/>
    <w:rsid w:val="005D1667"/>
    <w:rsid w:val="005D18F3"/>
    <w:rsid w:val="005D7BF0"/>
    <w:rsid w:val="005E0812"/>
    <w:rsid w:val="005E101C"/>
    <w:rsid w:val="005E3305"/>
    <w:rsid w:val="005E4CF7"/>
    <w:rsid w:val="005E7E08"/>
    <w:rsid w:val="005F0532"/>
    <w:rsid w:val="005F2E0C"/>
    <w:rsid w:val="005F2F97"/>
    <w:rsid w:val="005F49AA"/>
    <w:rsid w:val="005F556A"/>
    <w:rsid w:val="005F60FC"/>
    <w:rsid w:val="005F79D1"/>
    <w:rsid w:val="00604317"/>
    <w:rsid w:val="00620269"/>
    <w:rsid w:val="00621AB7"/>
    <w:rsid w:val="00634007"/>
    <w:rsid w:val="00634A7C"/>
    <w:rsid w:val="00637DBD"/>
    <w:rsid w:val="00643ECF"/>
    <w:rsid w:val="0065037F"/>
    <w:rsid w:val="006507F8"/>
    <w:rsid w:val="0065482A"/>
    <w:rsid w:val="00655911"/>
    <w:rsid w:val="00656006"/>
    <w:rsid w:val="00656B22"/>
    <w:rsid w:val="00657454"/>
    <w:rsid w:val="006578A2"/>
    <w:rsid w:val="00663132"/>
    <w:rsid w:val="00663F35"/>
    <w:rsid w:val="00665CA8"/>
    <w:rsid w:val="00667339"/>
    <w:rsid w:val="00674BA0"/>
    <w:rsid w:val="0067582D"/>
    <w:rsid w:val="006776A7"/>
    <w:rsid w:val="00681137"/>
    <w:rsid w:val="00682CD5"/>
    <w:rsid w:val="0068465D"/>
    <w:rsid w:val="00684D99"/>
    <w:rsid w:val="00687CE0"/>
    <w:rsid w:val="006900E6"/>
    <w:rsid w:val="006969A7"/>
    <w:rsid w:val="00696E76"/>
    <w:rsid w:val="00697E27"/>
    <w:rsid w:val="006A2475"/>
    <w:rsid w:val="006B0DAB"/>
    <w:rsid w:val="006B16ED"/>
    <w:rsid w:val="006B209C"/>
    <w:rsid w:val="006B4BA7"/>
    <w:rsid w:val="006B68EE"/>
    <w:rsid w:val="006B6E1E"/>
    <w:rsid w:val="006B6F7D"/>
    <w:rsid w:val="006C0468"/>
    <w:rsid w:val="006C3B88"/>
    <w:rsid w:val="006C4A10"/>
    <w:rsid w:val="006D0847"/>
    <w:rsid w:val="006D1589"/>
    <w:rsid w:val="006D1914"/>
    <w:rsid w:val="006D1924"/>
    <w:rsid w:val="006E32CB"/>
    <w:rsid w:val="006E4C6A"/>
    <w:rsid w:val="006E4DEB"/>
    <w:rsid w:val="006E55D2"/>
    <w:rsid w:val="006F0809"/>
    <w:rsid w:val="006F1247"/>
    <w:rsid w:val="006F1AD3"/>
    <w:rsid w:val="0070500B"/>
    <w:rsid w:val="00714F93"/>
    <w:rsid w:val="0071593F"/>
    <w:rsid w:val="00716542"/>
    <w:rsid w:val="00717844"/>
    <w:rsid w:val="00723975"/>
    <w:rsid w:val="0073004A"/>
    <w:rsid w:val="00730B32"/>
    <w:rsid w:val="00732896"/>
    <w:rsid w:val="0074068D"/>
    <w:rsid w:val="007439E7"/>
    <w:rsid w:val="00747A80"/>
    <w:rsid w:val="00747B61"/>
    <w:rsid w:val="007524DE"/>
    <w:rsid w:val="00753E36"/>
    <w:rsid w:val="007549F6"/>
    <w:rsid w:val="00755AC4"/>
    <w:rsid w:val="007562F5"/>
    <w:rsid w:val="00760539"/>
    <w:rsid w:val="00761480"/>
    <w:rsid w:val="00764278"/>
    <w:rsid w:val="00764358"/>
    <w:rsid w:val="007655D6"/>
    <w:rsid w:val="00767069"/>
    <w:rsid w:val="00767F99"/>
    <w:rsid w:val="00770C7E"/>
    <w:rsid w:val="00771398"/>
    <w:rsid w:val="00771D27"/>
    <w:rsid w:val="00780AA1"/>
    <w:rsid w:val="00781B94"/>
    <w:rsid w:val="0078254F"/>
    <w:rsid w:val="0078386F"/>
    <w:rsid w:val="00783D22"/>
    <w:rsid w:val="00785B1D"/>
    <w:rsid w:val="00786374"/>
    <w:rsid w:val="0079191E"/>
    <w:rsid w:val="00793655"/>
    <w:rsid w:val="00793EE1"/>
    <w:rsid w:val="00794612"/>
    <w:rsid w:val="007959F3"/>
    <w:rsid w:val="00795D5E"/>
    <w:rsid w:val="007970F7"/>
    <w:rsid w:val="00797CB0"/>
    <w:rsid w:val="007A23AF"/>
    <w:rsid w:val="007A2EF9"/>
    <w:rsid w:val="007A33F2"/>
    <w:rsid w:val="007A3A65"/>
    <w:rsid w:val="007A5FE0"/>
    <w:rsid w:val="007B38DC"/>
    <w:rsid w:val="007B423B"/>
    <w:rsid w:val="007B60E0"/>
    <w:rsid w:val="007B643C"/>
    <w:rsid w:val="007B6F01"/>
    <w:rsid w:val="007C1FB1"/>
    <w:rsid w:val="007C2635"/>
    <w:rsid w:val="007C3E04"/>
    <w:rsid w:val="007C5D32"/>
    <w:rsid w:val="007C78D4"/>
    <w:rsid w:val="007D3272"/>
    <w:rsid w:val="007D4246"/>
    <w:rsid w:val="007D5394"/>
    <w:rsid w:val="007D5A5F"/>
    <w:rsid w:val="007D726C"/>
    <w:rsid w:val="007E188B"/>
    <w:rsid w:val="007E5932"/>
    <w:rsid w:val="007E637A"/>
    <w:rsid w:val="007E6F9A"/>
    <w:rsid w:val="007E7114"/>
    <w:rsid w:val="007F2970"/>
    <w:rsid w:val="007F4CF8"/>
    <w:rsid w:val="007F7B3A"/>
    <w:rsid w:val="00800209"/>
    <w:rsid w:val="00802467"/>
    <w:rsid w:val="00803987"/>
    <w:rsid w:val="00805E2B"/>
    <w:rsid w:val="00806B04"/>
    <w:rsid w:val="00812403"/>
    <w:rsid w:val="008159E6"/>
    <w:rsid w:val="0082051A"/>
    <w:rsid w:val="00821574"/>
    <w:rsid w:val="00824891"/>
    <w:rsid w:val="008255AE"/>
    <w:rsid w:val="00832AAE"/>
    <w:rsid w:val="00833227"/>
    <w:rsid w:val="00834783"/>
    <w:rsid w:val="00834E20"/>
    <w:rsid w:val="00835583"/>
    <w:rsid w:val="00835D2D"/>
    <w:rsid w:val="008379F2"/>
    <w:rsid w:val="00840E43"/>
    <w:rsid w:val="008422B3"/>
    <w:rsid w:val="0084371B"/>
    <w:rsid w:val="00847353"/>
    <w:rsid w:val="0085005C"/>
    <w:rsid w:val="00850F4A"/>
    <w:rsid w:val="00851266"/>
    <w:rsid w:val="00853568"/>
    <w:rsid w:val="00856F27"/>
    <w:rsid w:val="00860FB5"/>
    <w:rsid w:val="00861FA6"/>
    <w:rsid w:val="008649B2"/>
    <w:rsid w:val="00865C42"/>
    <w:rsid w:val="00873FFB"/>
    <w:rsid w:val="00875C0C"/>
    <w:rsid w:val="008776F3"/>
    <w:rsid w:val="0087785F"/>
    <w:rsid w:val="00877E26"/>
    <w:rsid w:val="00877EFF"/>
    <w:rsid w:val="00881617"/>
    <w:rsid w:val="00882578"/>
    <w:rsid w:val="00886AFB"/>
    <w:rsid w:val="00886E8B"/>
    <w:rsid w:val="00887E43"/>
    <w:rsid w:val="0089017C"/>
    <w:rsid w:val="00892CB7"/>
    <w:rsid w:val="0089471F"/>
    <w:rsid w:val="00895A4A"/>
    <w:rsid w:val="00896690"/>
    <w:rsid w:val="00896B58"/>
    <w:rsid w:val="008A3AC5"/>
    <w:rsid w:val="008B0726"/>
    <w:rsid w:val="008B1EE1"/>
    <w:rsid w:val="008B21C1"/>
    <w:rsid w:val="008B4564"/>
    <w:rsid w:val="008B5721"/>
    <w:rsid w:val="008B673B"/>
    <w:rsid w:val="008B6EAD"/>
    <w:rsid w:val="008C26E7"/>
    <w:rsid w:val="008D5C36"/>
    <w:rsid w:val="008E1F0B"/>
    <w:rsid w:val="008E210F"/>
    <w:rsid w:val="008E5EAA"/>
    <w:rsid w:val="008F069C"/>
    <w:rsid w:val="008F0986"/>
    <w:rsid w:val="008F1869"/>
    <w:rsid w:val="008F1945"/>
    <w:rsid w:val="008F3211"/>
    <w:rsid w:val="008F4975"/>
    <w:rsid w:val="008F5B58"/>
    <w:rsid w:val="008F755A"/>
    <w:rsid w:val="008F7AEF"/>
    <w:rsid w:val="0090613F"/>
    <w:rsid w:val="00911AC8"/>
    <w:rsid w:val="00917176"/>
    <w:rsid w:val="0091751E"/>
    <w:rsid w:val="009209A9"/>
    <w:rsid w:val="00920BD2"/>
    <w:rsid w:val="009217DF"/>
    <w:rsid w:val="0092761C"/>
    <w:rsid w:val="0093312D"/>
    <w:rsid w:val="009334A7"/>
    <w:rsid w:val="009413EB"/>
    <w:rsid w:val="009437EA"/>
    <w:rsid w:val="00950975"/>
    <w:rsid w:val="00950DF6"/>
    <w:rsid w:val="00951E12"/>
    <w:rsid w:val="00953485"/>
    <w:rsid w:val="00953AFF"/>
    <w:rsid w:val="00953FF9"/>
    <w:rsid w:val="00956027"/>
    <w:rsid w:val="00961542"/>
    <w:rsid w:val="00961635"/>
    <w:rsid w:val="009616E2"/>
    <w:rsid w:val="009618B1"/>
    <w:rsid w:val="0096445A"/>
    <w:rsid w:val="00970D1D"/>
    <w:rsid w:val="00971DAF"/>
    <w:rsid w:val="00973449"/>
    <w:rsid w:val="00973916"/>
    <w:rsid w:val="00977833"/>
    <w:rsid w:val="009836FF"/>
    <w:rsid w:val="00986AEC"/>
    <w:rsid w:val="0099188A"/>
    <w:rsid w:val="00993DE2"/>
    <w:rsid w:val="009947E3"/>
    <w:rsid w:val="00995D43"/>
    <w:rsid w:val="009977E2"/>
    <w:rsid w:val="009A1120"/>
    <w:rsid w:val="009A226F"/>
    <w:rsid w:val="009A2365"/>
    <w:rsid w:val="009A2514"/>
    <w:rsid w:val="009A2739"/>
    <w:rsid w:val="009A4E88"/>
    <w:rsid w:val="009A5674"/>
    <w:rsid w:val="009B146F"/>
    <w:rsid w:val="009B1B06"/>
    <w:rsid w:val="009B4D5C"/>
    <w:rsid w:val="009B4DC1"/>
    <w:rsid w:val="009B6E69"/>
    <w:rsid w:val="009C0F54"/>
    <w:rsid w:val="009C2697"/>
    <w:rsid w:val="009C5F88"/>
    <w:rsid w:val="009D404F"/>
    <w:rsid w:val="009D5E1C"/>
    <w:rsid w:val="009D7192"/>
    <w:rsid w:val="009E0ABC"/>
    <w:rsid w:val="009E0DA1"/>
    <w:rsid w:val="009E11CF"/>
    <w:rsid w:val="009E2346"/>
    <w:rsid w:val="009E29B0"/>
    <w:rsid w:val="009E3BFA"/>
    <w:rsid w:val="009E628F"/>
    <w:rsid w:val="009E73A0"/>
    <w:rsid w:val="009F3D26"/>
    <w:rsid w:val="009F7B54"/>
    <w:rsid w:val="00A007B6"/>
    <w:rsid w:val="00A00F65"/>
    <w:rsid w:val="00A01953"/>
    <w:rsid w:val="00A031FE"/>
    <w:rsid w:val="00A036F2"/>
    <w:rsid w:val="00A0644F"/>
    <w:rsid w:val="00A06AA6"/>
    <w:rsid w:val="00A06ED3"/>
    <w:rsid w:val="00A07D66"/>
    <w:rsid w:val="00A07ECE"/>
    <w:rsid w:val="00A11766"/>
    <w:rsid w:val="00A1462C"/>
    <w:rsid w:val="00A15C7E"/>
    <w:rsid w:val="00A17331"/>
    <w:rsid w:val="00A21DD5"/>
    <w:rsid w:val="00A21E8A"/>
    <w:rsid w:val="00A2244A"/>
    <w:rsid w:val="00A23117"/>
    <w:rsid w:val="00A2519B"/>
    <w:rsid w:val="00A2562D"/>
    <w:rsid w:val="00A25797"/>
    <w:rsid w:val="00A2669D"/>
    <w:rsid w:val="00A27AE7"/>
    <w:rsid w:val="00A31DCA"/>
    <w:rsid w:val="00A4202A"/>
    <w:rsid w:val="00A427EE"/>
    <w:rsid w:val="00A45F3F"/>
    <w:rsid w:val="00A46251"/>
    <w:rsid w:val="00A46B46"/>
    <w:rsid w:val="00A470AF"/>
    <w:rsid w:val="00A47C84"/>
    <w:rsid w:val="00A5197B"/>
    <w:rsid w:val="00A51E2B"/>
    <w:rsid w:val="00A54252"/>
    <w:rsid w:val="00A62AA0"/>
    <w:rsid w:val="00A67B06"/>
    <w:rsid w:val="00A75393"/>
    <w:rsid w:val="00A75CEE"/>
    <w:rsid w:val="00A765B9"/>
    <w:rsid w:val="00A76E33"/>
    <w:rsid w:val="00A802AA"/>
    <w:rsid w:val="00A80BFD"/>
    <w:rsid w:val="00A81FAF"/>
    <w:rsid w:val="00A82711"/>
    <w:rsid w:val="00A83379"/>
    <w:rsid w:val="00A846F7"/>
    <w:rsid w:val="00A85D73"/>
    <w:rsid w:val="00A87519"/>
    <w:rsid w:val="00A92B1F"/>
    <w:rsid w:val="00A94892"/>
    <w:rsid w:val="00A94B80"/>
    <w:rsid w:val="00A9573E"/>
    <w:rsid w:val="00A95A35"/>
    <w:rsid w:val="00A96A33"/>
    <w:rsid w:val="00AA0C30"/>
    <w:rsid w:val="00AA1AF3"/>
    <w:rsid w:val="00AA1FC8"/>
    <w:rsid w:val="00AA3212"/>
    <w:rsid w:val="00AA3AC8"/>
    <w:rsid w:val="00AA5244"/>
    <w:rsid w:val="00AA54DD"/>
    <w:rsid w:val="00AA5D88"/>
    <w:rsid w:val="00AA62EF"/>
    <w:rsid w:val="00AA7374"/>
    <w:rsid w:val="00AA79E9"/>
    <w:rsid w:val="00AA7A41"/>
    <w:rsid w:val="00AB1FF1"/>
    <w:rsid w:val="00AB27C9"/>
    <w:rsid w:val="00AB29CB"/>
    <w:rsid w:val="00AB35EE"/>
    <w:rsid w:val="00AB5524"/>
    <w:rsid w:val="00AB714B"/>
    <w:rsid w:val="00AC1B85"/>
    <w:rsid w:val="00AC2E4A"/>
    <w:rsid w:val="00AC4BE4"/>
    <w:rsid w:val="00AC571E"/>
    <w:rsid w:val="00AC69F9"/>
    <w:rsid w:val="00AD212D"/>
    <w:rsid w:val="00AD2C8D"/>
    <w:rsid w:val="00AD4CE2"/>
    <w:rsid w:val="00AD4FFC"/>
    <w:rsid w:val="00AD7019"/>
    <w:rsid w:val="00AE049C"/>
    <w:rsid w:val="00AE0CB4"/>
    <w:rsid w:val="00AE3B18"/>
    <w:rsid w:val="00AE4F94"/>
    <w:rsid w:val="00AE5AA1"/>
    <w:rsid w:val="00AF15A4"/>
    <w:rsid w:val="00AF2E23"/>
    <w:rsid w:val="00AF42BE"/>
    <w:rsid w:val="00B03718"/>
    <w:rsid w:val="00B060EC"/>
    <w:rsid w:val="00B1003F"/>
    <w:rsid w:val="00B10086"/>
    <w:rsid w:val="00B10213"/>
    <w:rsid w:val="00B12BFC"/>
    <w:rsid w:val="00B13E7A"/>
    <w:rsid w:val="00B14B6E"/>
    <w:rsid w:val="00B2550F"/>
    <w:rsid w:val="00B30B59"/>
    <w:rsid w:val="00B30CA4"/>
    <w:rsid w:val="00B32E58"/>
    <w:rsid w:val="00B33325"/>
    <w:rsid w:val="00B36279"/>
    <w:rsid w:val="00B40DCB"/>
    <w:rsid w:val="00B42560"/>
    <w:rsid w:val="00B43E5F"/>
    <w:rsid w:val="00B461A4"/>
    <w:rsid w:val="00B46486"/>
    <w:rsid w:val="00B464F1"/>
    <w:rsid w:val="00B5248E"/>
    <w:rsid w:val="00B52D41"/>
    <w:rsid w:val="00B533F9"/>
    <w:rsid w:val="00B55E1B"/>
    <w:rsid w:val="00B56A77"/>
    <w:rsid w:val="00B5737C"/>
    <w:rsid w:val="00B63F54"/>
    <w:rsid w:val="00B64C3C"/>
    <w:rsid w:val="00B65602"/>
    <w:rsid w:val="00B75D34"/>
    <w:rsid w:val="00B75F0F"/>
    <w:rsid w:val="00B80262"/>
    <w:rsid w:val="00B81B61"/>
    <w:rsid w:val="00B8455A"/>
    <w:rsid w:val="00B9154E"/>
    <w:rsid w:val="00B91723"/>
    <w:rsid w:val="00B94058"/>
    <w:rsid w:val="00B945D6"/>
    <w:rsid w:val="00B94C04"/>
    <w:rsid w:val="00B97187"/>
    <w:rsid w:val="00BA53D5"/>
    <w:rsid w:val="00BA618E"/>
    <w:rsid w:val="00BB3B0E"/>
    <w:rsid w:val="00BB787D"/>
    <w:rsid w:val="00BB7F1D"/>
    <w:rsid w:val="00BC4204"/>
    <w:rsid w:val="00BC4CFD"/>
    <w:rsid w:val="00BC628F"/>
    <w:rsid w:val="00BC6AA7"/>
    <w:rsid w:val="00BC7BB0"/>
    <w:rsid w:val="00BD008D"/>
    <w:rsid w:val="00BD086B"/>
    <w:rsid w:val="00BD59AE"/>
    <w:rsid w:val="00BD7E85"/>
    <w:rsid w:val="00BE3CA9"/>
    <w:rsid w:val="00BE6ABC"/>
    <w:rsid w:val="00BE72D7"/>
    <w:rsid w:val="00BE7537"/>
    <w:rsid w:val="00BE79BA"/>
    <w:rsid w:val="00BE7A4F"/>
    <w:rsid w:val="00BF3A2F"/>
    <w:rsid w:val="00BF7AB7"/>
    <w:rsid w:val="00C00061"/>
    <w:rsid w:val="00C03694"/>
    <w:rsid w:val="00C038D5"/>
    <w:rsid w:val="00C03FF3"/>
    <w:rsid w:val="00C04D2F"/>
    <w:rsid w:val="00C06188"/>
    <w:rsid w:val="00C16BFB"/>
    <w:rsid w:val="00C171D4"/>
    <w:rsid w:val="00C22832"/>
    <w:rsid w:val="00C24153"/>
    <w:rsid w:val="00C24762"/>
    <w:rsid w:val="00C247F4"/>
    <w:rsid w:val="00C266E5"/>
    <w:rsid w:val="00C2713F"/>
    <w:rsid w:val="00C32EBC"/>
    <w:rsid w:val="00C33170"/>
    <w:rsid w:val="00C354BF"/>
    <w:rsid w:val="00C357D6"/>
    <w:rsid w:val="00C36CD7"/>
    <w:rsid w:val="00C3704C"/>
    <w:rsid w:val="00C37464"/>
    <w:rsid w:val="00C45A3E"/>
    <w:rsid w:val="00C46A28"/>
    <w:rsid w:val="00C523C0"/>
    <w:rsid w:val="00C524B6"/>
    <w:rsid w:val="00C52672"/>
    <w:rsid w:val="00C53B26"/>
    <w:rsid w:val="00C56F7D"/>
    <w:rsid w:val="00C5767E"/>
    <w:rsid w:val="00C62A05"/>
    <w:rsid w:val="00C711DB"/>
    <w:rsid w:val="00C71BAE"/>
    <w:rsid w:val="00C72A3C"/>
    <w:rsid w:val="00C741C7"/>
    <w:rsid w:val="00C75038"/>
    <w:rsid w:val="00C75421"/>
    <w:rsid w:val="00C75D5F"/>
    <w:rsid w:val="00C7608C"/>
    <w:rsid w:val="00C76746"/>
    <w:rsid w:val="00C76D3A"/>
    <w:rsid w:val="00C7752E"/>
    <w:rsid w:val="00C77C20"/>
    <w:rsid w:val="00C80758"/>
    <w:rsid w:val="00C813EF"/>
    <w:rsid w:val="00CA0B37"/>
    <w:rsid w:val="00CA279F"/>
    <w:rsid w:val="00CA2BF0"/>
    <w:rsid w:val="00CB19FD"/>
    <w:rsid w:val="00CB6929"/>
    <w:rsid w:val="00CC4F3F"/>
    <w:rsid w:val="00CC65C0"/>
    <w:rsid w:val="00CD15DD"/>
    <w:rsid w:val="00CE2101"/>
    <w:rsid w:val="00CE3D5F"/>
    <w:rsid w:val="00CE725D"/>
    <w:rsid w:val="00CF1062"/>
    <w:rsid w:val="00CF5DBD"/>
    <w:rsid w:val="00CF6EF3"/>
    <w:rsid w:val="00CF7590"/>
    <w:rsid w:val="00CF7F40"/>
    <w:rsid w:val="00D00BEA"/>
    <w:rsid w:val="00D02B1A"/>
    <w:rsid w:val="00D0399C"/>
    <w:rsid w:val="00D0458A"/>
    <w:rsid w:val="00D050AA"/>
    <w:rsid w:val="00D074A0"/>
    <w:rsid w:val="00D076F3"/>
    <w:rsid w:val="00D07C5E"/>
    <w:rsid w:val="00D11723"/>
    <w:rsid w:val="00D15AD2"/>
    <w:rsid w:val="00D1743A"/>
    <w:rsid w:val="00D17917"/>
    <w:rsid w:val="00D20BF3"/>
    <w:rsid w:val="00D2261F"/>
    <w:rsid w:val="00D23AB3"/>
    <w:rsid w:val="00D25285"/>
    <w:rsid w:val="00D2533A"/>
    <w:rsid w:val="00D26E4A"/>
    <w:rsid w:val="00D2725B"/>
    <w:rsid w:val="00D2770C"/>
    <w:rsid w:val="00D30055"/>
    <w:rsid w:val="00D33837"/>
    <w:rsid w:val="00D33EB5"/>
    <w:rsid w:val="00D40546"/>
    <w:rsid w:val="00D422F5"/>
    <w:rsid w:val="00D453AC"/>
    <w:rsid w:val="00D47944"/>
    <w:rsid w:val="00D5614F"/>
    <w:rsid w:val="00D611B8"/>
    <w:rsid w:val="00D618DC"/>
    <w:rsid w:val="00D624FD"/>
    <w:rsid w:val="00D6315B"/>
    <w:rsid w:val="00D6731B"/>
    <w:rsid w:val="00D71E0C"/>
    <w:rsid w:val="00D73167"/>
    <w:rsid w:val="00D73237"/>
    <w:rsid w:val="00D733D7"/>
    <w:rsid w:val="00D747BE"/>
    <w:rsid w:val="00D74D51"/>
    <w:rsid w:val="00D80748"/>
    <w:rsid w:val="00D86DE9"/>
    <w:rsid w:val="00D90329"/>
    <w:rsid w:val="00D961F4"/>
    <w:rsid w:val="00DA74A6"/>
    <w:rsid w:val="00DB0486"/>
    <w:rsid w:val="00DB1265"/>
    <w:rsid w:val="00DB17EE"/>
    <w:rsid w:val="00DB1ADD"/>
    <w:rsid w:val="00DB4F41"/>
    <w:rsid w:val="00DB5ECC"/>
    <w:rsid w:val="00DB6AE6"/>
    <w:rsid w:val="00DB6E6E"/>
    <w:rsid w:val="00DC311D"/>
    <w:rsid w:val="00DC3280"/>
    <w:rsid w:val="00DC32CA"/>
    <w:rsid w:val="00DC411E"/>
    <w:rsid w:val="00DC4275"/>
    <w:rsid w:val="00DC6D37"/>
    <w:rsid w:val="00DC6FBE"/>
    <w:rsid w:val="00DC71D0"/>
    <w:rsid w:val="00DC77F2"/>
    <w:rsid w:val="00DD06C3"/>
    <w:rsid w:val="00DD6B88"/>
    <w:rsid w:val="00DD7AF8"/>
    <w:rsid w:val="00DE1027"/>
    <w:rsid w:val="00DE4B4C"/>
    <w:rsid w:val="00DE6AFB"/>
    <w:rsid w:val="00DF134D"/>
    <w:rsid w:val="00DF2EEE"/>
    <w:rsid w:val="00DF40F1"/>
    <w:rsid w:val="00DF441E"/>
    <w:rsid w:val="00DF4D71"/>
    <w:rsid w:val="00DF593B"/>
    <w:rsid w:val="00DF7EE4"/>
    <w:rsid w:val="00E0093B"/>
    <w:rsid w:val="00E0095B"/>
    <w:rsid w:val="00E02D71"/>
    <w:rsid w:val="00E10E56"/>
    <w:rsid w:val="00E131B4"/>
    <w:rsid w:val="00E13918"/>
    <w:rsid w:val="00E14283"/>
    <w:rsid w:val="00E173AB"/>
    <w:rsid w:val="00E17D8E"/>
    <w:rsid w:val="00E22577"/>
    <w:rsid w:val="00E254A8"/>
    <w:rsid w:val="00E2623F"/>
    <w:rsid w:val="00E30E7D"/>
    <w:rsid w:val="00E332D5"/>
    <w:rsid w:val="00E34B8B"/>
    <w:rsid w:val="00E34BF7"/>
    <w:rsid w:val="00E350E0"/>
    <w:rsid w:val="00E372E6"/>
    <w:rsid w:val="00E43851"/>
    <w:rsid w:val="00E4397F"/>
    <w:rsid w:val="00E5039E"/>
    <w:rsid w:val="00E52D35"/>
    <w:rsid w:val="00E54FDB"/>
    <w:rsid w:val="00E605F4"/>
    <w:rsid w:val="00E63522"/>
    <w:rsid w:val="00E6455B"/>
    <w:rsid w:val="00E64B53"/>
    <w:rsid w:val="00E6642F"/>
    <w:rsid w:val="00E70AB9"/>
    <w:rsid w:val="00E73819"/>
    <w:rsid w:val="00E75180"/>
    <w:rsid w:val="00E763F8"/>
    <w:rsid w:val="00E80965"/>
    <w:rsid w:val="00E83FFF"/>
    <w:rsid w:val="00E85F75"/>
    <w:rsid w:val="00E87686"/>
    <w:rsid w:val="00E91763"/>
    <w:rsid w:val="00E946AF"/>
    <w:rsid w:val="00EA045F"/>
    <w:rsid w:val="00EA1AE6"/>
    <w:rsid w:val="00EA4038"/>
    <w:rsid w:val="00EA5380"/>
    <w:rsid w:val="00EA77C7"/>
    <w:rsid w:val="00EC108E"/>
    <w:rsid w:val="00EC3A8F"/>
    <w:rsid w:val="00EC3F4A"/>
    <w:rsid w:val="00EC5D8E"/>
    <w:rsid w:val="00EC5F47"/>
    <w:rsid w:val="00ED079E"/>
    <w:rsid w:val="00ED1CCD"/>
    <w:rsid w:val="00ED4040"/>
    <w:rsid w:val="00ED5302"/>
    <w:rsid w:val="00EE040B"/>
    <w:rsid w:val="00EE2AC6"/>
    <w:rsid w:val="00EE6D36"/>
    <w:rsid w:val="00EE75CE"/>
    <w:rsid w:val="00EF1144"/>
    <w:rsid w:val="00EF55C2"/>
    <w:rsid w:val="00EF6A7F"/>
    <w:rsid w:val="00F019DB"/>
    <w:rsid w:val="00F01EB5"/>
    <w:rsid w:val="00F05C29"/>
    <w:rsid w:val="00F12A96"/>
    <w:rsid w:val="00F1430E"/>
    <w:rsid w:val="00F14F60"/>
    <w:rsid w:val="00F17DCF"/>
    <w:rsid w:val="00F226DA"/>
    <w:rsid w:val="00F32541"/>
    <w:rsid w:val="00F33940"/>
    <w:rsid w:val="00F354B0"/>
    <w:rsid w:val="00F363EA"/>
    <w:rsid w:val="00F37DBB"/>
    <w:rsid w:val="00F42E4F"/>
    <w:rsid w:val="00F45019"/>
    <w:rsid w:val="00F471E7"/>
    <w:rsid w:val="00F47459"/>
    <w:rsid w:val="00F52406"/>
    <w:rsid w:val="00F53B03"/>
    <w:rsid w:val="00F65DF3"/>
    <w:rsid w:val="00F66ADD"/>
    <w:rsid w:val="00F72B8C"/>
    <w:rsid w:val="00F74A0A"/>
    <w:rsid w:val="00F75C6C"/>
    <w:rsid w:val="00F8009C"/>
    <w:rsid w:val="00F80F67"/>
    <w:rsid w:val="00F815B0"/>
    <w:rsid w:val="00F8225B"/>
    <w:rsid w:val="00F84C37"/>
    <w:rsid w:val="00F92292"/>
    <w:rsid w:val="00F94EF0"/>
    <w:rsid w:val="00F95F88"/>
    <w:rsid w:val="00F96959"/>
    <w:rsid w:val="00FA1AF9"/>
    <w:rsid w:val="00FA723F"/>
    <w:rsid w:val="00FA78EF"/>
    <w:rsid w:val="00FB080C"/>
    <w:rsid w:val="00FB08F3"/>
    <w:rsid w:val="00FB0EFD"/>
    <w:rsid w:val="00FB1892"/>
    <w:rsid w:val="00FB1E79"/>
    <w:rsid w:val="00FB4A03"/>
    <w:rsid w:val="00FB4AA5"/>
    <w:rsid w:val="00FB4CD8"/>
    <w:rsid w:val="00FC09D9"/>
    <w:rsid w:val="00FC2698"/>
    <w:rsid w:val="00FC2B60"/>
    <w:rsid w:val="00FC40C4"/>
    <w:rsid w:val="00FC5CF3"/>
    <w:rsid w:val="00FD21DB"/>
    <w:rsid w:val="00FD505C"/>
    <w:rsid w:val="00FD6126"/>
    <w:rsid w:val="00FD768A"/>
    <w:rsid w:val="00FD7C90"/>
    <w:rsid w:val="00FE0FEB"/>
    <w:rsid w:val="00FE665F"/>
    <w:rsid w:val="00FF06EE"/>
    <w:rsid w:val="00FF550A"/>
    <w:rsid w:val="00FF68F9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F21B9"/>
  <w15:chartTrackingRefBased/>
  <w15:docId w15:val="{66167328-8912-2843-97AB-8ED5E9C5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3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3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33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3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3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3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3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3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3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3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3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3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3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3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3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3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3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02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2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0209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002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020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800209"/>
  </w:style>
  <w:style w:type="table" w:styleId="TableGrid">
    <w:name w:val="Table Grid"/>
    <w:basedOn w:val="TableNormal"/>
    <w:uiPriority w:val="39"/>
    <w:rsid w:val="00E33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F93"/>
  </w:style>
  <w:style w:type="paragraph" w:styleId="Footer">
    <w:name w:val="footer"/>
    <w:basedOn w:val="Normal"/>
    <w:link w:val="FooterChar"/>
    <w:uiPriority w:val="99"/>
    <w:unhideWhenUsed/>
    <w:rsid w:val="0071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F93"/>
  </w:style>
  <w:style w:type="character" w:styleId="PageNumber">
    <w:name w:val="page number"/>
    <w:basedOn w:val="DefaultParagraphFont"/>
    <w:uiPriority w:val="99"/>
    <w:semiHidden/>
    <w:unhideWhenUsed/>
    <w:rsid w:val="003C1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peoplespace.com/insights/ideas/why-culture-undermines-change-more-strategy-and-what-hr-must-do-about-it" TargetMode="External"/><Relationship Id="rId18" Type="http://schemas.openxmlformats.org/officeDocument/2006/relationships/hyperlink" Target="https://www.deloitte.com/uk/en/about/press-room/deloitte-first-disability-inclusion-at-work-report.html" TargetMode="External"/><Relationship Id="rId26" Type="http://schemas.openxmlformats.org/officeDocument/2006/relationships/hyperlink" Target="https://www.deloitte.com/global/en/what-we-do.html" TargetMode="External"/><Relationship Id="rId39" Type="http://schemas.openxmlformats.org/officeDocument/2006/relationships/hyperlink" Target="https://redblaze.co.uk/the-emotional-investment-of-reward-and-recognition/" TargetMode="External"/><Relationship Id="rId21" Type="http://schemas.openxmlformats.org/officeDocument/2006/relationships/hyperlink" Target="https://www.deloitte.com/global/en/issues/work/genz-millennial-survey.html" TargetMode="External"/><Relationship Id="rId34" Type="http://schemas.openxmlformats.org/officeDocument/2006/relationships/hyperlink" Target="https://doi.org/10.1073/pnas.0403723101" TargetMode="External"/><Relationship Id="rId42" Type="http://schemas.openxmlformats.org/officeDocument/2006/relationships/hyperlink" Target="https://doi.org/10.1177/1059601104273064" TargetMode="External"/><Relationship Id="rId47" Type="http://schemas.openxmlformats.org/officeDocument/2006/relationships/hyperlink" Target="https://doi.org/10.1007/s44155-025-00176-7" TargetMode="External"/><Relationship Id="rId50" Type="http://schemas.openxmlformats.org/officeDocument/2006/relationships/footer" Target="footer2.xml"/><Relationship Id="rId7" Type="http://schemas.openxmlformats.org/officeDocument/2006/relationships/hyperlink" Target="https://doi.org/10.1016/j.emj.2025.12.01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eloitte.com/global/en/about/story/purpose-values/gender-balance-gir.html" TargetMode="External"/><Relationship Id="rId29" Type="http://schemas.openxmlformats.org/officeDocument/2006/relationships/hyperlink" Target="https://www.gov.uk/guidance/equality-act-2010-guidance" TargetMode="External"/><Relationship Id="rId11" Type="http://schemas.openxmlformats.org/officeDocument/2006/relationships/hyperlink" Target="https://www.barnett-waddingham.co.uk/comment-insight/blog/flexible-working-and-work-life-balance-how-to-support-your-people/" TargetMode="External"/><Relationship Id="rId24" Type="http://schemas.openxmlformats.org/officeDocument/2006/relationships/hyperlink" Target="https://www.deloitte.com/global/en/about/governance/facts-and-figures.html" TargetMode="External"/><Relationship Id="rId32" Type="http://schemas.openxmlformats.org/officeDocument/2006/relationships/hyperlink" Target="https://www.greatplacetowork.com/resources/blog/toxic-company-culture" TargetMode="External"/><Relationship Id="rId37" Type="http://schemas.openxmlformats.org/officeDocument/2006/relationships/hyperlink" Target="https://www.rcr.ac.uk/media/tpwjncbr/session-3-dr-qaiser-malik.pdf" TargetMode="External"/><Relationship Id="rId40" Type="http://schemas.openxmlformats.org/officeDocument/2006/relationships/hyperlink" Target="https://www.ons.gov.uk/aboutus/usingpublicdatatoproducestatistics/examplesofhowdataandstatisticsbenefityou/ourpovertyandequalitystatistics" TargetMode="External"/><Relationship Id="rId45" Type="http://schemas.openxmlformats.org/officeDocument/2006/relationships/hyperlink" Target="https://doi.org/10.48550/arXiv.2203.10555" TargetMode="External"/><Relationship Id="rId53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hyperlink" Target="https://dx.doi.org/10.1080/23303131.2016.1138915" TargetMode="External"/><Relationship Id="rId19" Type="http://schemas.openxmlformats.org/officeDocument/2006/relationships/hyperlink" Target="https://www.deloitte.com/uk/en/about/press-room/poor-mental-health-costs-uk-employers-51-billion-a-year-for-employees.html" TargetMode="External"/><Relationship Id="rId31" Type="http://schemas.openxmlformats.org/officeDocument/2006/relationships/hyperlink" Target="https://assets.publishing.service.gov.uk/media/5bd0882ded915d78a0dc1009/GPG-Reporting-Portal-Report.pdf" TargetMode="External"/><Relationship Id="rId44" Type="http://schemas.openxmlformats.org/officeDocument/2006/relationships/hyperlink" Target="https://doi.org/10.1177/0149206310385943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0950017015621480" TargetMode="External"/><Relationship Id="rId14" Type="http://schemas.openxmlformats.org/officeDocument/2006/relationships/hyperlink" Target="https://edtechmate.com/10-inspiring-case-studies-of-successful-inclusion-strategies-that-drive-results" TargetMode="External"/><Relationship Id="rId22" Type="http://schemas.openxmlformats.org/officeDocument/2006/relationships/hyperlink" Target="https://www.deloitte.com/uk/en/about/people/social-responsibility/disability-inclusion-at-deloitte.html" TargetMode="External"/><Relationship Id="rId27" Type="http://schemas.openxmlformats.org/officeDocument/2006/relationships/hyperlink" Target="https://buscompress.com/uploads/3/4/9/8/34980536/riber_sk14-026__402-410_.pdf" TargetMode="External"/><Relationship Id="rId30" Type="http://schemas.openxmlformats.org/officeDocument/2006/relationships/hyperlink" Target="https://www.gov.uk/government/publications/dhsc-gender-pay-gap-report-and-data-2025/2025-gender-pay-gap-report" TargetMode="External"/><Relationship Id="rId35" Type="http://schemas.openxmlformats.org/officeDocument/2006/relationships/hyperlink" Target="https://doi.org/10.1016/j.hrmr.2022.100894" TargetMode="External"/><Relationship Id="rId43" Type="http://schemas.openxmlformats.org/officeDocument/2006/relationships/hyperlink" Target="https://doi.org/10.48550/arXiv.2404.13462" TargetMode="External"/><Relationship Id="rId48" Type="http://schemas.openxmlformats.org/officeDocument/2006/relationships/hyperlink" Target="https://cpdonline.co.uk/knowledge-base/business/organisations-leading-way-equality-initiatives" TargetMode="External"/><Relationship Id="rId8" Type="http://schemas.openxmlformats.org/officeDocument/2006/relationships/hyperlink" Target="https://supplychaindigital.com/supply-chain-risk-management/deloitte-a-professional-services-timeline-through-history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brightnetwork.co.uk/career-path-guides/accounting-audit-tax/differences-big-four-firms/" TargetMode="External"/><Relationship Id="rId17" Type="http://schemas.openxmlformats.org/officeDocument/2006/relationships/hyperlink" Target="https://www.deloitte.com/uk/en/about/story/impact/hybrid-working.html" TargetMode="External"/><Relationship Id="rId25" Type="http://schemas.openxmlformats.org/officeDocument/2006/relationships/hyperlink" Target="https://www.deloitte.com/dk/en/about/story/purpose-values.html" TargetMode="External"/><Relationship Id="rId33" Type="http://schemas.openxmlformats.org/officeDocument/2006/relationships/hyperlink" Target="https://doi.org/10.1093/ac93/acprof:oso/9780199696086.003.0005" TargetMode="External"/><Relationship Id="rId38" Type="http://schemas.openxmlformats.org/officeDocument/2006/relationships/hyperlink" Target="https://www.mckinsey.com/featured-insights/diversity-and-inclusion/diversity-matters-even-more-the-case-for-holistic-impact" TargetMode="External"/><Relationship Id="rId46" Type="http://schemas.openxmlformats.org/officeDocument/2006/relationships/hyperlink" Target="https://reports.investors.vodafone.com/view/504459497/II/" TargetMode="External"/><Relationship Id="rId20" Type="http://schemas.openxmlformats.org/officeDocument/2006/relationships/hyperlink" Target="https://www.deloitte.com/content/dam/assets-zone2/uk/en/docs/about/2025/deloitte-uk-annual-review-2025-pay-report.pdf" TargetMode="External"/><Relationship Id="rId41" Type="http://schemas.openxmlformats.org/officeDocument/2006/relationships/hyperlink" Target="https://prism7resourcing.co.uk/why-a-diverse-workforce-is-best-for-your-busines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ipd.org/uk/knowledge/reports/flexible-hybrid-working/" TargetMode="External"/><Relationship Id="rId23" Type="http://schemas.openxmlformats.org/officeDocument/2006/relationships/hyperlink" Target="https://www.deloitte.com/uk/en/careers/discover-deloitte/careers-diversity-and-inclusion.html" TargetMode="External"/><Relationship Id="rId28" Type="http://schemas.openxmlformats.org/officeDocument/2006/relationships/hyperlink" Target="https://www.lancaster.ac.uk/work-foundation/publications/post-pandemic-hybrid-working-poses-new-challenges-to-diversity-and-inclusion" TargetMode="External"/><Relationship Id="rId36" Type="http://schemas.openxmlformats.org/officeDocument/2006/relationships/hyperlink" Target="https://doi.org/10.1007/978-3-030-35517-3_2" TargetMode="External"/><Relationship Id="rId4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21</Pages>
  <Words>4629</Words>
  <Characters>31295</Characters>
  <Application>Microsoft Office Word</Application>
  <DocSecurity>0</DocSecurity>
  <Lines>727</Lines>
  <Paragraphs>171</Paragraphs>
  <ScaleCrop>false</ScaleCrop>
  <Company/>
  <LinksUpToDate>false</LinksUpToDate>
  <CharactersWithSpaces>35753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1026</cp:revision>
  <dcterms:created xsi:type="dcterms:W3CDTF">2026-02-11T11:14:00Z</dcterms:created>
  <dcterms:modified xsi:type="dcterms:W3CDTF">2026-03-16T18:53:00Z</dcterms:modified>
</cp:coreProperties>
</file>