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E59752" w14:textId="77777777" w:rsidR="00E9735A" w:rsidRDefault="00E9735A" w:rsidP="00E9735A">
      <w:pPr>
        <w:jc w:val="center"/>
      </w:pPr>
      <w:r>
        <w:rPr>
          <w:noProof/>
          <w:lang w:eastAsia="en-GB" w:bidi="bn-BD"/>
        </w:rPr>
        <w:drawing>
          <wp:inline distT="0" distB="0" distL="0" distR="0" wp14:anchorId="4551A50B" wp14:editId="68356FC9">
            <wp:extent cx="3181350" cy="1143000"/>
            <wp:effectExtent l="0" t="0" r="0" b="0"/>
            <wp:docPr id="1" name="Picture 1" descr="University of Wales Trinity Saint David (T80) - The Uni Gu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T80) - The Uni Guide"/>
                    <pic:cNvPicPr>
                      <a:picLocks noChangeAspect="1" noChangeArrowheads="1"/>
                    </pic:cNvPicPr>
                  </pic:nvPicPr>
                  <pic:blipFill rotWithShape="1">
                    <a:blip r:embed="rId7">
                      <a:extLst>
                        <a:ext uri="{28A0092B-C50C-407E-A947-70E740481C1C}">
                          <a14:useLocalDpi xmlns:a14="http://schemas.microsoft.com/office/drawing/2010/main" val="0"/>
                        </a:ext>
                      </a:extLst>
                    </a:blip>
                    <a:srcRect l="9000" t="22001" r="7500" b="17999"/>
                    <a:stretch/>
                  </pic:blipFill>
                  <pic:spPr bwMode="auto">
                    <a:xfrm>
                      <a:off x="0" y="0"/>
                      <a:ext cx="3181350" cy="1143000"/>
                    </a:xfrm>
                    <a:prstGeom prst="rect">
                      <a:avLst/>
                    </a:prstGeom>
                    <a:noFill/>
                    <a:ln>
                      <a:noFill/>
                    </a:ln>
                    <a:extLst>
                      <a:ext uri="{53640926-AAD7-44D8-BBD7-CCE9431645EC}">
                        <a14:shadowObscured xmlns:a14="http://schemas.microsoft.com/office/drawing/2010/main"/>
                      </a:ext>
                    </a:extLst>
                  </pic:spPr>
                </pic:pic>
              </a:graphicData>
            </a:graphic>
          </wp:inline>
        </w:drawing>
      </w:r>
    </w:p>
    <w:p w14:paraId="2EEAD4E5" w14:textId="77777777" w:rsidR="00E9735A" w:rsidRDefault="00E9735A" w:rsidP="006C1FA1">
      <w:pPr>
        <w:pStyle w:val="Title"/>
      </w:pPr>
      <w:r>
        <w:t xml:space="preserve">Financial Management for Hotel Industry </w:t>
      </w:r>
    </w:p>
    <w:p w14:paraId="01F62033" w14:textId="77777777" w:rsidR="00E9735A" w:rsidRDefault="00E9735A" w:rsidP="006C1FA1">
      <w:pPr>
        <w:pStyle w:val="Title"/>
      </w:pPr>
      <w:r>
        <w:t>Comparison of Two Hospitality Organisations</w:t>
      </w:r>
    </w:p>
    <w:p w14:paraId="5A3DF12F" w14:textId="055F42B8" w:rsidR="00E9735A" w:rsidRDefault="00E9735A" w:rsidP="00E9735A">
      <w:pPr>
        <w:jc w:val="center"/>
      </w:pPr>
      <w:r>
        <w:t xml:space="preserve">Name: </w:t>
      </w:r>
      <w:r>
        <w:rPr>
          <w:shd w:val="clear" w:color="auto" w:fill="FFFFFF"/>
        </w:rPr>
        <w:t>Roussebelle</w:t>
      </w:r>
      <w:r w:rsidR="00EE40B5">
        <w:rPr>
          <w:shd w:val="clear" w:color="auto" w:fill="FFFFFF"/>
        </w:rPr>
        <w:t xml:space="preserve"> </w:t>
      </w:r>
      <w:proofErr w:type="spellStart"/>
      <w:r w:rsidR="00EE40B5">
        <w:rPr>
          <w:shd w:val="clear" w:color="auto" w:fill="FFFFFF"/>
        </w:rPr>
        <w:t>Miesi</w:t>
      </w:r>
      <w:proofErr w:type="spellEnd"/>
    </w:p>
    <w:p w14:paraId="155A7BCF" w14:textId="2A14B107" w:rsidR="00E9735A" w:rsidRDefault="00E9735A" w:rsidP="00E9735A">
      <w:pPr>
        <w:jc w:val="center"/>
      </w:pPr>
      <w:r>
        <w:t>ID:</w:t>
      </w:r>
      <w:r w:rsidR="00EE40B5">
        <w:t>2022878</w:t>
      </w:r>
      <w:r>
        <w:t xml:space="preserve"> </w:t>
      </w:r>
    </w:p>
    <w:p w14:paraId="4B4C759C" w14:textId="77777777" w:rsidR="00E9735A" w:rsidRDefault="00E9735A" w:rsidP="00E9735A">
      <w:pPr>
        <w:jc w:val="center"/>
      </w:pPr>
    </w:p>
    <w:p w14:paraId="4F48D177" w14:textId="77777777" w:rsidR="00E9735A" w:rsidRDefault="00E9735A" w:rsidP="00E9735A">
      <w:pPr>
        <w:jc w:val="center"/>
      </w:pPr>
    </w:p>
    <w:p w14:paraId="37989C5F" w14:textId="77777777" w:rsidR="00E9735A" w:rsidRDefault="00E9735A" w:rsidP="00E9735A">
      <w:pPr>
        <w:jc w:val="center"/>
      </w:pPr>
    </w:p>
    <w:p w14:paraId="74B3AFB1" w14:textId="77777777" w:rsidR="00E9735A" w:rsidRDefault="00E9735A" w:rsidP="00E9735A">
      <w:pPr>
        <w:jc w:val="center"/>
      </w:pPr>
    </w:p>
    <w:p w14:paraId="2C680892" w14:textId="77777777" w:rsidR="00E9735A" w:rsidRDefault="00E9735A" w:rsidP="00E9735A">
      <w:pPr>
        <w:jc w:val="center"/>
      </w:pPr>
    </w:p>
    <w:p w14:paraId="2E1D98D7" w14:textId="77777777" w:rsidR="00E9735A" w:rsidRDefault="00E9735A" w:rsidP="00E9735A">
      <w:pPr>
        <w:jc w:val="center"/>
      </w:pPr>
    </w:p>
    <w:p w14:paraId="407D34BD" w14:textId="77777777" w:rsidR="00E9735A" w:rsidRDefault="00E9735A" w:rsidP="00E9735A">
      <w:pPr>
        <w:jc w:val="center"/>
      </w:pPr>
    </w:p>
    <w:p w14:paraId="1E5D1F30" w14:textId="77777777" w:rsidR="00E9735A" w:rsidRDefault="00E9735A" w:rsidP="00E9735A">
      <w:pPr>
        <w:jc w:val="center"/>
      </w:pPr>
    </w:p>
    <w:p w14:paraId="758236D2" w14:textId="77777777" w:rsidR="00E9735A" w:rsidRDefault="00E9735A" w:rsidP="00E9735A">
      <w:pPr>
        <w:jc w:val="center"/>
      </w:pPr>
    </w:p>
    <w:p w14:paraId="1F7E13F2" w14:textId="77777777" w:rsidR="00E9735A" w:rsidRDefault="00E9735A" w:rsidP="00E9735A">
      <w:pPr>
        <w:jc w:val="center"/>
      </w:pPr>
    </w:p>
    <w:p w14:paraId="42CFF5EB" w14:textId="77777777" w:rsidR="00E9735A" w:rsidRDefault="00E9735A" w:rsidP="00E9735A">
      <w:pPr>
        <w:jc w:val="center"/>
      </w:pPr>
    </w:p>
    <w:p w14:paraId="3F1A0B64" w14:textId="77777777" w:rsidR="006C1FA1" w:rsidRDefault="006C1FA1">
      <w:pPr>
        <w:spacing w:line="259" w:lineRule="auto"/>
        <w:jc w:val="left"/>
      </w:pPr>
      <w:r>
        <w:br w:type="page"/>
      </w:r>
    </w:p>
    <w:sdt>
      <w:sdtPr>
        <w:rPr>
          <w:rFonts w:ascii="Times New Roman" w:eastAsiaTheme="minorHAnsi" w:hAnsi="Times New Roman" w:cstheme="minorBidi"/>
          <w:color w:val="auto"/>
          <w:sz w:val="24"/>
          <w:szCs w:val="22"/>
          <w:lang w:val="en-GB"/>
        </w:rPr>
        <w:id w:val="1365184343"/>
        <w:docPartObj>
          <w:docPartGallery w:val="Table of Contents"/>
          <w:docPartUnique/>
        </w:docPartObj>
      </w:sdtPr>
      <w:sdtEndPr>
        <w:rPr>
          <w:b/>
          <w:bCs/>
          <w:noProof/>
        </w:rPr>
      </w:sdtEndPr>
      <w:sdtContent>
        <w:p w14:paraId="6533DF0E" w14:textId="77777777" w:rsidR="006C1FA1" w:rsidRDefault="006C1FA1">
          <w:pPr>
            <w:pStyle w:val="TOCHeading"/>
          </w:pPr>
          <w:r>
            <w:t>Table of Contents</w:t>
          </w:r>
        </w:p>
        <w:p w14:paraId="1201133A" w14:textId="77777777" w:rsidR="00D335F0" w:rsidRDefault="006C1FA1">
          <w:pPr>
            <w:pStyle w:val="TOC1"/>
            <w:tabs>
              <w:tab w:val="right" w:leader="dot" w:pos="9016"/>
            </w:tabs>
            <w:rPr>
              <w:rFonts w:asciiTheme="minorHAnsi" w:eastAsiaTheme="minorEastAsia" w:hAnsiTheme="minorHAnsi"/>
              <w:noProof/>
              <w:sz w:val="22"/>
              <w:szCs w:val="28"/>
              <w:lang w:eastAsia="en-GB" w:bidi="bn-BD"/>
            </w:rPr>
          </w:pPr>
          <w:r>
            <w:fldChar w:fldCharType="begin"/>
          </w:r>
          <w:r>
            <w:instrText xml:space="preserve"> TOC \o "1-3" \h \z \u </w:instrText>
          </w:r>
          <w:r>
            <w:fldChar w:fldCharType="separate"/>
          </w:r>
          <w:hyperlink w:anchor="_Toc134991524" w:history="1">
            <w:r w:rsidR="00D335F0" w:rsidRPr="0022270C">
              <w:rPr>
                <w:rStyle w:val="Hyperlink"/>
                <w:noProof/>
              </w:rPr>
              <w:t>Introduction</w:t>
            </w:r>
            <w:r w:rsidR="00D335F0">
              <w:rPr>
                <w:noProof/>
                <w:webHidden/>
              </w:rPr>
              <w:tab/>
            </w:r>
            <w:r w:rsidR="00D335F0">
              <w:rPr>
                <w:noProof/>
                <w:webHidden/>
              </w:rPr>
              <w:fldChar w:fldCharType="begin"/>
            </w:r>
            <w:r w:rsidR="00D335F0">
              <w:rPr>
                <w:noProof/>
                <w:webHidden/>
              </w:rPr>
              <w:instrText xml:space="preserve"> PAGEREF _Toc134991524 \h </w:instrText>
            </w:r>
            <w:r w:rsidR="00D335F0">
              <w:rPr>
                <w:noProof/>
                <w:webHidden/>
              </w:rPr>
            </w:r>
            <w:r w:rsidR="00D335F0">
              <w:rPr>
                <w:noProof/>
                <w:webHidden/>
              </w:rPr>
              <w:fldChar w:fldCharType="separate"/>
            </w:r>
            <w:r w:rsidR="00D335F0">
              <w:rPr>
                <w:noProof/>
                <w:webHidden/>
              </w:rPr>
              <w:t>3</w:t>
            </w:r>
            <w:r w:rsidR="00D335F0">
              <w:rPr>
                <w:noProof/>
                <w:webHidden/>
              </w:rPr>
              <w:fldChar w:fldCharType="end"/>
            </w:r>
          </w:hyperlink>
        </w:p>
        <w:p w14:paraId="4E4B4434" w14:textId="77777777" w:rsidR="00D335F0" w:rsidRDefault="00000000">
          <w:pPr>
            <w:pStyle w:val="TOC1"/>
            <w:tabs>
              <w:tab w:val="right" w:leader="dot" w:pos="9016"/>
            </w:tabs>
            <w:rPr>
              <w:rFonts w:asciiTheme="minorHAnsi" w:eastAsiaTheme="minorEastAsia" w:hAnsiTheme="minorHAnsi"/>
              <w:noProof/>
              <w:sz w:val="22"/>
              <w:szCs w:val="28"/>
              <w:lang w:eastAsia="en-GB" w:bidi="bn-BD"/>
            </w:rPr>
          </w:pPr>
          <w:hyperlink w:anchor="_Toc134991525" w:history="1">
            <w:r w:rsidR="00D335F0" w:rsidRPr="0022270C">
              <w:rPr>
                <w:rStyle w:val="Hyperlink"/>
                <w:noProof/>
              </w:rPr>
              <w:t>Comparing Marriot International and Hyatt Hotels' financial management approaches</w:t>
            </w:r>
            <w:r w:rsidR="00D335F0">
              <w:rPr>
                <w:noProof/>
                <w:webHidden/>
              </w:rPr>
              <w:tab/>
            </w:r>
            <w:r w:rsidR="00D335F0">
              <w:rPr>
                <w:noProof/>
                <w:webHidden/>
              </w:rPr>
              <w:fldChar w:fldCharType="begin"/>
            </w:r>
            <w:r w:rsidR="00D335F0">
              <w:rPr>
                <w:noProof/>
                <w:webHidden/>
              </w:rPr>
              <w:instrText xml:space="preserve"> PAGEREF _Toc134991525 \h </w:instrText>
            </w:r>
            <w:r w:rsidR="00D335F0">
              <w:rPr>
                <w:noProof/>
                <w:webHidden/>
              </w:rPr>
            </w:r>
            <w:r w:rsidR="00D335F0">
              <w:rPr>
                <w:noProof/>
                <w:webHidden/>
              </w:rPr>
              <w:fldChar w:fldCharType="separate"/>
            </w:r>
            <w:r w:rsidR="00D335F0">
              <w:rPr>
                <w:noProof/>
                <w:webHidden/>
              </w:rPr>
              <w:t>4</w:t>
            </w:r>
            <w:r w:rsidR="00D335F0">
              <w:rPr>
                <w:noProof/>
                <w:webHidden/>
              </w:rPr>
              <w:fldChar w:fldCharType="end"/>
            </w:r>
          </w:hyperlink>
        </w:p>
        <w:p w14:paraId="38845835" w14:textId="77777777" w:rsidR="00D335F0" w:rsidRDefault="00000000">
          <w:pPr>
            <w:pStyle w:val="TOC2"/>
            <w:tabs>
              <w:tab w:val="right" w:leader="dot" w:pos="9016"/>
            </w:tabs>
            <w:rPr>
              <w:rFonts w:asciiTheme="minorHAnsi" w:eastAsiaTheme="minorEastAsia" w:hAnsiTheme="minorHAnsi"/>
              <w:noProof/>
              <w:sz w:val="22"/>
              <w:szCs w:val="28"/>
              <w:lang w:eastAsia="en-GB" w:bidi="bn-BD"/>
            </w:rPr>
          </w:pPr>
          <w:hyperlink w:anchor="_Toc134991526" w:history="1">
            <w:r w:rsidR="00D335F0" w:rsidRPr="0022270C">
              <w:rPr>
                <w:rStyle w:val="Hyperlink"/>
                <w:noProof/>
              </w:rPr>
              <w:t>Total revenue</w:t>
            </w:r>
            <w:r w:rsidR="00D335F0">
              <w:rPr>
                <w:noProof/>
                <w:webHidden/>
              </w:rPr>
              <w:tab/>
            </w:r>
            <w:r w:rsidR="00D335F0">
              <w:rPr>
                <w:noProof/>
                <w:webHidden/>
              </w:rPr>
              <w:fldChar w:fldCharType="begin"/>
            </w:r>
            <w:r w:rsidR="00D335F0">
              <w:rPr>
                <w:noProof/>
                <w:webHidden/>
              </w:rPr>
              <w:instrText xml:space="preserve"> PAGEREF _Toc134991526 \h </w:instrText>
            </w:r>
            <w:r w:rsidR="00D335F0">
              <w:rPr>
                <w:noProof/>
                <w:webHidden/>
              </w:rPr>
            </w:r>
            <w:r w:rsidR="00D335F0">
              <w:rPr>
                <w:noProof/>
                <w:webHidden/>
              </w:rPr>
              <w:fldChar w:fldCharType="separate"/>
            </w:r>
            <w:r w:rsidR="00D335F0">
              <w:rPr>
                <w:noProof/>
                <w:webHidden/>
              </w:rPr>
              <w:t>4</w:t>
            </w:r>
            <w:r w:rsidR="00D335F0">
              <w:rPr>
                <w:noProof/>
                <w:webHidden/>
              </w:rPr>
              <w:fldChar w:fldCharType="end"/>
            </w:r>
          </w:hyperlink>
        </w:p>
        <w:p w14:paraId="4838B083" w14:textId="77777777" w:rsidR="00D335F0" w:rsidRDefault="00000000">
          <w:pPr>
            <w:pStyle w:val="TOC2"/>
            <w:tabs>
              <w:tab w:val="right" w:leader="dot" w:pos="9016"/>
            </w:tabs>
            <w:rPr>
              <w:rFonts w:asciiTheme="minorHAnsi" w:eastAsiaTheme="minorEastAsia" w:hAnsiTheme="minorHAnsi"/>
              <w:noProof/>
              <w:sz w:val="22"/>
              <w:szCs w:val="28"/>
              <w:lang w:eastAsia="en-GB" w:bidi="bn-BD"/>
            </w:rPr>
          </w:pPr>
          <w:hyperlink w:anchor="_Toc134991527" w:history="1">
            <w:r w:rsidR="00D335F0" w:rsidRPr="0022270C">
              <w:rPr>
                <w:rStyle w:val="Hyperlink"/>
                <w:noProof/>
              </w:rPr>
              <w:t>Market Position</w:t>
            </w:r>
            <w:r w:rsidR="00D335F0">
              <w:rPr>
                <w:noProof/>
                <w:webHidden/>
              </w:rPr>
              <w:tab/>
            </w:r>
            <w:r w:rsidR="00D335F0">
              <w:rPr>
                <w:noProof/>
                <w:webHidden/>
              </w:rPr>
              <w:fldChar w:fldCharType="begin"/>
            </w:r>
            <w:r w:rsidR="00D335F0">
              <w:rPr>
                <w:noProof/>
                <w:webHidden/>
              </w:rPr>
              <w:instrText xml:space="preserve"> PAGEREF _Toc134991527 \h </w:instrText>
            </w:r>
            <w:r w:rsidR="00D335F0">
              <w:rPr>
                <w:noProof/>
                <w:webHidden/>
              </w:rPr>
            </w:r>
            <w:r w:rsidR="00D335F0">
              <w:rPr>
                <w:noProof/>
                <w:webHidden/>
              </w:rPr>
              <w:fldChar w:fldCharType="separate"/>
            </w:r>
            <w:r w:rsidR="00D335F0">
              <w:rPr>
                <w:noProof/>
                <w:webHidden/>
              </w:rPr>
              <w:t>5</w:t>
            </w:r>
            <w:r w:rsidR="00D335F0">
              <w:rPr>
                <w:noProof/>
                <w:webHidden/>
              </w:rPr>
              <w:fldChar w:fldCharType="end"/>
            </w:r>
          </w:hyperlink>
        </w:p>
        <w:p w14:paraId="41D86177" w14:textId="77777777" w:rsidR="00D335F0" w:rsidRDefault="00000000">
          <w:pPr>
            <w:pStyle w:val="TOC2"/>
            <w:tabs>
              <w:tab w:val="right" w:leader="dot" w:pos="9016"/>
            </w:tabs>
            <w:rPr>
              <w:rFonts w:asciiTheme="minorHAnsi" w:eastAsiaTheme="minorEastAsia" w:hAnsiTheme="minorHAnsi"/>
              <w:noProof/>
              <w:sz w:val="22"/>
              <w:szCs w:val="28"/>
              <w:lang w:eastAsia="en-GB" w:bidi="bn-BD"/>
            </w:rPr>
          </w:pPr>
          <w:hyperlink w:anchor="_Toc134991528" w:history="1">
            <w:r w:rsidR="00D335F0" w:rsidRPr="0022270C">
              <w:rPr>
                <w:rStyle w:val="Hyperlink"/>
                <w:noProof/>
              </w:rPr>
              <w:t>Growth Potential</w:t>
            </w:r>
            <w:r w:rsidR="00D335F0">
              <w:rPr>
                <w:noProof/>
                <w:webHidden/>
              </w:rPr>
              <w:tab/>
            </w:r>
            <w:r w:rsidR="00D335F0">
              <w:rPr>
                <w:noProof/>
                <w:webHidden/>
              </w:rPr>
              <w:fldChar w:fldCharType="begin"/>
            </w:r>
            <w:r w:rsidR="00D335F0">
              <w:rPr>
                <w:noProof/>
                <w:webHidden/>
              </w:rPr>
              <w:instrText xml:space="preserve"> PAGEREF _Toc134991528 \h </w:instrText>
            </w:r>
            <w:r w:rsidR="00D335F0">
              <w:rPr>
                <w:noProof/>
                <w:webHidden/>
              </w:rPr>
            </w:r>
            <w:r w:rsidR="00D335F0">
              <w:rPr>
                <w:noProof/>
                <w:webHidden/>
              </w:rPr>
              <w:fldChar w:fldCharType="separate"/>
            </w:r>
            <w:r w:rsidR="00D335F0">
              <w:rPr>
                <w:noProof/>
                <w:webHidden/>
              </w:rPr>
              <w:t>6</w:t>
            </w:r>
            <w:r w:rsidR="00D335F0">
              <w:rPr>
                <w:noProof/>
                <w:webHidden/>
              </w:rPr>
              <w:fldChar w:fldCharType="end"/>
            </w:r>
          </w:hyperlink>
        </w:p>
        <w:p w14:paraId="251FDDD6" w14:textId="77777777" w:rsidR="00D335F0" w:rsidRDefault="00000000">
          <w:pPr>
            <w:pStyle w:val="TOC2"/>
            <w:tabs>
              <w:tab w:val="right" w:leader="dot" w:pos="9016"/>
            </w:tabs>
            <w:rPr>
              <w:rFonts w:asciiTheme="minorHAnsi" w:eastAsiaTheme="minorEastAsia" w:hAnsiTheme="minorHAnsi"/>
              <w:noProof/>
              <w:sz w:val="22"/>
              <w:szCs w:val="28"/>
              <w:lang w:eastAsia="en-GB" w:bidi="bn-BD"/>
            </w:rPr>
          </w:pPr>
          <w:hyperlink w:anchor="_Toc134991529" w:history="1">
            <w:r w:rsidR="00D335F0" w:rsidRPr="0022270C">
              <w:rPr>
                <w:rStyle w:val="Hyperlink"/>
                <w:noProof/>
              </w:rPr>
              <w:t>Financial commitment to CSR</w:t>
            </w:r>
            <w:r w:rsidR="00D335F0">
              <w:rPr>
                <w:noProof/>
                <w:webHidden/>
              </w:rPr>
              <w:tab/>
            </w:r>
            <w:r w:rsidR="00D335F0">
              <w:rPr>
                <w:noProof/>
                <w:webHidden/>
              </w:rPr>
              <w:fldChar w:fldCharType="begin"/>
            </w:r>
            <w:r w:rsidR="00D335F0">
              <w:rPr>
                <w:noProof/>
                <w:webHidden/>
              </w:rPr>
              <w:instrText xml:space="preserve"> PAGEREF _Toc134991529 \h </w:instrText>
            </w:r>
            <w:r w:rsidR="00D335F0">
              <w:rPr>
                <w:noProof/>
                <w:webHidden/>
              </w:rPr>
            </w:r>
            <w:r w:rsidR="00D335F0">
              <w:rPr>
                <w:noProof/>
                <w:webHidden/>
              </w:rPr>
              <w:fldChar w:fldCharType="separate"/>
            </w:r>
            <w:r w:rsidR="00D335F0">
              <w:rPr>
                <w:noProof/>
                <w:webHidden/>
              </w:rPr>
              <w:t>8</w:t>
            </w:r>
            <w:r w:rsidR="00D335F0">
              <w:rPr>
                <w:noProof/>
                <w:webHidden/>
              </w:rPr>
              <w:fldChar w:fldCharType="end"/>
            </w:r>
          </w:hyperlink>
        </w:p>
        <w:p w14:paraId="528E18C8" w14:textId="77777777" w:rsidR="00D335F0" w:rsidRDefault="00000000">
          <w:pPr>
            <w:pStyle w:val="TOC1"/>
            <w:tabs>
              <w:tab w:val="right" w:leader="dot" w:pos="9016"/>
            </w:tabs>
            <w:rPr>
              <w:rFonts w:asciiTheme="minorHAnsi" w:eastAsiaTheme="minorEastAsia" w:hAnsiTheme="minorHAnsi"/>
              <w:noProof/>
              <w:sz w:val="22"/>
              <w:szCs w:val="28"/>
              <w:lang w:eastAsia="en-GB" w:bidi="bn-BD"/>
            </w:rPr>
          </w:pPr>
          <w:hyperlink w:anchor="_Toc134991530" w:history="1">
            <w:r w:rsidR="00D335F0" w:rsidRPr="0022270C">
              <w:rPr>
                <w:rStyle w:val="Hyperlink"/>
                <w:noProof/>
              </w:rPr>
              <w:t>Recommendation</w:t>
            </w:r>
            <w:r w:rsidR="00D335F0">
              <w:rPr>
                <w:noProof/>
                <w:webHidden/>
              </w:rPr>
              <w:tab/>
            </w:r>
            <w:r w:rsidR="00D335F0">
              <w:rPr>
                <w:noProof/>
                <w:webHidden/>
              </w:rPr>
              <w:fldChar w:fldCharType="begin"/>
            </w:r>
            <w:r w:rsidR="00D335F0">
              <w:rPr>
                <w:noProof/>
                <w:webHidden/>
              </w:rPr>
              <w:instrText xml:space="preserve"> PAGEREF _Toc134991530 \h </w:instrText>
            </w:r>
            <w:r w:rsidR="00D335F0">
              <w:rPr>
                <w:noProof/>
                <w:webHidden/>
              </w:rPr>
            </w:r>
            <w:r w:rsidR="00D335F0">
              <w:rPr>
                <w:noProof/>
                <w:webHidden/>
              </w:rPr>
              <w:fldChar w:fldCharType="separate"/>
            </w:r>
            <w:r w:rsidR="00D335F0">
              <w:rPr>
                <w:noProof/>
                <w:webHidden/>
              </w:rPr>
              <w:t>9</w:t>
            </w:r>
            <w:r w:rsidR="00D335F0">
              <w:rPr>
                <w:noProof/>
                <w:webHidden/>
              </w:rPr>
              <w:fldChar w:fldCharType="end"/>
            </w:r>
          </w:hyperlink>
        </w:p>
        <w:p w14:paraId="305999C8" w14:textId="77777777" w:rsidR="00D335F0" w:rsidRDefault="00000000">
          <w:pPr>
            <w:pStyle w:val="TOC2"/>
            <w:tabs>
              <w:tab w:val="right" w:leader="dot" w:pos="9016"/>
            </w:tabs>
            <w:rPr>
              <w:rFonts w:asciiTheme="minorHAnsi" w:eastAsiaTheme="minorEastAsia" w:hAnsiTheme="minorHAnsi"/>
              <w:noProof/>
              <w:sz w:val="22"/>
              <w:szCs w:val="28"/>
              <w:lang w:eastAsia="en-GB" w:bidi="bn-BD"/>
            </w:rPr>
          </w:pPr>
          <w:hyperlink w:anchor="_Toc134991531" w:history="1">
            <w:r w:rsidR="00D335F0" w:rsidRPr="0022270C">
              <w:rPr>
                <w:rStyle w:val="Hyperlink"/>
                <w:noProof/>
              </w:rPr>
              <w:t>Revenue diversification (Marriott International)</w:t>
            </w:r>
            <w:r w:rsidR="00D335F0">
              <w:rPr>
                <w:noProof/>
                <w:webHidden/>
              </w:rPr>
              <w:tab/>
            </w:r>
            <w:r w:rsidR="00D335F0">
              <w:rPr>
                <w:noProof/>
                <w:webHidden/>
              </w:rPr>
              <w:fldChar w:fldCharType="begin"/>
            </w:r>
            <w:r w:rsidR="00D335F0">
              <w:rPr>
                <w:noProof/>
                <w:webHidden/>
              </w:rPr>
              <w:instrText xml:space="preserve"> PAGEREF _Toc134991531 \h </w:instrText>
            </w:r>
            <w:r w:rsidR="00D335F0">
              <w:rPr>
                <w:noProof/>
                <w:webHidden/>
              </w:rPr>
            </w:r>
            <w:r w:rsidR="00D335F0">
              <w:rPr>
                <w:noProof/>
                <w:webHidden/>
              </w:rPr>
              <w:fldChar w:fldCharType="separate"/>
            </w:r>
            <w:r w:rsidR="00D335F0">
              <w:rPr>
                <w:noProof/>
                <w:webHidden/>
              </w:rPr>
              <w:t>9</w:t>
            </w:r>
            <w:r w:rsidR="00D335F0">
              <w:rPr>
                <w:noProof/>
                <w:webHidden/>
              </w:rPr>
              <w:fldChar w:fldCharType="end"/>
            </w:r>
          </w:hyperlink>
        </w:p>
        <w:p w14:paraId="786D616C" w14:textId="77777777" w:rsidR="00D335F0" w:rsidRDefault="00000000">
          <w:pPr>
            <w:pStyle w:val="TOC2"/>
            <w:tabs>
              <w:tab w:val="right" w:leader="dot" w:pos="9016"/>
            </w:tabs>
            <w:rPr>
              <w:rFonts w:asciiTheme="minorHAnsi" w:eastAsiaTheme="minorEastAsia" w:hAnsiTheme="minorHAnsi"/>
              <w:noProof/>
              <w:sz w:val="22"/>
              <w:szCs w:val="28"/>
              <w:lang w:eastAsia="en-GB" w:bidi="bn-BD"/>
            </w:rPr>
          </w:pPr>
          <w:hyperlink w:anchor="_Toc134991532" w:history="1">
            <w:r w:rsidR="00D335F0" w:rsidRPr="0022270C">
              <w:rPr>
                <w:rStyle w:val="Hyperlink"/>
                <w:noProof/>
              </w:rPr>
              <w:t>Accelerate global expansion (Hyatt Hotels)</w:t>
            </w:r>
            <w:r w:rsidR="00D335F0">
              <w:rPr>
                <w:noProof/>
                <w:webHidden/>
              </w:rPr>
              <w:tab/>
            </w:r>
            <w:r w:rsidR="00D335F0">
              <w:rPr>
                <w:noProof/>
                <w:webHidden/>
              </w:rPr>
              <w:fldChar w:fldCharType="begin"/>
            </w:r>
            <w:r w:rsidR="00D335F0">
              <w:rPr>
                <w:noProof/>
                <w:webHidden/>
              </w:rPr>
              <w:instrText xml:space="preserve"> PAGEREF _Toc134991532 \h </w:instrText>
            </w:r>
            <w:r w:rsidR="00D335F0">
              <w:rPr>
                <w:noProof/>
                <w:webHidden/>
              </w:rPr>
            </w:r>
            <w:r w:rsidR="00D335F0">
              <w:rPr>
                <w:noProof/>
                <w:webHidden/>
              </w:rPr>
              <w:fldChar w:fldCharType="separate"/>
            </w:r>
            <w:r w:rsidR="00D335F0">
              <w:rPr>
                <w:noProof/>
                <w:webHidden/>
              </w:rPr>
              <w:t>9</w:t>
            </w:r>
            <w:r w:rsidR="00D335F0">
              <w:rPr>
                <w:noProof/>
                <w:webHidden/>
              </w:rPr>
              <w:fldChar w:fldCharType="end"/>
            </w:r>
          </w:hyperlink>
        </w:p>
        <w:p w14:paraId="173F6F49" w14:textId="77777777" w:rsidR="00D335F0" w:rsidRDefault="00000000">
          <w:pPr>
            <w:pStyle w:val="TOC1"/>
            <w:tabs>
              <w:tab w:val="right" w:leader="dot" w:pos="9016"/>
            </w:tabs>
            <w:rPr>
              <w:rFonts w:asciiTheme="minorHAnsi" w:eastAsiaTheme="minorEastAsia" w:hAnsiTheme="minorHAnsi"/>
              <w:noProof/>
              <w:sz w:val="22"/>
              <w:szCs w:val="28"/>
              <w:lang w:eastAsia="en-GB" w:bidi="bn-BD"/>
            </w:rPr>
          </w:pPr>
          <w:hyperlink w:anchor="_Toc134991533" w:history="1">
            <w:r w:rsidR="00D335F0" w:rsidRPr="0022270C">
              <w:rPr>
                <w:rStyle w:val="Hyperlink"/>
                <w:noProof/>
              </w:rPr>
              <w:t>Conclusion</w:t>
            </w:r>
            <w:r w:rsidR="00D335F0">
              <w:rPr>
                <w:noProof/>
                <w:webHidden/>
              </w:rPr>
              <w:tab/>
            </w:r>
            <w:r w:rsidR="00D335F0">
              <w:rPr>
                <w:noProof/>
                <w:webHidden/>
              </w:rPr>
              <w:fldChar w:fldCharType="begin"/>
            </w:r>
            <w:r w:rsidR="00D335F0">
              <w:rPr>
                <w:noProof/>
                <w:webHidden/>
              </w:rPr>
              <w:instrText xml:space="preserve"> PAGEREF _Toc134991533 \h </w:instrText>
            </w:r>
            <w:r w:rsidR="00D335F0">
              <w:rPr>
                <w:noProof/>
                <w:webHidden/>
              </w:rPr>
            </w:r>
            <w:r w:rsidR="00D335F0">
              <w:rPr>
                <w:noProof/>
                <w:webHidden/>
              </w:rPr>
              <w:fldChar w:fldCharType="separate"/>
            </w:r>
            <w:r w:rsidR="00D335F0">
              <w:rPr>
                <w:noProof/>
                <w:webHidden/>
              </w:rPr>
              <w:t>11</w:t>
            </w:r>
            <w:r w:rsidR="00D335F0">
              <w:rPr>
                <w:noProof/>
                <w:webHidden/>
              </w:rPr>
              <w:fldChar w:fldCharType="end"/>
            </w:r>
          </w:hyperlink>
        </w:p>
        <w:p w14:paraId="779D1184" w14:textId="77777777" w:rsidR="00D335F0" w:rsidRDefault="00000000">
          <w:pPr>
            <w:pStyle w:val="TOC1"/>
            <w:tabs>
              <w:tab w:val="right" w:leader="dot" w:pos="9016"/>
            </w:tabs>
            <w:rPr>
              <w:rFonts w:asciiTheme="minorHAnsi" w:eastAsiaTheme="minorEastAsia" w:hAnsiTheme="minorHAnsi"/>
              <w:noProof/>
              <w:sz w:val="22"/>
              <w:szCs w:val="28"/>
              <w:lang w:eastAsia="en-GB" w:bidi="bn-BD"/>
            </w:rPr>
          </w:pPr>
          <w:hyperlink w:anchor="_Toc134991534" w:history="1">
            <w:r w:rsidR="00D335F0" w:rsidRPr="0022270C">
              <w:rPr>
                <w:rStyle w:val="Hyperlink"/>
                <w:noProof/>
              </w:rPr>
              <w:t>References</w:t>
            </w:r>
            <w:r w:rsidR="00D335F0">
              <w:rPr>
                <w:noProof/>
                <w:webHidden/>
              </w:rPr>
              <w:tab/>
            </w:r>
            <w:r w:rsidR="00D335F0">
              <w:rPr>
                <w:noProof/>
                <w:webHidden/>
              </w:rPr>
              <w:fldChar w:fldCharType="begin"/>
            </w:r>
            <w:r w:rsidR="00D335F0">
              <w:rPr>
                <w:noProof/>
                <w:webHidden/>
              </w:rPr>
              <w:instrText xml:space="preserve"> PAGEREF _Toc134991534 \h </w:instrText>
            </w:r>
            <w:r w:rsidR="00D335F0">
              <w:rPr>
                <w:noProof/>
                <w:webHidden/>
              </w:rPr>
            </w:r>
            <w:r w:rsidR="00D335F0">
              <w:rPr>
                <w:noProof/>
                <w:webHidden/>
              </w:rPr>
              <w:fldChar w:fldCharType="separate"/>
            </w:r>
            <w:r w:rsidR="00D335F0">
              <w:rPr>
                <w:noProof/>
                <w:webHidden/>
              </w:rPr>
              <w:t>12</w:t>
            </w:r>
            <w:r w:rsidR="00D335F0">
              <w:rPr>
                <w:noProof/>
                <w:webHidden/>
              </w:rPr>
              <w:fldChar w:fldCharType="end"/>
            </w:r>
          </w:hyperlink>
        </w:p>
        <w:p w14:paraId="5FB5F887" w14:textId="77777777" w:rsidR="006C1FA1" w:rsidRDefault="006C1FA1">
          <w:r>
            <w:rPr>
              <w:b/>
              <w:bCs/>
              <w:noProof/>
            </w:rPr>
            <w:fldChar w:fldCharType="end"/>
          </w:r>
        </w:p>
      </w:sdtContent>
    </w:sdt>
    <w:p w14:paraId="630C2B62" w14:textId="77777777" w:rsidR="006C1FA1" w:rsidRDefault="006C1FA1">
      <w:pPr>
        <w:spacing w:line="259" w:lineRule="auto"/>
        <w:jc w:val="left"/>
      </w:pPr>
      <w:r>
        <w:br w:type="page"/>
      </w:r>
    </w:p>
    <w:p w14:paraId="64E92E5C" w14:textId="77777777" w:rsidR="00024ADC" w:rsidRPr="00024ADC" w:rsidRDefault="00024ADC" w:rsidP="006C1FA1">
      <w:pPr>
        <w:pStyle w:val="Heading1"/>
      </w:pPr>
      <w:bookmarkStart w:id="0" w:name="_Toc134991524"/>
      <w:r w:rsidRPr="00024ADC">
        <w:lastRenderedPageBreak/>
        <w:t>Introduction</w:t>
      </w:r>
      <w:bookmarkEnd w:id="0"/>
    </w:p>
    <w:p w14:paraId="60A45E81" w14:textId="77777777" w:rsidR="00554044" w:rsidRDefault="00024ADC">
      <w:r w:rsidRPr="00024ADC">
        <w:t>Hospitality industry behemoths on a worldwide scale include Marriott International and Hyatt Hotels. The hotel chain Marriott was established in 1927 and currently operates over 7,500 properties throughout 131 countries</w:t>
      </w:r>
      <w:r w:rsidR="00A33641">
        <w:t xml:space="preserve"> </w:t>
      </w:r>
      <w:r w:rsidR="00A33641" w:rsidRPr="00A33641">
        <w:t>(Marriott, 2023)</w:t>
      </w:r>
      <w:r w:rsidRPr="00024ADC">
        <w:t>. It features hotels such as Marriott and Sheraton, in addition to Ritz-Carlton. Hyatt Hotels was established in 1957 and currently operates 1,000 hotels in 70 countries. Its luxury brands include names like Park, Grand, and Andaz, among others</w:t>
      </w:r>
      <w:r w:rsidR="00A33641">
        <w:t xml:space="preserve"> </w:t>
      </w:r>
      <w:r w:rsidR="00A33641" w:rsidRPr="00A33641">
        <w:t>(Hyatt.com, 2023)</w:t>
      </w:r>
      <w:r w:rsidRPr="00024ADC">
        <w:t xml:space="preserve">. Both companies place a high priority on providing outstanding experiences for their guests, providing contemporary conveniences, and establishing customer retention programmes. </w:t>
      </w:r>
      <w:r>
        <w:t>Th</w:t>
      </w:r>
      <w:r w:rsidR="00E9735A">
        <w:t>is report aim</w:t>
      </w:r>
      <w:r>
        <w:t>s to compare these two organisations</w:t>
      </w:r>
      <w:r w:rsidR="00E9735A">
        <w:t>'</w:t>
      </w:r>
      <w:r>
        <w:t xml:space="preserve"> approach</w:t>
      </w:r>
      <w:r w:rsidR="00E9735A">
        <w:t>es</w:t>
      </w:r>
      <w:r>
        <w:t xml:space="preserve"> to financial management.  </w:t>
      </w:r>
    </w:p>
    <w:p w14:paraId="1CCA67F6" w14:textId="77777777" w:rsidR="006C1FA1" w:rsidRDefault="006C1FA1"/>
    <w:p w14:paraId="1C030DD4" w14:textId="77777777" w:rsidR="006C1FA1" w:rsidRDefault="006C1FA1"/>
    <w:p w14:paraId="3C36401A" w14:textId="77777777" w:rsidR="006C1FA1" w:rsidRDefault="006C1FA1"/>
    <w:p w14:paraId="0846073B" w14:textId="77777777" w:rsidR="006C1FA1" w:rsidRDefault="006C1FA1"/>
    <w:p w14:paraId="0190177D" w14:textId="77777777" w:rsidR="006C1FA1" w:rsidRDefault="006C1FA1"/>
    <w:p w14:paraId="0FE1BA9B" w14:textId="77777777" w:rsidR="006C1FA1" w:rsidRDefault="006C1FA1"/>
    <w:p w14:paraId="61C07585" w14:textId="77777777" w:rsidR="006C1FA1" w:rsidRDefault="006C1FA1"/>
    <w:p w14:paraId="2F6950E9" w14:textId="77777777" w:rsidR="006C1FA1" w:rsidRDefault="006C1FA1"/>
    <w:p w14:paraId="7651D7DA" w14:textId="77777777" w:rsidR="006C1FA1" w:rsidRDefault="006C1FA1"/>
    <w:p w14:paraId="3CD2C4E6" w14:textId="77777777" w:rsidR="006C1FA1" w:rsidRDefault="006C1FA1"/>
    <w:p w14:paraId="7CD88B62" w14:textId="77777777" w:rsidR="006C1FA1" w:rsidRDefault="006C1FA1"/>
    <w:p w14:paraId="1A683B05" w14:textId="77777777" w:rsidR="006C1FA1" w:rsidRDefault="006C1FA1"/>
    <w:p w14:paraId="2BACF194" w14:textId="77777777" w:rsidR="006C1FA1" w:rsidRDefault="006C1FA1"/>
    <w:p w14:paraId="24BC8E8A" w14:textId="77777777" w:rsidR="006C1FA1" w:rsidRDefault="006C1FA1"/>
    <w:p w14:paraId="70B4FA74" w14:textId="77777777" w:rsidR="006C1FA1" w:rsidRDefault="006C1FA1"/>
    <w:p w14:paraId="69F9286D" w14:textId="77777777" w:rsidR="006C1FA1" w:rsidRDefault="006C1FA1"/>
    <w:p w14:paraId="1690DA35" w14:textId="77777777" w:rsidR="006C1FA1" w:rsidRDefault="006C1FA1"/>
    <w:p w14:paraId="4E0FD95A" w14:textId="77777777" w:rsidR="00024ADC" w:rsidRDefault="00024ADC" w:rsidP="006C1FA1">
      <w:pPr>
        <w:pStyle w:val="Heading1"/>
      </w:pPr>
      <w:bookmarkStart w:id="1" w:name="_Toc134991525"/>
      <w:r>
        <w:lastRenderedPageBreak/>
        <w:t>Comparing Marriot International and Hyatt Hotels</w:t>
      </w:r>
      <w:r w:rsidR="00E9735A">
        <w:t>'</w:t>
      </w:r>
      <w:r>
        <w:t xml:space="preserve"> financial management approaches</w:t>
      </w:r>
      <w:bookmarkEnd w:id="1"/>
    </w:p>
    <w:p w14:paraId="51123114" w14:textId="77777777" w:rsidR="00024ADC" w:rsidRDefault="00024ADC">
      <w:r w:rsidRPr="00024ADC">
        <w:t>A company's finances need to be planned, organised, directed, and controlled for there to be effective financial management</w:t>
      </w:r>
      <w:r w:rsidR="00A33641">
        <w:t xml:space="preserve"> </w:t>
      </w:r>
      <w:r w:rsidR="00A33641" w:rsidRPr="00A33641">
        <w:t>(Madura, 2018)</w:t>
      </w:r>
      <w:r w:rsidRPr="00024ADC">
        <w:t xml:space="preserve">. </w:t>
      </w:r>
      <w:r w:rsidR="00E9735A">
        <w:t>T</w:t>
      </w:r>
      <w:r w:rsidRPr="00024ADC">
        <w:t>o achieve the organization's financial objectives, it is necessary to create a budget, make investments, get financing, and manage risks. The purpose of financial management is to increase the value of the firm by effectively allocating its resources, assessing its financial data, and putting its financial strategy into action</w:t>
      </w:r>
      <w:r w:rsidR="00A33641">
        <w:t xml:space="preserve"> </w:t>
      </w:r>
      <w:r w:rsidR="00A33641" w:rsidRPr="00A33641">
        <w:t xml:space="preserve">Johnson and </w:t>
      </w:r>
      <w:proofErr w:type="spellStart"/>
      <w:r w:rsidR="00A33641" w:rsidRPr="00A33641">
        <w:t>Melicher</w:t>
      </w:r>
      <w:proofErr w:type="spellEnd"/>
      <w:r w:rsidR="00A33641" w:rsidRPr="00A33641">
        <w:t xml:space="preserve"> (2017)</w:t>
      </w:r>
      <w:r w:rsidRPr="00024ADC">
        <w:t>. The organization's financial stability and growth are supported by activities including financial planning, management of cash flow, financial analysis, capital expenditure budgeting, and financial reporting.</w:t>
      </w:r>
    </w:p>
    <w:p w14:paraId="41F1AEDF" w14:textId="77777777" w:rsidR="00024ADC" w:rsidRDefault="00024ADC" w:rsidP="006C1FA1">
      <w:pPr>
        <w:pStyle w:val="Heading2"/>
      </w:pPr>
      <w:bookmarkStart w:id="2" w:name="_Toc134991526"/>
      <w:r>
        <w:t>Total revenue</w:t>
      </w:r>
      <w:bookmarkEnd w:id="2"/>
      <w:r>
        <w:t xml:space="preserve"> </w:t>
      </w:r>
    </w:p>
    <w:p w14:paraId="6FCE7C59" w14:textId="77777777" w:rsidR="00024ADC" w:rsidRDefault="00024ADC" w:rsidP="00024ADC">
      <w:r>
        <w:t>Two industry behemoths, Marriott International and Hyatt Hotels, manage overall income in distinct ways. Contrasting their approaches with pertinent data:</w:t>
      </w:r>
    </w:p>
    <w:p w14:paraId="5F854C47" w14:textId="77777777" w:rsidR="00024ADC" w:rsidRDefault="00024ADC" w:rsidP="00024ADC">
      <w:r w:rsidRPr="002A7297">
        <w:rPr>
          <w:b/>
        </w:rPr>
        <w:t>Revenue streams:</w:t>
      </w:r>
      <w:r>
        <w:t xml:space="preserve"> Revenue sources for Marriott International include sales of lodging, food, and beverages, as well as meetings and events. The corporation can generate money from a variety of areas because </w:t>
      </w:r>
      <w:r w:rsidR="00E9735A">
        <w:t>of</w:t>
      </w:r>
      <w:r>
        <w:t xml:space="preserve"> its diversified brand portfolio. </w:t>
      </w:r>
      <w:r w:rsidR="00C90D05">
        <w:t>2021</w:t>
      </w:r>
      <w:r>
        <w:t xml:space="preserve"> revenue for Marriott was $10.6 billion, which was affected by the COVID-19 epidemic</w:t>
      </w:r>
      <w:r w:rsidR="002A7297">
        <w:t xml:space="preserve"> </w:t>
      </w:r>
      <w:r w:rsidR="002A7297" w:rsidRPr="002A7297">
        <w:t>(Molina et al., 2022)</w:t>
      </w:r>
      <w:r>
        <w:t>.</w:t>
      </w:r>
    </w:p>
    <w:p w14:paraId="17CC3A01" w14:textId="77777777" w:rsidR="00024ADC" w:rsidRDefault="00024ADC" w:rsidP="00024ADC">
      <w:r>
        <w:t xml:space="preserve">Hilton Hotels Revenue at Hyatt is driven by sales of rooms, food, and other services. The business has higher RevPAR than its rivals because </w:t>
      </w:r>
      <w:r w:rsidR="00E9735A">
        <w:t>of</w:t>
      </w:r>
      <w:r>
        <w:t xml:space="preserve"> its premium and upmarket focus. The outbreak has had an impact on Hyatt's $2.0 billion in </w:t>
      </w:r>
      <w:r w:rsidR="00C90D05">
        <w:t>2021</w:t>
      </w:r>
      <w:r>
        <w:t xml:space="preserve"> revenue</w:t>
      </w:r>
      <w:r w:rsidR="002A7297">
        <w:t xml:space="preserve"> </w:t>
      </w:r>
      <w:r w:rsidR="002A7297" w:rsidRPr="002A7297">
        <w:t>(</w:t>
      </w:r>
      <w:proofErr w:type="spellStart"/>
      <w:r w:rsidR="002A7297" w:rsidRPr="002A7297">
        <w:t>Demirçiftçi</w:t>
      </w:r>
      <w:proofErr w:type="spellEnd"/>
      <w:r w:rsidR="002A7297" w:rsidRPr="002A7297">
        <w:t>, 2022)</w:t>
      </w:r>
      <w:r>
        <w:t>.</w:t>
      </w:r>
    </w:p>
    <w:p w14:paraId="10D9F5A8" w14:textId="77777777" w:rsidR="00024ADC" w:rsidRDefault="00024ADC" w:rsidP="00024ADC">
      <w:r w:rsidRPr="00024ADC">
        <w:rPr>
          <w:b/>
        </w:rPr>
        <w:t>Geographical distribution:</w:t>
      </w:r>
      <w:r>
        <w:t xml:space="preserve"> Revenue is dispersed globally, according to Marriott International's geographic distribution. The company's revenue is split between North America, Europe, and Asia Pacific. In </w:t>
      </w:r>
      <w:r w:rsidR="00C90D05">
        <w:t>2021</w:t>
      </w:r>
      <w:r>
        <w:t>, 62% of Marriott's revenue came from North America, and 38% came from other countries</w:t>
      </w:r>
      <w:r w:rsidR="002A7297">
        <w:t xml:space="preserve"> </w:t>
      </w:r>
      <w:r w:rsidR="002A7297" w:rsidRPr="002A7297">
        <w:t>(HALMI and POLDRUGOVAC, 2022)</w:t>
      </w:r>
      <w:r>
        <w:t xml:space="preserve">. Key markets are what fuel Hyatt Hotels' revenue distribution. The company has operations in Asia, Europe, and North America. Similar to Marriott, 62% of Hyatt's </w:t>
      </w:r>
      <w:r w:rsidR="00C90D05">
        <w:t>2021</w:t>
      </w:r>
      <w:r>
        <w:t xml:space="preserve"> revenue came from North America, with 38% coming from international markets.</w:t>
      </w:r>
    </w:p>
    <w:p w14:paraId="14B1F7D7" w14:textId="77777777" w:rsidR="00024ADC" w:rsidRDefault="00024ADC" w:rsidP="00024ADC">
      <w:r w:rsidRPr="002A7297">
        <w:rPr>
          <w:b/>
        </w:rPr>
        <w:t>RevPAR performance:</w:t>
      </w:r>
      <w:r>
        <w:t xml:space="preserve"> Marriott International's RevPAR performance gauges hotel revenue per available room. The RevPAR for Marriott varies by brand and area. In </w:t>
      </w:r>
      <w:r w:rsidR="00C90D05">
        <w:t>2021</w:t>
      </w:r>
      <w:r>
        <w:t>, the COVID-19 pandemic cut Marriott's worldwide RevPAR by 60.6%</w:t>
      </w:r>
      <w:r w:rsidR="002A7297">
        <w:t xml:space="preserve"> </w:t>
      </w:r>
      <w:r w:rsidR="002A7297" w:rsidRPr="002A7297">
        <w:t xml:space="preserve">(Belyaev and </w:t>
      </w:r>
      <w:proofErr w:type="spellStart"/>
      <w:r w:rsidR="002A7297" w:rsidRPr="002A7297">
        <w:t>Gaibov</w:t>
      </w:r>
      <w:proofErr w:type="spellEnd"/>
      <w:r w:rsidR="002A7297" w:rsidRPr="002A7297">
        <w:t>, 2022)</w:t>
      </w:r>
      <w:r>
        <w:t xml:space="preserve">. Similar to Marriott, Hyatt Hotels' brand positioning and regional dispersion have an impact </w:t>
      </w:r>
      <w:r>
        <w:lastRenderedPageBreak/>
        <w:t xml:space="preserve">on RevPAR. Hyatt's global RevPAR decreased 66.7% in </w:t>
      </w:r>
      <w:r w:rsidR="00C90D05">
        <w:t>2021</w:t>
      </w:r>
      <w:r>
        <w:t>, which was a reflection of the industry's pandemic problems</w:t>
      </w:r>
      <w:r w:rsidR="002A7297">
        <w:t xml:space="preserve"> </w:t>
      </w:r>
      <w:r w:rsidR="002A7297" w:rsidRPr="002A7297">
        <w:t>(</w:t>
      </w:r>
      <w:proofErr w:type="spellStart"/>
      <w:r w:rsidR="002A7297" w:rsidRPr="002A7297">
        <w:t>Meriç</w:t>
      </w:r>
      <w:proofErr w:type="spellEnd"/>
      <w:r w:rsidR="002A7297" w:rsidRPr="002A7297">
        <w:t>, Bozkurt and KAYMIŞ, 2022)</w:t>
      </w:r>
      <w:r>
        <w:t>.</w:t>
      </w:r>
    </w:p>
    <w:p w14:paraId="0A7DA35D" w14:textId="77777777" w:rsidR="006C1FA1" w:rsidRDefault="006C1FA1" w:rsidP="00024ADC">
      <w:r>
        <w:rPr>
          <w:noProof/>
          <w:lang w:eastAsia="en-GB" w:bidi="bn-BD"/>
        </w:rPr>
        <w:drawing>
          <wp:inline distT="0" distB="0" distL="0" distR="0" wp14:anchorId="650E5539" wp14:editId="71E8586D">
            <wp:extent cx="5486400" cy="2371725"/>
            <wp:effectExtent l="0" t="0" r="0" b="9525"/>
            <wp:docPr id="138" name="Diagram 13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10F0D95D" w14:textId="77777777" w:rsidR="006C1FA1" w:rsidRDefault="006C1FA1" w:rsidP="006C1FA1">
      <w:pPr>
        <w:jc w:val="center"/>
      </w:pPr>
      <w:r>
        <w:t>Figure: Total revenue approach</w:t>
      </w:r>
    </w:p>
    <w:p w14:paraId="02CF8F91" w14:textId="77777777" w:rsidR="006C1FA1" w:rsidRDefault="006C1FA1" w:rsidP="006C1FA1">
      <w:pPr>
        <w:jc w:val="center"/>
      </w:pPr>
      <w:r>
        <w:t xml:space="preserve">Source: </w:t>
      </w:r>
      <w:r w:rsidRPr="002A7297">
        <w:t>(Molina et al., 2022)</w:t>
      </w:r>
    </w:p>
    <w:p w14:paraId="6FC36BCA" w14:textId="77777777" w:rsidR="00024ADC" w:rsidRDefault="00024ADC" w:rsidP="00024ADC">
      <w:r>
        <w:t xml:space="preserve">Housing, food and drink, and other services are how Marriott International and Hyatt Hotels make money. Compared to Hyatt, which focuses on premium and upmarket groups, Marriott has a more diverse brand portfolio and a more widespread global presence. The COVID-19 epidemic decreased the </w:t>
      </w:r>
      <w:r w:rsidR="00C90D05">
        <w:t>2021</w:t>
      </w:r>
      <w:r>
        <w:t xml:space="preserve"> RevPAR for both companies</w:t>
      </w:r>
      <w:r w:rsidR="002A7297">
        <w:t xml:space="preserve"> </w:t>
      </w:r>
      <w:r w:rsidR="002A7297" w:rsidRPr="002A7297">
        <w:t>(</w:t>
      </w:r>
      <w:proofErr w:type="spellStart"/>
      <w:r w:rsidR="002A7297" w:rsidRPr="002A7297">
        <w:t>Penela</w:t>
      </w:r>
      <w:proofErr w:type="spellEnd"/>
      <w:r w:rsidR="002A7297" w:rsidRPr="002A7297">
        <w:t>, 2022)</w:t>
      </w:r>
      <w:r>
        <w:t>. Marriott and Hyatt can leverage their financial management practi</w:t>
      </w:r>
      <w:r w:rsidR="00E9735A">
        <w:t>c</w:t>
      </w:r>
      <w:r>
        <w:t>es to optimise revenue as the industry improves.</w:t>
      </w:r>
    </w:p>
    <w:p w14:paraId="370B147B" w14:textId="77777777" w:rsidR="00024ADC" w:rsidRDefault="00024ADC" w:rsidP="006C1FA1">
      <w:pPr>
        <w:pStyle w:val="Heading2"/>
      </w:pPr>
      <w:bookmarkStart w:id="3" w:name="_Toc134991527"/>
      <w:r>
        <w:t>Market Position</w:t>
      </w:r>
      <w:bookmarkEnd w:id="3"/>
      <w:r>
        <w:t xml:space="preserve"> </w:t>
      </w:r>
    </w:p>
    <w:p w14:paraId="3F1D730C" w14:textId="77777777" w:rsidR="00024ADC" w:rsidRDefault="00024ADC" w:rsidP="00024ADC">
      <w:r>
        <w:t xml:space="preserve">Two industry behemoths, Marriott International and Hyatt Hotels, employ various financial management techniques to maintain their market positions. </w:t>
      </w:r>
      <w:r w:rsidR="002A7297">
        <w:t>Contrasting</w:t>
      </w:r>
      <w:r>
        <w:t xml:space="preserve"> their approaches with pertinent data:</w:t>
      </w:r>
    </w:p>
    <w:p w14:paraId="67D36E52" w14:textId="77777777" w:rsidR="00024ADC" w:rsidRDefault="00024ADC" w:rsidP="00024ADC">
      <w:r w:rsidRPr="00024ADC">
        <w:rPr>
          <w:b/>
        </w:rPr>
        <w:t xml:space="preserve">Brand portfolio and market segmentation: </w:t>
      </w:r>
      <w:r>
        <w:t xml:space="preserve">Premium and budget-friendly brands are included in Marriott International's brand portfolio. With this wide range, Marriott can reach more customers and grow its market share. In </w:t>
      </w:r>
      <w:r w:rsidR="00C90D05">
        <w:t>2021</w:t>
      </w:r>
      <w:r>
        <w:t>, Marriott had 30 brands. Different client demographics and inclinations are drawn to the company's different brand offers</w:t>
      </w:r>
      <w:r w:rsidR="002A7297">
        <w:t xml:space="preserve"> </w:t>
      </w:r>
      <w:r w:rsidR="002A7297" w:rsidRPr="002A7297">
        <w:t>(Kim and Han, 2022)</w:t>
      </w:r>
      <w:r>
        <w:t>.</w:t>
      </w:r>
    </w:p>
    <w:p w14:paraId="353C2D43" w14:textId="77777777" w:rsidR="00024ADC" w:rsidRDefault="00024ADC" w:rsidP="00024ADC">
      <w:r>
        <w:lastRenderedPageBreak/>
        <w:t xml:space="preserve">Park Hyatt, Grand Hyatt, and Andaz are luxury and elite traveller-focused Hyatt Hotels. With this tactic, Hyatt might position itself as a luxury hotelier. In </w:t>
      </w:r>
      <w:r w:rsidR="00C90D05">
        <w:t>2021</w:t>
      </w:r>
      <w:r>
        <w:t>, Hyatt will operate 20 luxury hotel brands</w:t>
      </w:r>
      <w:r w:rsidR="002A7297">
        <w:t xml:space="preserve"> </w:t>
      </w:r>
      <w:r w:rsidR="002A7297" w:rsidRPr="002A7297">
        <w:t>(</w:t>
      </w:r>
      <w:proofErr w:type="spellStart"/>
      <w:r w:rsidR="002A7297" w:rsidRPr="002A7297">
        <w:t>Banyeva</w:t>
      </w:r>
      <w:proofErr w:type="spellEnd"/>
      <w:r w:rsidR="002A7297" w:rsidRPr="002A7297">
        <w:t xml:space="preserve"> et al., 2023)</w:t>
      </w:r>
      <w:r>
        <w:t>.</w:t>
      </w:r>
    </w:p>
    <w:p w14:paraId="60A12546" w14:textId="77777777" w:rsidR="00024ADC" w:rsidRDefault="00E9735A" w:rsidP="00024ADC">
      <w:r>
        <w:rPr>
          <w:b/>
        </w:rPr>
        <w:t>The g</w:t>
      </w:r>
      <w:r w:rsidR="00024ADC" w:rsidRPr="00024ADC">
        <w:rPr>
          <w:b/>
        </w:rPr>
        <w:t>lobal presence and market penetration:</w:t>
      </w:r>
      <w:r w:rsidR="00024ADC">
        <w:t xml:space="preserve"> Compared to Hyatt Hotels, Marriott International has a larger global footprint. In </w:t>
      </w:r>
      <w:r w:rsidR="00C90D05">
        <w:t>2021</w:t>
      </w:r>
      <w:r w:rsidR="00024ADC">
        <w:t>, Marriott operated 7,500 properties in 131 nations. Marriott's wide network aids in its market share expansion</w:t>
      </w:r>
      <w:r w:rsidR="002A7297">
        <w:t xml:space="preserve"> </w:t>
      </w:r>
      <w:r w:rsidR="002A7297" w:rsidRPr="002A7297">
        <w:t xml:space="preserve">(Yu, </w:t>
      </w:r>
      <w:proofErr w:type="spellStart"/>
      <w:r w:rsidR="002A7297" w:rsidRPr="002A7297">
        <w:t>Lho</w:t>
      </w:r>
      <w:proofErr w:type="spellEnd"/>
      <w:r w:rsidR="002A7297" w:rsidRPr="002A7297">
        <w:t xml:space="preserve"> and Han, 2022)</w:t>
      </w:r>
      <w:r w:rsidR="00024ADC">
        <w:t xml:space="preserve">. Marriott </w:t>
      </w:r>
      <w:r>
        <w:t>can</w:t>
      </w:r>
      <w:r w:rsidR="00024ADC">
        <w:t xml:space="preserve"> address specific client needs thanks to its global presence.</w:t>
      </w:r>
    </w:p>
    <w:p w14:paraId="211FE8A4" w14:textId="77777777" w:rsidR="00024ADC" w:rsidRDefault="00024ADC" w:rsidP="00024ADC">
      <w:r>
        <w:t xml:space="preserve">Despite Marriott's greater global reach, Hyatt Hotels operate in over 70 nations. To keep a solid market position, Hyatt actively pursues high-demand markets and popular travel destinations. In </w:t>
      </w:r>
      <w:r w:rsidR="00C90D05">
        <w:t>2021</w:t>
      </w:r>
      <w:r>
        <w:t>, Hyatt will have over 1,000 hotels</w:t>
      </w:r>
      <w:r w:rsidR="002A7297">
        <w:t xml:space="preserve"> </w:t>
      </w:r>
      <w:r w:rsidR="002A7297" w:rsidRPr="002A7297">
        <w:t>(</w:t>
      </w:r>
      <w:proofErr w:type="spellStart"/>
      <w:r w:rsidR="002A7297" w:rsidRPr="002A7297">
        <w:t>Paraskevas</w:t>
      </w:r>
      <w:proofErr w:type="spellEnd"/>
      <w:r w:rsidR="002A7297" w:rsidRPr="002A7297">
        <w:t xml:space="preserve"> and </w:t>
      </w:r>
      <w:proofErr w:type="spellStart"/>
      <w:r w:rsidR="002A7297" w:rsidRPr="002A7297">
        <w:t>Guix</w:t>
      </w:r>
      <w:proofErr w:type="spellEnd"/>
      <w:r w:rsidR="002A7297" w:rsidRPr="002A7297">
        <w:t>, 2023)</w:t>
      </w:r>
      <w:r>
        <w:t>.</w:t>
      </w:r>
    </w:p>
    <w:p w14:paraId="602C98DE" w14:textId="77777777" w:rsidR="00024ADC" w:rsidRDefault="00024ADC" w:rsidP="00024ADC">
      <w:r w:rsidRPr="00024ADC">
        <w:rPr>
          <w:b/>
        </w:rPr>
        <w:t>Industry recognition and reputation:</w:t>
      </w:r>
      <w:r>
        <w:t xml:space="preserve"> Industry praise has been bestowed on Marriott International for its market position and brand repute. The business is well</w:t>
      </w:r>
      <w:r w:rsidR="00E9735A">
        <w:t>-</w:t>
      </w:r>
      <w:r>
        <w:t>rated in the hotel industry. Maintaining its industry domination, Marriott placed first in the 2021 Brand Finance Hotels 50 survey for brand value and strength. Hotels by Hyatt The brand and market position of Hyatt are strong</w:t>
      </w:r>
      <w:r w:rsidR="002A7297">
        <w:t xml:space="preserve"> </w:t>
      </w:r>
      <w:r w:rsidR="002A7297" w:rsidRPr="002A7297">
        <w:t>(Neves, 2022)</w:t>
      </w:r>
      <w:r>
        <w:t>. The organisation has received accolades for its luxurious and customised experiences. The luxurious focus of Hyatt contributes to its premium image.</w:t>
      </w:r>
    </w:p>
    <w:p w14:paraId="29F16CD1" w14:textId="77777777" w:rsidR="00024ADC" w:rsidRDefault="00024ADC" w:rsidP="00024ADC">
      <w:r>
        <w:t>A large brand portfolio, a global presence, and industry awareness are highlighted by Marriott International's market position finance management. Hyatt Hotels, on the other hand, presents itself as a luxury brand with little consumer exposure</w:t>
      </w:r>
      <w:r w:rsidR="002A7297">
        <w:t xml:space="preserve"> </w:t>
      </w:r>
      <w:r w:rsidR="002A7297" w:rsidRPr="002A7297">
        <w:t>(</w:t>
      </w:r>
      <w:proofErr w:type="spellStart"/>
      <w:r w:rsidR="002A7297" w:rsidRPr="002A7297">
        <w:t>Sadek</w:t>
      </w:r>
      <w:proofErr w:type="spellEnd"/>
      <w:r w:rsidR="002A7297" w:rsidRPr="002A7297">
        <w:t>, 2022)</w:t>
      </w:r>
      <w:r>
        <w:t>. Both businesses use unique strategies to build and keep their strong market positions while serving their respective target consumer segments.</w:t>
      </w:r>
    </w:p>
    <w:p w14:paraId="2DE8648B" w14:textId="77777777" w:rsidR="00024ADC" w:rsidRDefault="00024ADC" w:rsidP="006C1FA1">
      <w:pPr>
        <w:pStyle w:val="Heading2"/>
      </w:pPr>
      <w:bookmarkStart w:id="4" w:name="_Toc134991528"/>
      <w:r>
        <w:t>Growth Potential</w:t>
      </w:r>
      <w:bookmarkEnd w:id="4"/>
      <w:r>
        <w:t xml:space="preserve"> </w:t>
      </w:r>
    </w:p>
    <w:p w14:paraId="47660170" w14:textId="77777777" w:rsidR="00024ADC" w:rsidRDefault="00024ADC" w:rsidP="00024ADC">
      <w:r>
        <w:t>Two industry titans in the hotel industry, Marriott International and Hyatt Hotels, handle development potential differently. Contrasting their approaches with pertinent data:</w:t>
      </w:r>
    </w:p>
    <w:p w14:paraId="2F51F078" w14:textId="77777777" w:rsidR="006C1FA1" w:rsidRDefault="006C1FA1" w:rsidP="006C1FA1">
      <w:r w:rsidRPr="00024ADC">
        <w:rPr>
          <w:b/>
        </w:rPr>
        <w:t>Growth Strategy:</w:t>
      </w:r>
      <w:r>
        <w:t xml:space="preserve"> Through aggressive mergers and acquisitions, Marriott has expanded significantly. Several well-known brands were part of Marriott's acquisition of Starwood Hotels &amp; Resorts. Marriott is growing internationally, particularly in emerging markets. In 2021, the company added 498 new hotels, creating 78,000 new rooms </w:t>
      </w:r>
      <w:r w:rsidRPr="002A7297">
        <w:t>(Bianco, Zach and Liu, 2022)</w:t>
      </w:r>
      <w:r>
        <w:t>.</w:t>
      </w:r>
    </w:p>
    <w:p w14:paraId="7582E9B5" w14:textId="77777777" w:rsidR="006C1FA1" w:rsidRDefault="006C1FA1" w:rsidP="00024ADC">
      <w:r>
        <w:lastRenderedPageBreak/>
        <w:t xml:space="preserve">Hyatt has expanded with care. To maintain the reputation of the brand and the customer experience, the organisation carefully chooses development projects. Hyatt grows in important areas and markets with considerable demand. In 2021, Hyatt will have 9,000 rooms over 60 hotels </w:t>
      </w:r>
      <w:r w:rsidRPr="002A7297">
        <w:t>(Shin and Jeong, 2022)</w:t>
      </w:r>
      <w:r>
        <w:t>.</w:t>
      </w:r>
    </w:p>
    <w:p w14:paraId="3A4CB4D9" w14:textId="77777777" w:rsidR="00024ADC" w:rsidRDefault="00024ADC" w:rsidP="00024ADC">
      <w:r w:rsidRPr="00024ADC">
        <w:rPr>
          <w:b/>
        </w:rPr>
        <w:t>Brand portfolio and global presence:</w:t>
      </w:r>
      <w:r>
        <w:t xml:space="preserve"> In 131 countries, Marriott International has approximately 7,500 properties. The corporation can access a variety of market segments and clients thanks to its varied brand portfolio, which also includes Marriott Hotels, Sheraton, and Ritz-Carlton. As of </w:t>
      </w:r>
      <w:r w:rsidR="00C90D05">
        <w:t>2021</w:t>
      </w:r>
      <w:r>
        <w:t>, Marriott had 2,900 hotels and 498,000 rooms under construction, showing significant growth potential through the opening of new properties</w:t>
      </w:r>
      <w:r w:rsidR="002A7297">
        <w:t xml:space="preserve"> </w:t>
      </w:r>
      <w:r w:rsidR="002A7297" w:rsidRPr="002A7297">
        <w:t>(Lee et al., 2023)</w:t>
      </w:r>
      <w:r>
        <w:t>.</w:t>
      </w:r>
    </w:p>
    <w:p w14:paraId="2BC2B87B" w14:textId="77777777" w:rsidR="00024ADC" w:rsidRDefault="00024ADC" w:rsidP="00024ADC">
      <w:r>
        <w:t xml:space="preserve">Hyatt manages more than a thousand hotels throughout 70 nations, with a focus on luxury and upscale properties. In contrast to Marriott, Hyatt strategically targets markets with high demand. The 440 hotels and over 90,000 rooms in Hyatt's </w:t>
      </w:r>
      <w:r w:rsidR="00C90D05">
        <w:t>2021</w:t>
      </w:r>
      <w:r>
        <w:t xml:space="preserve"> pipeline demonstrated the company's growth potential</w:t>
      </w:r>
      <w:r w:rsidR="002A7297">
        <w:t xml:space="preserve"> </w:t>
      </w:r>
      <w:r w:rsidR="002A7297" w:rsidRPr="002A7297">
        <w:t>(Yu et al., 2022)</w:t>
      </w:r>
      <w:r>
        <w:t>.</w:t>
      </w:r>
    </w:p>
    <w:p w14:paraId="682C23BE" w14:textId="77777777" w:rsidR="00024ADC" w:rsidRDefault="00024ADC" w:rsidP="00024ADC">
      <w:r w:rsidRPr="00024ADC">
        <w:rPr>
          <w:b/>
        </w:rPr>
        <w:t>Development Pipeline:</w:t>
      </w:r>
      <w:r>
        <w:t xml:space="preserve"> The Company has a lot of potential, according to its development pipeline. The company anticipates growth from the opening of new hotels with 498,000 rooms in its pipeline by </w:t>
      </w:r>
      <w:r w:rsidR="00C90D05">
        <w:t>2021</w:t>
      </w:r>
      <w:r w:rsidR="00E9735A">
        <w:t xml:space="preserve"> </w:t>
      </w:r>
      <w:r w:rsidR="00E9735A" w:rsidRPr="00E9735A">
        <w:t>(Yu et al., 2022)</w:t>
      </w:r>
      <w:r>
        <w:t xml:space="preserve">. Full-service and select-service properties from various brands and market segments are in the pipeline. Compared to Marriott, Hyatt has a smaller pipeline. The 90,000-room pipeline for Hyatt in </w:t>
      </w:r>
      <w:r w:rsidR="00C90D05">
        <w:t>2021</w:t>
      </w:r>
      <w:r>
        <w:t xml:space="preserve"> demonstrated its </w:t>
      </w:r>
      <w:r w:rsidR="00E9735A">
        <w:t>growth potential</w:t>
      </w:r>
      <w:r>
        <w:t>. The pipeline for Hyatt focuses on upscale and luxury markets.</w:t>
      </w:r>
    </w:p>
    <w:p w14:paraId="006420CB" w14:textId="77777777" w:rsidR="006C1FA1" w:rsidRDefault="006C1FA1" w:rsidP="00024ADC">
      <w:r>
        <w:rPr>
          <w:noProof/>
          <w:lang w:eastAsia="en-GB" w:bidi="bn-BD"/>
        </w:rPr>
        <w:drawing>
          <wp:inline distT="0" distB="0" distL="0" distR="0" wp14:anchorId="79953CF0" wp14:editId="6D4FC064">
            <wp:extent cx="5486400" cy="2486025"/>
            <wp:effectExtent l="0" t="19050" r="76200" b="28575"/>
            <wp:docPr id="139" name="Diagram 13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1C4ACD63" w14:textId="77777777" w:rsidR="006C1FA1" w:rsidRDefault="006C1FA1" w:rsidP="006C1FA1">
      <w:pPr>
        <w:jc w:val="center"/>
      </w:pPr>
      <w:r>
        <w:t>Figure:  Growth potential</w:t>
      </w:r>
    </w:p>
    <w:p w14:paraId="7CB606EF" w14:textId="77777777" w:rsidR="006C1FA1" w:rsidRDefault="006C1FA1" w:rsidP="006C1FA1">
      <w:pPr>
        <w:jc w:val="center"/>
      </w:pPr>
      <w:r>
        <w:t xml:space="preserve">Source: </w:t>
      </w:r>
      <w:r w:rsidRPr="00E9735A">
        <w:t>(Yu et al., 2022)</w:t>
      </w:r>
    </w:p>
    <w:p w14:paraId="6E350159" w14:textId="77777777" w:rsidR="00024ADC" w:rsidRDefault="00024ADC" w:rsidP="00024ADC">
      <w:r>
        <w:lastRenderedPageBreak/>
        <w:t>A varied brand portfolio, global expansion, and a robust development pipeline are highlighted in Marriott International's financial management plan for growth potential</w:t>
      </w:r>
      <w:r w:rsidR="00E9735A">
        <w:t xml:space="preserve"> </w:t>
      </w:r>
      <w:r w:rsidR="00E9735A" w:rsidRPr="00E9735A">
        <w:t xml:space="preserve">(Yu, </w:t>
      </w:r>
      <w:proofErr w:type="spellStart"/>
      <w:r w:rsidR="00E9735A" w:rsidRPr="00E9735A">
        <w:t>Lho</w:t>
      </w:r>
      <w:proofErr w:type="spellEnd"/>
      <w:r w:rsidR="00E9735A" w:rsidRPr="00E9735A">
        <w:t xml:space="preserve"> and Han, 2022)</w:t>
      </w:r>
      <w:r>
        <w:t>. Hyatt Hotels, however, expands cautiously in high-demand countries while upholding its brand reputation. Both businesses have different strategies for expanding and contending in the hotel industry.</w:t>
      </w:r>
    </w:p>
    <w:p w14:paraId="02819D5C" w14:textId="77777777" w:rsidR="00024ADC" w:rsidRDefault="00024ADC" w:rsidP="006C1FA1">
      <w:pPr>
        <w:pStyle w:val="Heading2"/>
      </w:pPr>
      <w:bookmarkStart w:id="5" w:name="_Toc134991529"/>
      <w:r>
        <w:t>Financial commitment to CSR</w:t>
      </w:r>
      <w:bookmarkEnd w:id="5"/>
      <w:r>
        <w:t xml:space="preserve"> </w:t>
      </w:r>
    </w:p>
    <w:p w14:paraId="417E86CC" w14:textId="77777777" w:rsidR="00024ADC" w:rsidRDefault="00024ADC" w:rsidP="00024ADC">
      <w:r>
        <w:t>Leading hospitality companies Hyatt Hotels and Marriott International employ several CSR financial management techniques. Contrasting their approaches and associated data:</w:t>
      </w:r>
    </w:p>
    <w:p w14:paraId="2E0618AE" w14:textId="77777777" w:rsidR="00024ADC" w:rsidRDefault="00024ADC" w:rsidP="00024ADC">
      <w:r w:rsidRPr="00024ADC">
        <w:rPr>
          <w:b/>
        </w:rPr>
        <w:t>Ecological Initiatives:</w:t>
      </w:r>
      <w:r>
        <w:t xml:space="preserve"> Marriott makes significant investments in environmental sustainability. By </w:t>
      </w:r>
      <w:r w:rsidR="00C90D05">
        <w:t>2021</w:t>
      </w:r>
      <w:r>
        <w:t>, the firm had spent more than $500 million on initiatives to save energy and water since 2007. Additionally, Marriott hopes to reduce carbon intensity by 30% by 2025</w:t>
      </w:r>
      <w:r w:rsidR="00E9735A">
        <w:t xml:space="preserve"> </w:t>
      </w:r>
      <w:r w:rsidR="00E9735A" w:rsidRPr="00E9735A">
        <w:t>(</w:t>
      </w:r>
      <w:proofErr w:type="spellStart"/>
      <w:r w:rsidR="00E9735A" w:rsidRPr="00E9735A">
        <w:t>Sadek</w:t>
      </w:r>
      <w:proofErr w:type="spellEnd"/>
      <w:r w:rsidR="00E9735A" w:rsidRPr="00E9735A">
        <w:t>, 2022)</w:t>
      </w:r>
      <w:r>
        <w:t>. The business installs electric vehicle charging stations and gets rid of plastic straws.</w:t>
      </w:r>
    </w:p>
    <w:p w14:paraId="3AED8A27" w14:textId="77777777" w:rsidR="00024ADC" w:rsidRDefault="00024ADC" w:rsidP="00024ADC">
      <w:r>
        <w:t>Hotel chain Hyatt makes investments in sustainability. By 2030, Hyatt promised to reduce carbon emissions by 25%. The company makes investments in eco-friendly and energy-efficient technologies</w:t>
      </w:r>
      <w:r w:rsidR="00E9735A">
        <w:t xml:space="preserve"> </w:t>
      </w:r>
      <w:r w:rsidR="00E9735A" w:rsidRPr="00E9735A">
        <w:t>(</w:t>
      </w:r>
      <w:proofErr w:type="spellStart"/>
      <w:r w:rsidR="00E9735A" w:rsidRPr="00E9735A">
        <w:t>Penela</w:t>
      </w:r>
      <w:proofErr w:type="spellEnd"/>
      <w:r w:rsidR="00E9735A" w:rsidRPr="00E9735A">
        <w:t>, 2022)</w:t>
      </w:r>
      <w:r>
        <w:t>. Hyatt vowed to eradicate single-use plastics by 2021 and collaborated with WWF to prevent food waste.</w:t>
      </w:r>
    </w:p>
    <w:p w14:paraId="45D9C3D3" w14:textId="77777777" w:rsidR="00C90D05" w:rsidRDefault="00024ADC" w:rsidP="00024ADC">
      <w:r w:rsidRPr="00024ADC">
        <w:rPr>
          <w:b/>
        </w:rPr>
        <w:t>Social Engagement:</w:t>
      </w:r>
      <w:r>
        <w:t xml:space="preserve"> Marriott has consistently upheld ethical standards. The Global Diversity and Inclusion Council provides funding for initiatives aimed at empowering young people. In </w:t>
      </w:r>
      <w:r w:rsidR="00C90D05">
        <w:t>2021</w:t>
      </w:r>
      <w:r>
        <w:t>, Marriott promised to provide $10 million to racial equality organisations, which will include funding for Black hospitality students' scholarships</w:t>
      </w:r>
      <w:r w:rsidR="00E9735A">
        <w:t xml:space="preserve"> </w:t>
      </w:r>
      <w:r w:rsidR="00E9735A" w:rsidRPr="00E9735A">
        <w:t>(</w:t>
      </w:r>
      <w:proofErr w:type="spellStart"/>
      <w:r w:rsidR="00E9735A" w:rsidRPr="00E9735A">
        <w:t>Paraskevas</w:t>
      </w:r>
      <w:proofErr w:type="spellEnd"/>
      <w:r w:rsidR="00E9735A" w:rsidRPr="00E9735A">
        <w:t xml:space="preserve"> and </w:t>
      </w:r>
      <w:proofErr w:type="spellStart"/>
      <w:r w:rsidR="00E9735A" w:rsidRPr="00E9735A">
        <w:t>Guix</w:t>
      </w:r>
      <w:proofErr w:type="spellEnd"/>
      <w:r w:rsidR="00E9735A" w:rsidRPr="00E9735A">
        <w:t>, 2023)</w:t>
      </w:r>
      <w:r>
        <w:t>.</w:t>
      </w:r>
    </w:p>
    <w:p w14:paraId="4E3A3E55" w14:textId="77777777" w:rsidR="00024ADC" w:rsidRDefault="00024ADC" w:rsidP="00024ADC">
      <w:r>
        <w:t>The business supports professional growth, involvement in the community, and respect for human rights</w:t>
      </w:r>
      <w:r w:rsidR="00E9735A">
        <w:t xml:space="preserve"> </w:t>
      </w:r>
      <w:r w:rsidR="00E9735A" w:rsidRPr="00E9735A">
        <w:t>(Neves, 2022)</w:t>
      </w:r>
      <w:r>
        <w:t>. The business supports underfunded education and training as well as disaster assistance. The "Hyatt Thrive" objectives seek to enhance the areas where Hyatt conducts business.</w:t>
      </w:r>
    </w:p>
    <w:p w14:paraId="2B762410" w14:textId="77777777" w:rsidR="00024ADC" w:rsidRDefault="00C90D05" w:rsidP="00024ADC">
      <w:r w:rsidRPr="00E9735A">
        <w:rPr>
          <w:b/>
        </w:rPr>
        <w:t>Charity Contribution</w:t>
      </w:r>
      <w:r w:rsidR="00024ADC" w:rsidRPr="00E9735A">
        <w:rPr>
          <w:b/>
        </w:rPr>
        <w:t>:</w:t>
      </w:r>
      <w:r w:rsidR="00024ADC">
        <w:t xml:space="preserve"> Marriott has a history of charitable giving. In </w:t>
      </w:r>
      <w:r>
        <w:t>2021</w:t>
      </w:r>
      <w:r w:rsidR="00024ADC">
        <w:t>, the company contributed $3.8 million to COVID-19 aid. 142,000 hours were contributed by Marriott staff in a variety of projects</w:t>
      </w:r>
      <w:r w:rsidR="00E9735A">
        <w:t xml:space="preserve"> </w:t>
      </w:r>
      <w:r w:rsidR="00E9735A" w:rsidRPr="00E9735A">
        <w:t>(Molina et al., 2022)</w:t>
      </w:r>
      <w:r w:rsidR="00024ADC">
        <w:t xml:space="preserve">. Local NGOs are funded via Hyatt Community Grants. In </w:t>
      </w:r>
      <w:r>
        <w:t>2021</w:t>
      </w:r>
      <w:r w:rsidR="00024ADC">
        <w:t>, Hyatt contributed $2 million to local and international COVID-19 relief efforts.</w:t>
      </w:r>
    </w:p>
    <w:p w14:paraId="6E5243D7" w14:textId="77777777" w:rsidR="00024ADC" w:rsidRDefault="00024ADC" w:rsidP="00024ADC">
      <w:r>
        <w:lastRenderedPageBreak/>
        <w:t>Marriott International and Hyatt Hotels contribute to charitable, environmental, and social causes. Regardless of financial results, the companies place a high priority on community involvement and ethical business practi</w:t>
      </w:r>
      <w:r w:rsidR="00E9735A">
        <w:t>c</w:t>
      </w:r>
      <w:r>
        <w:t>es. Their actions advance society and demonstrate their dedication to positive change outside of business.</w:t>
      </w:r>
    </w:p>
    <w:p w14:paraId="65017AA0" w14:textId="77777777" w:rsidR="00C90D05" w:rsidRDefault="00C90D05" w:rsidP="006C1FA1">
      <w:pPr>
        <w:pStyle w:val="Heading1"/>
      </w:pPr>
      <w:bookmarkStart w:id="6" w:name="_Toc134991530"/>
      <w:r>
        <w:t>Recommendation</w:t>
      </w:r>
      <w:bookmarkEnd w:id="6"/>
      <w:r>
        <w:t xml:space="preserve"> </w:t>
      </w:r>
    </w:p>
    <w:p w14:paraId="04CA3F25" w14:textId="77777777" w:rsidR="006C1FA1" w:rsidRDefault="00C90D05" w:rsidP="006C1FA1">
      <w:pPr>
        <w:pStyle w:val="Heading2"/>
      </w:pPr>
      <w:bookmarkStart w:id="7" w:name="_Toc134991531"/>
      <w:r w:rsidRPr="00C90D05">
        <w:t>Revenue diversification</w:t>
      </w:r>
      <w:r w:rsidR="006C1FA1">
        <w:t xml:space="preserve"> (Marriott International)</w:t>
      </w:r>
      <w:bookmarkEnd w:id="7"/>
    </w:p>
    <w:p w14:paraId="5DE51AF3" w14:textId="77777777" w:rsidR="00C90D05" w:rsidRDefault="00E9735A" w:rsidP="00C90D05">
      <w:r>
        <w:t>T</w:t>
      </w:r>
      <w:r w:rsidR="00C90D05">
        <w:t>o diversify its revenue streams, Marriott International's financial management strategy advises emphasis</w:t>
      </w:r>
      <w:r>
        <w:t>es</w:t>
      </w:r>
      <w:r w:rsidR="00C90D05">
        <w:t xml:space="preserve"> additional services and experiences. Hotel and food and beverage sales are very important to Marriott International</w:t>
      </w:r>
      <w:r>
        <w:t xml:space="preserve"> </w:t>
      </w:r>
      <w:r w:rsidRPr="00E9735A">
        <w:t>(</w:t>
      </w:r>
      <w:proofErr w:type="spellStart"/>
      <w:r w:rsidRPr="00E9735A">
        <w:t>Meriç</w:t>
      </w:r>
      <w:proofErr w:type="spellEnd"/>
      <w:r w:rsidRPr="00E9735A">
        <w:t>, Bozkurt and KAYMIŞ, 2022)</w:t>
      </w:r>
      <w:r w:rsidR="00C90D05">
        <w:t>. To boost financial performance and lower market risk, the company might benefit from auxiliary services and experiences. The provision of non-hotel services by Marriott can boost revenue. Customised customer experiences include wellness retreats, local culture immersion programmes, and special events. By creating such deals, Marriott can separate from the competition and attract new customers</w:t>
      </w:r>
      <w:r>
        <w:t xml:space="preserve"> </w:t>
      </w:r>
      <w:r w:rsidRPr="00E9735A">
        <w:t>(Lee et al., 2023)</w:t>
      </w:r>
      <w:r w:rsidR="00C90D05">
        <w:t>. Through its rewards scheme, Marriott may also upsell and cross-sell additional services. By promoting these services to regular customers, Marriott can increase customer satisfaction and spending. Reduced reliance on accommodation revenue results from the company's diversification into auxiliary services. Ancillary services may be more stable than hotel rates, enabling Marriott to withstand market fluctuations and downturns in the economy</w:t>
      </w:r>
      <w:r>
        <w:t xml:space="preserve"> </w:t>
      </w:r>
      <w:r w:rsidRPr="00E9735A">
        <w:t>(Kim and Han, 2022)</w:t>
      </w:r>
      <w:r w:rsidR="00C90D05">
        <w:t>. Marriott's financial stability, customer engagement, and competitiveness can all be improved by varying the company's revenue streams. By adapting to customer requests, using its robust brand portfolio, and expanding its global footprint, Marriott International can strengthen its financial performance and position within the hospitality sector.</w:t>
      </w:r>
    </w:p>
    <w:p w14:paraId="3947B212" w14:textId="77777777" w:rsidR="006C1FA1" w:rsidRDefault="00C90D05" w:rsidP="006C1FA1">
      <w:pPr>
        <w:pStyle w:val="Heading2"/>
      </w:pPr>
      <w:bookmarkStart w:id="8" w:name="_Toc134991532"/>
      <w:r w:rsidRPr="00C90D05">
        <w:t xml:space="preserve">Accelerate </w:t>
      </w:r>
      <w:r w:rsidR="006C1FA1">
        <w:t>global expansion (Hyatt Hotels)</w:t>
      </w:r>
      <w:bookmarkEnd w:id="8"/>
    </w:p>
    <w:p w14:paraId="0E87358F" w14:textId="77777777" w:rsidR="00C90D05" w:rsidRDefault="00E9735A" w:rsidP="00C90D05">
      <w:r>
        <w:t>T</w:t>
      </w:r>
      <w:r w:rsidR="00C90D05">
        <w:t>o hasten worldwide expansion, Hyatt Hotels' financial management strategy advises giving priority to rising regions. The luxury and premium focus of Hyatt Hotels can take advantage of the expanding potential of new markets</w:t>
      </w:r>
      <w:r>
        <w:t xml:space="preserve"> </w:t>
      </w:r>
      <w:r w:rsidRPr="00E9735A">
        <w:t>(HALMI and POLDRUGOVAC, 2022)</w:t>
      </w:r>
      <w:r w:rsidR="00C90D05">
        <w:t xml:space="preserve">. These economies offer fantastic expansion potential because of rising disposable incomes, middle-class demographics, and rising demand for luxury hospitality. By strategically entering new markets, Hyatt might become dominant. The company may utilise its luxury brand and industry knowledge to draw wealthy tourists in these markets who are looking for luxury accommodations and services. The selective growth approach of Hyatt works in developing </w:t>
      </w:r>
      <w:r w:rsidR="00C90D05">
        <w:lastRenderedPageBreak/>
        <w:t>nations</w:t>
      </w:r>
      <w:r>
        <w:t xml:space="preserve"> </w:t>
      </w:r>
      <w:r w:rsidRPr="00E9735A">
        <w:t>(</w:t>
      </w:r>
      <w:proofErr w:type="spellStart"/>
      <w:r w:rsidRPr="00E9735A">
        <w:t>Demirçiftçi</w:t>
      </w:r>
      <w:proofErr w:type="spellEnd"/>
      <w:r w:rsidRPr="00E9735A">
        <w:t>, 2022)</w:t>
      </w:r>
      <w:r w:rsidR="00C90D05">
        <w:t>. By carefully choosing significant destinations within these regions, Hyatt may be able to avoid market instability and achieve a sustained and profitable expansion. Hyatt's revenue is diversified by entering new markets. By reducing its reliance on older areas, the company can attract new clients and generate more revenue. Income and business performance may increase as a result. With the help of its partnerships and reward programmes, Hyatt can attract and keep customers from new markets. Hyatt can increase customer loyalty in these new markets by providing specialised promotions, activities, and marketing campaigns. The financial management strategy of Hyatt Hotels encourages global expansion into new areas, which presents growth opportunities</w:t>
      </w:r>
      <w:r>
        <w:t xml:space="preserve"> </w:t>
      </w:r>
      <w:r w:rsidRPr="00E9735A">
        <w:t>(Bianco, Zach and Liu, 2022)</w:t>
      </w:r>
      <w:r w:rsidR="00C90D05">
        <w:t>. By focusing on these areas and using its brand reputation, Hyatt can increase revenue, diversify its sources of income, and strengthen its position in emerging economies.</w:t>
      </w:r>
    </w:p>
    <w:p w14:paraId="741E5A54" w14:textId="77777777" w:rsidR="006C1FA1" w:rsidRDefault="006C1FA1" w:rsidP="00C90D05"/>
    <w:p w14:paraId="4B7C4F3D" w14:textId="77777777" w:rsidR="006C1FA1" w:rsidRDefault="006C1FA1" w:rsidP="00C90D05"/>
    <w:p w14:paraId="7AF8A169" w14:textId="77777777" w:rsidR="006C1FA1" w:rsidRDefault="006C1FA1" w:rsidP="00C90D05"/>
    <w:p w14:paraId="2F553993" w14:textId="77777777" w:rsidR="006C1FA1" w:rsidRDefault="006C1FA1" w:rsidP="00C90D05"/>
    <w:p w14:paraId="738E7CC3" w14:textId="77777777" w:rsidR="006C1FA1" w:rsidRDefault="006C1FA1" w:rsidP="00C90D05"/>
    <w:p w14:paraId="3C55462B" w14:textId="77777777" w:rsidR="006C1FA1" w:rsidRDefault="006C1FA1" w:rsidP="00C90D05"/>
    <w:p w14:paraId="2E71A6E1" w14:textId="77777777" w:rsidR="006C1FA1" w:rsidRDefault="006C1FA1" w:rsidP="00C90D05"/>
    <w:p w14:paraId="591BD59C" w14:textId="77777777" w:rsidR="006C1FA1" w:rsidRDefault="006C1FA1" w:rsidP="00C90D05"/>
    <w:p w14:paraId="1BDEB3A4" w14:textId="77777777" w:rsidR="006C1FA1" w:rsidRDefault="006C1FA1" w:rsidP="00C90D05"/>
    <w:p w14:paraId="499E589E" w14:textId="77777777" w:rsidR="006C1FA1" w:rsidRDefault="006C1FA1" w:rsidP="00C90D05"/>
    <w:p w14:paraId="5ABA8E86" w14:textId="77777777" w:rsidR="006C1FA1" w:rsidRDefault="006C1FA1" w:rsidP="00C90D05"/>
    <w:p w14:paraId="41FA7E73" w14:textId="77777777" w:rsidR="006C1FA1" w:rsidRDefault="006C1FA1" w:rsidP="00C90D05"/>
    <w:p w14:paraId="41D1DE77" w14:textId="77777777" w:rsidR="006C1FA1" w:rsidRDefault="006C1FA1" w:rsidP="00C90D05"/>
    <w:p w14:paraId="2B504928" w14:textId="77777777" w:rsidR="006C1FA1" w:rsidRDefault="006C1FA1" w:rsidP="00C90D05"/>
    <w:p w14:paraId="421359C6" w14:textId="77777777" w:rsidR="006C1FA1" w:rsidRDefault="006C1FA1" w:rsidP="00C90D05"/>
    <w:p w14:paraId="7B67DD63" w14:textId="77777777" w:rsidR="006C1FA1" w:rsidRDefault="006C1FA1" w:rsidP="00C90D05"/>
    <w:p w14:paraId="5AA524B6" w14:textId="77777777" w:rsidR="006C1FA1" w:rsidRDefault="006C1FA1" w:rsidP="00C90D05"/>
    <w:p w14:paraId="0C7E3CCD" w14:textId="77777777" w:rsidR="006C1FA1" w:rsidRDefault="006C1FA1" w:rsidP="00C90D05"/>
    <w:p w14:paraId="61EF406A" w14:textId="77777777" w:rsidR="00A33641" w:rsidRDefault="00A33641" w:rsidP="006C1FA1">
      <w:pPr>
        <w:pStyle w:val="Heading1"/>
      </w:pPr>
      <w:bookmarkStart w:id="9" w:name="_Toc134991533"/>
      <w:r>
        <w:t>Conclusion</w:t>
      </w:r>
      <w:bookmarkEnd w:id="9"/>
      <w:r>
        <w:t xml:space="preserve"> </w:t>
      </w:r>
    </w:p>
    <w:p w14:paraId="32870856" w14:textId="77777777" w:rsidR="00A33641" w:rsidRDefault="00A33641" w:rsidP="00A33641">
      <w:r w:rsidRPr="00A33641">
        <w:t>Both Marriott International and Hyatt Hotels, two of the most well-known hotel chains in the world, take distinct approaches to the administration of their financial resources. The competitive advantage that Marriott has comes from the company's ability to diversify its offerings, maintain a presence around the world, and create a well-known brand. Hyatt's market position is strengthened by its attention to luxury, strategic presence in the market, and tailored experiences. Both businesses are facing challenges posed by the COVID-19 pandemic as well as opportunities for expansion in emerging markets. Both Marriott and Hyatt have the potential to achieve success in the cutthroat hotel industry if they play to their respective strengths and adjust to the preferences of customers.</w:t>
      </w:r>
    </w:p>
    <w:p w14:paraId="01579F51" w14:textId="77777777" w:rsidR="006C1FA1" w:rsidRDefault="006C1FA1" w:rsidP="00A33641"/>
    <w:p w14:paraId="19879243" w14:textId="77777777" w:rsidR="006C1FA1" w:rsidRDefault="006C1FA1" w:rsidP="00A33641"/>
    <w:p w14:paraId="0102D1C9" w14:textId="77777777" w:rsidR="006C1FA1" w:rsidRDefault="006C1FA1" w:rsidP="00A33641"/>
    <w:p w14:paraId="6436C8E6" w14:textId="77777777" w:rsidR="006C1FA1" w:rsidRDefault="006C1FA1" w:rsidP="00A33641"/>
    <w:p w14:paraId="24C5FC95" w14:textId="77777777" w:rsidR="006C1FA1" w:rsidRDefault="006C1FA1" w:rsidP="00A33641"/>
    <w:p w14:paraId="5A779F5E" w14:textId="77777777" w:rsidR="006C1FA1" w:rsidRDefault="006C1FA1" w:rsidP="00A33641"/>
    <w:p w14:paraId="3A29BEAD" w14:textId="77777777" w:rsidR="006C1FA1" w:rsidRDefault="006C1FA1" w:rsidP="00A33641"/>
    <w:p w14:paraId="6E84D168" w14:textId="77777777" w:rsidR="006C1FA1" w:rsidRDefault="006C1FA1" w:rsidP="00A33641"/>
    <w:p w14:paraId="78626575" w14:textId="77777777" w:rsidR="006C1FA1" w:rsidRDefault="006C1FA1" w:rsidP="00A33641"/>
    <w:p w14:paraId="71DB423F" w14:textId="77777777" w:rsidR="006C1FA1" w:rsidRDefault="006C1FA1" w:rsidP="00A33641"/>
    <w:p w14:paraId="038957C3" w14:textId="77777777" w:rsidR="006C1FA1" w:rsidRDefault="006C1FA1" w:rsidP="00A33641"/>
    <w:p w14:paraId="46F88478" w14:textId="77777777" w:rsidR="006C1FA1" w:rsidRDefault="006C1FA1" w:rsidP="00A33641"/>
    <w:p w14:paraId="46FEC503" w14:textId="77777777" w:rsidR="006C1FA1" w:rsidRDefault="006C1FA1" w:rsidP="00A33641"/>
    <w:p w14:paraId="36D8E0A1" w14:textId="77777777" w:rsidR="006C1FA1" w:rsidRDefault="006C1FA1" w:rsidP="00A33641"/>
    <w:p w14:paraId="392E407A" w14:textId="77777777" w:rsidR="006C1FA1" w:rsidRDefault="006C1FA1" w:rsidP="00A33641"/>
    <w:p w14:paraId="3E6C66CE" w14:textId="77777777" w:rsidR="006C1FA1" w:rsidRDefault="006C1FA1" w:rsidP="00A33641"/>
    <w:p w14:paraId="5FB0C88C" w14:textId="77777777" w:rsidR="00E9735A" w:rsidRDefault="00E9735A" w:rsidP="006C1FA1">
      <w:pPr>
        <w:pStyle w:val="Heading1"/>
      </w:pPr>
      <w:bookmarkStart w:id="10" w:name="_Toc134991534"/>
      <w:r>
        <w:t>Reference</w:t>
      </w:r>
      <w:r w:rsidR="006C1FA1">
        <w:t>s</w:t>
      </w:r>
      <w:bookmarkEnd w:id="10"/>
    </w:p>
    <w:p w14:paraId="1C0A894A" w14:textId="77777777" w:rsidR="00E9735A" w:rsidRDefault="00E9735A" w:rsidP="006C1FA1">
      <w:pPr>
        <w:pStyle w:val="NormalWeb"/>
        <w:spacing w:before="0" w:beforeAutospacing="0" w:after="240" w:afterAutospacing="0" w:line="360" w:lineRule="auto"/>
        <w:jc w:val="both"/>
      </w:pPr>
      <w:proofErr w:type="spellStart"/>
      <w:r>
        <w:t>Banyeva</w:t>
      </w:r>
      <w:proofErr w:type="spellEnd"/>
      <w:r>
        <w:t xml:space="preserve">, I., </w:t>
      </w:r>
      <w:proofErr w:type="spellStart"/>
      <w:r>
        <w:t>Lebedieva</w:t>
      </w:r>
      <w:proofErr w:type="spellEnd"/>
      <w:r>
        <w:t xml:space="preserve">, N., </w:t>
      </w:r>
      <w:proofErr w:type="spellStart"/>
      <w:r>
        <w:t>Nehrey</w:t>
      </w:r>
      <w:proofErr w:type="spellEnd"/>
      <w:r>
        <w:t xml:space="preserve">, M., </w:t>
      </w:r>
      <w:proofErr w:type="spellStart"/>
      <w:r>
        <w:t>Velychko</w:t>
      </w:r>
      <w:proofErr w:type="spellEnd"/>
      <w:r>
        <w:t xml:space="preserve">, O., Petrova, O. and </w:t>
      </w:r>
      <w:proofErr w:type="spellStart"/>
      <w:r>
        <w:t>Peresichna</w:t>
      </w:r>
      <w:proofErr w:type="spellEnd"/>
      <w:r>
        <w:t xml:space="preserve">, S. (2023). Digital Tools of Marketing Strategies in Hotel Branding. </w:t>
      </w:r>
      <w:r>
        <w:rPr>
          <w:i/>
          <w:iCs/>
        </w:rPr>
        <w:t>Journal of Information Technology Management</w:t>
      </w:r>
      <w:r>
        <w:t xml:space="preserve">, [online] 15(1), pp.62–88. </w:t>
      </w:r>
      <w:proofErr w:type="spellStart"/>
      <w:r>
        <w:t>doi:https</w:t>
      </w:r>
      <w:proofErr w:type="spellEnd"/>
      <w:r>
        <w:t>://doi.org/10.22059/jitm.2023.90726.</w:t>
      </w:r>
    </w:p>
    <w:p w14:paraId="5B419AF9" w14:textId="77777777" w:rsidR="00E9735A" w:rsidRDefault="00E9735A" w:rsidP="006C1FA1">
      <w:pPr>
        <w:pStyle w:val="NormalWeb"/>
        <w:spacing w:before="0" w:beforeAutospacing="0" w:after="240" w:afterAutospacing="0" w:line="360" w:lineRule="auto"/>
        <w:jc w:val="both"/>
      </w:pPr>
      <w:r>
        <w:t xml:space="preserve">Belyaev, I.I. and </w:t>
      </w:r>
      <w:proofErr w:type="spellStart"/>
      <w:r>
        <w:t>Gaibov</w:t>
      </w:r>
      <w:proofErr w:type="spellEnd"/>
      <w:r>
        <w:t xml:space="preserve">, T.S. (2022). </w:t>
      </w:r>
      <w:r>
        <w:rPr>
          <w:i/>
          <w:iCs/>
        </w:rPr>
        <w:t xml:space="preserve">Floating rate mortgage lending: choice risks and regulatory </w:t>
      </w:r>
      <w:proofErr w:type="gramStart"/>
      <w:r>
        <w:rPr>
          <w:i/>
          <w:iCs/>
        </w:rPr>
        <w:t xml:space="preserve">aspects </w:t>
      </w:r>
      <w:r>
        <w:t>.</w:t>
      </w:r>
      <w:proofErr w:type="gramEnd"/>
      <w:r>
        <w:t xml:space="preserve"> </w:t>
      </w:r>
      <w:r>
        <w:rPr>
          <w:i/>
          <w:iCs/>
        </w:rPr>
        <w:t>Banking Services</w:t>
      </w:r>
      <w:r>
        <w:t xml:space="preserve">, (8), pp.28–32. </w:t>
      </w:r>
      <w:proofErr w:type="spellStart"/>
      <w:r>
        <w:t>doi:https</w:t>
      </w:r>
      <w:proofErr w:type="spellEnd"/>
      <w:r>
        <w:t>://doi.org/10.36992/2075-1915_2021_8_28.</w:t>
      </w:r>
    </w:p>
    <w:p w14:paraId="7EE31A0B" w14:textId="77777777" w:rsidR="00E9735A" w:rsidRDefault="00E9735A" w:rsidP="006C1FA1">
      <w:pPr>
        <w:pStyle w:val="NormalWeb"/>
        <w:spacing w:before="0" w:beforeAutospacing="0" w:after="240" w:afterAutospacing="0" w:line="360" w:lineRule="auto"/>
        <w:jc w:val="both"/>
      </w:pPr>
      <w:r>
        <w:t xml:space="preserve">Bianco, S., Zach, F.J. and Liu, A. (2022). Early and late-stage startup funding in hospitality: Effects on incumbents’ market value. </w:t>
      </w:r>
      <w:r>
        <w:rPr>
          <w:i/>
          <w:iCs/>
        </w:rPr>
        <w:t>Annals of Tourism Research</w:t>
      </w:r>
      <w:r>
        <w:t xml:space="preserve">, 95, p.103436. </w:t>
      </w:r>
      <w:proofErr w:type="spellStart"/>
      <w:r>
        <w:t>doi:https</w:t>
      </w:r>
      <w:proofErr w:type="spellEnd"/>
      <w:r>
        <w:t>://doi.org/10.1016/j.annals.2022.103436.</w:t>
      </w:r>
    </w:p>
    <w:p w14:paraId="696B2529" w14:textId="77777777" w:rsidR="00E9735A" w:rsidRDefault="00E9735A" w:rsidP="006C1FA1">
      <w:pPr>
        <w:pStyle w:val="NormalWeb"/>
        <w:spacing w:before="0" w:beforeAutospacing="0" w:after="240" w:afterAutospacing="0" w:line="360" w:lineRule="auto"/>
        <w:jc w:val="both"/>
      </w:pPr>
      <w:proofErr w:type="spellStart"/>
      <w:r>
        <w:t>Demirçiftçi</w:t>
      </w:r>
      <w:proofErr w:type="spellEnd"/>
      <w:r>
        <w:t xml:space="preserve">, T. (2022). How To Be a Successful Revenue Manager: A Case from the Marriott Turkey Cluster. </w:t>
      </w:r>
      <w:r>
        <w:rPr>
          <w:i/>
          <w:iCs/>
        </w:rPr>
        <w:t xml:space="preserve">Journal of </w:t>
      </w:r>
      <w:proofErr w:type="spellStart"/>
      <w:r>
        <w:rPr>
          <w:i/>
          <w:iCs/>
        </w:rPr>
        <w:t>Tourismology</w:t>
      </w:r>
      <w:proofErr w:type="spellEnd"/>
      <w:r>
        <w:t xml:space="preserve">, 0(0). </w:t>
      </w:r>
      <w:proofErr w:type="spellStart"/>
      <w:r>
        <w:t>doi:https</w:t>
      </w:r>
      <w:proofErr w:type="spellEnd"/>
      <w:r>
        <w:t>://doi.org/10.26650/jot.2022.8.1.1038134.</w:t>
      </w:r>
    </w:p>
    <w:p w14:paraId="4E7D77D3" w14:textId="77777777" w:rsidR="00E9735A" w:rsidRDefault="00E9735A" w:rsidP="006C1FA1">
      <w:pPr>
        <w:pStyle w:val="NormalWeb"/>
        <w:spacing w:before="0" w:beforeAutospacing="0" w:after="240" w:afterAutospacing="0" w:line="360" w:lineRule="auto"/>
        <w:jc w:val="both"/>
      </w:pPr>
      <w:r>
        <w:t xml:space="preserve">HALMI, L. and POLDRUGOVAC, K. (2022). SUSTAINABILITY REPORTING HARMONIZATION IN THE HOTEL INDUSTRY – WHAT IS NEXT? </w:t>
      </w:r>
      <w:proofErr w:type="spellStart"/>
      <w:r>
        <w:rPr>
          <w:i/>
          <w:iCs/>
        </w:rPr>
        <w:t>GeoJournal</w:t>
      </w:r>
      <w:proofErr w:type="spellEnd"/>
      <w:r>
        <w:rPr>
          <w:i/>
          <w:iCs/>
        </w:rPr>
        <w:t xml:space="preserve"> of Tourism and </w:t>
      </w:r>
      <w:proofErr w:type="spellStart"/>
      <w:r>
        <w:rPr>
          <w:i/>
          <w:iCs/>
        </w:rPr>
        <w:t>Geosites</w:t>
      </w:r>
      <w:proofErr w:type="spellEnd"/>
      <w:r>
        <w:t xml:space="preserve">, 41(2), pp.541–547. </w:t>
      </w:r>
      <w:proofErr w:type="spellStart"/>
      <w:r>
        <w:t>doi:https</w:t>
      </w:r>
      <w:proofErr w:type="spellEnd"/>
      <w:r>
        <w:t>://doi.org/10.30892/gtg.41227-861.</w:t>
      </w:r>
    </w:p>
    <w:p w14:paraId="3E6AC300" w14:textId="77777777" w:rsidR="00E9735A" w:rsidRDefault="00E9735A" w:rsidP="006C1FA1">
      <w:pPr>
        <w:pStyle w:val="NormalWeb"/>
        <w:spacing w:before="0" w:beforeAutospacing="0" w:after="240" w:afterAutospacing="0" w:line="360" w:lineRule="auto"/>
        <w:jc w:val="both"/>
      </w:pPr>
      <w:r>
        <w:t xml:space="preserve">Hyatt.com (2023). </w:t>
      </w:r>
      <w:r>
        <w:rPr>
          <w:i/>
          <w:iCs/>
        </w:rPr>
        <w:t>https://www.hyatt.com/</w:t>
      </w:r>
      <w:r>
        <w:t>. [online] https://www.hyatt.com/. Available at: https://www.hyatt.com/.</w:t>
      </w:r>
    </w:p>
    <w:p w14:paraId="20C7BFAD" w14:textId="77777777" w:rsidR="00E9735A" w:rsidRDefault="00E9735A" w:rsidP="006C1FA1">
      <w:pPr>
        <w:pStyle w:val="NormalWeb"/>
        <w:spacing w:before="0" w:beforeAutospacing="0" w:after="240" w:afterAutospacing="0" w:line="360" w:lineRule="auto"/>
        <w:jc w:val="both"/>
      </w:pPr>
      <w:r>
        <w:t xml:space="preserve">Johnson, R.W. and </w:t>
      </w:r>
      <w:proofErr w:type="spellStart"/>
      <w:r>
        <w:t>Melicher</w:t>
      </w:r>
      <w:proofErr w:type="spellEnd"/>
      <w:r>
        <w:t xml:space="preserve">, R.W. (2017). </w:t>
      </w:r>
      <w:r>
        <w:rPr>
          <w:i/>
          <w:iCs/>
        </w:rPr>
        <w:t>Financial management</w:t>
      </w:r>
      <w:r>
        <w:t xml:space="preserve">. Boston: </w:t>
      </w:r>
      <w:proofErr w:type="spellStart"/>
      <w:r>
        <w:t>Allyn</w:t>
      </w:r>
      <w:proofErr w:type="spellEnd"/>
      <w:r>
        <w:t xml:space="preserve"> </w:t>
      </w:r>
      <w:proofErr w:type="gramStart"/>
      <w:r>
        <w:t>And</w:t>
      </w:r>
      <w:proofErr w:type="gramEnd"/>
      <w:r>
        <w:t xml:space="preserve"> Bacon.</w:t>
      </w:r>
    </w:p>
    <w:p w14:paraId="2A11202C" w14:textId="77777777" w:rsidR="00E9735A" w:rsidRDefault="00E9735A" w:rsidP="006C1FA1">
      <w:pPr>
        <w:pStyle w:val="NormalWeb"/>
        <w:spacing w:before="0" w:beforeAutospacing="0" w:after="240" w:afterAutospacing="0" w:line="360" w:lineRule="auto"/>
        <w:jc w:val="both"/>
      </w:pPr>
      <w:r>
        <w:t xml:space="preserve">Kim, J.J. and Han, H. (2022). Saving the hotel industry: Strategic response to the COVID-19 pandemic, hotel selection analysis, and customer retention. </w:t>
      </w:r>
      <w:r>
        <w:rPr>
          <w:i/>
          <w:iCs/>
        </w:rPr>
        <w:t>International Journal of Hospitality Management</w:t>
      </w:r>
      <w:r>
        <w:t xml:space="preserve">, [online] 102, p.103163. </w:t>
      </w:r>
      <w:proofErr w:type="spellStart"/>
      <w:r>
        <w:t>doi:https</w:t>
      </w:r>
      <w:proofErr w:type="spellEnd"/>
      <w:r>
        <w:t>://doi.org/10.1016/j.ijhm.2022.103163.</w:t>
      </w:r>
    </w:p>
    <w:p w14:paraId="6E0C0708" w14:textId="77777777" w:rsidR="00E9735A" w:rsidRDefault="00E9735A" w:rsidP="006C1FA1">
      <w:pPr>
        <w:pStyle w:val="NormalWeb"/>
        <w:spacing w:before="0" w:beforeAutospacing="0" w:after="240" w:afterAutospacing="0" w:line="360" w:lineRule="auto"/>
        <w:jc w:val="both"/>
      </w:pPr>
      <w:r>
        <w:t xml:space="preserve">Lee, M., Sisson, A.D., Costa, R. and Bai, B. (2023). Disruptive Technologies and Innovation in Hospitality: A Computer-Assisted Qualitative Data Analysis Approach. </w:t>
      </w:r>
      <w:r>
        <w:rPr>
          <w:i/>
          <w:iCs/>
        </w:rPr>
        <w:t xml:space="preserve">Journal of </w:t>
      </w:r>
      <w:r>
        <w:rPr>
          <w:i/>
          <w:iCs/>
        </w:rPr>
        <w:lastRenderedPageBreak/>
        <w:t>Hospitality &amp; Tourism Research</w:t>
      </w:r>
      <w:r>
        <w:t xml:space="preserve">, p.109634802311560. </w:t>
      </w:r>
      <w:proofErr w:type="spellStart"/>
      <w:r>
        <w:t>doi:https</w:t>
      </w:r>
      <w:proofErr w:type="spellEnd"/>
      <w:r>
        <w:t>://doi.org/10.1177/10963480231156080.</w:t>
      </w:r>
    </w:p>
    <w:p w14:paraId="5E76AFF2" w14:textId="77777777" w:rsidR="00E9735A" w:rsidRDefault="00E9735A" w:rsidP="006C1FA1">
      <w:pPr>
        <w:pStyle w:val="NormalWeb"/>
        <w:spacing w:before="0" w:beforeAutospacing="0" w:after="240" w:afterAutospacing="0" w:line="360" w:lineRule="auto"/>
        <w:jc w:val="both"/>
      </w:pPr>
      <w:r>
        <w:t xml:space="preserve">Madura, J. (2018). </w:t>
      </w:r>
      <w:r>
        <w:rPr>
          <w:i/>
          <w:iCs/>
        </w:rPr>
        <w:t>International financial management</w:t>
      </w:r>
      <w:r>
        <w:t>. South Melbourne, Australia: Cengage Learning Australia.</w:t>
      </w:r>
    </w:p>
    <w:p w14:paraId="0A48C271" w14:textId="77777777" w:rsidR="00E9735A" w:rsidRDefault="00E9735A" w:rsidP="006C1FA1">
      <w:pPr>
        <w:pStyle w:val="NormalWeb"/>
        <w:spacing w:before="0" w:beforeAutospacing="0" w:after="240" w:afterAutospacing="0" w:line="360" w:lineRule="auto"/>
        <w:jc w:val="both"/>
      </w:pPr>
      <w:r>
        <w:t xml:space="preserve">Marriott (2023). </w:t>
      </w:r>
      <w:r>
        <w:rPr>
          <w:i/>
          <w:iCs/>
        </w:rPr>
        <w:t>Hotels &amp; Resorts | Book your Hotel directly with Marriott Bonvoy</w:t>
      </w:r>
      <w:r>
        <w:t>. [online] ram-test5.ose-dev39-vxbyr.cloud.marriott.com. Available at: https://www.marriott.com/default.mi?scid=30bdac28-c4fd-4893-a739-7b99299f80de&amp;gclid=CjwKCAjw6vyiBhB_EiwAQJRopmMWXHb1LR1ttl0HrQ30IukWnYYBTzEk8fPTwv87VphNxNTCpPs8IRoC-UcQAvD_BwE&amp;gclsrc=aw.ds [Accessed 13 May 2023].</w:t>
      </w:r>
    </w:p>
    <w:p w14:paraId="24580F44" w14:textId="77777777" w:rsidR="00E9735A" w:rsidRDefault="00E9735A" w:rsidP="006C1FA1">
      <w:pPr>
        <w:pStyle w:val="NormalWeb"/>
        <w:spacing w:before="0" w:beforeAutospacing="0" w:after="240" w:afterAutospacing="0" w:line="360" w:lineRule="auto"/>
        <w:jc w:val="both"/>
      </w:pPr>
      <w:proofErr w:type="spellStart"/>
      <w:r>
        <w:t>Meriç</w:t>
      </w:r>
      <w:proofErr w:type="spellEnd"/>
      <w:r>
        <w:t xml:space="preserve">, S., Bozkurt, Ö. and KAYMIŞ, B. (2022). Evaluation of ergonomic risks in hotel. </w:t>
      </w:r>
      <w:r>
        <w:rPr>
          <w:i/>
          <w:iCs/>
        </w:rPr>
        <w:t>Journal of Tourism Theory and Research</w:t>
      </w:r>
      <w:r>
        <w:t xml:space="preserve">, pp.20–34. </w:t>
      </w:r>
      <w:proofErr w:type="spellStart"/>
      <w:r>
        <w:t>doi:https</w:t>
      </w:r>
      <w:proofErr w:type="spellEnd"/>
      <w:r>
        <w:t>://doi.org/10.24288/jttr.613975.</w:t>
      </w:r>
    </w:p>
    <w:p w14:paraId="614E6F9B" w14:textId="77777777" w:rsidR="00E9735A" w:rsidRDefault="00E9735A" w:rsidP="006C1FA1">
      <w:pPr>
        <w:pStyle w:val="NormalWeb"/>
        <w:spacing w:before="0" w:beforeAutospacing="0" w:after="240" w:afterAutospacing="0" w:line="360" w:lineRule="auto"/>
        <w:jc w:val="both"/>
      </w:pPr>
      <w:r>
        <w:t xml:space="preserve">Molina, M.E.R., </w:t>
      </w:r>
      <w:proofErr w:type="spellStart"/>
      <w:r>
        <w:t>Belda</w:t>
      </w:r>
      <w:proofErr w:type="spellEnd"/>
      <w:r>
        <w:t xml:space="preserve">-Miquel, S., </w:t>
      </w:r>
      <w:proofErr w:type="spellStart"/>
      <w:r>
        <w:t>Hytti</w:t>
      </w:r>
      <w:proofErr w:type="spellEnd"/>
      <w:r>
        <w:t>, A. and Gil-</w:t>
      </w:r>
      <w:proofErr w:type="spellStart"/>
      <w:r>
        <w:t>Saura</w:t>
      </w:r>
      <w:proofErr w:type="spellEnd"/>
      <w:r>
        <w:t xml:space="preserve">, I. (2022). Addressing sustainable food management in hotels: proposing a framework and examining hotel groups. </w:t>
      </w:r>
      <w:r>
        <w:rPr>
          <w:i/>
          <w:iCs/>
        </w:rPr>
        <w:t>British Food Journal</w:t>
      </w:r>
      <w:r>
        <w:t xml:space="preserve">, ahead-of-print(ahead-of-print). </w:t>
      </w:r>
      <w:proofErr w:type="spellStart"/>
      <w:r>
        <w:t>doi:https</w:t>
      </w:r>
      <w:proofErr w:type="spellEnd"/>
      <w:r>
        <w:t>://doi.org/10.1108/bfj-12-2020-1171.</w:t>
      </w:r>
    </w:p>
    <w:p w14:paraId="191C673A" w14:textId="77777777" w:rsidR="00E9735A" w:rsidRDefault="00E9735A" w:rsidP="006C1FA1">
      <w:pPr>
        <w:pStyle w:val="NormalWeb"/>
        <w:spacing w:before="0" w:beforeAutospacing="0" w:after="240" w:afterAutospacing="0" w:line="360" w:lineRule="auto"/>
        <w:jc w:val="both"/>
      </w:pPr>
      <w:r>
        <w:t xml:space="preserve">Neves, D.D. (2022). Marriott international inc. equity research - the hotel Giant´s recovery. </w:t>
      </w:r>
      <w:r>
        <w:rPr>
          <w:i/>
          <w:iCs/>
        </w:rPr>
        <w:t>run.unl.pt</w:t>
      </w:r>
      <w:r>
        <w:t>. [online] Available at: https://run.unl.pt/handle/10362/143257.</w:t>
      </w:r>
    </w:p>
    <w:p w14:paraId="71B0CE58" w14:textId="77777777" w:rsidR="00E9735A" w:rsidRDefault="00E9735A" w:rsidP="006C1FA1">
      <w:pPr>
        <w:pStyle w:val="NormalWeb"/>
        <w:spacing w:before="0" w:beforeAutospacing="0" w:after="240" w:afterAutospacing="0" w:line="360" w:lineRule="auto"/>
        <w:jc w:val="both"/>
      </w:pPr>
      <w:proofErr w:type="spellStart"/>
      <w:r>
        <w:t>Paraskevas</w:t>
      </w:r>
      <w:proofErr w:type="spellEnd"/>
      <w:r>
        <w:t xml:space="preserve">, A. and </w:t>
      </w:r>
      <w:proofErr w:type="spellStart"/>
      <w:r>
        <w:t>Guix</w:t>
      </w:r>
      <w:proofErr w:type="spellEnd"/>
      <w:r>
        <w:t xml:space="preserve">, M. (2023). Navigating the uncharted: A crisis response mix to creeping ‘unknowns’. </w:t>
      </w:r>
      <w:r>
        <w:rPr>
          <w:i/>
          <w:iCs/>
        </w:rPr>
        <w:t>Tourism Management</w:t>
      </w:r>
      <w:r>
        <w:t xml:space="preserve">, 98, p.104777. </w:t>
      </w:r>
      <w:proofErr w:type="spellStart"/>
      <w:r>
        <w:t>doi:https</w:t>
      </w:r>
      <w:proofErr w:type="spellEnd"/>
      <w:r>
        <w:t>://doi.org/10.1016/j.tourman.2023.104777.</w:t>
      </w:r>
    </w:p>
    <w:p w14:paraId="26E9019A" w14:textId="77777777" w:rsidR="00E9735A" w:rsidRDefault="00E9735A" w:rsidP="006C1FA1">
      <w:pPr>
        <w:pStyle w:val="NormalWeb"/>
        <w:spacing w:before="0" w:beforeAutospacing="0" w:after="240" w:afterAutospacing="0" w:line="360" w:lineRule="auto"/>
        <w:jc w:val="both"/>
      </w:pPr>
      <w:proofErr w:type="spellStart"/>
      <w:r>
        <w:t>Penela</w:t>
      </w:r>
      <w:proofErr w:type="spellEnd"/>
      <w:r>
        <w:t xml:space="preserve">, D. (2022). Exploratory Studies on the Level of Dissemination of Non-Financial Information in Corporate Reports - Evidence from the Hotel Sector. </w:t>
      </w:r>
      <w:r>
        <w:rPr>
          <w:i/>
          <w:iCs/>
        </w:rPr>
        <w:t>PASEW-22, MESSH-22 &amp; CABES-22 April 19-21, 2022 Paris (France)</w:t>
      </w:r>
      <w:r>
        <w:t xml:space="preserve">. [online] </w:t>
      </w:r>
      <w:proofErr w:type="spellStart"/>
      <w:proofErr w:type="gramStart"/>
      <w:r>
        <w:t>doi:https</w:t>
      </w:r>
      <w:proofErr w:type="spellEnd"/>
      <w:r>
        <w:t>://doi.org/10.17758/eares11.eap0422424</w:t>
      </w:r>
      <w:proofErr w:type="gramEnd"/>
      <w:r>
        <w:t>.</w:t>
      </w:r>
    </w:p>
    <w:p w14:paraId="53EF3FB2" w14:textId="77777777" w:rsidR="00E9735A" w:rsidRDefault="00E9735A" w:rsidP="006C1FA1">
      <w:pPr>
        <w:pStyle w:val="NormalWeb"/>
        <w:spacing w:before="0" w:beforeAutospacing="0" w:after="240" w:afterAutospacing="0" w:line="360" w:lineRule="auto"/>
        <w:jc w:val="both"/>
      </w:pPr>
      <w:proofErr w:type="spellStart"/>
      <w:r>
        <w:t>Sadek</w:t>
      </w:r>
      <w:proofErr w:type="spellEnd"/>
      <w:r>
        <w:t xml:space="preserve">, H. (2022). The Impact of Diversify Management on Achieving Competitive Advantage in Cairo Hotels. </w:t>
      </w:r>
      <w:r>
        <w:rPr>
          <w:i/>
          <w:iCs/>
        </w:rPr>
        <w:t>Journal of Association of Arab Universities for Tourism and Hospitality</w:t>
      </w:r>
      <w:r>
        <w:t xml:space="preserve">, 22(2), pp.154–173. </w:t>
      </w:r>
      <w:proofErr w:type="spellStart"/>
      <w:r>
        <w:t>doi:https</w:t>
      </w:r>
      <w:proofErr w:type="spellEnd"/>
      <w:r>
        <w:t>://doi.org/10.21608/jaauth.2022.122608.1303.</w:t>
      </w:r>
    </w:p>
    <w:p w14:paraId="1C6B65D6" w14:textId="77777777" w:rsidR="00E9735A" w:rsidRDefault="00E9735A" w:rsidP="006C1FA1">
      <w:pPr>
        <w:pStyle w:val="NormalWeb"/>
        <w:spacing w:before="0" w:beforeAutospacing="0" w:after="240" w:afterAutospacing="0" w:line="360" w:lineRule="auto"/>
        <w:jc w:val="both"/>
      </w:pPr>
      <w:r>
        <w:lastRenderedPageBreak/>
        <w:t xml:space="preserve">Shin, H.H. and Jeong, M. (2022). Redefining luxury service with technology implementation: the impact of technology on guest satisfaction and loyalty in a luxury hotel. </w:t>
      </w:r>
      <w:r>
        <w:rPr>
          <w:i/>
          <w:iCs/>
        </w:rPr>
        <w:t>International Journal of Contemporary Hospitality Management</w:t>
      </w:r>
      <w:r>
        <w:t xml:space="preserve">, ahead-of-print(ahead-of-print). </w:t>
      </w:r>
      <w:proofErr w:type="spellStart"/>
      <w:r>
        <w:t>doi:https</w:t>
      </w:r>
      <w:proofErr w:type="spellEnd"/>
      <w:r>
        <w:t>://doi.org/10.1108/ijchm-06-2021-0798.</w:t>
      </w:r>
    </w:p>
    <w:p w14:paraId="5F2E71DF" w14:textId="77777777" w:rsidR="00E9735A" w:rsidRDefault="00E9735A" w:rsidP="006C1FA1">
      <w:pPr>
        <w:pStyle w:val="NormalWeb"/>
        <w:spacing w:before="0" w:beforeAutospacing="0" w:after="240" w:afterAutospacing="0" w:line="360" w:lineRule="auto"/>
        <w:jc w:val="both"/>
      </w:pPr>
      <w:r>
        <w:t xml:space="preserve">Yu, J., </w:t>
      </w:r>
      <w:proofErr w:type="spellStart"/>
      <w:r>
        <w:t>Lho</w:t>
      </w:r>
      <w:proofErr w:type="spellEnd"/>
      <w:r>
        <w:t xml:space="preserve">, L.H. and Han, H. (2022). Corporate social responsibility (environment, product, diversity, employee, and community) and the hotel employees’ job performance: Exploring the role of the employment types. </w:t>
      </w:r>
      <w:r>
        <w:rPr>
          <w:i/>
          <w:iCs/>
        </w:rPr>
        <w:t>Corporate Social Responsibility and Environmental Management</w:t>
      </w:r>
      <w:r>
        <w:t xml:space="preserve">. </w:t>
      </w:r>
      <w:proofErr w:type="spellStart"/>
      <w:r>
        <w:t>doi:https</w:t>
      </w:r>
      <w:proofErr w:type="spellEnd"/>
      <w:r>
        <w:t>://doi.org/10.1002/csr.2330.</w:t>
      </w:r>
    </w:p>
    <w:p w14:paraId="13D35B85" w14:textId="77777777" w:rsidR="00E9735A" w:rsidRDefault="00E9735A" w:rsidP="006C1FA1">
      <w:pPr>
        <w:pStyle w:val="NormalWeb"/>
        <w:spacing w:before="0" w:beforeAutospacing="0" w:after="240" w:afterAutospacing="0" w:line="360" w:lineRule="auto"/>
        <w:jc w:val="both"/>
      </w:pPr>
      <w:r>
        <w:t xml:space="preserve">Yu, J., Moon, H., Chua, B.-L. and Han, H. (2022). Hotel data privacy: strategies to reduce customers’ emotional violations, privacy concerns, and switching intention. </w:t>
      </w:r>
      <w:r>
        <w:rPr>
          <w:i/>
          <w:iCs/>
        </w:rPr>
        <w:t>Journal of Travel &amp; Tourism Marketing</w:t>
      </w:r>
      <w:r>
        <w:t xml:space="preserve">, 39(2), pp.215–227. </w:t>
      </w:r>
      <w:proofErr w:type="spellStart"/>
      <w:r>
        <w:t>doi:https</w:t>
      </w:r>
      <w:proofErr w:type="spellEnd"/>
      <w:r>
        <w:t>://doi.org/10.1080/10548408.2022.2061673.</w:t>
      </w:r>
    </w:p>
    <w:p w14:paraId="2E6AB92F" w14:textId="77777777" w:rsidR="00E9735A" w:rsidRPr="00A33641" w:rsidRDefault="00E9735A" w:rsidP="006C1FA1"/>
    <w:p w14:paraId="4F4F1EEF" w14:textId="77777777" w:rsidR="00A33641" w:rsidRDefault="00A33641" w:rsidP="006C1FA1"/>
    <w:p w14:paraId="29628F04" w14:textId="77777777" w:rsidR="00C90D05" w:rsidRDefault="00C90D05" w:rsidP="006C1FA1"/>
    <w:p w14:paraId="45155E46" w14:textId="77777777" w:rsidR="00C90D05" w:rsidRDefault="00C90D05" w:rsidP="006C1FA1"/>
    <w:p w14:paraId="5FCE8AC1" w14:textId="77777777" w:rsidR="00024ADC" w:rsidRDefault="00024ADC" w:rsidP="006C1FA1"/>
    <w:p w14:paraId="11ADFA76" w14:textId="77777777" w:rsidR="00024ADC" w:rsidRDefault="00024ADC" w:rsidP="006C1FA1"/>
    <w:p w14:paraId="5A6E4D5E" w14:textId="77777777" w:rsidR="00024ADC" w:rsidRDefault="00024ADC" w:rsidP="006C1FA1"/>
    <w:p w14:paraId="549AFA72" w14:textId="77777777" w:rsidR="00024ADC" w:rsidRPr="00024ADC" w:rsidRDefault="00024ADC" w:rsidP="006C1FA1"/>
    <w:p w14:paraId="5886C573" w14:textId="77777777" w:rsidR="00024ADC" w:rsidRPr="00024ADC" w:rsidRDefault="00024ADC" w:rsidP="006C1FA1"/>
    <w:sectPr w:rsidR="00024ADC" w:rsidRPr="00024ADC">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4C0873" w14:textId="77777777" w:rsidR="00472F2D" w:rsidRDefault="00472F2D" w:rsidP="006C1FA1">
      <w:pPr>
        <w:spacing w:after="0" w:line="240" w:lineRule="auto"/>
      </w:pPr>
      <w:r>
        <w:separator/>
      </w:r>
    </w:p>
  </w:endnote>
  <w:endnote w:type="continuationSeparator" w:id="0">
    <w:p w14:paraId="14853FAB" w14:textId="77777777" w:rsidR="00472F2D" w:rsidRDefault="00472F2D" w:rsidP="006C1F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26386883"/>
      <w:docPartObj>
        <w:docPartGallery w:val="Page Numbers (Bottom of Page)"/>
        <w:docPartUnique/>
      </w:docPartObj>
    </w:sdtPr>
    <w:sdtEndPr>
      <w:rPr>
        <w:noProof/>
      </w:rPr>
    </w:sdtEndPr>
    <w:sdtContent>
      <w:p w14:paraId="6E187372" w14:textId="77777777" w:rsidR="006C1FA1" w:rsidRDefault="006C1FA1">
        <w:pPr>
          <w:pStyle w:val="Footer"/>
          <w:jc w:val="center"/>
        </w:pPr>
        <w:r>
          <w:fldChar w:fldCharType="begin"/>
        </w:r>
        <w:r>
          <w:instrText xml:space="preserve"> PAGE   \* MERGEFORMAT </w:instrText>
        </w:r>
        <w:r>
          <w:fldChar w:fldCharType="separate"/>
        </w:r>
        <w:r w:rsidR="00D335F0">
          <w:rPr>
            <w:noProof/>
          </w:rPr>
          <w:t>2</w:t>
        </w:r>
        <w:r>
          <w:rPr>
            <w:noProof/>
          </w:rPr>
          <w:fldChar w:fldCharType="end"/>
        </w:r>
      </w:p>
    </w:sdtContent>
  </w:sdt>
  <w:p w14:paraId="3B11D1D4" w14:textId="77777777" w:rsidR="006C1FA1" w:rsidRDefault="006C1F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9B0A86" w14:textId="77777777" w:rsidR="00472F2D" w:rsidRDefault="00472F2D" w:rsidP="006C1FA1">
      <w:pPr>
        <w:spacing w:after="0" w:line="240" w:lineRule="auto"/>
      </w:pPr>
      <w:r>
        <w:separator/>
      </w:r>
    </w:p>
  </w:footnote>
  <w:footnote w:type="continuationSeparator" w:id="0">
    <w:p w14:paraId="31E07E17" w14:textId="77777777" w:rsidR="00472F2D" w:rsidRDefault="00472F2D" w:rsidP="006C1FA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sjAyNbQ0NDczsjQwNzJX0lEKTi0uzszPAykwqgUAF4GBqywAAAA="/>
  </w:docVars>
  <w:rsids>
    <w:rsidRoot w:val="00186026"/>
    <w:rsid w:val="00024ADC"/>
    <w:rsid w:val="00186026"/>
    <w:rsid w:val="002A7297"/>
    <w:rsid w:val="003073E6"/>
    <w:rsid w:val="00472F2D"/>
    <w:rsid w:val="0050243F"/>
    <w:rsid w:val="00554044"/>
    <w:rsid w:val="006C1FA1"/>
    <w:rsid w:val="0096006E"/>
    <w:rsid w:val="00A33641"/>
    <w:rsid w:val="00B56604"/>
    <w:rsid w:val="00C264B5"/>
    <w:rsid w:val="00C90D05"/>
    <w:rsid w:val="00CB09CB"/>
    <w:rsid w:val="00CB40D6"/>
    <w:rsid w:val="00D335F0"/>
    <w:rsid w:val="00D5441D"/>
    <w:rsid w:val="00DE7F8E"/>
    <w:rsid w:val="00E9735A"/>
    <w:rsid w:val="00EE40B5"/>
    <w:rsid w:val="00F52056"/>
    <w:rsid w:val="00F800FB"/>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3BC8BA"/>
  <w15:docId w15:val="{14F70BF7-A56E-456D-B78C-DC674FB630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6604"/>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3073E6"/>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3073E6"/>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semiHidden/>
    <w:unhideWhenUsed/>
    <w:qFormat/>
    <w:rsid w:val="00DE7F8E"/>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73E6"/>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3073E6"/>
    <w:rPr>
      <w:rFonts w:ascii="Times New Roman" w:eastAsiaTheme="majorEastAsia" w:hAnsi="Times New Roman" w:cstheme="majorBidi"/>
      <w:b/>
      <w:sz w:val="28"/>
      <w:szCs w:val="26"/>
    </w:rPr>
  </w:style>
  <w:style w:type="paragraph" w:styleId="Title">
    <w:name w:val="Title"/>
    <w:basedOn w:val="Normal"/>
    <w:next w:val="Normal"/>
    <w:link w:val="TitleChar"/>
    <w:uiPriority w:val="10"/>
    <w:qFormat/>
    <w:rsid w:val="003073E6"/>
    <w:pPr>
      <w:spacing w:after="0"/>
      <w:contextualSpacing/>
      <w:jc w:val="center"/>
    </w:pPr>
    <w:rPr>
      <w:rFonts w:eastAsiaTheme="majorEastAsia" w:cstheme="majorBidi"/>
      <w:b/>
      <w:spacing w:val="-10"/>
      <w:kern w:val="28"/>
      <w:sz w:val="48"/>
      <w:szCs w:val="56"/>
    </w:rPr>
  </w:style>
  <w:style w:type="character" w:customStyle="1" w:styleId="TitleChar">
    <w:name w:val="Title Char"/>
    <w:basedOn w:val="DefaultParagraphFont"/>
    <w:link w:val="Title"/>
    <w:uiPriority w:val="10"/>
    <w:rsid w:val="003073E6"/>
    <w:rPr>
      <w:rFonts w:ascii="Times New Roman" w:eastAsiaTheme="majorEastAsia" w:hAnsi="Times New Roman" w:cstheme="majorBidi"/>
      <w:b/>
      <w:spacing w:val="-10"/>
      <w:kern w:val="28"/>
      <w:sz w:val="48"/>
      <w:szCs w:val="56"/>
    </w:rPr>
  </w:style>
  <w:style w:type="character" w:customStyle="1" w:styleId="Heading3Char">
    <w:name w:val="Heading 3 Char"/>
    <w:basedOn w:val="DefaultParagraphFont"/>
    <w:link w:val="Heading3"/>
    <w:uiPriority w:val="9"/>
    <w:semiHidden/>
    <w:rsid w:val="00DE7F8E"/>
    <w:rPr>
      <w:rFonts w:ascii="Times New Roman" w:eastAsiaTheme="majorEastAsia" w:hAnsi="Times New Roman" w:cstheme="majorBidi"/>
      <w:b/>
      <w:sz w:val="24"/>
      <w:szCs w:val="24"/>
    </w:rPr>
  </w:style>
  <w:style w:type="paragraph" w:styleId="NormalWeb">
    <w:name w:val="Normal (Web)"/>
    <w:basedOn w:val="Normal"/>
    <w:uiPriority w:val="99"/>
    <w:semiHidden/>
    <w:unhideWhenUsed/>
    <w:rsid w:val="00E9735A"/>
    <w:pPr>
      <w:spacing w:before="100" w:beforeAutospacing="1" w:after="100" w:afterAutospacing="1" w:line="240" w:lineRule="auto"/>
      <w:jc w:val="left"/>
    </w:pPr>
    <w:rPr>
      <w:rFonts w:eastAsia="Times New Roman" w:cs="Times New Roman"/>
      <w:szCs w:val="24"/>
      <w:lang w:eastAsia="en-GB"/>
    </w:rPr>
  </w:style>
  <w:style w:type="paragraph" w:styleId="Header">
    <w:name w:val="header"/>
    <w:basedOn w:val="Normal"/>
    <w:link w:val="HeaderChar"/>
    <w:uiPriority w:val="99"/>
    <w:unhideWhenUsed/>
    <w:rsid w:val="006C1FA1"/>
    <w:pPr>
      <w:tabs>
        <w:tab w:val="center" w:pos="4680"/>
        <w:tab w:val="right" w:pos="9360"/>
      </w:tabs>
      <w:spacing w:after="0" w:line="240" w:lineRule="auto"/>
    </w:pPr>
  </w:style>
  <w:style w:type="character" w:customStyle="1" w:styleId="HeaderChar">
    <w:name w:val="Header Char"/>
    <w:basedOn w:val="DefaultParagraphFont"/>
    <w:link w:val="Header"/>
    <w:uiPriority w:val="99"/>
    <w:rsid w:val="006C1FA1"/>
    <w:rPr>
      <w:rFonts w:ascii="Times New Roman" w:hAnsi="Times New Roman"/>
      <w:sz w:val="24"/>
    </w:rPr>
  </w:style>
  <w:style w:type="paragraph" w:styleId="Footer">
    <w:name w:val="footer"/>
    <w:basedOn w:val="Normal"/>
    <w:link w:val="FooterChar"/>
    <w:uiPriority w:val="99"/>
    <w:unhideWhenUsed/>
    <w:rsid w:val="006C1FA1"/>
    <w:pPr>
      <w:tabs>
        <w:tab w:val="center" w:pos="4680"/>
        <w:tab w:val="right" w:pos="9360"/>
      </w:tabs>
      <w:spacing w:after="0" w:line="240" w:lineRule="auto"/>
    </w:pPr>
  </w:style>
  <w:style w:type="character" w:customStyle="1" w:styleId="FooterChar">
    <w:name w:val="Footer Char"/>
    <w:basedOn w:val="DefaultParagraphFont"/>
    <w:link w:val="Footer"/>
    <w:uiPriority w:val="99"/>
    <w:rsid w:val="006C1FA1"/>
    <w:rPr>
      <w:rFonts w:ascii="Times New Roman" w:hAnsi="Times New Roman"/>
      <w:sz w:val="24"/>
    </w:rPr>
  </w:style>
  <w:style w:type="paragraph" w:styleId="TOCHeading">
    <w:name w:val="TOC Heading"/>
    <w:basedOn w:val="Heading1"/>
    <w:next w:val="Normal"/>
    <w:uiPriority w:val="39"/>
    <w:unhideWhenUsed/>
    <w:qFormat/>
    <w:rsid w:val="006C1FA1"/>
    <w:pPr>
      <w:spacing w:line="259" w:lineRule="auto"/>
      <w:jc w:val="left"/>
      <w:outlineLvl w:val="9"/>
    </w:pPr>
    <w:rPr>
      <w:rFonts w:asciiTheme="majorHAnsi" w:hAnsiTheme="majorHAnsi"/>
      <w:b w:val="0"/>
      <w:color w:val="2E74B5" w:themeColor="accent1" w:themeShade="BF"/>
      <w:lang w:val="en-US"/>
    </w:rPr>
  </w:style>
  <w:style w:type="paragraph" w:styleId="TOC1">
    <w:name w:val="toc 1"/>
    <w:basedOn w:val="Normal"/>
    <w:next w:val="Normal"/>
    <w:autoRedefine/>
    <w:uiPriority w:val="39"/>
    <w:unhideWhenUsed/>
    <w:rsid w:val="006C1FA1"/>
    <w:pPr>
      <w:spacing w:after="100"/>
    </w:pPr>
  </w:style>
  <w:style w:type="paragraph" w:styleId="TOC2">
    <w:name w:val="toc 2"/>
    <w:basedOn w:val="Normal"/>
    <w:next w:val="Normal"/>
    <w:autoRedefine/>
    <w:uiPriority w:val="39"/>
    <w:unhideWhenUsed/>
    <w:rsid w:val="006C1FA1"/>
    <w:pPr>
      <w:spacing w:after="100"/>
      <w:ind w:left="240"/>
    </w:pPr>
  </w:style>
  <w:style w:type="character" w:styleId="Hyperlink">
    <w:name w:val="Hyperlink"/>
    <w:basedOn w:val="DefaultParagraphFont"/>
    <w:uiPriority w:val="99"/>
    <w:unhideWhenUsed/>
    <w:rsid w:val="006C1FA1"/>
    <w:rPr>
      <w:color w:val="0563C1" w:themeColor="hyperlink"/>
      <w:u w:val="single"/>
    </w:rPr>
  </w:style>
  <w:style w:type="paragraph" w:styleId="BalloonText">
    <w:name w:val="Balloon Text"/>
    <w:basedOn w:val="Normal"/>
    <w:link w:val="BalloonTextChar"/>
    <w:uiPriority w:val="99"/>
    <w:semiHidden/>
    <w:unhideWhenUsed/>
    <w:rsid w:val="00D335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335F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9688190">
      <w:bodyDiv w:val="1"/>
      <w:marLeft w:val="0"/>
      <w:marRight w:val="0"/>
      <w:marTop w:val="0"/>
      <w:marBottom w:val="0"/>
      <w:divBdr>
        <w:top w:val="none" w:sz="0" w:space="0" w:color="auto"/>
        <w:left w:val="none" w:sz="0" w:space="0" w:color="auto"/>
        <w:bottom w:val="none" w:sz="0" w:space="0" w:color="auto"/>
        <w:right w:val="none" w:sz="0" w:space="0" w:color="auto"/>
      </w:divBdr>
      <w:divsChild>
        <w:div w:id="200168798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diagramData" Target="diagrams/data2.xm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microsoft.com/office/2007/relationships/diagramDrawing" Target="diagrams/drawing1.xml"/><Relationship Id="rId17" Type="http://schemas.microsoft.com/office/2007/relationships/diagramDrawing" Target="diagrams/drawing2.xml"/><Relationship Id="rId2" Type="http://schemas.openxmlformats.org/officeDocument/2006/relationships/styles" Target="styles.xml"/><Relationship Id="rId16" Type="http://schemas.openxmlformats.org/officeDocument/2006/relationships/diagramColors" Target="diagrams/colors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diagramColors" Target="diagrams/colors1.xml"/><Relationship Id="rId5" Type="http://schemas.openxmlformats.org/officeDocument/2006/relationships/footnotes" Target="footnotes.xml"/><Relationship Id="rId15" Type="http://schemas.openxmlformats.org/officeDocument/2006/relationships/diagramQuickStyle" Target="diagrams/quickStyle2.xml"/><Relationship Id="rId10" Type="http://schemas.openxmlformats.org/officeDocument/2006/relationships/diagramQuickStyle" Target="diagrams/quickStyle1.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diagramLayout" Target="diagrams/layout1.xml"/><Relationship Id="rId14" Type="http://schemas.openxmlformats.org/officeDocument/2006/relationships/diagramLayout" Target="diagrams/layout2.xm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78E1A7E-4131-4482-A234-D6CA16ACC299}" type="doc">
      <dgm:prSet loTypeId="urn:microsoft.com/office/officeart/2005/8/layout/list1" loCatId="list" qsTypeId="urn:microsoft.com/office/officeart/2005/8/quickstyle/3d7" qsCatId="3D" csTypeId="urn:microsoft.com/office/officeart/2005/8/colors/colorful5" csCatId="colorful" phldr="1"/>
      <dgm:spPr/>
      <dgm:t>
        <a:bodyPr/>
        <a:lstStyle/>
        <a:p>
          <a:endParaRPr lang="en-GB"/>
        </a:p>
      </dgm:t>
    </dgm:pt>
    <dgm:pt modelId="{B934133F-6905-450E-B1CF-3D7FAAB8C4C8}">
      <dgm:prSet phldrT="[Text]"/>
      <dgm:spPr/>
      <dgm:t>
        <a:bodyPr/>
        <a:lstStyle/>
        <a:p>
          <a:r>
            <a:rPr lang="en-GB" b="1">
              <a:latin typeface="Times New Roman" panose="02020603050405020304" pitchFamily="18" charset="0"/>
              <a:cs typeface="Times New Roman" panose="02020603050405020304" pitchFamily="18" charset="0"/>
            </a:rPr>
            <a:t>Revenue streams</a:t>
          </a:r>
          <a:endParaRPr lang="en-GB">
            <a:latin typeface="Times New Roman" panose="02020603050405020304" pitchFamily="18" charset="0"/>
            <a:cs typeface="Times New Roman" panose="02020603050405020304" pitchFamily="18" charset="0"/>
          </a:endParaRPr>
        </a:p>
      </dgm:t>
    </dgm:pt>
    <dgm:pt modelId="{4B4D58E0-9F8F-4FA7-9DEB-AB8BCA178B68}" type="parTrans" cxnId="{CBD5C624-0EE7-43A1-BD09-1BC21FACEDB2}">
      <dgm:prSet/>
      <dgm:spPr/>
      <dgm:t>
        <a:bodyPr/>
        <a:lstStyle/>
        <a:p>
          <a:endParaRPr lang="en-GB"/>
        </a:p>
      </dgm:t>
    </dgm:pt>
    <dgm:pt modelId="{26F2DDA2-D308-4C45-9DC9-F3257B606A73}" type="sibTrans" cxnId="{CBD5C624-0EE7-43A1-BD09-1BC21FACEDB2}">
      <dgm:prSet/>
      <dgm:spPr/>
      <dgm:t>
        <a:bodyPr/>
        <a:lstStyle/>
        <a:p>
          <a:endParaRPr lang="en-GB"/>
        </a:p>
      </dgm:t>
    </dgm:pt>
    <dgm:pt modelId="{3D8168E1-D079-4297-BC39-8234E7F3020C}">
      <dgm:prSet phldrT="[Text]"/>
      <dgm:spPr/>
      <dgm:t>
        <a:bodyPr/>
        <a:lstStyle/>
        <a:p>
          <a:r>
            <a:rPr lang="en-GB" b="1">
              <a:latin typeface="Times New Roman" panose="02020603050405020304" pitchFamily="18" charset="0"/>
              <a:cs typeface="Times New Roman" panose="02020603050405020304" pitchFamily="18" charset="0"/>
            </a:rPr>
            <a:t>Geographical distribution</a:t>
          </a:r>
          <a:endParaRPr lang="en-GB">
            <a:latin typeface="Times New Roman" panose="02020603050405020304" pitchFamily="18" charset="0"/>
            <a:cs typeface="Times New Roman" panose="02020603050405020304" pitchFamily="18" charset="0"/>
          </a:endParaRPr>
        </a:p>
      </dgm:t>
    </dgm:pt>
    <dgm:pt modelId="{5F6E7941-B427-47EA-9D32-440C66F4F17F}" type="parTrans" cxnId="{EBC2361A-E180-4903-A50C-3BB83F272700}">
      <dgm:prSet/>
      <dgm:spPr/>
      <dgm:t>
        <a:bodyPr/>
        <a:lstStyle/>
        <a:p>
          <a:endParaRPr lang="en-GB"/>
        </a:p>
      </dgm:t>
    </dgm:pt>
    <dgm:pt modelId="{722FE550-F386-4D32-B491-12D572360D0A}" type="sibTrans" cxnId="{EBC2361A-E180-4903-A50C-3BB83F272700}">
      <dgm:prSet/>
      <dgm:spPr/>
      <dgm:t>
        <a:bodyPr/>
        <a:lstStyle/>
        <a:p>
          <a:endParaRPr lang="en-GB"/>
        </a:p>
      </dgm:t>
    </dgm:pt>
    <dgm:pt modelId="{D36D4F95-1120-41E1-AB69-88717177BF75}">
      <dgm:prSet phldrT="[Text]"/>
      <dgm:spPr/>
      <dgm:t>
        <a:bodyPr/>
        <a:lstStyle/>
        <a:p>
          <a:r>
            <a:rPr lang="en-GB" b="1">
              <a:latin typeface="Times New Roman" panose="02020603050405020304" pitchFamily="18" charset="0"/>
              <a:cs typeface="Times New Roman" panose="02020603050405020304" pitchFamily="18" charset="0"/>
            </a:rPr>
            <a:t>RevPAR performance</a:t>
          </a:r>
          <a:endParaRPr lang="en-GB">
            <a:latin typeface="Times New Roman" panose="02020603050405020304" pitchFamily="18" charset="0"/>
            <a:cs typeface="Times New Roman" panose="02020603050405020304" pitchFamily="18" charset="0"/>
          </a:endParaRPr>
        </a:p>
      </dgm:t>
    </dgm:pt>
    <dgm:pt modelId="{F2563FB8-3DEB-4687-84AE-EFD84E10DAB0}" type="parTrans" cxnId="{6C3A67E9-AA8B-4FC8-A355-DF65EFA1D418}">
      <dgm:prSet/>
      <dgm:spPr/>
      <dgm:t>
        <a:bodyPr/>
        <a:lstStyle/>
        <a:p>
          <a:endParaRPr lang="en-GB"/>
        </a:p>
      </dgm:t>
    </dgm:pt>
    <dgm:pt modelId="{C214F187-874F-4153-B78F-15983AA35769}" type="sibTrans" cxnId="{6C3A67E9-AA8B-4FC8-A355-DF65EFA1D418}">
      <dgm:prSet/>
      <dgm:spPr/>
      <dgm:t>
        <a:bodyPr/>
        <a:lstStyle/>
        <a:p>
          <a:endParaRPr lang="en-GB"/>
        </a:p>
      </dgm:t>
    </dgm:pt>
    <dgm:pt modelId="{B8B307C5-5AC1-4F30-8B4C-45C60B2FD2B1}" type="pres">
      <dgm:prSet presAssocID="{378E1A7E-4131-4482-A234-D6CA16ACC299}" presName="linear" presStyleCnt="0">
        <dgm:presLayoutVars>
          <dgm:dir/>
          <dgm:animLvl val="lvl"/>
          <dgm:resizeHandles val="exact"/>
        </dgm:presLayoutVars>
      </dgm:prSet>
      <dgm:spPr/>
    </dgm:pt>
    <dgm:pt modelId="{0F148F5A-2853-4C86-9C44-82D53B1E35F5}" type="pres">
      <dgm:prSet presAssocID="{B934133F-6905-450E-B1CF-3D7FAAB8C4C8}" presName="parentLin" presStyleCnt="0"/>
      <dgm:spPr/>
    </dgm:pt>
    <dgm:pt modelId="{3C5BFC91-6E62-4BDC-86EC-44AE0DDB5B3D}" type="pres">
      <dgm:prSet presAssocID="{B934133F-6905-450E-B1CF-3D7FAAB8C4C8}" presName="parentLeftMargin" presStyleLbl="node1" presStyleIdx="0" presStyleCnt="3"/>
      <dgm:spPr/>
    </dgm:pt>
    <dgm:pt modelId="{15CCACDE-6F57-446E-8099-838CB2AFB5D1}" type="pres">
      <dgm:prSet presAssocID="{B934133F-6905-450E-B1CF-3D7FAAB8C4C8}" presName="parentText" presStyleLbl="node1" presStyleIdx="0" presStyleCnt="3">
        <dgm:presLayoutVars>
          <dgm:chMax val="0"/>
          <dgm:bulletEnabled val="1"/>
        </dgm:presLayoutVars>
      </dgm:prSet>
      <dgm:spPr/>
    </dgm:pt>
    <dgm:pt modelId="{F292B4A4-29DA-4AC1-A56E-CA3411BB37FE}" type="pres">
      <dgm:prSet presAssocID="{B934133F-6905-450E-B1CF-3D7FAAB8C4C8}" presName="negativeSpace" presStyleCnt="0"/>
      <dgm:spPr/>
    </dgm:pt>
    <dgm:pt modelId="{24DAC748-225E-43B3-A836-1272B55A736D}" type="pres">
      <dgm:prSet presAssocID="{B934133F-6905-450E-B1CF-3D7FAAB8C4C8}" presName="childText" presStyleLbl="conFgAcc1" presStyleIdx="0" presStyleCnt="3">
        <dgm:presLayoutVars>
          <dgm:bulletEnabled val="1"/>
        </dgm:presLayoutVars>
      </dgm:prSet>
      <dgm:spPr/>
    </dgm:pt>
    <dgm:pt modelId="{61EF90A1-F574-4E11-9C76-37031A67B46A}" type="pres">
      <dgm:prSet presAssocID="{26F2DDA2-D308-4C45-9DC9-F3257B606A73}" presName="spaceBetweenRectangles" presStyleCnt="0"/>
      <dgm:spPr/>
    </dgm:pt>
    <dgm:pt modelId="{E1A5B43D-5C3C-4B5D-A18E-78FB94E5E3D1}" type="pres">
      <dgm:prSet presAssocID="{3D8168E1-D079-4297-BC39-8234E7F3020C}" presName="parentLin" presStyleCnt="0"/>
      <dgm:spPr/>
    </dgm:pt>
    <dgm:pt modelId="{A01B4469-ED78-4652-A25A-E6070CFA86AE}" type="pres">
      <dgm:prSet presAssocID="{3D8168E1-D079-4297-BC39-8234E7F3020C}" presName="parentLeftMargin" presStyleLbl="node1" presStyleIdx="0" presStyleCnt="3"/>
      <dgm:spPr/>
    </dgm:pt>
    <dgm:pt modelId="{020B2FC8-5D9F-4351-B222-6A8D8BFB6169}" type="pres">
      <dgm:prSet presAssocID="{3D8168E1-D079-4297-BC39-8234E7F3020C}" presName="parentText" presStyleLbl="node1" presStyleIdx="1" presStyleCnt="3">
        <dgm:presLayoutVars>
          <dgm:chMax val="0"/>
          <dgm:bulletEnabled val="1"/>
        </dgm:presLayoutVars>
      </dgm:prSet>
      <dgm:spPr/>
    </dgm:pt>
    <dgm:pt modelId="{3CC79DEE-186E-4152-A06F-69C6C89ED147}" type="pres">
      <dgm:prSet presAssocID="{3D8168E1-D079-4297-BC39-8234E7F3020C}" presName="negativeSpace" presStyleCnt="0"/>
      <dgm:spPr/>
    </dgm:pt>
    <dgm:pt modelId="{832443D6-8B61-462E-AB04-87CDC69E40F5}" type="pres">
      <dgm:prSet presAssocID="{3D8168E1-D079-4297-BC39-8234E7F3020C}" presName="childText" presStyleLbl="conFgAcc1" presStyleIdx="1" presStyleCnt="3">
        <dgm:presLayoutVars>
          <dgm:bulletEnabled val="1"/>
        </dgm:presLayoutVars>
      </dgm:prSet>
      <dgm:spPr/>
    </dgm:pt>
    <dgm:pt modelId="{1FE5CCB0-6192-4AB2-ADB4-488D9C468401}" type="pres">
      <dgm:prSet presAssocID="{722FE550-F386-4D32-B491-12D572360D0A}" presName="spaceBetweenRectangles" presStyleCnt="0"/>
      <dgm:spPr/>
    </dgm:pt>
    <dgm:pt modelId="{C9C6BB11-C949-4F3C-81E9-B6C6063CB932}" type="pres">
      <dgm:prSet presAssocID="{D36D4F95-1120-41E1-AB69-88717177BF75}" presName="parentLin" presStyleCnt="0"/>
      <dgm:spPr/>
    </dgm:pt>
    <dgm:pt modelId="{ACBC8360-7D1B-479A-9493-EA01EA4DB16C}" type="pres">
      <dgm:prSet presAssocID="{D36D4F95-1120-41E1-AB69-88717177BF75}" presName="parentLeftMargin" presStyleLbl="node1" presStyleIdx="1" presStyleCnt="3"/>
      <dgm:spPr/>
    </dgm:pt>
    <dgm:pt modelId="{EA5636D4-A52F-4D91-8BA7-0C848C86D0F5}" type="pres">
      <dgm:prSet presAssocID="{D36D4F95-1120-41E1-AB69-88717177BF75}" presName="parentText" presStyleLbl="node1" presStyleIdx="2" presStyleCnt="3">
        <dgm:presLayoutVars>
          <dgm:chMax val="0"/>
          <dgm:bulletEnabled val="1"/>
        </dgm:presLayoutVars>
      </dgm:prSet>
      <dgm:spPr/>
    </dgm:pt>
    <dgm:pt modelId="{049DC07E-9E6C-410D-B3E5-37419BFC71E6}" type="pres">
      <dgm:prSet presAssocID="{D36D4F95-1120-41E1-AB69-88717177BF75}" presName="negativeSpace" presStyleCnt="0"/>
      <dgm:spPr/>
    </dgm:pt>
    <dgm:pt modelId="{6DFECA0E-FB0B-4BA2-96DC-1B22AC389F02}" type="pres">
      <dgm:prSet presAssocID="{D36D4F95-1120-41E1-AB69-88717177BF75}" presName="childText" presStyleLbl="conFgAcc1" presStyleIdx="2" presStyleCnt="3">
        <dgm:presLayoutVars>
          <dgm:bulletEnabled val="1"/>
        </dgm:presLayoutVars>
      </dgm:prSet>
      <dgm:spPr/>
    </dgm:pt>
  </dgm:ptLst>
  <dgm:cxnLst>
    <dgm:cxn modelId="{FDEAFF15-553C-4225-B626-F43576A63808}" type="presOf" srcId="{B934133F-6905-450E-B1CF-3D7FAAB8C4C8}" destId="{15CCACDE-6F57-446E-8099-838CB2AFB5D1}" srcOrd="1" destOrd="0" presId="urn:microsoft.com/office/officeart/2005/8/layout/list1"/>
    <dgm:cxn modelId="{EBC2361A-E180-4903-A50C-3BB83F272700}" srcId="{378E1A7E-4131-4482-A234-D6CA16ACC299}" destId="{3D8168E1-D079-4297-BC39-8234E7F3020C}" srcOrd="1" destOrd="0" parTransId="{5F6E7941-B427-47EA-9D32-440C66F4F17F}" sibTransId="{722FE550-F386-4D32-B491-12D572360D0A}"/>
    <dgm:cxn modelId="{CBD5C624-0EE7-43A1-BD09-1BC21FACEDB2}" srcId="{378E1A7E-4131-4482-A234-D6CA16ACC299}" destId="{B934133F-6905-450E-B1CF-3D7FAAB8C4C8}" srcOrd="0" destOrd="0" parTransId="{4B4D58E0-9F8F-4FA7-9DEB-AB8BCA178B68}" sibTransId="{26F2DDA2-D308-4C45-9DC9-F3257B606A73}"/>
    <dgm:cxn modelId="{E6EA3662-0AB5-4CA2-A9C6-2A97024BB792}" type="presOf" srcId="{D36D4F95-1120-41E1-AB69-88717177BF75}" destId="{EA5636D4-A52F-4D91-8BA7-0C848C86D0F5}" srcOrd="1" destOrd="0" presId="urn:microsoft.com/office/officeart/2005/8/layout/list1"/>
    <dgm:cxn modelId="{B79CB767-0AD1-43CD-BED7-24BC4AB1AFBC}" type="presOf" srcId="{3D8168E1-D079-4297-BC39-8234E7F3020C}" destId="{A01B4469-ED78-4652-A25A-E6070CFA86AE}" srcOrd="0" destOrd="0" presId="urn:microsoft.com/office/officeart/2005/8/layout/list1"/>
    <dgm:cxn modelId="{851F3848-D33F-4532-8C41-F29623CA64C8}" type="presOf" srcId="{D36D4F95-1120-41E1-AB69-88717177BF75}" destId="{ACBC8360-7D1B-479A-9493-EA01EA4DB16C}" srcOrd="0" destOrd="0" presId="urn:microsoft.com/office/officeart/2005/8/layout/list1"/>
    <dgm:cxn modelId="{FDDA7F6C-9BA9-4334-AC3A-AD02383A5739}" type="presOf" srcId="{378E1A7E-4131-4482-A234-D6CA16ACC299}" destId="{B8B307C5-5AC1-4F30-8B4C-45C60B2FD2B1}" srcOrd="0" destOrd="0" presId="urn:microsoft.com/office/officeart/2005/8/layout/list1"/>
    <dgm:cxn modelId="{D773B8AF-8028-408B-A834-8BC3610185B5}" type="presOf" srcId="{B934133F-6905-450E-B1CF-3D7FAAB8C4C8}" destId="{3C5BFC91-6E62-4BDC-86EC-44AE0DDB5B3D}" srcOrd="0" destOrd="0" presId="urn:microsoft.com/office/officeart/2005/8/layout/list1"/>
    <dgm:cxn modelId="{6C3A67E9-AA8B-4FC8-A355-DF65EFA1D418}" srcId="{378E1A7E-4131-4482-A234-D6CA16ACC299}" destId="{D36D4F95-1120-41E1-AB69-88717177BF75}" srcOrd="2" destOrd="0" parTransId="{F2563FB8-3DEB-4687-84AE-EFD84E10DAB0}" sibTransId="{C214F187-874F-4153-B78F-15983AA35769}"/>
    <dgm:cxn modelId="{F4AB07F9-DFD8-4A93-B6A7-EFEA0EDC6729}" type="presOf" srcId="{3D8168E1-D079-4297-BC39-8234E7F3020C}" destId="{020B2FC8-5D9F-4351-B222-6A8D8BFB6169}" srcOrd="1" destOrd="0" presId="urn:microsoft.com/office/officeart/2005/8/layout/list1"/>
    <dgm:cxn modelId="{7C8118CE-E261-4A45-88B7-E54AF46C0359}" type="presParOf" srcId="{B8B307C5-5AC1-4F30-8B4C-45C60B2FD2B1}" destId="{0F148F5A-2853-4C86-9C44-82D53B1E35F5}" srcOrd="0" destOrd="0" presId="urn:microsoft.com/office/officeart/2005/8/layout/list1"/>
    <dgm:cxn modelId="{F752132A-FFAF-4E04-874E-1A74CAD35CE1}" type="presParOf" srcId="{0F148F5A-2853-4C86-9C44-82D53B1E35F5}" destId="{3C5BFC91-6E62-4BDC-86EC-44AE0DDB5B3D}" srcOrd="0" destOrd="0" presId="urn:microsoft.com/office/officeart/2005/8/layout/list1"/>
    <dgm:cxn modelId="{28FD17C4-5EA1-46DB-9BEF-0FB8DEBDDE91}" type="presParOf" srcId="{0F148F5A-2853-4C86-9C44-82D53B1E35F5}" destId="{15CCACDE-6F57-446E-8099-838CB2AFB5D1}" srcOrd="1" destOrd="0" presId="urn:microsoft.com/office/officeart/2005/8/layout/list1"/>
    <dgm:cxn modelId="{F939C88F-8A8D-4800-ADA5-79ED20910B2B}" type="presParOf" srcId="{B8B307C5-5AC1-4F30-8B4C-45C60B2FD2B1}" destId="{F292B4A4-29DA-4AC1-A56E-CA3411BB37FE}" srcOrd="1" destOrd="0" presId="urn:microsoft.com/office/officeart/2005/8/layout/list1"/>
    <dgm:cxn modelId="{98E20D36-85B1-427E-AF44-6922DDA3D67B}" type="presParOf" srcId="{B8B307C5-5AC1-4F30-8B4C-45C60B2FD2B1}" destId="{24DAC748-225E-43B3-A836-1272B55A736D}" srcOrd="2" destOrd="0" presId="urn:microsoft.com/office/officeart/2005/8/layout/list1"/>
    <dgm:cxn modelId="{E40B15C6-78EB-4865-AD72-DE8935EEE7C2}" type="presParOf" srcId="{B8B307C5-5AC1-4F30-8B4C-45C60B2FD2B1}" destId="{61EF90A1-F574-4E11-9C76-37031A67B46A}" srcOrd="3" destOrd="0" presId="urn:microsoft.com/office/officeart/2005/8/layout/list1"/>
    <dgm:cxn modelId="{91A3E1F7-390B-4015-9A34-77FF68868640}" type="presParOf" srcId="{B8B307C5-5AC1-4F30-8B4C-45C60B2FD2B1}" destId="{E1A5B43D-5C3C-4B5D-A18E-78FB94E5E3D1}" srcOrd="4" destOrd="0" presId="urn:microsoft.com/office/officeart/2005/8/layout/list1"/>
    <dgm:cxn modelId="{E8000F82-2971-4408-9D88-4A00C29DFCEC}" type="presParOf" srcId="{E1A5B43D-5C3C-4B5D-A18E-78FB94E5E3D1}" destId="{A01B4469-ED78-4652-A25A-E6070CFA86AE}" srcOrd="0" destOrd="0" presId="urn:microsoft.com/office/officeart/2005/8/layout/list1"/>
    <dgm:cxn modelId="{46A7E4B9-8F3B-4F51-B166-7FC4D1E81F6D}" type="presParOf" srcId="{E1A5B43D-5C3C-4B5D-A18E-78FB94E5E3D1}" destId="{020B2FC8-5D9F-4351-B222-6A8D8BFB6169}" srcOrd="1" destOrd="0" presId="urn:microsoft.com/office/officeart/2005/8/layout/list1"/>
    <dgm:cxn modelId="{40218F35-BCD6-45A4-9560-ADDA3C156DDC}" type="presParOf" srcId="{B8B307C5-5AC1-4F30-8B4C-45C60B2FD2B1}" destId="{3CC79DEE-186E-4152-A06F-69C6C89ED147}" srcOrd="5" destOrd="0" presId="urn:microsoft.com/office/officeart/2005/8/layout/list1"/>
    <dgm:cxn modelId="{567763A7-6748-407B-B2DD-04C27C45E6C7}" type="presParOf" srcId="{B8B307C5-5AC1-4F30-8B4C-45C60B2FD2B1}" destId="{832443D6-8B61-462E-AB04-87CDC69E40F5}" srcOrd="6" destOrd="0" presId="urn:microsoft.com/office/officeart/2005/8/layout/list1"/>
    <dgm:cxn modelId="{245A8696-4C1F-42B0-B262-9BD9D62022BF}" type="presParOf" srcId="{B8B307C5-5AC1-4F30-8B4C-45C60B2FD2B1}" destId="{1FE5CCB0-6192-4AB2-ADB4-488D9C468401}" srcOrd="7" destOrd="0" presId="urn:microsoft.com/office/officeart/2005/8/layout/list1"/>
    <dgm:cxn modelId="{89FBDBFB-3849-417C-B1DB-5236872979EC}" type="presParOf" srcId="{B8B307C5-5AC1-4F30-8B4C-45C60B2FD2B1}" destId="{C9C6BB11-C949-4F3C-81E9-B6C6063CB932}" srcOrd="8" destOrd="0" presId="urn:microsoft.com/office/officeart/2005/8/layout/list1"/>
    <dgm:cxn modelId="{4C24C6D2-8762-409A-A5E2-430877EE5AC9}" type="presParOf" srcId="{C9C6BB11-C949-4F3C-81E9-B6C6063CB932}" destId="{ACBC8360-7D1B-479A-9493-EA01EA4DB16C}" srcOrd="0" destOrd="0" presId="urn:microsoft.com/office/officeart/2005/8/layout/list1"/>
    <dgm:cxn modelId="{AAFB8B93-1DFE-49A5-B44D-B07AFB5EEB34}" type="presParOf" srcId="{C9C6BB11-C949-4F3C-81E9-B6C6063CB932}" destId="{EA5636D4-A52F-4D91-8BA7-0C848C86D0F5}" srcOrd="1" destOrd="0" presId="urn:microsoft.com/office/officeart/2005/8/layout/list1"/>
    <dgm:cxn modelId="{74279871-880D-4671-B091-61081AA230FA}" type="presParOf" srcId="{B8B307C5-5AC1-4F30-8B4C-45C60B2FD2B1}" destId="{049DC07E-9E6C-410D-B3E5-37419BFC71E6}" srcOrd="9" destOrd="0" presId="urn:microsoft.com/office/officeart/2005/8/layout/list1"/>
    <dgm:cxn modelId="{3A59B4CE-EC4D-43B4-A53F-05330BCEDF12}" type="presParOf" srcId="{B8B307C5-5AC1-4F30-8B4C-45C60B2FD2B1}" destId="{6DFECA0E-FB0B-4BA2-96DC-1B22AC389F02}" srcOrd="10" destOrd="0" presId="urn:microsoft.com/office/officeart/2005/8/layout/list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1CC96E0C-4D82-4002-BC45-9C67BDC7BB0B}" type="doc">
      <dgm:prSet loTypeId="urn:microsoft.com/office/officeart/2005/8/layout/hList6" loCatId="list" qsTypeId="urn:microsoft.com/office/officeart/2005/8/quickstyle/simple1" qsCatId="simple" csTypeId="urn:microsoft.com/office/officeart/2005/8/colors/colorful3" csCatId="colorful" phldr="1"/>
      <dgm:spPr/>
      <dgm:t>
        <a:bodyPr/>
        <a:lstStyle/>
        <a:p>
          <a:endParaRPr lang="en-GB"/>
        </a:p>
      </dgm:t>
    </dgm:pt>
    <dgm:pt modelId="{4A15628F-C0A4-4A60-837E-568AAEE46536}">
      <dgm:prSet phldrT="[Text]"/>
      <dgm:spPr/>
      <dgm:t>
        <a:bodyPr/>
        <a:lstStyle/>
        <a:p>
          <a:r>
            <a:rPr lang="en-GB" b="1">
              <a:solidFill>
                <a:sysClr val="windowText" lastClr="000000"/>
              </a:solidFill>
              <a:latin typeface="Times New Roman" panose="02020603050405020304" pitchFamily="18" charset="0"/>
              <a:cs typeface="Times New Roman" panose="02020603050405020304" pitchFamily="18" charset="0"/>
            </a:rPr>
            <a:t>Growth Strategy</a:t>
          </a:r>
          <a:endParaRPr lang="en-GB">
            <a:solidFill>
              <a:sysClr val="windowText" lastClr="000000"/>
            </a:solidFill>
            <a:latin typeface="Times New Roman" panose="02020603050405020304" pitchFamily="18" charset="0"/>
            <a:cs typeface="Times New Roman" panose="02020603050405020304" pitchFamily="18" charset="0"/>
          </a:endParaRPr>
        </a:p>
      </dgm:t>
    </dgm:pt>
    <dgm:pt modelId="{D0637271-B72F-45B9-971B-B504F9CAD50D}" type="parTrans" cxnId="{E1D6C371-8EAD-43D2-9DE3-51D1D80C4660}">
      <dgm:prSet/>
      <dgm:spPr/>
      <dgm:t>
        <a:bodyPr/>
        <a:lstStyle/>
        <a:p>
          <a:endParaRPr lang="en-GB">
            <a:solidFill>
              <a:sysClr val="windowText" lastClr="000000"/>
            </a:solidFill>
          </a:endParaRPr>
        </a:p>
      </dgm:t>
    </dgm:pt>
    <dgm:pt modelId="{364CAAF8-FD09-46B4-899F-2CC36964E306}" type="sibTrans" cxnId="{E1D6C371-8EAD-43D2-9DE3-51D1D80C4660}">
      <dgm:prSet/>
      <dgm:spPr/>
      <dgm:t>
        <a:bodyPr/>
        <a:lstStyle/>
        <a:p>
          <a:endParaRPr lang="en-GB">
            <a:solidFill>
              <a:sysClr val="windowText" lastClr="000000"/>
            </a:solidFill>
          </a:endParaRPr>
        </a:p>
      </dgm:t>
    </dgm:pt>
    <dgm:pt modelId="{0307BF66-9468-403A-B18B-DD42A27DA5C4}">
      <dgm:prSet phldrT="[Text]"/>
      <dgm:spPr/>
      <dgm:t>
        <a:bodyPr/>
        <a:lstStyle/>
        <a:p>
          <a:r>
            <a:rPr lang="en-GB" b="1">
              <a:solidFill>
                <a:sysClr val="windowText" lastClr="000000"/>
              </a:solidFill>
              <a:latin typeface="Times New Roman" panose="02020603050405020304" pitchFamily="18" charset="0"/>
              <a:cs typeface="Times New Roman" panose="02020603050405020304" pitchFamily="18" charset="0"/>
            </a:rPr>
            <a:t>Brand portfolio and global presence</a:t>
          </a:r>
          <a:endParaRPr lang="en-GB">
            <a:solidFill>
              <a:sysClr val="windowText" lastClr="000000"/>
            </a:solidFill>
            <a:latin typeface="Times New Roman" panose="02020603050405020304" pitchFamily="18" charset="0"/>
            <a:cs typeface="Times New Roman" panose="02020603050405020304" pitchFamily="18" charset="0"/>
          </a:endParaRPr>
        </a:p>
      </dgm:t>
    </dgm:pt>
    <dgm:pt modelId="{007EFCA7-D752-4103-A46E-B3241B29111E}" type="parTrans" cxnId="{5328D27D-E8EF-4AC6-9994-51B4EA25F690}">
      <dgm:prSet/>
      <dgm:spPr/>
      <dgm:t>
        <a:bodyPr/>
        <a:lstStyle/>
        <a:p>
          <a:endParaRPr lang="en-GB">
            <a:solidFill>
              <a:sysClr val="windowText" lastClr="000000"/>
            </a:solidFill>
          </a:endParaRPr>
        </a:p>
      </dgm:t>
    </dgm:pt>
    <dgm:pt modelId="{7FB848CB-0B25-4F76-A0D5-0DB92BAEE901}" type="sibTrans" cxnId="{5328D27D-E8EF-4AC6-9994-51B4EA25F690}">
      <dgm:prSet/>
      <dgm:spPr/>
      <dgm:t>
        <a:bodyPr/>
        <a:lstStyle/>
        <a:p>
          <a:endParaRPr lang="en-GB">
            <a:solidFill>
              <a:sysClr val="windowText" lastClr="000000"/>
            </a:solidFill>
          </a:endParaRPr>
        </a:p>
      </dgm:t>
    </dgm:pt>
    <dgm:pt modelId="{8375592D-9391-4E00-8982-2895744B7519}">
      <dgm:prSet phldrT="[Text]"/>
      <dgm:spPr/>
      <dgm:t>
        <a:bodyPr/>
        <a:lstStyle/>
        <a:p>
          <a:r>
            <a:rPr lang="en-GB" b="1">
              <a:solidFill>
                <a:sysClr val="windowText" lastClr="000000"/>
              </a:solidFill>
              <a:latin typeface="Times New Roman" panose="02020603050405020304" pitchFamily="18" charset="0"/>
              <a:cs typeface="Times New Roman" panose="02020603050405020304" pitchFamily="18" charset="0"/>
            </a:rPr>
            <a:t>Development Pipeline</a:t>
          </a:r>
          <a:endParaRPr lang="en-GB">
            <a:solidFill>
              <a:sysClr val="windowText" lastClr="000000"/>
            </a:solidFill>
            <a:latin typeface="Times New Roman" panose="02020603050405020304" pitchFamily="18" charset="0"/>
            <a:cs typeface="Times New Roman" panose="02020603050405020304" pitchFamily="18" charset="0"/>
          </a:endParaRPr>
        </a:p>
      </dgm:t>
    </dgm:pt>
    <dgm:pt modelId="{CA4A1962-00DC-4DC8-9A99-A697179CCBC2}" type="parTrans" cxnId="{0EAC6F6E-7588-4D3B-945C-055CEC9A5F48}">
      <dgm:prSet/>
      <dgm:spPr/>
      <dgm:t>
        <a:bodyPr/>
        <a:lstStyle/>
        <a:p>
          <a:endParaRPr lang="en-GB">
            <a:solidFill>
              <a:sysClr val="windowText" lastClr="000000"/>
            </a:solidFill>
          </a:endParaRPr>
        </a:p>
      </dgm:t>
    </dgm:pt>
    <dgm:pt modelId="{A124A350-6911-488A-B340-A09553005DD5}" type="sibTrans" cxnId="{0EAC6F6E-7588-4D3B-945C-055CEC9A5F48}">
      <dgm:prSet/>
      <dgm:spPr/>
      <dgm:t>
        <a:bodyPr/>
        <a:lstStyle/>
        <a:p>
          <a:endParaRPr lang="en-GB">
            <a:solidFill>
              <a:sysClr val="windowText" lastClr="000000"/>
            </a:solidFill>
          </a:endParaRPr>
        </a:p>
      </dgm:t>
    </dgm:pt>
    <dgm:pt modelId="{6B2A7619-1939-4F6F-BEA2-D420A6A66FA9}" type="pres">
      <dgm:prSet presAssocID="{1CC96E0C-4D82-4002-BC45-9C67BDC7BB0B}" presName="Name0" presStyleCnt="0">
        <dgm:presLayoutVars>
          <dgm:dir/>
          <dgm:resizeHandles val="exact"/>
        </dgm:presLayoutVars>
      </dgm:prSet>
      <dgm:spPr/>
    </dgm:pt>
    <dgm:pt modelId="{0D578993-9C58-4077-8863-03EE730FB82A}" type="pres">
      <dgm:prSet presAssocID="{4A15628F-C0A4-4A60-837E-568AAEE46536}" presName="node" presStyleLbl="node1" presStyleIdx="0" presStyleCnt="3">
        <dgm:presLayoutVars>
          <dgm:bulletEnabled val="1"/>
        </dgm:presLayoutVars>
      </dgm:prSet>
      <dgm:spPr/>
    </dgm:pt>
    <dgm:pt modelId="{1E1AE679-A984-44A4-9853-5BAE9C7C4A5F}" type="pres">
      <dgm:prSet presAssocID="{364CAAF8-FD09-46B4-899F-2CC36964E306}" presName="sibTrans" presStyleCnt="0"/>
      <dgm:spPr/>
    </dgm:pt>
    <dgm:pt modelId="{0CE60E31-5212-46F5-9DAE-B264D0180E49}" type="pres">
      <dgm:prSet presAssocID="{0307BF66-9468-403A-B18B-DD42A27DA5C4}" presName="node" presStyleLbl="node1" presStyleIdx="1" presStyleCnt="3">
        <dgm:presLayoutVars>
          <dgm:bulletEnabled val="1"/>
        </dgm:presLayoutVars>
      </dgm:prSet>
      <dgm:spPr/>
    </dgm:pt>
    <dgm:pt modelId="{2A83D886-1236-4F18-B4FC-C2B021317768}" type="pres">
      <dgm:prSet presAssocID="{7FB848CB-0B25-4F76-A0D5-0DB92BAEE901}" presName="sibTrans" presStyleCnt="0"/>
      <dgm:spPr/>
    </dgm:pt>
    <dgm:pt modelId="{C597956C-1F0C-4A20-B431-224B65EAB607}" type="pres">
      <dgm:prSet presAssocID="{8375592D-9391-4E00-8982-2895744B7519}" presName="node" presStyleLbl="node1" presStyleIdx="2" presStyleCnt="3">
        <dgm:presLayoutVars>
          <dgm:bulletEnabled val="1"/>
        </dgm:presLayoutVars>
      </dgm:prSet>
      <dgm:spPr/>
    </dgm:pt>
  </dgm:ptLst>
  <dgm:cxnLst>
    <dgm:cxn modelId="{A0159767-D781-464A-802A-FA548AF33235}" type="presOf" srcId="{4A15628F-C0A4-4A60-837E-568AAEE46536}" destId="{0D578993-9C58-4077-8863-03EE730FB82A}" srcOrd="0" destOrd="0" presId="urn:microsoft.com/office/officeart/2005/8/layout/hList6"/>
    <dgm:cxn modelId="{0EAC6F6E-7588-4D3B-945C-055CEC9A5F48}" srcId="{1CC96E0C-4D82-4002-BC45-9C67BDC7BB0B}" destId="{8375592D-9391-4E00-8982-2895744B7519}" srcOrd="2" destOrd="0" parTransId="{CA4A1962-00DC-4DC8-9A99-A697179CCBC2}" sibTransId="{A124A350-6911-488A-B340-A09553005DD5}"/>
    <dgm:cxn modelId="{3C00886F-081C-4AB9-B235-326D2C6446E8}" type="presOf" srcId="{1CC96E0C-4D82-4002-BC45-9C67BDC7BB0B}" destId="{6B2A7619-1939-4F6F-BEA2-D420A6A66FA9}" srcOrd="0" destOrd="0" presId="urn:microsoft.com/office/officeart/2005/8/layout/hList6"/>
    <dgm:cxn modelId="{E1D6C371-8EAD-43D2-9DE3-51D1D80C4660}" srcId="{1CC96E0C-4D82-4002-BC45-9C67BDC7BB0B}" destId="{4A15628F-C0A4-4A60-837E-568AAEE46536}" srcOrd="0" destOrd="0" parTransId="{D0637271-B72F-45B9-971B-B504F9CAD50D}" sibTransId="{364CAAF8-FD09-46B4-899F-2CC36964E306}"/>
    <dgm:cxn modelId="{5328D27D-E8EF-4AC6-9994-51B4EA25F690}" srcId="{1CC96E0C-4D82-4002-BC45-9C67BDC7BB0B}" destId="{0307BF66-9468-403A-B18B-DD42A27DA5C4}" srcOrd="1" destOrd="0" parTransId="{007EFCA7-D752-4103-A46E-B3241B29111E}" sibTransId="{7FB848CB-0B25-4F76-A0D5-0DB92BAEE901}"/>
    <dgm:cxn modelId="{4C18A38F-A6D0-4A89-8847-83BC914BF81D}" type="presOf" srcId="{8375592D-9391-4E00-8982-2895744B7519}" destId="{C597956C-1F0C-4A20-B431-224B65EAB607}" srcOrd="0" destOrd="0" presId="urn:microsoft.com/office/officeart/2005/8/layout/hList6"/>
    <dgm:cxn modelId="{4FEFEAF4-02D2-4487-BEBE-9027A00EC47B}" type="presOf" srcId="{0307BF66-9468-403A-B18B-DD42A27DA5C4}" destId="{0CE60E31-5212-46F5-9DAE-B264D0180E49}" srcOrd="0" destOrd="0" presId="urn:microsoft.com/office/officeart/2005/8/layout/hList6"/>
    <dgm:cxn modelId="{76B9304D-B9F1-4C20-B067-2B2B375B2BA3}" type="presParOf" srcId="{6B2A7619-1939-4F6F-BEA2-D420A6A66FA9}" destId="{0D578993-9C58-4077-8863-03EE730FB82A}" srcOrd="0" destOrd="0" presId="urn:microsoft.com/office/officeart/2005/8/layout/hList6"/>
    <dgm:cxn modelId="{DE037664-1135-4936-B0C6-079EB7F4F4F7}" type="presParOf" srcId="{6B2A7619-1939-4F6F-BEA2-D420A6A66FA9}" destId="{1E1AE679-A984-44A4-9853-5BAE9C7C4A5F}" srcOrd="1" destOrd="0" presId="urn:microsoft.com/office/officeart/2005/8/layout/hList6"/>
    <dgm:cxn modelId="{BAEC82F0-D490-4222-97F0-E25CFD53B7AE}" type="presParOf" srcId="{6B2A7619-1939-4F6F-BEA2-D420A6A66FA9}" destId="{0CE60E31-5212-46F5-9DAE-B264D0180E49}" srcOrd="2" destOrd="0" presId="urn:microsoft.com/office/officeart/2005/8/layout/hList6"/>
    <dgm:cxn modelId="{EC302768-6FC6-450A-9EB9-D96C15167401}" type="presParOf" srcId="{6B2A7619-1939-4F6F-BEA2-D420A6A66FA9}" destId="{2A83D886-1236-4F18-B4FC-C2B021317768}" srcOrd="3" destOrd="0" presId="urn:microsoft.com/office/officeart/2005/8/layout/hList6"/>
    <dgm:cxn modelId="{886A3649-BCB4-481C-B5CA-BBB9CDB9A1E7}" type="presParOf" srcId="{6B2A7619-1939-4F6F-BEA2-D420A6A66FA9}" destId="{C597956C-1F0C-4A20-B431-224B65EAB607}" srcOrd="4" destOrd="0" presId="urn:microsoft.com/office/officeart/2005/8/layout/hList6"/>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4DAC748-225E-43B3-A836-1272B55A736D}">
      <dsp:nvSpPr>
        <dsp:cNvPr id="0" name=""/>
        <dsp:cNvSpPr/>
      </dsp:nvSpPr>
      <dsp:spPr>
        <a:xfrm>
          <a:off x="0" y="275422"/>
          <a:ext cx="5486400" cy="453600"/>
        </a:xfrm>
        <a:prstGeom prst="rect">
          <a:avLst/>
        </a:prstGeom>
        <a:solidFill>
          <a:schemeClr val="lt1">
            <a:alpha val="90000"/>
            <a:hueOff val="0"/>
            <a:satOff val="0"/>
            <a:lumOff val="0"/>
            <a:alphaOff val="0"/>
          </a:schemeClr>
        </a:solidFill>
        <a:ln w="6350" cap="flat" cmpd="sng" algn="ctr">
          <a:solidFill>
            <a:schemeClr val="accent5">
              <a:hueOff val="0"/>
              <a:satOff val="0"/>
              <a:lumOff val="0"/>
              <a:alphaOff val="0"/>
            </a:schemeClr>
          </a:solidFill>
          <a:prstDash val="solid"/>
          <a:miter lim="800000"/>
        </a:ln>
        <a:effectLst/>
        <a:sp3d z="-161800" extrusionH="10600" prstMaterial="matte">
          <a:bevelT w="90600" h="18600" prst="softRound"/>
          <a:bevelB w="48600" h="8600" prst="relaxedInset"/>
        </a:sp3d>
      </dsp:spPr>
      <dsp:style>
        <a:lnRef idx="1">
          <a:scrgbClr r="0" g="0" b="0"/>
        </a:lnRef>
        <a:fillRef idx="1">
          <a:scrgbClr r="0" g="0" b="0"/>
        </a:fillRef>
        <a:effectRef idx="0">
          <a:scrgbClr r="0" g="0" b="0"/>
        </a:effectRef>
        <a:fontRef idx="minor"/>
      </dsp:style>
    </dsp:sp>
    <dsp:sp modelId="{15CCACDE-6F57-446E-8099-838CB2AFB5D1}">
      <dsp:nvSpPr>
        <dsp:cNvPr id="0" name=""/>
        <dsp:cNvSpPr/>
      </dsp:nvSpPr>
      <dsp:spPr>
        <a:xfrm>
          <a:off x="274320" y="9742"/>
          <a:ext cx="3840480" cy="531360"/>
        </a:xfrm>
        <a:prstGeom prst="roundRect">
          <a:avLst/>
        </a:prstGeom>
        <a:solidFill>
          <a:schemeClr val="accent5">
            <a:hueOff val="0"/>
            <a:satOff val="0"/>
            <a:lumOff val="0"/>
            <a:alphaOff val="0"/>
          </a:schemeClr>
        </a:solidFill>
        <a:ln>
          <a:noFill/>
        </a:ln>
        <a:effectLst/>
        <a:sp3d extrusionH="50600" prstMaterial="metal">
          <a:bevelT w="101600" h="80600" prst="relaxedInset"/>
          <a:bevelB w="80600" h="80600" prst="relaxedInset"/>
        </a:sp3d>
      </dsp:spPr>
      <dsp:style>
        <a:lnRef idx="0">
          <a:scrgbClr r="0" g="0" b="0"/>
        </a:lnRef>
        <a:fillRef idx="1">
          <a:scrgbClr r="0" g="0" b="0"/>
        </a:fillRef>
        <a:effectRef idx="1">
          <a:scrgbClr r="0" g="0" b="0"/>
        </a:effectRef>
        <a:fontRef idx="minor">
          <a:schemeClr val="dk1"/>
        </a:fontRef>
      </dsp:style>
      <dsp:txBody>
        <a:bodyPr spcFirstLastPara="0" vert="horz" wrap="square" lIns="145161" tIns="0" rIns="145161" bIns="0" numCol="1" spcCol="1270" anchor="ctr" anchorCtr="0">
          <a:noAutofit/>
        </a:bodyPr>
        <a:lstStyle/>
        <a:p>
          <a:pPr marL="0" lvl="0" indent="0" algn="l" defTabSz="800100">
            <a:lnSpc>
              <a:spcPct val="90000"/>
            </a:lnSpc>
            <a:spcBef>
              <a:spcPct val="0"/>
            </a:spcBef>
            <a:spcAft>
              <a:spcPct val="35000"/>
            </a:spcAft>
            <a:buNone/>
          </a:pPr>
          <a:r>
            <a:rPr lang="en-GB" sz="1800" b="1" kern="1200">
              <a:latin typeface="Times New Roman" panose="02020603050405020304" pitchFamily="18" charset="0"/>
              <a:cs typeface="Times New Roman" panose="02020603050405020304" pitchFamily="18" charset="0"/>
            </a:rPr>
            <a:t>Revenue streams</a:t>
          </a:r>
          <a:endParaRPr lang="en-GB" sz="1800" kern="1200">
            <a:latin typeface="Times New Roman" panose="02020603050405020304" pitchFamily="18" charset="0"/>
            <a:cs typeface="Times New Roman" panose="02020603050405020304" pitchFamily="18" charset="0"/>
          </a:endParaRPr>
        </a:p>
      </dsp:txBody>
      <dsp:txXfrm>
        <a:off x="300259" y="35681"/>
        <a:ext cx="3788602" cy="479482"/>
      </dsp:txXfrm>
    </dsp:sp>
    <dsp:sp modelId="{832443D6-8B61-462E-AB04-87CDC69E40F5}">
      <dsp:nvSpPr>
        <dsp:cNvPr id="0" name=""/>
        <dsp:cNvSpPr/>
      </dsp:nvSpPr>
      <dsp:spPr>
        <a:xfrm>
          <a:off x="0" y="1091902"/>
          <a:ext cx="5486400" cy="453600"/>
        </a:xfrm>
        <a:prstGeom prst="rect">
          <a:avLst/>
        </a:prstGeom>
        <a:solidFill>
          <a:schemeClr val="lt1">
            <a:alpha val="90000"/>
            <a:hueOff val="0"/>
            <a:satOff val="0"/>
            <a:lumOff val="0"/>
            <a:alphaOff val="0"/>
          </a:schemeClr>
        </a:solidFill>
        <a:ln w="6350" cap="flat" cmpd="sng" algn="ctr">
          <a:solidFill>
            <a:schemeClr val="accent5">
              <a:hueOff val="-3676672"/>
              <a:satOff val="-5114"/>
              <a:lumOff val="-1961"/>
              <a:alphaOff val="0"/>
            </a:schemeClr>
          </a:solidFill>
          <a:prstDash val="solid"/>
          <a:miter lim="800000"/>
        </a:ln>
        <a:effectLst/>
        <a:sp3d z="-161800" extrusionH="10600" prstMaterial="matte">
          <a:bevelT w="90600" h="18600" prst="softRound"/>
          <a:bevelB w="48600" h="8600" prst="relaxedInset"/>
        </a:sp3d>
      </dsp:spPr>
      <dsp:style>
        <a:lnRef idx="1">
          <a:scrgbClr r="0" g="0" b="0"/>
        </a:lnRef>
        <a:fillRef idx="1">
          <a:scrgbClr r="0" g="0" b="0"/>
        </a:fillRef>
        <a:effectRef idx="0">
          <a:scrgbClr r="0" g="0" b="0"/>
        </a:effectRef>
        <a:fontRef idx="minor"/>
      </dsp:style>
    </dsp:sp>
    <dsp:sp modelId="{020B2FC8-5D9F-4351-B222-6A8D8BFB6169}">
      <dsp:nvSpPr>
        <dsp:cNvPr id="0" name=""/>
        <dsp:cNvSpPr/>
      </dsp:nvSpPr>
      <dsp:spPr>
        <a:xfrm>
          <a:off x="274320" y="826222"/>
          <a:ext cx="3840480" cy="531360"/>
        </a:xfrm>
        <a:prstGeom prst="roundRect">
          <a:avLst/>
        </a:prstGeom>
        <a:solidFill>
          <a:schemeClr val="accent5">
            <a:hueOff val="-3676672"/>
            <a:satOff val="-5114"/>
            <a:lumOff val="-1961"/>
            <a:alphaOff val="0"/>
          </a:schemeClr>
        </a:solidFill>
        <a:ln>
          <a:noFill/>
        </a:ln>
        <a:effectLst/>
        <a:sp3d extrusionH="50600" prstMaterial="metal">
          <a:bevelT w="101600" h="80600" prst="relaxedInset"/>
          <a:bevelB w="80600" h="80600" prst="relaxedInset"/>
        </a:sp3d>
      </dsp:spPr>
      <dsp:style>
        <a:lnRef idx="0">
          <a:scrgbClr r="0" g="0" b="0"/>
        </a:lnRef>
        <a:fillRef idx="1">
          <a:scrgbClr r="0" g="0" b="0"/>
        </a:fillRef>
        <a:effectRef idx="1">
          <a:scrgbClr r="0" g="0" b="0"/>
        </a:effectRef>
        <a:fontRef idx="minor">
          <a:schemeClr val="dk1"/>
        </a:fontRef>
      </dsp:style>
      <dsp:txBody>
        <a:bodyPr spcFirstLastPara="0" vert="horz" wrap="square" lIns="145161" tIns="0" rIns="145161" bIns="0" numCol="1" spcCol="1270" anchor="ctr" anchorCtr="0">
          <a:noAutofit/>
        </a:bodyPr>
        <a:lstStyle/>
        <a:p>
          <a:pPr marL="0" lvl="0" indent="0" algn="l" defTabSz="800100">
            <a:lnSpc>
              <a:spcPct val="90000"/>
            </a:lnSpc>
            <a:spcBef>
              <a:spcPct val="0"/>
            </a:spcBef>
            <a:spcAft>
              <a:spcPct val="35000"/>
            </a:spcAft>
            <a:buNone/>
          </a:pPr>
          <a:r>
            <a:rPr lang="en-GB" sz="1800" b="1" kern="1200">
              <a:latin typeface="Times New Roman" panose="02020603050405020304" pitchFamily="18" charset="0"/>
              <a:cs typeface="Times New Roman" panose="02020603050405020304" pitchFamily="18" charset="0"/>
            </a:rPr>
            <a:t>Geographical distribution</a:t>
          </a:r>
          <a:endParaRPr lang="en-GB" sz="1800" kern="1200">
            <a:latin typeface="Times New Roman" panose="02020603050405020304" pitchFamily="18" charset="0"/>
            <a:cs typeface="Times New Roman" panose="02020603050405020304" pitchFamily="18" charset="0"/>
          </a:endParaRPr>
        </a:p>
      </dsp:txBody>
      <dsp:txXfrm>
        <a:off x="300259" y="852161"/>
        <a:ext cx="3788602" cy="479482"/>
      </dsp:txXfrm>
    </dsp:sp>
    <dsp:sp modelId="{6DFECA0E-FB0B-4BA2-96DC-1B22AC389F02}">
      <dsp:nvSpPr>
        <dsp:cNvPr id="0" name=""/>
        <dsp:cNvSpPr/>
      </dsp:nvSpPr>
      <dsp:spPr>
        <a:xfrm>
          <a:off x="0" y="1908382"/>
          <a:ext cx="5486400" cy="453600"/>
        </a:xfrm>
        <a:prstGeom prst="rect">
          <a:avLst/>
        </a:prstGeom>
        <a:solidFill>
          <a:schemeClr val="lt1">
            <a:alpha val="90000"/>
            <a:hueOff val="0"/>
            <a:satOff val="0"/>
            <a:lumOff val="0"/>
            <a:alphaOff val="0"/>
          </a:schemeClr>
        </a:solidFill>
        <a:ln w="6350" cap="flat" cmpd="sng" algn="ctr">
          <a:solidFill>
            <a:schemeClr val="accent5">
              <a:hueOff val="-7353344"/>
              <a:satOff val="-10228"/>
              <a:lumOff val="-3922"/>
              <a:alphaOff val="0"/>
            </a:schemeClr>
          </a:solidFill>
          <a:prstDash val="solid"/>
          <a:miter lim="800000"/>
        </a:ln>
        <a:effectLst/>
        <a:sp3d z="-161800" extrusionH="10600" prstMaterial="matte">
          <a:bevelT w="90600" h="18600" prst="softRound"/>
          <a:bevelB w="48600" h="8600" prst="relaxedInset"/>
        </a:sp3d>
      </dsp:spPr>
      <dsp:style>
        <a:lnRef idx="1">
          <a:scrgbClr r="0" g="0" b="0"/>
        </a:lnRef>
        <a:fillRef idx="1">
          <a:scrgbClr r="0" g="0" b="0"/>
        </a:fillRef>
        <a:effectRef idx="0">
          <a:scrgbClr r="0" g="0" b="0"/>
        </a:effectRef>
        <a:fontRef idx="minor"/>
      </dsp:style>
    </dsp:sp>
    <dsp:sp modelId="{EA5636D4-A52F-4D91-8BA7-0C848C86D0F5}">
      <dsp:nvSpPr>
        <dsp:cNvPr id="0" name=""/>
        <dsp:cNvSpPr/>
      </dsp:nvSpPr>
      <dsp:spPr>
        <a:xfrm>
          <a:off x="274320" y="1642702"/>
          <a:ext cx="3840480" cy="531360"/>
        </a:xfrm>
        <a:prstGeom prst="roundRect">
          <a:avLst/>
        </a:prstGeom>
        <a:solidFill>
          <a:schemeClr val="accent5">
            <a:hueOff val="-7353344"/>
            <a:satOff val="-10228"/>
            <a:lumOff val="-3922"/>
            <a:alphaOff val="0"/>
          </a:schemeClr>
        </a:solidFill>
        <a:ln>
          <a:noFill/>
        </a:ln>
        <a:effectLst/>
        <a:sp3d extrusionH="50600" prstMaterial="metal">
          <a:bevelT w="101600" h="80600" prst="relaxedInset"/>
          <a:bevelB w="80600" h="80600" prst="relaxedInset"/>
        </a:sp3d>
      </dsp:spPr>
      <dsp:style>
        <a:lnRef idx="0">
          <a:scrgbClr r="0" g="0" b="0"/>
        </a:lnRef>
        <a:fillRef idx="1">
          <a:scrgbClr r="0" g="0" b="0"/>
        </a:fillRef>
        <a:effectRef idx="1">
          <a:scrgbClr r="0" g="0" b="0"/>
        </a:effectRef>
        <a:fontRef idx="minor">
          <a:schemeClr val="dk1"/>
        </a:fontRef>
      </dsp:style>
      <dsp:txBody>
        <a:bodyPr spcFirstLastPara="0" vert="horz" wrap="square" lIns="145161" tIns="0" rIns="145161" bIns="0" numCol="1" spcCol="1270" anchor="ctr" anchorCtr="0">
          <a:noAutofit/>
        </a:bodyPr>
        <a:lstStyle/>
        <a:p>
          <a:pPr marL="0" lvl="0" indent="0" algn="l" defTabSz="800100">
            <a:lnSpc>
              <a:spcPct val="90000"/>
            </a:lnSpc>
            <a:spcBef>
              <a:spcPct val="0"/>
            </a:spcBef>
            <a:spcAft>
              <a:spcPct val="35000"/>
            </a:spcAft>
            <a:buNone/>
          </a:pPr>
          <a:r>
            <a:rPr lang="en-GB" sz="1800" b="1" kern="1200">
              <a:latin typeface="Times New Roman" panose="02020603050405020304" pitchFamily="18" charset="0"/>
              <a:cs typeface="Times New Roman" panose="02020603050405020304" pitchFamily="18" charset="0"/>
            </a:rPr>
            <a:t>RevPAR performance</a:t>
          </a:r>
          <a:endParaRPr lang="en-GB" sz="1800" kern="1200">
            <a:latin typeface="Times New Roman" panose="02020603050405020304" pitchFamily="18" charset="0"/>
            <a:cs typeface="Times New Roman" panose="02020603050405020304" pitchFamily="18" charset="0"/>
          </a:endParaRPr>
        </a:p>
      </dsp:txBody>
      <dsp:txXfrm>
        <a:off x="300259" y="1668641"/>
        <a:ext cx="3788602" cy="479482"/>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D578993-9C58-4077-8863-03EE730FB82A}">
      <dsp:nvSpPr>
        <dsp:cNvPr id="0" name=""/>
        <dsp:cNvSpPr/>
      </dsp:nvSpPr>
      <dsp:spPr>
        <a:xfrm rot="16200000">
          <a:off x="-371698" y="372367"/>
          <a:ext cx="2486025" cy="1741289"/>
        </a:xfrm>
        <a:prstGeom prst="flowChartManualOperation">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0" tIns="0" rIns="128002" bIns="0" numCol="1" spcCol="1270" anchor="ctr" anchorCtr="0">
          <a:noAutofit/>
        </a:bodyPr>
        <a:lstStyle/>
        <a:p>
          <a:pPr marL="0" lvl="0" indent="0" algn="ctr" defTabSz="889000">
            <a:lnSpc>
              <a:spcPct val="90000"/>
            </a:lnSpc>
            <a:spcBef>
              <a:spcPct val="0"/>
            </a:spcBef>
            <a:spcAft>
              <a:spcPct val="35000"/>
            </a:spcAft>
            <a:buNone/>
          </a:pPr>
          <a:r>
            <a:rPr lang="en-GB" sz="2000" b="1" kern="1200">
              <a:solidFill>
                <a:sysClr val="windowText" lastClr="000000"/>
              </a:solidFill>
              <a:latin typeface="Times New Roman" panose="02020603050405020304" pitchFamily="18" charset="0"/>
              <a:cs typeface="Times New Roman" panose="02020603050405020304" pitchFamily="18" charset="0"/>
            </a:rPr>
            <a:t>Growth Strategy</a:t>
          </a:r>
          <a:endParaRPr lang="en-GB" sz="2000" kern="1200">
            <a:solidFill>
              <a:sysClr val="windowText" lastClr="000000"/>
            </a:solidFill>
            <a:latin typeface="Times New Roman" panose="02020603050405020304" pitchFamily="18" charset="0"/>
            <a:cs typeface="Times New Roman" panose="02020603050405020304" pitchFamily="18" charset="0"/>
          </a:endParaRPr>
        </a:p>
      </dsp:txBody>
      <dsp:txXfrm rot="5400000">
        <a:off x="670" y="497204"/>
        <a:ext cx="1741289" cy="1491615"/>
      </dsp:txXfrm>
    </dsp:sp>
    <dsp:sp modelId="{0CE60E31-5212-46F5-9DAE-B264D0180E49}">
      <dsp:nvSpPr>
        <dsp:cNvPr id="0" name=""/>
        <dsp:cNvSpPr/>
      </dsp:nvSpPr>
      <dsp:spPr>
        <a:xfrm rot="16200000">
          <a:off x="1500187" y="372367"/>
          <a:ext cx="2486025" cy="1741289"/>
        </a:xfrm>
        <a:prstGeom prst="flowChartManualOperation">
          <a:avLst/>
        </a:prstGeom>
        <a:solidFill>
          <a:schemeClr val="accent3">
            <a:hueOff val="1355300"/>
            <a:satOff val="50000"/>
            <a:lumOff val="-735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0" tIns="0" rIns="128002" bIns="0" numCol="1" spcCol="1270" anchor="ctr" anchorCtr="0">
          <a:noAutofit/>
        </a:bodyPr>
        <a:lstStyle/>
        <a:p>
          <a:pPr marL="0" lvl="0" indent="0" algn="ctr" defTabSz="889000">
            <a:lnSpc>
              <a:spcPct val="90000"/>
            </a:lnSpc>
            <a:spcBef>
              <a:spcPct val="0"/>
            </a:spcBef>
            <a:spcAft>
              <a:spcPct val="35000"/>
            </a:spcAft>
            <a:buNone/>
          </a:pPr>
          <a:r>
            <a:rPr lang="en-GB" sz="2000" b="1" kern="1200">
              <a:solidFill>
                <a:sysClr val="windowText" lastClr="000000"/>
              </a:solidFill>
              <a:latin typeface="Times New Roman" panose="02020603050405020304" pitchFamily="18" charset="0"/>
              <a:cs typeface="Times New Roman" panose="02020603050405020304" pitchFamily="18" charset="0"/>
            </a:rPr>
            <a:t>Brand portfolio and global presence</a:t>
          </a:r>
          <a:endParaRPr lang="en-GB" sz="2000" kern="1200">
            <a:solidFill>
              <a:sysClr val="windowText" lastClr="000000"/>
            </a:solidFill>
            <a:latin typeface="Times New Roman" panose="02020603050405020304" pitchFamily="18" charset="0"/>
            <a:cs typeface="Times New Roman" panose="02020603050405020304" pitchFamily="18" charset="0"/>
          </a:endParaRPr>
        </a:p>
      </dsp:txBody>
      <dsp:txXfrm rot="5400000">
        <a:off x="1872555" y="497204"/>
        <a:ext cx="1741289" cy="1491615"/>
      </dsp:txXfrm>
    </dsp:sp>
    <dsp:sp modelId="{C597956C-1F0C-4A20-B431-224B65EAB607}">
      <dsp:nvSpPr>
        <dsp:cNvPr id="0" name=""/>
        <dsp:cNvSpPr/>
      </dsp:nvSpPr>
      <dsp:spPr>
        <a:xfrm rot="16200000">
          <a:off x="3372073" y="372367"/>
          <a:ext cx="2486025" cy="1741289"/>
        </a:xfrm>
        <a:prstGeom prst="flowChartManualOperation">
          <a:avLst/>
        </a:prstGeom>
        <a:solidFill>
          <a:schemeClr val="accent3">
            <a:hueOff val="2710599"/>
            <a:satOff val="100000"/>
            <a:lumOff val="-1470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0" tIns="0" rIns="128002" bIns="0" numCol="1" spcCol="1270" anchor="ctr" anchorCtr="0">
          <a:noAutofit/>
        </a:bodyPr>
        <a:lstStyle/>
        <a:p>
          <a:pPr marL="0" lvl="0" indent="0" algn="ctr" defTabSz="889000">
            <a:lnSpc>
              <a:spcPct val="90000"/>
            </a:lnSpc>
            <a:spcBef>
              <a:spcPct val="0"/>
            </a:spcBef>
            <a:spcAft>
              <a:spcPct val="35000"/>
            </a:spcAft>
            <a:buNone/>
          </a:pPr>
          <a:r>
            <a:rPr lang="en-GB" sz="2000" b="1" kern="1200">
              <a:solidFill>
                <a:sysClr val="windowText" lastClr="000000"/>
              </a:solidFill>
              <a:latin typeface="Times New Roman" panose="02020603050405020304" pitchFamily="18" charset="0"/>
              <a:cs typeface="Times New Roman" panose="02020603050405020304" pitchFamily="18" charset="0"/>
            </a:rPr>
            <a:t>Development Pipeline</a:t>
          </a:r>
          <a:endParaRPr lang="en-GB" sz="2000" kern="1200">
            <a:solidFill>
              <a:sysClr val="windowText" lastClr="000000"/>
            </a:solidFill>
            <a:latin typeface="Times New Roman" panose="02020603050405020304" pitchFamily="18" charset="0"/>
            <a:cs typeface="Times New Roman" panose="02020603050405020304" pitchFamily="18" charset="0"/>
          </a:endParaRPr>
        </a:p>
      </dsp:txBody>
      <dsp:txXfrm rot="5400000">
        <a:off x="3744441" y="497204"/>
        <a:ext cx="1741289" cy="1491615"/>
      </dsp:txXfrm>
    </dsp:sp>
  </dsp:spTree>
</dsp:drawing>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hList6">
  <dgm:title val=""/>
  <dgm:desc val=""/>
  <dgm:catLst>
    <dgm:cat type="list" pri="18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ptType="node" refType="h"/>
      <dgm:constr type="w" for="ch" ptType="node" refType="w"/>
      <dgm:constr type="primFontSz" for="ch" ptType="node" op="equ"/>
      <dgm:constr type="w" for="ch" forName="sibTrans" refType="w" fact="0.075"/>
    </dgm:constrLst>
    <dgm:ruleLst/>
    <dgm:forEach name="nodesForEach" axis="ch" ptType="node">
      <dgm:layoutNode name="node">
        <dgm:varLst>
          <dgm:bulletEnabled val="1"/>
        </dgm:varLst>
        <dgm:alg type="tx"/>
        <dgm:choose name="Name4">
          <dgm:if name="Name5" func="var" arg="dir" op="equ" val="norm">
            <dgm:shape xmlns:r="http://schemas.openxmlformats.org/officeDocument/2006/relationships" rot="-90" type="flowChartManualOperation" r:blip="">
              <dgm:adjLst/>
            </dgm:shape>
          </dgm:if>
          <dgm:else name="Name6">
            <dgm:shape xmlns:r="http://schemas.openxmlformats.org/officeDocument/2006/relationships" rot="90" type="flowChartManualOperation" r:blip="">
              <dgm:adjLst/>
            </dgm:shape>
          </dgm:else>
        </dgm:choose>
        <dgm:presOf axis="desOrSelf" ptType="node"/>
        <dgm:constrLst>
          <dgm:constr type="primFontSz" val="65"/>
          <dgm:constr type="tMarg"/>
          <dgm:constr type="bMarg"/>
          <dgm:constr type="lMarg" refType="primFontSz" fact="0.5"/>
          <dgm:constr type="rMarg" refType="lMarg"/>
        </dgm:constrLst>
        <dgm:ruleLst>
          <dgm:rule type="primFontSz" val="5" fact="NaN" max="NaN"/>
        </dgm:ruleLst>
      </dgm:layoutNode>
      <dgm:forEach name="sibTransForEach"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7">
  <dgm:title val=""/>
  <dgm:desc val=""/>
  <dgm:catLst>
    <dgm:cat type="3D" pri="11700"/>
  </dgm:catLst>
  <dgm:scene3d>
    <a:camera prst="perspectiveLeft" zoom="91000"/>
    <a:lightRig rig="threePt" dir="t">
      <a:rot lat="0" lon="0" rev="20640000"/>
    </a:lightRig>
  </dgm:scene3d>
  <dgm:styleLbl name="node0">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lnNode1">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vennNode1">
    <dgm:scene3d>
      <a:camera prst="orthographicFront"/>
      <a:lightRig rig="threePt" dir="t"/>
    </dgm:scene3d>
    <dgm:sp3d extrusionH="50600" prstMaterial="clear">
      <a:bevelT w="101600" h="80600" prst="relaxedInset"/>
      <a:bevelB w="80600" h="80600" prst="relaxedInset"/>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extrusionH="50600" prstMaterial="metal">
      <a:bevelT w="101600" h="80600" prst="relaxedInset"/>
      <a:bevelB w="80600" h="80600" prst="relaxedInset"/>
    </dgm:sp3d>
    <dgm:txPr/>
    <dgm:style>
      <a:lnRef idx="1">
        <a:scrgbClr r="0" g="0" b="0"/>
      </a:lnRef>
      <a:fillRef idx="1">
        <a:scrgbClr r="0" g="0" b="0"/>
      </a:fillRef>
      <a:effectRef idx="1">
        <a:scrgbClr r="0" g="0" b="0"/>
      </a:effectRef>
      <a:fontRef idx="minor">
        <a:schemeClr val="dk1"/>
      </a:fontRef>
    </dgm:style>
  </dgm:styleLbl>
  <dgm:styleLbl name="node1">
    <dgm:scene3d>
      <a:camera prst="orthographicFront"/>
      <a:lightRig rig="threePt" dir="t"/>
    </dgm:scene3d>
    <dgm:sp3d extrusionH="50600" prstMaterial="metal">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node2">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node3">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node4">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fgImgPlace1">
    <dgm:scene3d>
      <a:camera prst="orthographicFront"/>
      <a:lightRig rig="threePt" dir="t"/>
    </dgm:scene3d>
    <dgm:sp3d z="57200" extrusionH="10600" prstMaterial="plastic">
      <a:bevelT w="101600" h="8600" prst="relaxedInset"/>
      <a:bevelB w="8600" h="8600" prst="relaxedInset"/>
    </dgm:sp3d>
    <dgm:txPr/>
    <dgm:style>
      <a:lnRef idx="0">
        <a:scrgbClr r="0" g="0" b="0"/>
      </a:lnRef>
      <a:fillRef idx="1">
        <a:scrgbClr r="0" g="0" b="0"/>
      </a:fillRef>
      <a:effectRef idx="1">
        <a:scrgbClr r="0" g="0" b="0"/>
      </a:effectRef>
      <a:fontRef idx="minor"/>
    </dgm:style>
  </dgm:styleLbl>
  <dgm:styleLbl name="alignImgPlace1">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dgm:style>
  </dgm:styleLbl>
  <dgm:styleLbl name="bgImgPlace1">
    <dgm:scene3d>
      <a:camera prst="orthographicFront"/>
      <a:lightRig rig="threePt" dir="t"/>
    </dgm:scene3d>
    <dgm:sp3d z="-211800" extrusionH="10600" prstMaterial="plastic">
      <a:bevelT w="101600" h="8600" prst="relaxedInset"/>
      <a:bevelB w="8600" h="8600" prst="relaxedInset"/>
    </dgm:sp3d>
    <dgm:txPr/>
    <dgm:style>
      <a:lnRef idx="0">
        <a:scrgbClr r="0" g="0" b="0"/>
      </a:lnRef>
      <a:fillRef idx="1">
        <a:scrgbClr r="0" g="0" b="0"/>
      </a:fillRef>
      <a:effectRef idx="1">
        <a:scrgbClr r="0" g="0" b="0"/>
      </a:effectRef>
      <a:fontRef idx="minor"/>
    </dgm:style>
  </dgm:styleLbl>
  <dgm:styleLbl name="sibTrans2D1">
    <dgm:scene3d>
      <a:camera prst="orthographicFront"/>
      <a:lightRig rig="threePt" dir="t"/>
    </dgm:scene3d>
    <dgm:sp3d z="-110000">
      <a:bevelT w="40600" h="20600" prst="relaxedInset"/>
    </dgm:sp3d>
    <dgm:txPr/>
    <dgm:style>
      <a:lnRef idx="0">
        <a:scrgbClr r="0" g="0" b="0"/>
      </a:lnRef>
      <a:fillRef idx="1">
        <a:scrgbClr r="0" g="0" b="0"/>
      </a:fillRef>
      <a:effectRef idx="2">
        <a:scrgbClr r="0" g="0" b="0"/>
      </a:effectRef>
      <a:fontRef idx="minor"/>
    </dgm:style>
  </dgm:styleLbl>
  <dgm:styleLbl name="fgSibTrans2D1">
    <dgm:scene3d>
      <a:camera prst="orthographicFront"/>
      <a:lightRig rig="threePt" dir="t"/>
    </dgm:scene3d>
    <dgm:sp3d z="10600">
      <a:bevelT w="40600" h="20600" prst="relaxedInset"/>
    </dgm:sp3d>
    <dgm:txPr/>
    <dgm:style>
      <a:lnRef idx="0">
        <a:scrgbClr r="0" g="0" b="0"/>
      </a:lnRef>
      <a:fillRef idx="1">
        <a:scrgbClr r="0" g="0" b="0"/>
      </a:fillRef>
      <a:effectRef idx="2">
        <a:scrgbClr r="0" g="0" b="0"/>
      </a:effectRef>
      <a:fontRef idx="minor"/>
    </dgm:style>
  </dgm:styleLbl>
  <dgm:styleLbl name="bgSibTrans2D1">
    <dgm:scene3d>
      <a:camera prst="orthographicFront"/>
      <a:lightRig rig="threePt" dir="t"/>
    </dgm:scene3d>
    <dgm:sp3d z="-211800">
      <a:bevelT w="40600" h="20600" prst="relaxedInset"/>
    </dgm:sp3d>
    <dgm:txPr/>
    <dgm:style>
      <a:lnRef idx="0">
        <a:scrgbClr r="0" g="0" b="0"/>
      </a:lnRef>
      <a:fillRef idx="1">
        <a:scrgbClr r="0" g="0" b="0"/>
      </a:fillRef>
      <a:effectRef idx="2">
        <a:scrgbClr r="0" g="0" b="0"/>
      </a:effectRef>
      <a:fontRef idx="minor"/>
    </dgm:style>
  </dgm:styleLbl>
  <dgm:styleLbl name="sibTrans1D1">
    <dgm:scene3d>
      <a:camera prst="orthographicFront"/>
      <a:lightRig rig="threePt" dir="t"/>
    </dgm:scene3d>
    <dgm:sp3d z="-110000"/>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0000"/>
    <dgm:txPr/>
    <dgm:style>
      <a:lnRef idx="1">
        <a:scrgbClr r="0" g="0" b="0"/>
      </a:lnRef>
      <a:fillRef idx="1">
        <a:scrgbClr r="0" g="0" b="0"/>
      </a:fillRef>
      <a:effectRef idx="0">
        <a:scrgbClr r="0" g="0" b="0"/>
      </a:effectRef>
      <a:fontRef idx="minor"/>
    </dgm:style>
  </dgm:styleLbl>
  <dgm:styleLbl name="asst0">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asst1">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asst2">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asst3">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asst4">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parChTrans2D1">
    <dgm:scene3d>
      <a:camera prst="orthographicFront"/>
      <a:lightRig rig="threePt" dir="t"/>
    </dgm:scene3d>
    <dgm:sp3d z="-110000">
      <a:bevelT w="40600" h="20600" prst="relaxedInset"/>
    </dgm:sp3d>
    <dgm:txPr/>
    <dgm:style>
      <a:lnRef idx="0">
        <a:scrgbClr r="0" g="0" b="0"/>
      </a:lnRef>
      <a:fillRef idx="1">
        <a:scrgbClr r="0" g="0" b="0"/>
      </a:fillRef>
      <a:effectRef idx="0">
        <a:scrgbClr r="0" g="0" b="0"/>
      </a:effectRef>
      <a:fontRef idx="minor"/>
    </dgm:style>
  </dgm:styleLbl>
  <dgm:styleLbl name="parChTrans2D2">
    <dgm:scene3d>
      <a:camera prst="orthographicFront"/>
      <a:lightRig rig="threePt" dir="t"/>
    </dgm:scene3d>
    <dgm:sp3d z="-110000">
      <a:bevelT w="40600" h="20600" prst="relaxedInset"/>
    </dgm:sp3d>
    <dgm:txPr/>
    <dgm:style>
      <a:lnRef idx="0">
        <a:scrgbClr r="0" g="0" b="0"/>
      </a:lnRef>
      <a:fillRef idx="1">
        <a:scrgbClr r="0" g="0" b="0"/>
      </a:fillRef>
      <a:effectRef idx="0">
        <a:scrgbClr r="0" g="0" b="0"/>
      </a:effectRef>
      <a:fontRef idx="minor"/>
    </dgm:style>
  </dgm:styleLbl>
  <dgm:styleLbl name="parChTrans2D3">
    <dgm:scene3d>
      <a:camera prst="orthographicFront"/>
      <a:lightRig rig="threePt" dir="t"/>
    </dgm:scene3d>
    <dgm:sp3d z="-110000"/>
    <dgm:txPr/>
    <dgm:style>
      <a:lnRef idx="0">
        <a:scrgbClr r="0" g="0" b="0"/>
      </a:lnRef>
      <a:fillRef idx="1">
        <a:scrgbClr r="0" g="0" b="0"/>
      </a:fillRef>
      <a:effectRef idx="0">
        <a:scrgbClr r="0" g="0" b="0"/>
      </a:effectRef>
      <a:fontRef idx="minor"/>
    </dgm:style>
  </dgm:styleLbl>
  <dgm:styleLbl name="parChTrans2D4">
    <dgm:scene3d>
      <a:camera prst="orthographicFront"/>
      <a:lightRig rig="threePt" dir="t"/>
    </dgm:scene3d>
    <dgm:sp3d z="-110000"/>
    <dgm:txPr/>
    <dgm:style>
      <a:lnRef idx="0">
        <a:scrgbClr r="0" g="0" b="0"/>
      </a:lnRef>
      <a:fillRef idx="1">
        <a:scrgbClr r="0" g="0" b="0"/>
      </a:fillRef>
      <a:effectRef idx="0">
        <a:scrgbClr r="0" g="0" b="0"/>
      </a:effectRef>
      <a:fontRef idx="minor"/>
    </dgm:style>
  </dgm:styleLbl>
  <dgm:styleLbl name="parChTrans1D1">
    <dgm:scene3d>
      <a:camera prst="orthographicFront"/>
      <a:lightRig rig="threePt" dir="t"/>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z="-110000"/>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z="-161800" extrusionH="10600" prstMaterial="matte">
      <a:bevelT w="90600" h="18600" prst="softRound"/>
      <a:bevelB w="48600" h="8600" prst="relaxedInset"/>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extrusionH="50600">
      <a:bevelT w="101600" h="80600"/>
      <a:bevelB w="80600" h="80600"/>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extrusionH="50600">
      <a:bevelT w="101600" h="80600"/>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z="-161800" extrusionH="10600" prstMaterial="matte">
      <a:bevelT w="90600" h="18600" prst="softRound"/>
      <a:bevelB w="48600" h="8600" prst="relaxedInset"/>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z="57200" extrusionH="600" contourW="3000">
      <a:bevelT w="48600" h="18600" prst="relaxedInset"/>
      <a:bevelB w="48600" h="8600" prst="relaxedInset"/>
    </dgm:sp3d>
    <dgm:txPr/>
    <dgm:style>
      <a:lnRef idx="0">
        <a:scrgbClr r="0" g="0" b="0"/>
      </a:lnRef>
      <a:fillRef idx="1">
        <a:scrgbClr r="0" g="0" b="0"/>
      </a:fillRef>
      <a:effectRef idx="0">
        <a:scrgbClr r="0" g="0" b="0"/>
      </a:effectRef>
      <a:fontRef idx="minor"/>
    </dgm:style>
  </dgm:styleLbl>
  <dgm:styleLbl name="solidAlignAcc1">
    <dgm:scene3d>
      <a:camera prst="orthographicFront"/>
      <a:lightRig rig="threePt" dir="t"/>
    </dgm:scene3d>
    <dgm:sp3d extrusionH="50600" contourW="3000">
      <a:bevelT w="101600" h="80600" prst="relaxedInset"/>
      <a:bevelB w="80600" h="80600" prst="relaxedInset"/>
    </dgm:sp3d>
    <dgm:txPr/>
    <dgm:style>
      <a:lnRef idx="0">
        <a:scrgbClr r="0" g="0" b="0"/>
      </a:lnRef>
      <a:fillRef idx="1">
        <a:scrgbClr r="0" g="0" b="0"/>
      </a:fillRef>
      <a:effectRef idx="0">
        <a:scrgbClr r="0" g="0" b="0"/>
      </a:effectRef>
      <a:fontRef idx="minor"/>
    </dgm:style>
  </dgm:styleLbl>
  <dgm:styleLbl name="solidBgAcc1">
    <dgm:scene3d>
      <a:camera prst="orthographicFront"/>
      <a:lightRig rig="threePt" dir="t"/>
    </dgm:scene3d>
    <dgm:sp3d z="-161800" extrusionH="10600" contourW="3000">
      <a:bevelT w="48600" h="8600" prst="softRound"/>
      <a:bevelB w="48600" h="8600" prst="relaxedInset"/>
    </dgm:sp3d>
    <dgm:txPr/>
    <dgm:style>
      <a:lnRef idx="0">
        <a:scrgbClr r="0" g="0" b="0"/>
      </a:lnRef>
      <a:fillRef idx="1">
        <a:scrgbClr r="0" g="0" b="0"/>
      </a:fillRef>
      <a:effectRef idx="0">
        <a:scrgbClr r="0" g="0" b="0"/>
      </a:effectRef>
      <a:fontRef idx="minor"/>
    </dgm:style>
  </dgm:styleLbl>
  <dgm:styleLbl name="fgAccFollowNode1">
    <dgm:scene3d>
      <a:camera prst="orthographicFront"/>
      <a:lightRig rig="threePt" dir="t"/>
    </dgm:scene3d>
    <dgm:sp3d z="57200" extrusionH="600" contourW="3000">
      <a:bevelT w="48600" h="18600" prst="relaxedInset"/>
      <a:bevelB w="48600" h="8600" prst="relaxedInset"/>
    </dgm:sp3d>
    <dgm:txPr/>
    <dgm:style>
      <a:lnRef idx="0">
        <a:scrgbClr r="0" g="0" b="0"/>
      </a:lnRef>
      <a:fillRef idx="1">
        <a:scrgbClr r="0" g="0" b="0"/>
      </a:fillRef>
      <a:effectRef idx="0">
        <a:scrgbClr r="0" g="0" b="0"/>
      </a:effectRef>
      <a:fontRef idx="minor"/>
    </dgm:style>
  </dgm:styleLbl>
  <dgm:styleLbl name="alignAccFollowNode1">
    <dgm:scene3d>
      <a:camera prst="orthographicFront"/>
      <a:lightRig rig="threePt" dir="t"/>
    </dgm:scene3d>
    <dgm:sp3d extrusionH="50600" contourW="3000">
      <a:bevelT w="101600" h="80600" prst="relaxedInset"/>
      <a:bevelB w="80600" h="80600" prst="relaxedInset"/>
    </dgm:sp3d>
    <dgm:txPr/>
    <dgm:style>
      <a:lnRef idx="0">
        <a:scrgbClr r="0" g="0" b="0"/>
      </a:lnRef>
      <a:fillRef idx="1">
        <a:scrgbClr r="0" g="0" b="0"/>
      </a:fillRef>
      <a:effectRef idx="0">
        <a:scrgbClr r="0" g="0" b="0"/>
      </a:effectRef>
      <a:fontRef idx="minor"/>
    </dgm:style>
  </dgm:styleLbl>
  <dgm:styleLbl name="bgAccFollowNode1">
    <dgm:scene3d>
      <a:camera prst="orthographicFront"/>
      <a:lightRig rig="threePt" dir="t"/>
    </dgm:scene3d>
    <dgm:sp3d z="-161800" extrusionH="10600" contourW="3000">
      <a:bevelT w="48600" h="8600" prst="relaxedInset"/>
      <a:bevelB w="48600" h="8600" prst="relaxedInset"/>
    </dgm:sp3d>
    <dgm:txPr/>
    <dgm:style>
      <a:lnRef idx="0">
        <a:scrgbClr r="0" g="0" b="0"/>
      </a:lnRef>
      <a:fillRef idx="1">
        <a:scrgbClr r="0" g="0" b="0"/>
      </a:fillRef>
      <a:effectRef idx="0">
        <a:scrgbClr r="0" g="0" b="0"/>
      </a:effectRef>
      <a:fontRef idx="minor"/>
    </dgm:style>
  </dgm:styleLbl>
  <dgm:styleLbl name="fgAcc0">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z="-161800" extrusionH="600" contourW="3000">
      <a:bevelT w="48600" h="18600" prst="relaxedInset"/>
      <a:bevelB w="48600" h="8600" prst="relaxedInset"/>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extrusionH="50600">
      <a:bevelT w="80600" h="80600" prst="relaxedInset"/>
      <a:bevelB w="80600" h="80600" prst="relaxedInset"/>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z="57200" extrusionH="600" contourW="3000" prstMaterial="plastic">
      <a:bevelT w="80600" h="18600" prst="relaxedInset"/>
      <a:bevelB w="80600" h="8600" prst="relaxedInset"/>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379FD7-C1F8-4428-B95D-6AA6DD5EA5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14</Pages>
  <Words>3140</Words>
  <Characters>17902</Characters>
  <Application>Microsoft Office Word</Application>
  <DocSecurity>0</DocSecurity>
  <Lines>149</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Roussebelle Dimundu Mihesi (2022878)</cp:lastModifiedBy>
  <cp:revision>2</cp:revision>
  <dcterms:created xsi:type="dcterms:W3CDTF">2023-05-24T06:30:00Z</dcterms:created>
  <dcterms:modified xsi:type="dcterms:W3CDTF">2023-05-24T06:30:00Z</dcterms:modified>
</cp:coreProperties>
</file>