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6AA96" w14:textId="77777777" w:rsidR="00C97D77" w:rsidRDefault="00C97D77" w:rsidP="00C97D77">
      <w:pPr>
        <w:jc w:val="center"/>
        <w:rPr>
          <w:rFonts w:eastAsia="Times New Roman" w:cs="Times New Roman"/>
          <w:b/>
          <w:bCs/>
          <w:color w:val="000000"/>
          <w:szCs w:val="24"/>
          <w:lang w:val="en-IN" w:eastAsia="en-IN"/>
        </w:rPr>
      </w:pPr>
    </w:p>
    <w:p w14:paraId="6F0B3054" w14:textId="77777777" w:rsidR="00C97D77" w:rsidRDefault="00C97D77" w:rsidP="00C97D77">
      <w:pPr>
        <w:jc w:val="center"/>
        <w:rPr>
          <w:rFonts w:eastAsia="Times New Roman" w:cs="Times New Roman"/>
          <w:b/>
          <w:bCs/>
          <w:color w:val="000000"/>
          <w:szCs w:val="24"/>
          <w:lang w:val="en-IN" w:eastAsia="en-IN"/>
        </w:rPr>
      </w:pPr>
    </w:p>
    <w:p w14:paraId="1B49FFAD" w14:textId="77777777" w:rsidR="00C97D77" w:rsidRDefault="00B14CE7" w:rsidP="00C97D77">
      <w:pPr>
        <w:jc w:val="center"/>
        <w:rPr>
          <w:rFonts w:eastAsia="Times New Roman" w:cs="Times New Roman"/>
          <w:b/>
          <w:bCs/>
          <w:color w:val="000000"/>
          <w:szCs w:val="24"/>
          <w:lang w:val="en-IN" w:eastAsia="en-IN"/>
        </w:rPr>
      </w:pPr>
      <w:r>
        <w:rPr>
          <w:noProof/>
          <w14:ligatures w14:val="standardContextual"/>
        </w:rPr>
        <w:drawing>
          <wp:inline distT="0" distB="0" distL="0" distR="0" wp14:anchorId="5697D64B" wp14:editId="1A04E379">
            <wp:extent cx="2114550" cy="809625"/>
            <wp:effectExtent l="0" t="0" r="0" b="9525"/>
            <wp:docPr id="146466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6299" name=""/>
                    <pic:cNvPicPr/>
                  </pic:nvPicPr>
                  <pic:blipFill>
                    <a:blip r:embed="rId7"/>
                    <a:stretch>
                      <a:fillRect/>
                    </a:stretch>
                  </pic:blipFill>
                  <pic:spPr>
                    <a:xfrm>
                      <a:off x="0" y="0"/>
                      <a:ext cx="2114550" cy="809625"/>
                    </a:xfrm>
                    <a:prstGeom prst="rect">
                      <a:avLst/>
                    </a:prstGeom>
                  </pic:spPr>
                </pic:pic>
              </a:graphicData>
            </a:graphic>
          </wp:inline>
        </w:drawing>
      </w:r>
    </w:p>
    <w:p w14:paraId="00E25EC0" w14:textId="77777777" w:rsidR="00C97D77" w:rsidRDefault="00C97D77" w:rsidP="00C97D77">
      <w:pPr>
        <w:jc w:val="center"/>
        <w:rPr>
          <w:rFonts w:eastAsia="Times New Roman" w:cs="Times New Roman"/>
          <w:b/>
          <w:bCs/>
          <w:color w:val="000000"/>
          <w:szCs w:val="24"/>
          <w:lang w:val="en-IN" w:eastAsia="en-IN"/>
        </w:rPr>
      </w:pPr>
    </w:p>
    <w:p w14:paraId="0759A97F" w14:textId="77777777" w:rsidR="00C97D77" w:rsidRDefault="00C97D77" w:rsidP="00C97D77">
      <w:pPr>
        <w:jc w:val="center"/>
        <w:rPr>
          <w:rFonts w:eastAsia="Times New Roman" w:cs="Times New Roman"/>
          <w:b/>
          <w:bCs/>
          <w:color w:val="000000"/>
          <w:szCs w:val="24"/>
          <w:lang w:val="en-IN" w:eastAsia="en-IN"/>
        </w:rPr>
      </w:pPr>
    </w:p>
    <w:p w14:paraId="15C81407" w14:textId="77777777" w:rsidR="00C97D77" w:rsidRDefault="00C97D77" w:rsidP="00C97D77">
      <w:pPr>
        <w:jc w:val="center"/>
        <w:rPr>
          <w:rFonts w:eastAsia="Times New Roman" w:cs="Times New Roman"/>
          <w:b/>
          <w:bCs/>
          <w:color w:val="000000"/>
          <w:szCs w:val="24"/>
          <w:lang w:val="en-IN" w:eastAsia="en-IN"/>
        </w:rPr>
      </w:pPr>
    </w:p>
    <w:p w14:paraId="37B519F0" w14:textId="77777777" w:rsidR="00FF2A3E" w:rsidRPr="001436FF" w:rsidRDefault="00B14CE7" w:rsidP="00C97D77">
      <w:pPr>
        <w:jc w:val="center"/>
        <w:rPr>
          <w:rFonts w:eastAsia="Times New Roman" w:cs="Times New Roman"/>
          <w:b/>
          <w:bCs/>
          <w:color w:val="000000"/>
          <w:sz w:val="48"/>
          <w:szCs w:val="48"/>
          <w:lang w:val="en-IN" w:eastAsia="en-IN"/>
        </w:rPr>
      </w:pPr>
      <w:r w:rsidRPr="001436FF">
        <w:rPr>
          <w:rFonts w:eastAsia="Times New Roman" w:cs="Times New Roman"/>
          <w:b/>
          <w:bCs/>
          <w:color w:val="000000"/>
          <w:sz w:val="48"/>
          <w:szCs w:val="48"/>
          <w:lang w:val="en-IN" w:eastAsia="en-IN"/>
        </w:rPr>
        <w:t>Module Title:</w:t>
      </w:r>
      <w:r w:rsidR="00C97D77" w:rsidRPr="001436FF">
        <w:rPr>
          <w:rFonts w:eastAsia="Times New Roman" w:cs="Times New Roman"/>
          <w:b/>
          <w:bCs/>
          <w:color w:val="000000"/>
          <w:sz w:val="48"/>
          <w:szCs w:val="48"/>
          <w:lang w:val="en-IN" w:eastAsia="en-IN"/>
        </w:rPr>
        <w:t xml:space="preserve"> </w:t>
      </w:r>
      <w:r w:rsidR="00C97D77" w:rsidRPr="001436FF">
        <w:rPr>
          <w:b/>
          <w:bCs/>
          <w:sz w:val="48"/>
          <w:szCs w:val="44"/>
          <w:lang w:val="en-IN" w:eastAsia="en-IN"/>
        </w:rPr>
        <w:t>Legal Process</w:t>
      </w:r>
    </w:p>
    <w:p w14:paraId="39B0CFA9" w14:textId="77777777" w:rsidR="00FF2A3E" w:rsidRPr="001436FF" w:rsidRDefault="00B14CE7" w:rsidP="00C97D77">
      <w:pPr>
        <w:jc w:val="center"/>
        <w:rPr>
          <w:rFonts w:eastAsia="Times New Roman" w:cs="Times New Roman"/>
          <w:b/>
          <w:bCs/>
          <w:color w:val="000000"/>
          <w:sz w:val="48"/>
          <w:szCs w:val="48"/>
          <w:lang w:val="en-IN" w:eastAsia="en-IN"/>
        </w:rPr>
      </w:pPr>
      <w:r w:rsidRPr="001436FF">
        <w:rPr>
          <w:rFonts w:eastAsia="Times New Roman" w:cs="Times New Roman"/>
          <w:b/>
          <w:bCs/>
          <w:color w:val="000000"/>
          <w:sz w:val="48"/>
          <w:szCs w:val="48"/>
          <w:lang w:val="en-IN" w:eastAsia="en-IN"/>
        </w:rPr>
        <w:t>Assignment Title:</w:t>
      </w:r>
      <w:r w:rsidR="00C97D77" w:rsidRPr="001436FF">
        <w:rPr>
          <w:rFonts w:eastAsia="Times New Roman" w:cs="Times New Roman"/>
          <w:b/>
          <w:bCs/>
          <w:color w:val="000000"/>
          <w:sz w:val="48"/>
          <w:szCs w:val="48"/>
          <w:lang w:val="en-IN" w:eastAsia="en-IN"/>
        </w:rPr>
        <w:t xml:space="preserve"> Essay</w:t>
      </w:r>
    </w:p>
    <w:p w14:paraId="4F1B62DB" w14:textId="77777777" w:rsidR="00FF2A3E" w:rsidRPr="006D2B2C" w:rsidRDefault="00B14CE7" w:rsidP="00C97D77">
      <w:pPr>
        <w:jc w:val="center"/>
        <w:rPr>
          <w:rFonts w:eastAsia="Times New Roman" w:cs="Times New Roman"/>
          <w:color w:val="000000"/>
          <w:szCs w:val="24"/>
          <w:lang w:val="en-IN" w:eastAsia="en-IN"/>
        </w:rPr>
      </w:pPr>
      <w:r w:rsidRPr="006D2B2C">
        <w:rPr>
          <w:rFonts w:eastAsia="Times New Roman" w:cs="Times New Roman"/>
          <w:color w:val="000000"/>
          <w:szCs w:val="24"/>
          <w:lang w:val="en-IN" w:eastAsia="en-IN"/>
        </w:rPr>
        <w:t>Student Name:</w:t>
      </w:r>
      <w:r w:rsidR="00C97D77" w:rsidRPr="006D2B2C">
        <w:rPr>
          <w:rFonts w:eastAsia="Times New Roman" w:cs="Times New Roman"/>
          <w:color w:val="000000"/>
          <w:szCs w:val="24"/>
          <w:lang w:val="en-IN" w:eastAsia="en-IN"/>
        </w:rPr>
        <w:t xml:space="preserve"> </w:t>
      </w:r>
      <w:r w:rsidR="00C97D77" w:rsidRPr="006D2B2C">
        <w:t>Gabriel Calin Moldovan</w:t>
      </w:r>
    </w:p>
    <w:p w14:paraId="68AC4AF1" w14:textId="661FFF8C" w:rsidR="00C97D77" w:rsidRPr="006D2B2C" w:rsidRDefault="00B14CE7" w:rsidP="00C97D77">
      <w:pPr>
        <w:jc w:val="center"/>
        <w:rPr>
          <w:rFonts w:eastAsia="Times New Roman" w:cs="Times New Roman"/>
          <w:color w:val="000000"/>
          <w:szCs w:val="24"/>
          <w:lang w:val="en-IN" w:eastAsia="en-IN"/>
        </w:rPr>
      </w:pPr>
      <w:r w:rsidRPr="006D2B2C">
        <w:rPr>
          <w:rFonts w:eastAsia="Times New Roman" w:cs="Times New Roman"/>
          <w:color w:val="000000"/>
          <w:szCs w:val="24"/>
          <w:lang w:val="en-IN" w:eastAsia="en-IN"/>
        </w:rPr>
        <w:t xml:space="preserve">Student </w:t>
      </w:r>
      <w:r w:rsidR="00CB11AD" w:rsidRPr="006D2B2C">
        <w:rPr>
          <w:rFonts w:eastAsia="Times New Roman" w:cs="Times New Roman"/>
          <w:color w:val="000000"/>
          <w:szCs w:val="24"/>
          <w:lang w:val="en-IN" w:eastAsia="en-IN"/>
        </w:rPr>
        <w:t>ID</w:t>
      </w:r>
      <w:r w:rsidRPr="006D2B2C">
        <w:rPr>
          <w:rFonts w:eastAsia="Times New Roman" w:cs="Times New Roman"/>
          <w:color w:val="000000"/>
          <w:szCs w:val="24"/>
          <w:lang w:val="en-IN" w:eastAsia="en-IN"/>
        </w:rPr>
        <w:t>:</w:t>
      </w:r>
      <w:r w:rsidR="002B635D">
        <w:rPr>
          <w:rFonts w:eastAsia="Times New Roman" w:cs="Times New Roman"/>
          <w:color w:val="000000"/>
          <w:szCs w:val="24"/>
          <w:lang w:val="en-IN" w:eastAsia="en-IN"/>
        </w:rPr>
        <w:t>2314720</w:t>
      </w:r>
    </w:p>
    <w:p w14:paraId="34C3E228" w14:textId="77777777" w:rsidR="00C97D77" w:rsidRDefault="00B14CE7" w:rsidP="00C97D77">
      <w:pPr>
        <w:spacing w:after="160" w:line="259" w:lineRule="auto"/>
        <w:jc w:val="left"/>
        <w:rPr>
          <w:rFonts w:eastAsia="Times New Roman" w:cs="Times New Roman"/>
          <w:b/>
          <w:bCs/>
          <w:color w:val="000000"/>
          <w:szCs w:val="24"/>
          <w:lang w:val="en-IN" w:eastAsia="en-IN"/>
        </w:rPr>
      </w:pPr>
      <w:r>
        <w:rPr>
          <w:rFonts w:eastAsia="Times New Roman" w:cs="Times New Roman"/>
          <w:b/>
          <w:bCs/>
          <w:color w:val="000000"/>
          <w:szCs w:val="24"/>
          <w:lang w:val="en-IN" w:eastAsia="en-IN"/>
        </w:rPr>
        <w:br w:type="page"/>
      </w:r>
    </w:p>
    <w:p w14:paraId="66E37598" w14:textId="77777777" w:rsidR="00A02027" w:rsidRPr="00A02027" w:rsidRDefault="00B14CE7" w:rsidP="00A02027">
      <w:pPr>
        <w:rPr>
          <w:rFonts w:eastAsia="Times New Roman" w:cs="Times New Roman"/>
          <w:szCs w:val="24"/>
          <w:lang w:val="en-IN" w:eastAsia="en-IN"/>
        </w:rPr>
      </w:pPr>
      <w:r w:rsidRPr="00A02027">
        <w:rPr>
          <w:rFonts w:eastAsia="Times New Roman" w:cs="Times New Roman"/>
          <w:color w:val="000000"/>
          <w:szCs w:val="24"/>
          <w:lang w:val="en-IN" w:eastAsia="en-IN"/>
        </w:rPr>
        <w:lastRenderedPageBreak/>
        <w:t xml:space="preserve">Scrutiny ensures the processes in government are clear and accessible to the public so that the public can easily influence and improve the services they get. In this context, the following essay will discuss the definition, role and responsibilities of </w:t>
      </w:r>
      <w:r w:rsidRPr="00A02027">
        <w:rPr>
          <w:rFonts w:eastAsia="Times New Roman" w:cs="Times New Roman"/>
          <w:color w:val="000000"/>
          <w:szCs w:val="24"/>
          <w:shd w:val="clear" w:color="auto" w:fill="FFFFFF"/>
          <w:lang w:val="en-IN" w:eastAsia="en-IN"/>
        </w:rPr>
        <w:t>UK executives. The essay will provide a brief description of the separation of powers theory along with its implication of the process of holding the UK executive to account. In addition to that, the way the executives are held to account will also be discussed in the essay. Besides that, the essay will deliver the advantages and disadvantages of the ways in which the executives are held to account. Further, some reform suggestions will be illustrated in the essay to ensure better development of the nation.</w:t>
      </w:r>
    </w:p>
    <w:p w14:paraId="3F234247" w14:textId="77777777" w:rsidR="000D32BA" w:rsidRDefault="00B14CE7">
      <w:pPr>
        <w:spacing w:after="160" w:line="259" w:lineRule="auto"/>
        <w:jc w:val="left"/>
        <w:rPr>
          <w:rFonts w:eastAsia="Times New Roman" w:cs="Times New Roman"/>
          <w:b/>
          <w:bCs/>
          <w:color w:val="000000"/>
          <w:szCs w:val="24"/>
          <w:lang w:val="en-IN" w:eastAsia="en-IN"/>
        </w:rPr>
      </w:pPr>
      <w:r>
        <w:rPr>
          <w:rFonts w:eastAsia="Times New Roman" w:cs="Times New Roman"/>
          <w:b/>
          <w:bCs/>
          <w:color w:val="000000"/>
          <w:szCs w:val="24"/>
          <w:lang w:val="en-IN" w:eastAsia="en-IN"/>
        </w:rPr>
        <w:br w:type="page"/>
      </w:r>
    </w:p>
    <w:p w14:paraId="47063AA3" w14:textId="1C89CFF5" w:rsidR="00CB11AD" w:rsidRPr="005C69F4" w:rsidRDefault="00B14CE7" w:rsidP="00CB11AD">
      <w:pPr>
        <w:rPr>
          <w:rFonts w:eastAsia="Times New Roman" w:cs="Times New Roman"/>
          <w:color w:val="000000"/>
          <w:szCs w:val="24"/>
          <w:lang w:val="en-US" w:eastAsia="en-US"/>
        </w:rPr>
      </w:pPr>
      <w:r w:rsidRPr="00CB11AD">
        <w:rPr>
          <w:rFonts w:eastAsia="Times New Roman" w:cs="Times New Roman"/>
          <w:color w:val="000000"/>
          <w:szCs w:val="24"/>
          <w:lang w:val="en-US" w:eastAsia="en-US"/>
        </w:rPr>
        <w:lastRenderedPageBreak/>
        <w:t xml:space="preserve">The executive term specifically refers to the governments especially those responsible for making key decisions for the country alongside running it on a daily basis. Within the government system of the UK, the parties with the most seats within the House of Commons are generally identified as suitable candidates for forming a government. The UK government typically includes a prime minister, junior ministers and cabinet ministers </w:t>
      </w:r>
      <w:sdt>
        <w:sdtPr>
          <w:rPr>
            <w:rFonts w:eastAsia="Times New Roman" w:cs="Times New Roman"/>
            <w:color w:val="000000"/>
            <w:szCs w:val="24"/>
            <w:lang w:val="en-US" w:eastAsia="en-US"/>
          </w:rPr>
          <w:id w:val="1811822875"/>
          <w:citation/>
        </w:sdtPr>
        <w:sdtContent>
          <w:r w:rsidRPr="00CB11AD">
            <w:rPr>
              <w:rFonts w:eastAsia="Times New Roman" w:cs="Times New Roman"/>
              <w:color w:val="000000"/>
              <w:szCs w:val="24"/>
              <w:lang w:val="en-US" w:eastAsia="en-US"/>
            </w:rPr>
            <w:fldChar w:fldCharType="begin"/>
          </w:r>
          <w:r w:rsidRPr="00CB11AD">
            <w:rPr>
              <w:rFonts w:eastAsia="Times New Roman" w:cs="Times New Roman"/>
              <w:color w:val="000000"/>
              <w:szCs w:val="24"/>
              <w:lang w:val="en-US" w:eastAsia="en-US"/>
            </w:rPr>
            <w:instrText xml:space="preserve"> CITATION CON24 \l 1033 </w:instrText>
          </w:r>
          <w:r w:rsidRPr="00CB11AD">
            <w:rPr>
              <w:rFonts w:eastAsia="Times New Roman" w:cs="Times New Roman"/>
              <w:color w:val="000000"/>
              <w:szCs w:val="24"/>
              <w:lang w:val="en-US" w:eastAsia="en-US"/>
            </w:rPr>
            <w:fldChar w:fldCharType="separate"/>
          </w:r>
          <w:r w:rsidRPr="00CB11AD">
            <w:rPr>
              <w:rFonts w:eastAsia="Times New Roman" w:cs="Times New Roman"/>
              <w:noProof/>
              <w:color w:val="000000"/>
              <w:szCs w:val="24"/>
              <w:lang w:val="en-US" w:eastAsia="en-US"/>
            </w:rPr>
            <w:t>(CONSOC, 2024)</w:t>
          </w:r>
          <w:r w:rsidRPr="00CB11AD">
            <w:rPr>
              <w:rFonts w:eastAsia="Times New Roman" w:cs="Times New Roman"/>
              <w:color w:val="000000"/>
              <w:szCs w:val="24"/>
              <w:lang w:val="en-US" w:eastAsia="en-US"/>
            </w:rPr>
            <w:fldChar w:fldCharType="end"/>
          </w:r>
        </w:sdtContent>
      </w:sdt>
      <w:r w:rsidRPr="00CB11AD">
        <w:rPr>
          <w:rFonts w:eastAsia="Times New Roman" w:cs="Times New Roman"/>
          <w:color w:val="000000"/>
          <w:szCs w:val="24"/>
          <w:lang w:val="en-US" w:eastAsia="en-US"/>
        </w:rPr>
        <w:t xml:space="preserve">. These individuals are generally selected from the ones that usually sit in parliament more specifically for the winning party. As per the current scenario, Rishi Sunak was elected as the prime minister of the UK on 25th October 2022 and was responsible for selecting the other cabinet ministers. The prime ministers generally act as the leader of the government party. The individuals appointed by the prime minister of the UK include the Chancellor of the Exchequer, responsible for managing and forming economic policies, Home Secretary, Foreign Secretary and more. The UK executives have to play various kinds of roles and responsibilities within the UK parliamentary system. They usually hold a significant amount of power and are responsible for introducing most of the legislation within the UK. The overall time and agenda of the House of Commons has been controlled by the UK executives. The annual budget also has been set by the UK executives as a part of the UK government alongside planned expenditure on a yearly basis. Various policy decisions regarding health, education and transport also have been taken by the UK executives. </w:t>
      </w:r>
      <w:r w:rsidR="00D14C15" w:rsidRPr="00EA70ED">
        <w:rPr>
          <w:rFonts w:eastAsia="Times New Roman" w:cs="Times New Roman"/>
          <w:color w:val="FF0000"/>
          <w:szCs w:val="24"/>
          <w:lang w:val="en-US" w:eastAsia="en-US"/>
        </w:rPr>
        <w:t xml:space="preserve">For instance, Jack Straw, retired home secretary of the UK has introduced the Human Rights Act 1998. The aim of introducing this law and incorporating within the UK has been to </w:t>
      </w:r>
      <w:r w:rsidR="00315DD3" w:rsidRPr="00EA70ED">
        <w:rPr>
          <w:rFonts w:eastAsia="Times New Roman" w:cs="Times New Roman"/>
          <w:color w:val="FF0000"/>
          <w:szCs w:val="24"/>
          <w:lang w:val="en-US" w:eastAsia="en-US"/>
        </w:rPr>
        <w:t>reduce</w:t>
      </w:r>
      <w:r w:rsidR="00D14C15" w:rsidRPr="00EA70ED">
        <w:rPr>
          <w:rFonts w:eastAsia="Times New Roman" w:cs="Times New Roman"/>
          <w:color w:val="FF0000"/>
          <w:szCs w:val="24"/>
          <w:lang w:val="en-US" w:eastAsia="en-US"/>
        </w:rPr>
        <w:t xml:space="preserve"> the need of going to the European Court of Human Rights in case of the breach of human rights</w:t>
      </w:r>
      <w:r w:rsidR="0075576D">
        <w:rPr>
          <w:rFonts w:eastAsia="Times New Roman" w:cs="Times New Roman"/>
          <w:color w:val="FF0000"/>
          <w:szCs w:val="24"/>
          <w:lang w:val="en-US" w:eastAsia="en-US"/>
        </w:rPr>
        <w:t xml:space="preserve"> </w:t>
      </w:r>
      <w:bookmarkStart w:id="0" w:name="_Hlk171530335"/>
      <w:sdt>
        <w:sdtPr>
          <w:rPr>
            <w:rFonts w:eastAsia="Times New Roman" w:cs="Times New Roman"/>
            <w:color w:val="FF0000"/>
            <w:szCs w:val="24"/>
            <w:lang w:val="en-US" w:eastAsia="en-US"/>
          </w:rPr>
          <w:id w:val="-780027380"/>
          <w:citation/>
        </w:sdtPr>
        <w:sdtContent>
          <w:r w:rsidR="0075576D">
            <w:rPr>
              <w:rFonts w:eastAsia="Times New Roman" w:cs="Times New Roman"/>
              <w:color w:val="FF0000"/>
              <w:szCs w:val="24"/>
              <w:lang w:val="en-US" w:eastAsia="en-US"/>
            </w:rPr>
            <w:fldChar w:fldCharType="begin"/>
          </w:r>
          <w:r w:rsidR="0075576D">
            <w:rPr>
              <w:rFonts w:eastAsia="Times New Roman" w:cs="Times New Roman"/>
              <w:color w:val="FF0000"/>
              <w:szCs w:val="24"/>
              <w:lang w:val="en-US" w:eastAsia="en-US"/>
            </w:rPr>
            <w:instrText xml:space="preserve"> CITATION Ant21 \l 1033 </w:instrText>
          </w:r>
          <w:r w:rsidR="0075576D">
            <w:rPr>
              <w:rFonts w:eastAsia="Times New Roman" w:cs="Times New Roman"/>
              <w:color w:val="FF0000"/>
              <w:szCs w:val="24"/>
              <w:lang w:val="en-US" w:eastAsia="en-US"/>
            </w:rPr>
            <w:fldChar w:fldCharType="separate"/>
          </w:r>
          <w:r w:rsidR="0075576D" w:rsidRPr="0075576D">
            <w:rPr>
              <w:rFonts w:eastAsia="Times New Roman" w:cs="Times New Roman"/>
              <w:noProof/>
              <w:color w:val="FF0000"/>
              <w:szCs w:val="24"/>
              <w:lang w:val="en-US" w:eastAsia="en-US"/>
            </w:rPr>
            <w:t>(Bradley, 2021)</w:t>
          </w:r>
          <w:r w:rsidR="0075576D">
            <w:rPr>
              <w:rFonts w:eastAsia="Times New Roman" w:cs="Times New Roman"/>
              <w:color w:val="FF0000"/>
              <w:szCs w:val="24"/>
              <w:lang w:val="en-US" w:eastAsia="en-US"/>
            </w:rPr>
            <w:fldChar w:fldCharType="end"/>
          </w:r>
        </w:sdtContent>
      </w:sdt>
      <w:bookmarkEnd w:id="0"/>
      <w:r w:rsidR="00D14C15" w:rsidRPr="00EA70ED">
        <w:rPr>
          <w:rFonts w:eastAsia="Times New Roman" w:cs="Times New Roman"/>
          <w:color w:val="FF0000"/>
          <w:szCs w:val="24"/>
          <w:lang w:val="en-US" w:eastAsia="en-US"/>
        </w:rPr>
        <w:t xml:space="preserve">. </w:t>
      </w:r>
      <w:r w:rsidR="00D14C15">
        <w:rPr>
          <w:rFonts w:eastAsia="Times New Roman" w:cs="Times New Roman"/>
          <w:color w:val="FF0000"/>
          <w:szCs w:val="24"/>
          <w:lang w:val="en-US" w:eastAsia="en-US"/>
        </w:rPr>
        <w:t xml:space="preserve">This example has indicated that the UK executives has possessed the power of introducing new </w:t>
      </w:r>
      <w:r w:rsidR="00315DD3">
        <w:rPr>
          <w:rFonts w:eastAsia="Times New Roman" w:cs="Times New Roman"/>
          <w:color w:val="FF0000"/>
          <w:szCs w:val="24"/>
          <w:lang w:val="en-US" w:eastAsia="en-US"/>
        </w:rPr>
        <w:t>legislations</w:t>
      </w:r>
      <w:r w:rsidR="00D14C15">
        <w:rPr>
          <w:rFonts w:eastAsia="Times New Roman" w:cs="Times New Roman"/>
          <w:color w:val="FF0000"/>
          <w:szCs w:val="24"/>
          <w:lang w:val="en-US" w:eastAsia="en-US"/>
        </w:rPr>
        <w:t xml:space="preserve"> alongside </w:t>
      </w:r>
      <w:r w:rsidR="00315DD3">
        <w:rPr>
          <w:rFonts w:eastAsia="Times New Roman" w:cs="Times New Roman"/>
          <w:color w:val="FF0000"/>
          <w:szCs w:val="24"/>
          <w:lang w:val="en-US" w:eastAsia="en-US"/>
        </w:rPr>
        <w:t xml:space="preserve">conducting policy variations. </w:t>
      </w:r>
      <w:r w:rsidRPr="00CB11AD">
        <w:rPr>
          <w:rFonts w:eastAsia="Times New Roman" w:cs="Times New Roman"/>
          <w:color w:val="000000"/>
          <w:szCs w:val="24"/>
          <w:lang w:val="en-US" w:eastAsia="en-US"/>
        </w:rPr>
        <w:t xml:space="preserve">The delegated or secondary legislation has helped in carrying out these policies. The power for the development of policies has been granted to the minister or other executive bodies by the Acts of Parliament. This has reduced the need to have </w:t>
      </w:r>
      <w:r w:rsidRPr="00CB11AD">
        <w:rPr>
          <w:rFonts w:eastAsia="Times New Roman" w:cs="Times New Roman"/>
          <w:color w:val="000000"/>
          <w:szCs w:val="24"/>
          <w:lang w:val="en-US" w:eastAsia="en-US"/>
        </w:rPr>
        <w:lastRenderedPageBreak/>
        <w:t xml:space="preserve">a complete process of passing a new statute. The powers of the delegative executives within the UK can be wide while the powers of the ministers cannot go beyond the primary legislation </w:t>
      </w:r>
      <w:sdt>
        <w:sdtPr>
          <w:rPr>
            <w:rFonts w:eastAsia="Times New Roman" w:cs="Times New Roman"/>
            <w:color w:val="000000"/>
            <w:szCs w:val="24"/>
            <w:lang w:val="en-US" w:eastAsia="en-US"/>
          </w:rPr>
          <w:id w:val="-1987465094"/>
          <w:citation/>
        </w:sdtPr>
        <w:sdtContent>
          <w:r w:rsidRPr="00CB11AD">
            <w:rPr>
              <w:rFonts w:eastAsia="Times New Roman" w:cs="Times New Roman"/>
              <w:color w:val="000000"/>
              <w:szCs w:val="24"/>
              <w:lang w:val="en-US" w:eastAsia="en-US"/>
            </w:rPr>
            <w:fldChar w:fldCharType="begin"/>
          </w:r>
          <w:r w:rsidRPr="00CB11AD">
            <w:rPr>
              <w:rFonts w:eastAsia="Times New Roman" w:cs="Times New Roman"/>
              <w:color w:val="000000"/>
              <w:szCs w:val="24"/>
              <w:lang w:val="en-US" w:eastAsia="en-US"/>
            </w:rPr>
            <w:instrText xml:space="preserve">CITATION Law24 \l 1033 </w:instrText>
          </w:r>
          <w:r w:rsidRPr="00CB11AD">
            <w:rPr>
              <w:rFonts w:eastAsia="Times New Roman" w:cs="Times New Roman"/>
              <w:color w:val="000000"/>
              <w:szCs w:val="24"/>
              <w:lang w:val="en-US" w:eastAsia="en-US"/>
            </w:rPr>
            <w:fldChar w:fldCharType="separate"/>
          </w:r>
          <w:r w:rsidRPr="00CB11AD">
            <w:rPr>
              <w:rFonts w:eastAsia="Times New Roman" w:cs="Times New Roman"/>
              <w:noProof/>
              <w:color w:val="000000"/>
              <w:szCs w:val="24"/>
              <w:lang w:val="en-US" w:eastAsia="en-US"/>
            </w:rPr>
            <w:t>(LawWales, 2021)</w:t>
          </w:r>
          <w:r w:rsidRPr="00CB11AD">
            <w:rPr>
              <w:rFonts w:eastAsia="Times New Roman" w:cs="Times New Roman"/>
              <w:color w:val="000000"/>
              <w:szCs w:val="24"/>
              <w:lang w:val="en-US" w:eastAsia="en-US"/>
            </w:rPr>
            <w:fldChar w:fldCharType="end"/>
          </w:r>
        </w:sdtContent>
      </w:sdt>
      <w:r w:rsidRPr="00CB11AD">
        <w:rPr>
          <w:rFonts w:eastAsia="Times New Roman" w:cs="Times New Roman"/>
          <w:color w:val="000000"/>
          <w:szCs w:val="24"/>
          <w:lang w:val="en-US" w:eastAsia="en-US"/>
        </w:rPr>
        <w:t>. More specifically the UK executives have the responsibilities of conducting foreign policies, deploying the army, ranting honours, conducting diplomacy and more. Moreover, they act as an administrative head of the UK government</w:t>
      </w:r>
      <w:r w:rsidR="00EA70ED">
        <w:rPr>
          <w:rFonts w:eastAsia="Times New Roman" w:cs="Times New Roman"/>
          <w:color w:val="000000"/>
          <w:szCs w:val="24"/>
          <w:lang w:val="en-US" w:eastAsia="en-US"/>
        </w:rPr>
        <w:t xml:space="preserve">. </w:t>
      </w:r>
    </w:p>
    <w:p w14:paraId="55045515" w14:textId="0A563D61" w:rsidR="00CB11AD" w:rsidRPr="00CB11AD" w:rsidRDefault="00B14CE7" w:rsidP="00CB11AD">
      <w:pPr>
        <w:rPr>
          <w:rFonts w:eastAsia="Times New Roman" w:cs="Times New Roman"/>
          <w:szCs w:val="24"/>
          <w:lang w:val="en-US" w:eastAsia="en-US"/>
        </w:rPr>
      </w:pPr>
      <w:r w:rsidRPr="00CB11AD">
        <w:rPr>
          <w:rFonts w:eastAsia="Times New Roman" w:cs="Times New Roman"/>
          <w:color w:val="000000"/>
          <w:szCs w:val="24"/>
          <w:lang w:val="en-US" w:eastAsia="en-US"/>
        </w:rPr>
        <w:t xml:space="preserve">The separation of power is one fundamental concept noticed first in one of the works of Aristotle and modified by Montesquieu, a French philosopher. The purpose of the separation power theory has been to prevent the abuse of power utilised by a single or group of individuals. This theory has indicated the division of executive, legislative and judicial functions of the government among the independent or separate bodies. This theory has proposed three formulations for the structural mode of powers possessed by the governments. It suggested that a single individual should not serve the three government branches and meddling of a government organ with another government organ should be strictly prohibited </w:t>
      </w:r>
      <w:sdt>
        <w:sdtPr>
          <w:rPr>
            <w:rFonts w:eastAsia="Times New Roman" w:cs="Times New Roman"/>
            <w:color w:val="000000"/>
            <w:szCs w:val="24"/>
            <w:lang w:val="en-US" w:eastAsia="en-US"/>
          </w:rPr>
          <w:id w:val="26692079"/>
          <w:citation/>
        </w:sdtPr>
        <w:sdtContent>
          <w:r w:rsidRPr="00CB11AD">
            <w:rPr>
              <w:rFonts w:eastAsia="Times New Roman" w:cs="Times New Roman"/>
              <w:color w:val="000000"/>
              <w:szCs w:val="24"/>
              <w:lang w:val="en-US" w:eastAsia="en-US"/>
            </w:rPr>
            <w:fldChar w:fldCharType="begin"/>
          </w:r>
          <w:r w:rsidRPr="00CB11AD">
            <w:rPr>
              <w:rFonts w:eastAsia="Times New Roman" w:cs="Times New Roman"/>
              <w:color w:val="000000"/>
              <w:szCs w:val="24"/>
              <w:lang w:val="en-US" w:eastAsia="en-US"/>
            </w:rPr>
            <w:instrText xml:space="preserve"> CITATION GOV24 \l 1033 </w:instrText>
          </w:r>
          <w:r w:rsidRPr="00CB11AD">
            <w:rPr>
              <w:rFonts w:eastAsia="Times New Roman" w:cs="Times New Roman"/>
              <w:color w:val="000000"/>
              <w:szCs w:val="24"/>
              <w:lang w:val="en-US" w:eastAsia="en-US"/>
            </w:rPr>
            <w:fldChar w:fldCharType="separate"/>
          </w:r>
          <w:r w:rsidRPr="00CB11AD">
            <w:rPr>
              <w:rFonts w:eastAsia="Times New Roman" w:cs="Times New Roman"/>
              <w:noProof/>
              <w:color w:val="000000"/>
              <w:szCs w:val="24"/>
              <w:lang w:val="en-US" w:eastAsia="en-US"/>
            </w:rPr>
            <w:t>(GOV.UK, 2024)</w:t>
          </w:r>
          <w:r w:rsidRPr="00CB11AD">
            <w:rPr>
              <w:rFonts w:eastAsia="Times New Roman" w:cs="Times New Roman"/>
              <w:color w:val="000000"/>
              <w:szCs w:val="24"/>
              <w:lang w:val="en-US" w:eastAsia="en-US"/>
            </w:rPr>
            <w:fldChar w:fldCharType="end"/>
          </w:r>
        </w:sdtContent>
      </w:sdt>
      <w:r w:rsidRPr="00CB11AD">
        <w:rPr>
          <w:rFonts w:eastAsia="Times New Roman" w:cs="Times New Roman"/>
          <w:color w:val="000000"/>
          <w:szCs w:val="24"/>
          <w:lang w:val="en-US" w:eastAsia="en-US"/>
        </w:rPr>
        <w:t xml:space="preserve">. It also suggests that one government organ should not perform the specific functions of another government organ. The separation of power helps in reducing the possibility of the governments in terms of arbitrary excesses. This theory can be greatly applicable to the UK executive as it can help in the fair use of power while preventing excessive use of it. </w:t>
      </w:r>
      <w:r w:rsidR="00EA70ED">
        <w:rPr>
          <w:rFonts w:eastAsia="Times New Roman" w:cs="Times New Roman"/>
          <w:color w:val="FF0000"/>
          <w:szCs w:val="24"/>
          <w:lang w:val="en-US" w:eastAsia="en-US"/>
        </w:rPr>
        <w:t xml:space="preserve">For </w:t>
      </w:r>
      <w:r w:rsidR="00866DA2">
        <w:rPr>
          <w:rFonts w:eastAsia="Times New Roman" w:cs="Times New Roman"/>
          <w:color w:val="FF0000"/>
          <w:szCs w:val="24"/>
          <w:lang w:val="en-US" w:eastAsia="en-US"/>
        </w:rPr>
        <w:t>instance,</w:t>
      </w:r>
      <w:r w:rsidR="00EA70ED">
        <w:rPr>
          <w:rFonts w:eastAsia="Times New Roman" w:cs="Times New Roman"/>
          <w:color w:val="FF0000"/>
          <w:szCs w:val="24"/>
          <w:lang w:val="en-US" w:eastAsia="en-US"/>
        </w:rPr>
        <w:t xml:space="preserve"> Prorogation has been </w:t>
      </w:r>
      <w:r w:rsidR="00866DA2">
        <w:rPr>
          <w:rFonts w:eastAsia="Times New Roman" w:cs="Times New Roman"/>
          <w:color w:val="FF0000"/>
          <w:szCs w:val="24"/>
          <w:lang w:val="en-US" w:eastAsia="en-US"/>
        </w:rPr>
        <w:t>identified</w:t>
      </w:r>
      <w:r w:rsidR="00EA70ED">
        <w:rPr>
          <w:rFonts w:eastAsia="Times New Roman" w:cs="Times New Roman"/>
          <w:color w:val="FF0000"/>
          <w:szCs w:val="24"/>
          <w:lang w:val="en-US" w:eastAsia="en-US"/>
        </w:rPr>
        <w:t xml:space="preserve"> </w:t>
      </w:r>
      <w:r w:rsidR="00866DA2">
        <w:rPr>
          <w:rFonts w:eastAsia="Times New Roman" w:cs="Times New Roman"/>
          <w:color w:val="FF0000"/>
          <w:szCs w:val="24"/>
          <w:lang w:val="en-US" w:eastAsia="en-US"/>
        </w:rPr>
        <w:t>earlier</w:t>
      </w:r>
      <w:r w:rsidR="00EA70ED">
        <w:rPr>
          <w:rFonts w:eastAsia="Times New Roman" w:cs="Times New Roman"/>
          <w:color w:val="FF0000"/>
          <w:szCs w:val="24"/>
          <w:lang w:val="en-US" w:eastAsia="en-US"/>
        </w:rPr>
        <w:t xml:space="preserve"> as the abuse of </w:t>
      </w:r>
      <w:r w:rsidR="00866DA2">
        <w:rPr>
          <w:rFonts w:eastAsia="Times New Roman" w:cs="Times New Roman"/>
          <w:color w:val="FF0000"/>
          <w:szCs w:val="24"/>
          <w:lang w:val="en-US" w:eastAsia="en-US"/>
        </w:rPr>
        <w:t>executive</w:t>
      </w:r>
      <w:r w:rsidR="00EA70ED">
        <w:rPr>
          <w:rFonts w:eastAsia="Times New Roman" w:cs="Times New Roman"/>
          <w:color w:val="FF0000"/>
          <w:szCs w:val="24"/>
          <w:lang w:val="en-US" w:eastAsia="en-US"/>
        </w:rPr>
        <w:t xml:space="preserve"> power by the intellects within the UK. This prorogation </w:t>
      </w:r>
      <w:r w:rsidR="00866DA2">
        <w:rPr>
          <w:rFonts w:eastAsia="Times New Roman" w:cs="Times New Roman"/>
          <w:color w:val="FF0000"/>
          <w:szCs w:val="24"/>
          <w:lang w:val="en-US" w:eastAsia="en-US"/>
        </w:rPr>
        <w:t xml:space="preserve">of parliament </w:t>
      </w:r>
      <w:r w:rsidR="00EA70ED">
        <w:rPr>
          <w:rFonts w:eastAsia="Times New Roman" w:cs="Times New Roman"/>
          <w:color w:val="FF0000"/>
          <w:szCs w:val="24"/>
          <w:lang w:val="en-US" w:eastAsia="en-US"/>
        </w:rPr>
        <w:t xml:space="preserve">has been requested by Boris </w:t>
      </w:r>
      <w:r w:rsidR="00866DA2">
        <w:rPr>
          <w:rFonts w:eastAsia="Times New Roman" w:cs="Times New Roman"/>
          <w:color w:val="FF0000"/>
          <w:szCs w:val="24"/>
          <w:lang w:val="en-US" w:eastAsia="en-US"/>
        </w:rPr>
        <w:t>Johnson;</w:t>
      </w:r>
      <w:r w:rsidR="00EA70ED">
        <w:rPr>
          <w:rFonts w:eastAsia="Times New Roman" w:cs="Times New Roman"/>
          <w:color w:val="FF0000"/>
          <w:szCs w:val="24"/>
          <w:lang w:val="en-US" w:eastAsia="en-US"/>
        </w:rPr>
        <w:t xml:space="preserve"> former prime minister of the UK </w:t>
      </w:r>
      <w:r w:rsidR="00866DA2">
        <w:rPr>
          <w:rFonts w:eastAsia="Times New Roman" w:cs="Times New Roman"/>
          <w:color w:val="FF0000"/>
          <w:szCs w:val="24"/>
          <w:lang w:val="en-US" w:eastAsia="en-US"/>
        </w:rPr>
        <w:t>that has been identified as constitutionally problematic. However, prorogation is not a new thing in the UK parliament though it usually lasted around two-three weeks. Therefore, requesting for more than three weeks of prorogation has indicated the excessive use of power of that former UK prime minister</w:t>
      </w:r>
      <w:r w:rsidR="0075576D">
        <w:rPr>
          <w:rFonts w:eastAsia="Times New Roman" w:cs="Times New Roman"/>
          <w:color w:val="FF0000"/>
          <w:szCs w:val="24"/>
          <w:lang w:val="en-US" w:eastAsia="en-US"/>
        </w:rPr>
        <w:t xml:space="preserve"> </w:t>
      </w:r>
      <w:bookmarkStart w:id="1" w:name="_Hlk171530149"/>
      <w:sdt>
        <w:sdtPr>
          <w:rPr>
            <w:rFonts w:eastAsia="Times New Roman" w:cs="Times New Roman"/>
            <w:color w:val="FF0000"/>
            <w:szCs w:val="24"/>
            <w:lang w:val="en-US" w:eastAsia="en-US"/>
          </w:rPr>
          <w:id w:val="-654916052"/>
          <w:citation/>
        </w:sdtPr>
        <w:sdtContent>
          <w:r w:rsidR="0075576D">
            <w:rPr>
              <w:rFonts w:eastAsia="Times New Roman" w:cs="Times New Roman"/>
              <w:color w:val="FF0000"/>
              <w:szCs w:val="24"/>
              <w:lang w:val="en-US" w:eastAsia="en-US"/>
            </w:rPr>
            <w:fldChar w:fldCharType="begin"/>
          </w:r>
          <w:r w:rsidR="0075576D">
            <w:rPr>
              <w:rFonts w:eastAsia="Times New Roman" w:cs="Times New Roman"/>
              <w:color w:val="FF0000"/>
              <w:szCs w:val="24"/>
              <w:lang w:val="en-US" w:eastAsia="en-US"/>
            </w:rPr>
            <w:instrText xml:space="preserve"> CITATION UCL19 \l 1033 </w:instrText>
          </w:r>
          <w:r w:rsidR="0075576D">
            <w:rPr>
              <w:rFonts w:eastAsia="Times New Roman" w:cs="Times New Roman"/>
              <w:color w:val="FF0000"/>
              <w:szCs w:val="24"/>
              <w:lang w:val="en-US" w:eastAsia="en-US"/>
            </w:rPr>
            <w:fldChar w:fldCharType="separate"/>
          </w:r>
          <w:r w:rsidR="0075576D" w:rsidRPr="00764779">
            <w:rPr>
              <w:rFonts w:eastAsia="Times New Roman" w:cs="Times New Roman"/>
              <w:noProof/>
              <w:color w:val="FF0000"/>
              <w:szCs w:val="24"/>
              <w:lang w:val="en-US" w:eastAsia="en-US"/>
            </w:rPr>
            <w:t>(UCL, 2019)</w:t>
          </w:r>
          <w:r w:rsidR="0075576D">
            <w:rPr>
              <w:rFonts w:eastAsia="Times New Roman" w:cs="Times New Roman"/>
              <w:color w:val="FF0000"/>
              <w:szCs w:val="24"/>
              <w:lang w:val="en-US" w:eastAsia="en-US"/>
            </w:rPr>
            <w:fldChar w:fldCharType="end"/>
          </w:r>
        </w:sdtContent>
      </w:sdt>
      <w:bookmarkEnd w:id="1"/>
      <w:r w:rsidR="00866DA2">
        <w:rPr>
          <w:rFonts w:eastAsia="Times New Roman" w:cs="Times New Roman"/>
          <w:color w:val="FF0000"/>
          <w:szCs w:val="24"/>
          <w:lang w:val="en-US" w:eastAsia="en-US"/>
        </w:rPr>
        <w:t xml:space="preserve">. </w:t>
      </w:r>
      <w:r w:rsidRPr="00CB11AD">
        <w:rPr>
          <w:rFonts w:eastAsia="Times New Roman" w:cs="Times New Roman"/>
          <w:color w:val="000000"/>
          <w:szCs w:val="24"/>
          <w:lang w:val="en-US" w:eastAsia="en-US"/>
        </w:rPr>
        <w:t xml:space="preserve">As per the UK government, the separation of powers has been operated in a different manner than the other countries having strict forms of separation between the three government branches. However, </w:t>
      </w:r>
      <w:r w:rsidRPr="00CB11AD">
        <w:rPr>
          <w:rFonts w:eastAsia="Times New Roman" w:cs="Times New Roman"/>
          <w:color w:val="000000"/>
          <w:szCs w:val="24"/>
          <w:lang w:val="en-US" w:eastAsia="en-US"/>
        </w:rPr>
        <w:lastRenderedPageBreak/>
        <w:t xml:space="preserve">within the UK the separation of powers can be characterised by the fusion of powers while including a system of balances and checks. Parliamentary scrutiny has been useful for the separation of powers as an oversight over the UK executives </w:t>
      </w:r>
      <w:sdt>
        <w:sdtPr>
          <w:rPr>
            <w:rFonts w:eastAsia="Times New Roman" w:cs="Times New Roman"/>
            <w:color w:val="000000"/>
            <w:szCs w:val="24"/>
            <w:lang w:val="en-US" w:eastAsia="en-US"/>
          </w:rPr>
          <w:id w:val="-1833905897"/>
          <w:citation/>
        </w:sdtPr>
        <w:sdtContent>
          <w:r w:rsidRPr="00CB11AD">
            <w:rPr>
              <w:rFonts w:eastAsia="Times New Roman" w:cs="Times New Roman"/>
              <w:color w:val="000000"/>
              <w:szCs w:val="24"/>
              <w:lang w:val="en-US" w:eastAsia="en-US"/>
            </w:rPr>
            <w:fldChar w:fldCharType="begin"/>
          </w:r>
          <w:r w:rsidRPr="00CB11AD">
            <w:rPr>
              <w:rFonts w:eastAsia="Times New Roman" w:cs="Times New Roman"/>
              <w:color w:val="000000"/>
              <w:szCs w:val="24"/>
              <w:lang w:val="en-US" w:eastAsia="en-US"/>
            </w:rPr>
            <w:instrText xml:space="preserve"> CITATION HAN24 \l 1033 </w:instrText>
          </w:r>
          <w:r w:rsidRPr="00CB11AD">
            <w:rPr>
              <w:rFonts w:eastAsia="Times New Roman" w:cs="Times New Roman"/>
              <w:color w:val="000000"/>
              <w:szCs w:val="24"/>
              <w:lang w:val="en-US" w:eastAsia="en-US"/>
            </w:rPr>
            <w:fldChar w:fldCharType="separate"/>
          </w:r>
          <w:r w:rsidRPr="00CB11AD">
            <w:rPr>
              <w:rFonts w:eastAsia="Times New Roman" w:cs="Times New Roman"/>
              <w:noProof/>
              <w:color w:val="000000"/>
              <w:szCs w:val="24"/>
              <w:lang w:val="en-US" w:eastAsia="en-US"/>
            </w:rPr>
            <w:t>(WHITE, 2024)</w:t>
          </w:r>
          <w:r w:rsidRPr="00CB11AD">
            <w:rPr>
              <w:rFonts w:eastAsia="Times New Roman" w:cs="Times New Roman"/>
              <w:color w:val="000000"/>
              <w:szCs w:val="24"/>
              <w:lang w:val="en-US" w:eastAsia="en-US"/>
            </w:rPr>
            <w:fldChar w:fldCharType="end"/>
          </w:r>
        </w:sdtContent>
      </w:sdt>
      <w:r w:rsidRPr="00CB11AD">
        <w:rPr>
          <w:rFonts w:eastAsia="Times New Roman" w:cs="Times New Roman"/>
          <w:color w:val="000000"/>
          <w:szCs w:val="24"/>
          <w:lang w:val="en-US" w:eastAsia="en-US"/>
        </w:rPr>
        <w:t xml:space="preserve">. The government ministers can be questioned by the Members of Parliament alongside debating policies, voting on crucial matters, and proposing amendments to legislation. </w:t>
      </w:r>
      <w:r w:rsidR="00866DA2" w:rsidRPr="00866DA2">
        <w:rPr>
          <w:rFonts w:eastAsia="Times New Roman" w:cs="Times New Roman"/>
          <w:color w:val="FF0000"/>
          <w:szCs w:val="24"/>
          <w:lang w:val="en-US" w:eastAsia="en-US"/>
        </w:rPr>
        <w:t xml:space="preserve">For </w:t>
      </w:r>
      <w:r w:rsidR="00A6248A" w:rsidRPr="00866DA2">
        <w:rPr>
          <w:rFonts w:eastAsia="Times New Roman" w:cs="Times New Roman"/>
          <w:color w:val="FF0000"/>
          <w:szCs w:val="24"/>
          <w:lang w:val="en-US" w:eastAsia="en-US"/>
        </w:rPr>
        <w:t>instance,</w:t>
      </w:r>
      <w:r w:rsidR="00866DA2" w:rsidRPr="00866DA2">
        <w:rPr>
          <w:rFonts w:eastAsia="Times New Roman" w:cs="Times New Roman"/>
          <w:color w:val="FF0000"/>
          <w:szCs w:val="24"/>
          <w:lang w:val="en-US" w:eastAsia="en-US"/>
        </w:rPr>
        <w:t xml:space="preserve"> in the case of the prorogation discussed </w:t>
      </w:r>
      <w:r w:rsidR="00A6248A">
        <w:rPr>
          <w:rFonts w:eastAsia="Times New Roman" w:cs="Times New Roman"/>
          <w:color w:val="FF0000"/>
          <w:szCs w:val="24"/>
          <w:lang w:val="en-US" w:eastAsia="en-US"/>
        </w:rPr>
        <w:t xml:space="preserve">above parliamentary scrutiny has been faced by the former prime minister of the UK. However, according to </w:t>
      </w:r>
      <w:r w:rsidR="00A6248A" w:rsidRPr="00A6248A">
        <w:rPr>
          <w:rFonts w:eastAsia="Times New Roman" w:cs="Times New Roman"/>
          <w:color w:val="FF0000"/>
          <w:szCs w:val="24"/>
          <w:lang w:eastAsia="en-US"/>
        </w:rPr>
        <w:t>Professor Meg Russell, Director of UCL’s Constitution</w:t>
      </w:r>
      <w:r w:rsidR="00A6248A">
        <w:rPr>
          <w:rFonts w:eastAsia="Times New Roman" w:cs="Times New Roman"/>
          <w:color w:val="FF0000"/>
          <w:szCs w:val="24"/>
          <w:lang w:eastAsia="en-US"/>
        </w:rPr>
        <w:t xml:space="preserve"> the one day of parliamentary scrutiny was unexpected as based on the unstable political situation due to Brexit. </w:t>
      </w:r>
      <w:r w:rsidR="00D14C15">
        <w:rPr>
          <w:rFonts w:eastAsia="Times New Roman" w:cs="Times New Roman"/>
          <w:color w:val="FF0000"/>
          <w:szCs w:val="24"/>
          <w:lang w:eastAsia="en-US"/>
        </w:rPr>
        <w:t xml:space="preserve">This instance has highlighted that parliamentary scrutiny has most of the time within the UK in case of excessive use of powers by the UK executives. </w:t>
      </w:r>
    </w:p>
    <w:p w14:paraId="2240E69D" w14:textId="47F4E0F8" w:rsidR="00CB11AD" w:rsidRPr="00CB11AD" w:rsidRDefault="00B14CE7" w:rsidP="00CB11AD">
      <w:pPr>
        <w:rPr>
          <w:rFonts w:eastAsia="Times New Roman" w:cs="Times New Roman"/>
          <w:szCs w:val="24"/>
          <w:lang w:val="en-US" w:eastAsia="en-US"/>
        </w:rPr>
      </w:pPr>
      <w:r w:rsidRPr="00CB11AD">
        <w:rPr>
          <w:rFonts w:eastAsia="Times New Roman" w:cs="Times New Roman"/>
          <w:color w:val="000000"/>
          <w:szCs w:val="24"/>
          <w:lang w:val="en-US" w:eastAsia="en-US"/>
        </w:rPr>
        <w:t xml:space="preserve">The UK executives can be held to account by various ways for instance parliamentary scrutiny, judicial review and conventions and tradition. Parliamentary scrutiny can help in monitoring the UK executives and their use of powers. The UK government can assign some parliamentary members to question the government ministers, propose amendments and debate policies. </w:t>
      </w:r>
      <w:r w:rsidR="00D14C15" w:rsidRPr="00D14C15">
        <w:rPr>
          <w:rFonts w:eastAsia="Times New Roman" w:cs="Times New Roman"/>
          <w:color w:val="FF0000"/>
          <w:szCs w:val="24"/>
          <w:lang w:val="en-US" w:eastAsia="en-US"/>
        </w:rPr>
        <w:t xml:space="preserve">For instance, the parliamentary scrutiny unit of the UK includes around 25 members consisting of accountants, lawyers, policy specialists, economists and more. This has helped in bringing diverse perspectives during scrutinising parliamentary issues that helped in ensuring their successful mitigation. </w:t>
      </w:r>
      <w:r w:rsidRPr="00CB11AD">
        <w:rPr>
          <w:rFonts w:eastAsia="Times New Roman" w:cs="Times New Roman"/>
          <w:color w:val="000000"/>
          <w:szCs w:val="24"/>
          <w:lang w:val="en-US" w:eastAsia="en-US"/>
        </w:rPr>
        <w:t xml:space="preserve">This can greatly help in holding the UK executives and the whole government accountable. The lawful behaviours and the consistency of the actions of UK executives with the constitutional principles of the UK are generally ensured by the judiciary, specifically the UK Supreme Court. The constitutionality and legality of the governmental legislation and actions can be examined by the UK courts with their power of judicial review </w:t>
      </w:r>
      <w:sdt>
        <w:sdtPr>
          <w:rPr>
            <w:rFonts w:eastAsia="Times New Roman" w:cs="Times New Roman"/>
            <w:color w:val="000000"/>
            <w:szCs w:val="24"/>
            <w:lang w:val="en-US" w:eastAsia="en-US"/>
          </w:rPr>
          <w:id w:val="1584268116"/>
          <w:citation/>
        </w:sdtPr>
        <w:sdtContent>
          <w:r w:rsidRPr="00CB11AD">
            <w:rPr>
              <w:rFonts w:eastAsia="Times New Roman" w:cs="Times New Roman"/>
              <w:color w:val="000000"/>
              <w:szCs w:val="24"/>
              <w:lang w:val="en-US" w:eastAsia="en-US"/>
            </w:rPr>
            <w:fldChar w:fldCharType="begin"/>
          </w:r>
          <w:r w:rsidRPr="00CB11AD">
            <w:rPr>
              <w:rFonts w:eastAsia="Times New Roman" w:cs="Times New Roman"/>
              <w:color w:val="000000"/>
              <w:szCs w:val="24"/>
              <w:lang w:val="en-US" w:eastAsia="en-US"/>
            </w:rPr>
            <w:instrText xml:space="preserve"> CITATION UOL23 \l 1033 </w:instrText>
          </w:r>
          <w:r w:rsidRPr="00CB11AD">
            <w:rPr>
              <w:rFonts w:eastAsia="Times New Roman" w:cs="Times New Roman"/>
              <w:color w:val="000000"/>
              <w:szCs w:val="24"/>
              <w:lang w:val="en-US" w:eastAsia="en-US"/>
            </w:rPr>
            <w:fldChar w:fldCharType="separate"/>
          </w:r>
          <w:r w:rsidRPr="00CB11AD">
            <w:rPr>
              <w:rFonts w:eastAsia="Times New Roman" w:cs="Times New Roman"/>
              <w:noProof/>
              <w:color w:val="000000"/>
              <w:szCs w:val="24"/>
              <w:lang w:val="en-US" w:eastAsia="en-US"/>
            </w:rPr>
            <w:t>(UOLLB, 2023)</w:t>
          </w:r>
          <w:r w:rsidRPr="00CB11AD">
            <w:rPr>
              <w:rFonts w:eastAsia="Times New Roman" w:cs="Times New Roman"/>
              <w:color w:val="000000"/>
              <w:szCs w:val="24"/>
              <w:lang w:val="en-US" w:eastAsia="en-US"/>
            </w:rPr>
            <w:fldChar w:fldCharType="end"/>
          </w:r>
        </w:sdtContent>
      </w:sdt>
      <w:r w:rsidRPr="00CB11AD">
        <w:rPr>
          <w:rFonts w:eastAsia="Times New Roman" w:cs="Times New Roman"/>
          <w:color w:val="000000"/>
          <w:szCs w:val="24"/>
          <w:lang w:val="en-US" w:eastAsia="en-US"/>
        </w:rPr>
        <w:t xml:space="preserve">. This has helped in ensuring the accountability of the UK Executives. The conventions and traditions have been another easy way to maintain the accountability of the </w:t>
      </w:r>
      <w:r w:rsidRPr="00CB11AD">
        <w:rPr>
          <w:rFonts w:eastAsia="Times New Roman" w:cs="Times New Roman"/>
          <w:color w:val="000000"/>
          <w:szCs w:val="24"/>
          <w:lang w:val="en-US" w:eastAsia="en-US"/>
        </w:rPr>
        <w:lastRenderedPageBreak/>
        <w:t>UK executives. Within the UK system separation of powers of the UK executives can be maintained by long-standing traditions and constitutional conventions.</w:t>
      </w:r>
    </w:p>
    <w:p w14:paraId="3CFDFEA7" w14:textId="77777777" w:rsidR="00315DD3" w:rsidRPr="00711B49" w:rsidRDefault="00315DD3" w:rsidP="00315DD3">
      <w:pPr>
        <w:rPr>
          <w:color w:val="FF0000"/>
          <w:lang w:val="en-IN" w:eastAsia="en-IN"/>
        </w:rPr>
      </w:pPr>
      <w:r w:rsidRPr="00CB11AD">
        <w:rPr>
          <w:lang w:val="en-IN" w:eastAsia="en-IN"/>
        </w:rPr>
        <w:t>The UK government has evolved with time and is an unwritten constitution, the UK system has often been misunderstood. The term unwritten does not mean it does not have any written document rather there is not a single account to look into. Parliamentary scrutiny is one of the most effective ways the House of Commons and the House of Lords have examined and investigated government policies and actions along with their spending to ensure proper management (</w:t>
      </w:r>
      <w:r w:rsidRPr="00CB11AD">
        <w:rPr>
          <w:shd w:val="clear" w:color="auto" w:fill="FFFFFF"/>
          <w:lang w:val="" w:eastAsia="en-US"/>
        </w:rPr>
        <w:t>Albanesi, 2021)</w:t>
      </w:r>
      <w:r w:rsidRPr="00CB11AD">
        <w:rPr>
          <w:lang w:val="en-IN" w:eastAsia="en-IN"/>
        </w:rPr>
        <w:t xml:space="preserve">. The UK system is easier to adapt and change which has helped them to evolve spontaneously. </w:t>
      </w:r>
      <w:r w:rsidRPr="004F4126">
        <w:rPr>
          <w:color w:val="FF0000"/>
          <w:lang w:val="en-IN" w:eastAsia="en-IN"/>
        </w:rPr>
        <w:t xml:space="preserve">For example, the flexible attitude of the UK has helped in the removal of </w:t>
      </w:r>
      <w:r w:rsidRPr="004F4126">
        <w:rPr>
          <w:color w:val="FF0000"/>
        </w:rPr>
        <w:t>hereditary peers from the House of Lords</w:t>
      </w:r>
      <w:r>
        <w:rPr>
          <w:color w:val="FF0000"/>
          <w:lang w:val="en-IN" w:eastAsia="en-IN"/>
        </w:rPr>
        <w:t xml:space="preserve"> and also the introduction of human rights acts is another example of the flexibility and adaptability. </w:t>
      </w:r>
      <w:r w:rsidRPr="00CB11AD">
        <w:rPr>
          <w:lang w:val="en-IN" w:eastAsia="en-IN"/>
        </w:rPr>
        <w:t xml:space="preserve">Individual rights have been highly protected by the system lowering the chances of voter fraud or other political mishaps. </w:t>
      </w:r>
      <w:r w:rsidRPr="004F4126">
        <w:rPr>
          <w:color w:val="FF0000"/>
          <w:lang w:val="en-IN" w:eastAsia="en-IN"/>
        </w:rPr>
        <w:t xml:space="preserve">The human rights acts have also </w:t>
      </w:r>
      <w:r>
        <w:rPr>
          <w:color w:val="FF0000"/>
          <w:lang w:val="en-IN" w:eastAsia="en-IN"/>
        </w:rPr>
        <w:t xml:space="preserve">protected the people regardless of their citizenship and immigration status projecting the way individual rights has been protected.  </w:t>
      </w:r>
      <w:r w:rsidRPr="00CB11AD">
        <w:rPr>
          <w:lang w:val="en-IN" w:eastAsia="en-IN"/>
        </w:rPr>
        <w:t xml:space="preserve">The executives are drawn from the largest party legislature reducing any type of political deadlock. The lack of involvement of executives in the decision-making process in court procedures has improved the legal process of the country. </w:t>
      </w:r>
      <w:r w:rsidRPr="004F4126">
        <w:rPr>
          <w:color w:val="FF0000"/>
          <w:lang w:val="en-IN" w:eastAsia="en-IN"/>
        </w:rPr>
        <w:t>The reformed second chamber has helped the overall ability of the parliament to hold the government into account (</w:t>
      </w:r>
      <w:r w:rsidRPr="004F4126">
        <w:rPr>
          <w:color w:val="FF0000"/>
          <w:shd w:val="clear" w:color="auto" w:fill="FFFFFF"/>
          <w:lang w:val="" w:eastAsia="en-US"/>
        </w:rPr>
        <w:t>Cairney, 2021)</w:t>
      </w:r>
      <w:r w:rsidRPr="004F4126">
        <w:rPr>
          <w:color w:val="FF0000"/>
          <w:lang w:val="en-IN" w:eastAsia="en-IN"/>
        </w:rPr>
        <w:t>. It has not denominated by any single political party involving people from different backgrounds</w:t>
      </w:r>
      <w:r>
        <w:rPr>
          <w:lang w:val="en-IN" w:eastAsia="en-IN"/>
        </w:rPr>
        <w:t xml:space="preserve">. </w:t>
      </w:r>
      <w:r w:rsidRPr="00CB11AD">
        <w:rPr>
          <w:lang w:val="en-IN" w:eastAsia="en-IN"/>
        </w:rPr>
        <w:t xml:space="preserve">The scrutiny arrangements of the lord of Commons scrutinise the background information government approach before debating. In addition to that, elected dictatorship can happen within the nation due to the blending of legislature and executives which can harm the country. </w:t>
      </w:r>
      <w:r w:rsidRPr="00711B49">
        <w:rPr>
          <w:color w:val="FF0000"/>
          <w:lang w:val="en-IN" w:eastAsia="en-IN"/>
        </w:rPr>
        <w:t>Sometimes, when the government have large majority, it has certain influence on house of commons making this kind of dictatorship</w:t>
      </w:r>
      <w:r>
        <w:rPr>
          <w:lang w:val="en-IN" w:eastAsia="en-IN"/>
        </w:rPr>
        <w:t xml:space="preserve">. </w:t>
      </w:r>
      <w:r w:rsidRPr="00CB11AD">
        <w:rPr>
          <w:lang w:val="en-IN" w:eastAsia="en-IN"/>
        </w:rPr>
        <w:t xml:space="preserve">Issues in delivering flagship policies due to unclear relations between civil servants and ministers have created negative consequences such as failure of the policies. </w:t>
      </w:r>
      <w:r w:rsidRPr="00711B49">
        <w:rPr>
          <w:color w:val="FF0000"/>
          <w:lang w:val="en-IN" w:eastAsia="en-IN"/>
        </w:rPr>
        <w:lastRenderedPageBreak/>
        <w:t xml:space="preserve">Further, lack of </w:t>
      </w:r>
      <w:r w:rsidRPr="00711B49">
        <w:rPr>
          <w:color w:val="FF0000"/>
        </w:rPr>
        <w:t xml:space="preserve">integrity and competence </w:t>
      </w:r>
      <w:r w:rsidRPr="00711B49">
        <w:rPr>
          <w:color w:val="FF0000"/>
          <w:lang w:val="en-IN" w:eastAsia="en-IN"/>
        </w:rPr>
        <w:t>among the ministers and executives and different mindsets has failed the government operations and incorporation of policies (</w:t>
      </w:r>
      <w:r w:rsidRPr="00711B49">
        <w:rPr>
          <w:color w:val="FF0000"/>
          <w:shd w:val="clear" w:color="auto" w:fill="FFFFFF"/>
          <w:lang w:val="" w:eastAsia="en-US"/>
        </w:rPr>
        <w:t>Judge, 2021)</w:t>
      </w:r>
      <w:r w:rsidRPr="00711B49">
        <w:rPr>
          <w:color w:val="FF0000"/>
          <w:lang w:val="en-IN" w:eastAsia="en-IN"/>
        </w:rPr>
        <w:t xml:space="preserve">. </w:t>
      </w:r>
      <w:r>
        <w:rPr>
          <w:color w:val="FF0000"/>
          <w:lang w:val="en-IN" w:eastAsia="en-IN"/>
        </w:rPr>
        <w:t xml:space="preserve">For example, </w:t>
      </w:r>
      <w:r w:rsidRPr="00711B49">
        <w:rPr>
          <w:color w:val="FF0000"/>
        </w:rPr>
        <w:t>Jeremy Hunt, an opponent leadership has accused Boris Johnson in 2022 for lack pf integrity and competence which has also projected the challenges in the executive system.</w:t>
      </w:r>
    </w:p>
    <w:p w14:paraId="44934E21" w14:textId="771F1A11" w:rsidR="000D32BA" w:rsidRDefault="00315DD3" w:rsidP="00315DD3">
      <w:pPr>
        <w:spacing w:after="160"/>
        <w:rPr>
          <w:rFonts w:eastAsia="Times New Roman" w:cs="Times New Roman"/>
          <w:b/>
          <w:bCs/>
          <w:color w:val="000000"/>
          <w:szCs w:val="24"/>
          <w:lang w:val="en-IN" w:eastAsia="en-IN"/>
        </w:rPr>
      </w:pPr>
      <w:r w:rsidRPr="00CB11AD">
        <w:rPr>
          <w:color w:val="000000"/>
          <w:lang w:val="" w:eastAsia="en-US"/>
        </w:rPr>
        <w:t xml:space="preserve">The prime function of the UK parliament has been to hold the UK executives into account. A better version of a government and UK executives can be formed by making it more accountable to its responsibilities and use of power. The political views of the UK government have been directly viewed by the House of Commons. Reforming the second chamber can help in improving the ability of parliament to hold the UK executives accountable. Implementing scrutinising ministers also can be established as a reformed suggestion to increase the accountability of UK executives and form a better government. It has been found that the relevant expertise and broader perspectives of House of Lords members have been challenging to bring to the UK executives on a regular and direct basis </w:t>
      </w:r>
      <w:sdt>
        <w:sdtPr>
          <w:rPr>
            <w:color w:val="000000"/>
            <w:lang w:val="" w:eastAsia="en-US"/>
          </w:rPr>
          <w:id w:val="-1540420573"/>
          <w:citation/>
        </w:sdtPr>
        <w:sdtContent>
          <w:r w:rsidRPr="00CB11AD">
            <w:rPr>
              <w:color w:val="000000"/>
              <w:lang w:val="" w:eastAsia="en-US"/>
            </w:rPr>
            <w:fldChar w:fldCharType="begin"/>
          </w:r>
          <w:r w:rsidRPr="00CB11AD">
            <w:rPr>
              <w:color w:val="000000"/>
              <w:lang w:val="" w:eastAsia="en-US"/>
            </w:rPr>
            <w:instrText xml:space="preserve"> CITATION Ass24 \l 1033 </w:instrText>
          </w:r>
          <w:r w:rsidRPr="00CB11AD">
            <w:rPr>
              <w:color w:val="000000"/>
              <w:lang w:val="" w:eastAsia="en-US"/>
            </w:rPr>
            <w:fldChar w:fldCharType="separate"/>
          </w:r>
          <w:r w:rsidRPr="00CB11AD">
            <w:rPr>
              <w:rFonts w:eastAsia="Times New Roman"/>
              <w:noProof/>
              <w:color w:val="000000"/>
              <w:lang w:val="" w:eastAsia="en-US"/>
            </w:rPr>
            <w:t>(Assets, 2024)</w:t>
          </w:r>
          <w:r w:rsidRPr="00CB11AD">
            <w:rPr>
              <w:color w:val="000000"/>
              <w:lang w:val="" w:eastAsia="en-US"/>
            </w:rPr>
            <w:fldChar w:fldCharType="end"/>
          </w:r>
        </w:sdtContent>
      </w:sdt>
      <w:r w:rsidRPr="00CB11AD">
        <w:rPr>
          <w:color w:val="000000"/>
          <w:lang w:val="" w:eastAsia="en-US"/>
        </w:rPr>
        <w:t xml:space="preserve">. The parliamentary members should be allowed to present their cases to the Ministers on a direct basis. This can help in improving the ability of the second chamber in terms of holding the UK executives as well as the government accountable. The parliamentary scrutiny of the UK executives can be improved by strengthening the Ministerial accountability of the second chamber. </w:t>
      </w:r>
      <w:r w:rsidR="006876A4">
        <w:rPr>
          <w:rFonts w:eastAsia="Times New Roman" w:cs="Times New Roman"/>
          <w:b/>
          <w:bCs/>
          <w:color w:val="000000"/>
          <w:szCs w:val="24"/>
          <w:lang w:val="en-IN" w:eastAsia="en-IN"/>
        </w:rPr>
        <w:br w:type="page"/>
      </w:r>
    </w:p>
    <w:p w14:paraId="5C20D4EC" w14:textId="77777777" w:rsidR="00A02027" w:rsidRPr="00A02027" w:rsidRDefault="00B14CE7" w:rsidP="00A02027">
      <w:pPr>
        <w:rPr>
          <w:rFonts w:eastAsia="Times New Roman" w:cs="Times New Roman"/>
          <w:szCs w:val="24"/>
          <w:lang w:val="en-IN" w:eastAsia="en-IN"/>
        </w:rPr>
      </w:pPr>
      <w:r w:rsidRPr="00A02027">
        <w:rPr>
          <w:rFonts w:eastAsia="Times New Roman" w:cs="Times New Roman"/>
          <w:color w:val="000000"/>
          <w:szCs w:val="24"/>
          <w:lang w:val="en-IN" w:eastAsia="en-IN"/>
        </w:rPr>
        <w:lastRenderedPageBreak/>
        <w:t>Good government implements fair and effective legal frameworks that protect human rights and provide better development to the nation. In this context, the essay has discussed the role and jobs of UK executives. It has been found that the parties with the most seats within the House of Commons are generally identified as suitable candidates for forming a government. Besides that, the separation of power has become one fundamental concept noticed first in one of the works of Aristotle and modified by Montesquieu, a French philosopher. It has been found that parliamentary scrutiny has been useful for the separation of powers as an oversight over the UK executives. Further, the essay has stated the executives that have been drawn from the largest party legislature have reduced any types of political deadlock.</w:t>
      </w:r>
    </w:p>
    <w:p w14:paraId="7295526C" w14:textId="77777777" w:rsidR="001514B6" w:rsidRDefault="00B14CE7">
      <w:pPr>
        <w:spacing w:after="160" w:line="259" w:lineRule="auto"/>
        <w:jc w:val="left"/>
        <w:rPr>
          <w:rFonts w:eastAsia="Times New Roman" w:cs="Times New Roman"/>
          <w:b/>
          <w:bCs/>
          <w:color w:val="000000"/>
          <w:szCs w:val="24"/>
          <w:lang w:val="en-IN" w:eastAsia="en-IN"/>
        </w:rPr>
      </w:pPr>
      <w:r>
        <w:rPr>
          <w:rFonts w:eastAsia="Times New Roman" w:cs="Times New Roman"/>
          <w:b/>
          <w:bCs/>
          <w:color w:val="000000"/>
          <w:szCs w:val="24"/>
          <w:lang w:val="en-IN" w:eastAsia="en-IN"/>
        </w:rPr>
        <w:br w:type="page"/>
      </w:r>
    </w:p>
    <w:p w14:paraId="658800A1" w14:textId="77777777" w:rsidR="00A02027" w:rsidRPr="006D2B2C" w:rsidRDefault="00B14CE7" w:rsidP="006D2B2C">
      <w:pPr>
        <w:rPr>
          <w:b/>
          <w:bCs/>
        </w:rPr>
      </w:pPr>
      <w:r w:rsidRPr="006D2B2C">
        <w:rPr>
          <w:b/>
          <w:bCs/>
        </w:rPr>
        <w:lastRenderedPageBreak/>
        <w:t xml:space="preserve">References </w:t>
      </w:r>
    </w:p>
    <w:p w14:paraId="6C4630BF" w14:textId="77777777" w:rsidR="0075576D" w:rsidRPr="001514B6" w:rsidRDefault="0075576D" w:rsidP="001514B6">
      <w:pPr>
        <w:rPr>
          <w:lang w:val="en-IN" w:eastAsia="en-IN"/>
        </w:rPr>
      </w:pPr>
      <w:r>
        <w:rPr>
          <w:shd w:val="clear" w:color="auto" w:fill="FFFFFF"/>
        </w:rPr>
        <w:t>Albanesi, E., (2021). Parliamentary scrutiny of the quality of legislation within Europe. </w:t>
      </w:r>
      <w:r>
        <w:rPr>
          <w:i/>
          <w:iCs/>
          <w:shd w:val="clear" w:color="auto" w:fill="FFFFFF"/>
        </w:rPr>
        <w:t>Statute Law Review</w:t>
      </w:r>
      <w:r>
        <w:rPr>
          <w:shd w:val="clear" w:color="auto" w:fill="FFFFFF"/>
        </w:rPr>
        <w:t>, </w:t>
      </w:r>
      <w:r>
        <w:rPr>
          <w:i/>
          <w:iCs/>
          <w:shd w:val="clear" w:color="auto" w:fill="FFFFFF"/>
        </w:rPr>
        <w:t>42</w:t>
      </w:r>
      <w:r>
        <w:rPr>
          <w:shd w:val="clear" w:color="auto" w:fill="FFFFFF"/>
        </w:rPr>
        <w:t>(3), pp.313-334.</w:t>
      </w:r>
    </w:p>
    <w:p w14:paraId="5BC90985" w14:textId="77777777" w:rsidR="0075576D" w:rsidRDefault="0075576D" w:rsidP="00CB11AD">
      <w:r>
        <w:t xml:space="preserve">Assets, (2024). </w:t>
      </w:r>
      <w:r w:rsidRPr="00FB3BBC">
        <w:rPr>
          <w:i/>
          <w:iCs/>
        </w:rPr>
        <w:t>Chapter 8 – Holding the Government</w:t>
      </w:r>
      <w:r>
        <w:t>. [Online] Available at: https://assets.publishing.service.gov.uk/media/5a7c327840f0b67d0b11f816/chap8.pdf [Accessed 15 2 2024].</w:t>
      </w:r>
    </w:p>
    <w:p w14:paraId="4A7F2715" w14:textId="77777777" w:rsidR="0075576D" w:rsidRPr="0075576D" w:rsidRDefault="0075576D" w:rsidP="0075576D">
      <w:pPr>
        <w:pStyle w:val="Bibliography"/>
        <w:rPr>
          <w:noProof/>
          <w:color w:val="FF0000"/>
          <w:lang w:val="en-GB"/>
        </w:rPr>
      </w:pPr>
      <w:r w:rsidRPr="0075576D">
        <w:rPr>
          <w:noProof/>
          <w:color w:val="FF0000"/>
          <w:lang w:val="en-GB"/>
        </w:rPr>
        <w:t xml:space="preserve">Bradley, A., (2021). </w:t>
      </w:r>
      <w:r w:rsidRPr="0075576D">
        <w:rPr>
          <w:i/>
          <w:iCs/>
          <w:noProof/>
          <w:color w:val="FF0000"/>
          <w:lang w:val="en-GB"/>
        </w:rPr>
        <w:t xml:space="preserve">The Human Rights Act, 1998. </w:t>
      </w:r>
      <w:r w:rsidRPr="0075576D">
        <w:rPr>
          <w:noProof/>
          <w:color w:val="FF0000"/>
          <w:lang w:val="en-GB"/>
        </w:rPr>
        <w:t xml:space="preserve">[Online] Available at: </w:t>
      </w:r>
      <w:r w:rsidRPr="0075576D">
        <w:rPr>
          <w:noProof/>
          <w:color w:val="FF0000"/>
          <w:u w:val="single"/>
          <w:lang w:val="en-GB"/>
        </w:rPr>
        <w:t>https://ohrh.law.ox.ac.uk/the-human-rights-act-1998/</w:t>
      </w:r>
      <w:r w:rsidRPr="0075576D">
        <w:rPr>
          <w:noProof/>
          <w:color w:val="FF0000"/>
          <w:lang w:val="en-GB"/>
        </w:rPr>
        <w:t xml:space="preserve"> [Accessed 15 2 2024].</w:t>
      </w:r>
    </w:p>
    <w:p w14:paraId="0B0B1C76" w14:textId="77777777" w:rsidR="0075576D" w:rsidRDefault="0075576D" w:rsidP="001514B6">
      <w:pPr>
        <w:rPr>
          <w:shd w:val="clear" w:color="auto" w:fill="FFFFFF"/>
        </w:rPr>
      </w:pPr>
      <w:r>
        <w:rPr>
          <w:shd w:val="clear" w:color="auto" w:fill="FFFFFF"/>
        </w:rPr>
        <w:t>Cairney, P., (2021). The UK government’s COVID-19 policy: assessing evidence-informed policy analysis in real time. </w:t>
      </w:r>
      <w:r>
        <w:rPr>
          <w:i/>
          <w:iCs/>
          <w:shd w:val="clear" w:color="auto" w:fill="FFFFFF"/>
        </w:rPr>
        <w:t>British Politics</w:t>
      </w:r>
      <w:r>
        <w:rPr>
          <w:shd w:val="clear" w:color="auto" w:fill="FFFFFF"/>
        </w:rPr>
        <w:t>, </w:t>
      </w:r>
      <w:r>
        <w:rPr>
          <w:i/>
          <w:iCs/>
          <w:shd w:val="clear" w:color="auto" w:fill="FFFFFF"/>
        </w:rPr>
        <w:t>16</w:t>
      </w:r>
      <w:r>
        <w:rPr>
          <w:shd w:val="clear" w:color="auto" w:fill="FFFFFF"/>
        </w:rPr>
        <w:t>(1), pp.90-116.</w:t>
      </w:r>
    </w:p>
    <w:p w14:paraId="444F8773" w14:textId="77777777" w:rsidR="0075576D" w:rsidRDefault="0075576D" w:rsidP="00CB11AD">
      <w:r>
        <w:t xml:space="preserve">CONSOC, (2024). </w:t>
      </w:r>
      <w:r w:rsidRPr="00FB3BBC">
        <w:rPr>
          <w:i/>
          <w:iCs/>
        </w:rPr>
        <w:t>The executive</w:t>
      </w:r>
      <w:r>
        <w:t>. [Online] Available at: https://consoc.org.uk/the-constitution-explained/the-executive/ [Accessed 15 2 2024].</w:t>
      </w:r>
    </w:p>
    <w:p w14:paraId="3A0C238A" w14:textId="77777777" w:rsidR="0075576D" w:rsidRDefault="0075576D" w:rsidP="00CB11AD">
      <w:r>
        <w:t xml:space="preserve">GOV.UK, (2024). </w:t>
      </w:r>
      <w:r w:rsidRPr="00FB3BBC">
        <w:rPr>
          <w:i/>
          <w:iCs/>
        </w:rPr>
        <w:t>How government works</w:t>
      </w:r>
      <w:r>
        <w:t>. [Online] Available at: https://www.gov.uk/government/how-government-works [Accessed 15 2 2024].</w:t>
      </w:r>
    </w:p>
    <w:p w14:paraId="7EBC3A06" w14:textId="77777777" w:rsidR="0075576D" w:rsidRDefault="0075576D" w:rsidP="001514B6">
      <w:pPr>
        <w:rPr>
          <w:shd w:val="clear" w:color="auto" w:fill="FFFFFF"/>
        </w:rPr>
      </w:pPr>
      <w:r>
        <w:rPr>
          <w:shd w:val="clear" w:color="auto" w:fill="FFFFFF"/>
        </w:rPr>
        <w:t xml:space="preserve">Judge, D., (2021). </w:t>
      </w:r>
      <w:r w:rsidRPr="001514B6">
        <w:t>Walking the dark side: Evading parliamentary scrutiny</w:t>
      </w:r>
      <w:r>
        <w:rPr>
          <w:shd w:val="clear" w:color="auto" w:fill="FFFFFF"/>
        </w:rPr>
        <w:t>. </w:t>
      </w:r>
      <w:r>
        <w:rPr>
          <w:i/>
          <w:iCs/>
          <w:shd w:val="clear" w:color="auto" w:fill="FFFFFF"/>
        </w:rPr>
        <w:t>The Political Quarterly</w:t>
      </w:r>
      <w:r>
        <w:rPr>
          <w:shd w:val="clear" w:color="auto" w:fill="FFFFFF"/>
        </w:rPr>
        <w:t>, </w:t>
      </w:r>
      <w:r>
        <w:rPr>
          <w:i/>
          <w:iCs/>
          <w:shd w:val="clear" w:color="auto" w:fill="FFFFFF"/>
        </w:rPr>
        <w:t>92</w:t>
      </w:r>
      <w:r>
        <w:rPr>
          <w:shd w:val="clear" w:color="auto" w:fill="FFFFFF"/>
        </w:rPr>
        <w:t xml:space="preserve">(2), pp.283-292. </w:t>
      </w:r>
    </w:p>
    <w:p w14:paraId="160AF0AB" w14:textId="77777777" w:rsidR="0075576D" w:rsidRDefault="0075576D" w:rsidP="00CB11AD">
      <w:r>
        <w:t xml:space="preserve">LawWales, (2021). </w:t>
      </w:r>
      <w:r w:rsidRPr="00FB3BBC">
        <w:rPr>
          <w:i/>
          <w:iCs/>
        </w:rPr>
        <w:t>The three branches of government</w:t>
      </w:r>
      <w:r>
        <w:t>. [Online] Available at: https://law.gov.wales/three-branches-government [Accessed 15 2 2024].</w:t>
      </w:r>
    </w:p>
    <w:p w14:paraId="3CBF8698" w14:textId="77777777" w:rsidR="0075576D" w:rsidRDefault="0075576D" w:rsidP="00CB11AD">
      <w:pPr>
        <w:pStyle w:val="NormalWeb"/>
        <w:rPr>
          <w:color w:val="222222"/>
          <w:shd w:val="clear" w:color="auto" w:fill="FFFFFF"/>
        </w:rPr>
      </w:pPr>
      <w:r w:rsidRPr="00FB3BBC">
        <w:rPr>
          <w:rFonts w:cs="Times New Roman"/>
          <w:color w:val="222222"/>
          <w:szCs w:val="24"/>
          <w:shd w:val="clear" w:color="auto" w:fill="FFFFFF"/>
        </w:rPr>
        <w:t xml:space="preserve">Pomeranz, E.F. and Stedman, R.C., (2020). </w:t>
      </w:r>
      <w:r w:rsidRPr="00FB3BBC">
        <w:rPr>
          <w:rFonts w:cs="Times New Roman"/>
          <w:i/>
          <w:iCs/>
          <w:color w:val="222222"/>
          <w:szCs w:val="24"/>
          <w:shd w:val="clear" w:color="auto" w:fill="FFFFFF"/>
        </w:rPr>
        <w:t>Measuring good governance: piloting an instrument for evaluating good governance principles</w:t>
      </w:r>
      <w:r w:rsidRPr="00FB3BBC">
        <w:rPr>
          <w:rFonts w:cs="Times New Roman"/>
          <w:color w:val="222222"/>
          <w:szCs w:val="24"/>
          <w:shd w:val="clear" w:color="auto" w:fill="FFFFFF"/>
        </w:rPr>
        <w:t>. </w:t>
      </w:r>
      <w:r w:rsidRPr="00FB3BBC">
        <w:rPr>
          <w:rFonts w:cs="Times New Roman"/>
          <w:i/>
          <w:iCs/>
          <w:color w:val="222222"/>
          <w:szCs w:val="24"/>
          <w:shd w:val="clear" w:color="auto" w:fill="FFFFFF"/>
        </w:rPr>
        <w:t>Journal of Environmental Policy &amp; Planning</w:t>
      </w:r>
      <w:r w:rsidRPr="00FB3BBC">
        <w:rPr>
          <w:rFonts w:cs="Times New Roman"/>
          <w:color w:val="222222"/>
          <w:szCs w:val="24"/>
          <w:shd w:val="clear" w:color="auto" w:fill="FFFFFF"/>
        </w:rPr>
        <w:t>, </w:t>
      </w:r>
      <w:r w:rsidRPr="00FB3BBC">
        <w:rPr>
          <w:rFonts w:cs="Times New Roman"/>
          <w:i/>
          <w:iCs/>
          <w:color w:val="222222"/>
          <w:szCs w:val="24"/>
          <w:shd w:val="clear" w:color="auto" w:fill="FFFFFF"/>
        </w:rPr>
        <w:t>22</w:t>
      </w:r>
      <w:r w:rsidRPr="00FB3BBC">
        <w:rPr>
          <w:rFonts w:cs="Times New Roman"/>
          <w:color w:val="222222"/>
          <w:szCs w:val="24"/>
          <w:shd w:val="clear" w:color="auto" w:fill="FFFFFF"/>
        </w:rPr>
        <w:t>(3), pp.428-440.</w:t>
      </w:r>
    </w:p>
    <w:p w14:paraId="1A9B5115" w14:textId="77777777" w:rsidR="0075576D" w:rsidRPr="0075576D" w:rsidRDefault="0075576D" w:rsidP="00764779">
      <w:pPr>
        <w:pStyle w:val="Bibliography"/>
        <w:rPr>
          <w:noProof/>
          <w:color w:val="FF0000"/>
          <w:lang w:val="en-GB"/>
        </w:rPr>
      </w:pPr>
      <w:r w:rsidRPr="0075576D">
        <w:rPr>
          <w:noProof/>
          <w:color w:val="FF0000"/>
          <w:lang w:val="en-GB"/>
        </w:rPr>
        <w:t xml:space="preserve">UCL, (2019). </w:t>
      </w:r>
      <w:r w:rsidRPr="0075576D">
        <w:rPr>
          <w:i/>
          <w:iCs/>
          <w:noProof/>
          <w:color w:val="FF0000"/>
          <w:lang w:val="en-GB"/>
        </w:rPr>
        <w:t xml:space="preserve">Analysis: Prorogation is an “abuse of executive power” says UCL’s Constitution Unit. </w:t>
      </w:r>
      <w:r w:rsidRPr="0075576D">
        <w:rPr>
          <w:noProof/>
          <w:color w:val="FF0000"/>
          <w:lang w:val="en-GB"/>
        </w:rPr>
        <w:t xml:space="preserve">[Online] Available at: </w:t>
      </w:r>
      <w:r w:rsidRPr="0075576D">
        <w:rPr>
          <w:noProof/>
          <w:color w:val="FF0000"/>
          <w:u w:val="single"/>
          <w:lang w:val="en-GB"/>
        </w:rPr>
        <w:t>https://www.ucl.ac.uk/news/2019/aug/analysis-prorogation-abuse-executive-power-says-ucls-constitution-unit</w:t>
      </w:r>
      <w:r w:rsidRPr="0075576D">
        <w:rPr>
          <w:noProof/>
          <w:color w:val="FF0000"/>
          <w:lang w:val="en-GB"/>
        </w:rPr>
        <w:t xml:space="preserve"> [Accessed 15 2 2024].</w:t>
      </w:r>
    </w:p>
    <w:p w14:paraId="538260A1" w14:textId="77777777" w:rsidR="0075576D" w:rsidRDefault="0075576D" w:rsidP="00CB11AD">
      <w:r>
        <w:lastRenderedPageBreak/>
        <w:t xml:space="preserve">UOLLB, (2023). </w:t>
      </w:r>
      <w:r w:rsidRPr="00FB3BBC">
        <w:rPr>
          <w:i/>
          <w:iCs/>
        </w:rPr>
        <w:t>Separation of Powers in United Kingdom</w:t>
      </w:r>
      <w:r>
        <w:t>. [Online] Available at: https://uollb.com/blog/english-common-law/separation-of-powers-in-united-kingdom [Accessed 15 2 2024].</w:t>
      </w:r>
    </w:p>
    <w:p w14:paraId="4BC1DDB3" w14:textId="77777777" w:rsidR="0075576D" w:rsidRDefault="0075576D">
      <w:r>
        <w:t xml:space="preserve">WHITE, H., (2024). </w:t>
      </w:r>
      <w:r w:rsidRPr="00FB3BBC">
        <w:rPr>
          <w:i/>
          <w:iCs/>
        </w:rPr>
        <w:t>What does good scrutiny look like?.</w:t>
      </w:r>
      <w:r>
        <w:t xml:space="preserve"> [Online] Available at: https://www.instituteforgovernment.org.uk/article/comment/what-does-good-scrutiny-look [Accessed 15 2 2024].</w:t>
      </w:r>
    </w:p>
    <w:p w14:paraId="5007FBF0" w14:textId="77777777" w:rsidR="00764779" w:rsidRDefault="00764779"/>
    <w:sectPr w:rsidR="00764779" w:rsidSect="00385BF8">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23E800" w14:textId="77777777" w:rsidR="00D51F65" w:rsidRDefault="00D51F65">
      <w:pPr>
        <w:spacing w:line="240" w:lineRule="auto"/>
      </w:pPr>
      <w:r>
        <w:separator/>
      </w:r>
    </w:p>
  </w:endnote>
  <w:endnote w:type="continuationSeparator" w:id="0">
    <w:p w14:paraId="3EB53038" w14:textId="77777777" w:rsidR="00D51F65" w:rsidRDefault="00D51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9054801"/>
      <w:docPartObj>
        <w:docPartGallery w:val="Page Numbers (Bottom of Page)"/>
        <w:docPartUnique/>
      </w:docPartObj>
    </w:sdtPr>
    <w:sdtContent>
      <w:sdt>
        <w:sdtPr>
          <w:id w:val="-1769616900"/>
          <w:docPartObj>
            <w:docPartGallery w:val="Page Numbers (Top of Page)"/>
            <w:docPartUnique/>
          </w:docPartObj>
        </w:sdtPr>
        <w:sdtContent>
          <w:p w14:paraId="6425DE72" w14:textId="77777777" w:rsidR="00CB11AD" w:rsidRDefault="00B14CE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BD39AF3" w14:textId="77777777" w:rsidR="00CB11AD" w:rsidRDefault="00CB1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5D6E80" w14:textId="77777777" w:rsidR="00D51F65" w:rsidRDefault="00D51F65">
      <w:pPr>
        <w:spacing w:line="240" w:lineRule="auto"/>
      </w:pPr>
      <w:r>
        <w:separator/>
      </w:r>
    </w:p>
  </w:footnote>
  <w:footnote w:type="continuationSeparator" w:id="0">
    <w:p w14:paraId="2AA6E200" w14:textId="77777777" w:rsidR="00D51F65" w:rsidRDefault="00D51F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ACBB3" w14:textId="77777777" w:rsidR="00C97D77" w:rsidRDefault="00B14CE7" w:rsidP="00C97D77">
    <w:pPr>
      <w:pStyle w:val="Header"/>
      <w:jc w:val="right"/>
    </w:pPr>
    <w:r w:rsidRPr="00C97D77">
      <w:rPr>
        <w:lang w:val="en-IN" w:eastAsia="en-IN"/>
      </w:rPr>
      <w:t>Legal Process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027"/>
    <w:rsid w:val="00053B15"/>
    <w:rsid w:val="000B6E6A"/>
    <w:rsid w:val="000D32BA"/>
    <w:rsid w:val="000E4121"/>
    <w:rsid w:val="001426E2"/>
    <w:rsid w:val="001436FF"/>
    <w:rsid w:val="001514B6"/>
    <w:rsid w:val="001A1AD3"/>
    <w:rsid w:val="001D253A"/>
    <w:rsid w:val="001F2E51"/>
    <w:rsid w:val="002644D5"/>
    <w:rsid w:val="002B635D"/>
    <w:rsid w:val="00306307"/>
    <w:rsid w:val="00315DD3"/>
    <w:rsid w:val="00325D87"/>
    <w:rsid w:val="00351A11"/>
    <w:rsid w:val="003555FC"/>
    <w:rsid w:val="00363A9A"/>
    <w:rsid w:val="00385BF8"/>
    <w:rsid w:val="003E6382"/>
    <w:rsid w:val="0041483D"/>
    <w:rsid w:val="00433936"/>
    <w:rsid w:val="00496338"/>
    <w:rsid w:val="004D4187"/>
    <w:rsid w:val="004F59E4"/>
    <w:rsid w:val="00562B69"/>
    <w:rsid w:val="005829F8"/>
    <w:rsid w:val="00596013"/>
    <w:rsid w:val="005A3657"/>
    <w:rsid w:val="005C69F4"/>
    <w:rsid w:val="005C77C7"/>
    <w:rsid w:val="005E334B"/>
    <w:rsid w:val="005F1E6D"/>
    <w:rsid w:val="00603618"/>
    <w:rsid w:val="00627816"/>
    <w:rsid w:val="00667FE0"/>
    <w:rsid w:val="006876A4"/>
    <w:rsid w:val="006D2B2C"/>
    <w:rsid w:val="0075576D"/>
    <w:rsid w:val="00764779"/>
    <w:rsid w:val="0077606E"/>
    <w:rsid w:val="007E5D1C"/>
    <w:rsid w:val="00821122"/>
    <w:rsid w:val="00866DA2"/>
    <w:rsid w:val="00873D0B"/>
    <w:rsid w:val="008D4B7C"/>
    <w:rsid w:val="008E5FAF"/>
    <w:rsid w:val="00917B2F"/>
    <w:rsid w:val="009653DB"/>
    <w:rsid w:val="00A02027"/>
    <w:rsid w:val="00A03736"/>
    <w:rsid w:val="00A05425"/>
    <w:rsid w:val="00A6248A"/>
    <w:rsid w:val="00A64DD0"/>
    <w:rsid w:val="00A80EF7"/>
    <w:rsid w:val="00B05B66"/>
    <w:rsid w:val="00B14CE7"/>
    <w:rsid w:val="00B449E1"/>
    <w:rsid w:val="00BA59CC"/>
    <w:rsid w:val="00BA64B2"/>
    <w:rsid w:val="00BF79AC"/>
    <w:rsid w:val="00C26AF7"/>
    <w:rsid w:val="00C97D77"/>
    <w:rsid w:val="00CB11AD"/>
    <w:rsid w:val="00CC3D5E"/>
    <w:rsid w:val="00CE2770"/>
    <w:rsid w:val="00CF2077"/>
    <w:rsid w:val="00D14C15"/>
    <w:rsid w:val="00D335BF"/>
    <w:rsid w:val="00D51F65"/>
    <w:rsid w:val="00DD2BC6"/>
    <w:rsid w:val="00DF401E"/>
    <w:rsid w:val="00E20E3C"/>
    <w:rsid w:val="00E81354"/>
    <w:rsid w:val="00EA19CE"/>
    <w:rsid w:val="00EA70ED"/>
    <w:rsid w:val="00EC549D"/>
    <w:rsid w:val="00F43670"/>
    <w:rsid w:val="00F479AB"/>
    <w:rsid w:val="00F54813"/>
    <w:rsid w:val="00F65F91"/>
    <w:rsid w:val="00F82F62"/>
    <w:rsid w:val="00FA0525"/>
    <w:rsid w:val="00FA0B52"/>
    <w:rsid w:val="00FA1F10"/>
    <w:rsid w:val="00FB3BBC"/>
    <w:rsid w:val="00FF2A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E3F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027"/>
    <w:pPr>
      <w:spacing w:after="0" w:line="480" w:lineRule="auto"/>
      <w:jc w:val="both"/>
    </w:pPr>
    <w:rPr>
      <w:rFonts w:ascii="Times New Roman" w:eastAsia="Arial" w:hAnsi="Times New Roman" w:cs="Arial"/>
      <w:kern w:val="0"/>
      <w:sz w:val="24"/>
      <w:lang w:val="en-GB" w:eastAsia="en-GB"/>
      <w14:ligatures w14:val="none"/>
    </w:rPr>
  </w:style>
  <w:style w:type="paragraph" w:styleId="Heading1">
    <w:name w:val="heading 1"/>
    <w:basedOn w:val="Normal"/>
    <w:next w:val="Normal"/>
    <w:link w:val="Heading1Char"/>
    <w:uiPriority w:val="9"/>
    <w:qFormat/>
    <w:rsid w:val="003E6382"/>
    <w:pPr>
      <w:keepNext/>
      <w:keepLines/>
      <w:spacing w:before="480" w:after="120"/>
      <w:outlineLvl w:val="0"/>
    </w:pPr>
    <w:rPr>
      <w:b/>
      <w:sz w:val="28"/>
      <w:szCs w:val="48"/>
    </w:rPr>
  </w:style>
  <w:style w:type="paragraph" w:styleId="Heading2">
    <w:name w:val="heading 2"/>
    <w:basedOn w:val="Normal"/>
    <w:next w:val="Normal"/>
    <w:link w:val="Heading2Char"/>
    <w:uiPriority w:val="9"/>
    <w:unhideWhenUsed/>
    <w:qFormat/>
    <w:rsid w:val="003E6382"/>
    <w:pPr>
      <w:keepNext/>
      <w:keepLines/>
      <w:spacing w:before="360" w:after="80"/>
      <w:outlineLvl w:val="1"/>
    </w:pPr>
    <w:rPr>
      <w:b/>
      <w:sz w:val="26"/>
      <w:szCs w:val="36"/>
    </w:rPr>
  </w:style>
  <w:style w:type="paragraph" w:styleId="Heading3">
    <w:name w:val="heading 3"/>
    <w:basedOn w:val="Normal"/>
    <w:next w:val="Normal"/>
    <w:link w:val="Heading3Char"/>
    <w:uiPriority w:val="9"/>
    <w:unhideWhenUsed/>
    <w:qFormat/>
    <w:rsid w:val="00BF79AC"/>
    <w:pPr>
      <w:keepNext/>
      <w:keepLines/>
      <w:spacing w:before="40"/>
      <w:outlineLvl w:val="2"/>
    </w:pPr>
    <w:rPr>
      <w:rFonts w:eastAsiaTheme="majorEastAsia" w:cstheme="majorBidi"/>
      <w:i/>
      <w:kern w:val="2"/>
      <w:szCs w:val="24"/>
      <w:u w:val="singl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qFormat/>
    <w:rsid w:val="003E6382"/>
    <w:rPr>
      <w:rFonts w:ascii="Times New Roman" w:eastAsia="Arial" w:hAnsi="Times New Roman" w:cs="Arial"/>
      <w:b/>
      <w:kern w:val="0"/>
      <w:sz w:val="28"/>
      <w:szCs w:val="48"/>
      <w:lang w:eastAsia="en-IN"/>
      <w14:ligatures w14:val="none"/>
    </w:rPr>
  </w:style>
  <w:style w:type="character" w:customStyle="1" w:styleId="Heading2Char">
    <w:name w:val="Heading 2 Char"/>
    <w:basedOn w:val="DefaultParagraphFont"/>
    <w:link w:val="Heading2"/>
    <w:uiPriority w:val="9"/>
    <w:rsid w:val="003E6382"/>
    <w:rPr>
      <w:rFonts w:ascii="Times New Roman" w:eastAsia="Arial" w:hAnsi="Times New Roman" w:cs="Arial"/>
      <w:b/>
      <w:kern w:val="0"/>
      <w:sz w:val="26"/>
      <w:szCs w:val="36"/>
      <w:lang w:eastAsia="en-IN"/>
      <w14:ligatures w14:val="none"/>
    </w:rPr>
  </w:style>
  <w:style w:type="character" w:customStyle="1" w:styleId="Heading3Char">
    <w:name w:val="Heading 3 Char"/>
    <w:basedOn w:val="DefaultParagraphFont"/>
    <w:link w:val="Heading3"/>
    <w:uiPriority w:val="9"/>
    <w:rsid w:val="00BF79AC"/>
    <w:rPr>
      <w:rFonts w:ascii="Times New Roman" w:eastAsiaTheme="majorEastAsia" w:hAnsi="Times New Roman" w:cstheme="majorBidi"/>
      <w:i/>
      <w:sz w:val="24"/>
      <w:szCs w:val="24"/>
      <w:u w:val="single"/>
    </w:rPr>
  </w:style>
  <w:style w:type="paragraph" w:styleId="NoSpacing">
    <w:name w:val="No Spacing"/>
    <w:uiPriority w:val="1"/>
    <w:qFormat/>
    <w:rsid w:val="00053B15"/>
    <w:pPr>
      <w:spacing w:after="0" w:line="480" w:lineRule="auto"/>
      <w:jc w:val="both"/>
    </w:pPr>
    <w:rPr>
      <w:rFonts w:ascii="Times New Roman" w:hAnsi="Times New Roman" w:cs="Times New Roman"/>
      <w:kern w:val="0"/>
      <w:sz w:val="24"/>
      <w:szCs w:val="24"/>
      <w:lang w:val="en-US"/>
      <w14:ligatures w14:val="none"/>
    </w:rPr>
  </w:style>
  <w:style w:type="paragraph" w:customStyle="1" w:styleId="Heading30">
    <w:name w:val="Heading3"/>
    <w:basedOn w:val="NormalWeb"/>
    <w:qFormat/>
    <w:rsid w:val="001A1AD3"/>
    <w:pPr>
      <w:spacing w:before="100" w:beforeAutospacing="1" w:after="100" w:afterAutospacing="1"/>
    </w:pPr>
    <w:rPr>
      <w:i/>
      <w:u w:val="single"/>
    </w:rPr>
  </w:style>
  <w:style w:type="paragraph" w:styleId="NormalWeb">
    <w:name w:val="Normal (Web)"/>
    <w:basedOn w:val="Normal"/>
    <w:uiPriority w:val="99"/>
    <w:unhideWhenUsed/>
    <w:rsid w:val="00596013"/>
  </w:style>
  <w:style w:type="paragraph" w:styleId="Header">
    <w:name w:val="header"/>
    <w:basedOn w:val="Normal"/>
    <w:link w:val="HeaderChar"/>
    <w:uiPriority w:val="99"/>
    <w:unhideWhenUsed/>
    <w:rsid w:val="00C97D77"/>
    <w:pPr>
      <w:tabs>
        <w:tab w:val="center" w:pos="4513"/>
        <w:tab w:val="right" w:pos="9026"/>
      </w:tabs>
      <w:spacing w:line="240" w:lineRule="auto"/>
    </w:pPr>
  </w:style>
  <w:style w:type="character" w:customStyle="1" w:styleId="HeaderChar">
    <w:name w:val="Header Char"/>
    <w:basedOn w:val="DefaultParagraphFont"/>
    <w:link w:val="Header"/>
    <w:uiPriority w:val="99"/>
    <w:rsid w:val="00C97D77"/>
    <w:rPr>
      <w:rFonts w:ascii="Times New Roman" w:eastAsia="Arial" w:hAnsi="Times New Roman" w:cs="Arial"/>
      <w:kern w:val="0"/>
      <w:sz w:val="24"/>
      <w:lang w:val="en-GB" w:eastAsia="en-GB"/>
      <w14:ligatures w14:val="none"/>
    </w:rPr>
  </w:style>
  <w:style w:type="paragraph" w:styleId="Footer">
    <w:name w:val="footer"/>
    <w:basedOn w:val="Normal"/>
    <w:link w:val="FooterChar"/>
    <w:uiPriority w:val="99"/>
    <w:unhideWhenUsed/>
    <w:rsid w:val="00C97D77"/>
    <w:pPr>
      <w:tabs>
        <w:tab w:val="center" w:pos="4513"/>
        <w:tab w:val="right" w:pos="9026"/>
      </w:tabs>
      <w:spacing w:line="240" w:lineRule="auto"/>
    </w:pPr>
  </w:style>
  <w:style w:type="character" w:customStyle="1" w:styleId="FooterChar">
    <w:name w:val="Footer Char"/>
    <w:basedOn w:val="DefaultParagraphFont"/>
    <w:link w:val="Footer"/>
    <w:uiPriority w:val="99"/>
    <w:rsid w:val="00C97D77"/>
    <w:rPr>
      <w:rFonts w:ascii="Times New Roman" w:eastAsia="Arial" w:hAnsi="Times New Roman" w:cs="Arial"/>
      <w:kern w:val="0"/>
      <w:sz w:val="24"/>
      <w:lang w:val="en-GB" w:eastAsia="en-GB"/>
      <w14:ligatures w14:val="none"/>
    </w:rPr>
  </w:style>
  <w:style w:type="paragraph" w:styleId="ListParagraph">
    <w:name w:val="List Paragraph"/>
    <w:basedOn w:val="Normal"/>
    <w:uiPriority w:val="34"/>
    <w:qFormat/>
    <w:rsid w:val="00CB11AD"/>
    <w:pPr>
      <w:ind w:left="720"/>
      <w:contextualSpacing/>
    </w:pPr>
  </w:style>
  <w:style w:type="paragraph" w:styleId="Bibliography">
    <w:name w:val="Bibliography"/>
    <w:basedOn w:val="Normal"/>
    <w:next w:val="Normal"/>
    <w:uiPriority w:val="37"/>
    <w:unhideWhenUsed/>
    <w:rsid w:val="00764779"/>
    <w:rPr>
      <w:rFonts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897670">
      <w:bodyDiv w:val="1"/>
      <w:marLeft w:val="0"/>
      <w:marRight w:val="0"/>
      <w:marTop w:val="0"/>
      <w:marBottom w:val="0"/>
      <w:divBdr>
        <w:top w:val="none" w:sz="0" w:space="0" w:color="auto"/>
        <w:left w:val="none" w:sz="0" w:space="0" w:color="auto"/>
        <w:bottom w:val="none" w:sz="0" w:space="0" w:color="auto"/>
        <w:right w:val="none" w:sz="0" w:space="0" w:color="auto"/>
      </w:divBdr>
    </w:div>
    <w:div w:id="112010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CON24</b:Tag>
    <b:SourceType>InternetSite</b:SourceType>
    <b:Guid>{CECEF675-6B2D-4822-B25E-BBBC5A8AEB05}</b:Guid>
    <b:Author>
      <b:Author>
        <b:Corporate>CONSOC</b:Corporate>
      </b:Author>
    </b:Author>
    <b:Title>The executive</b:Title>
    <b:Year>2024</b:Year>
    <b:YearAccessed>2024</b:YearAccessed>
    <b:MonthAccessed>2</b:MonthAccessed>
    <b:DayAccessed>15</b:DayAccessed>
    <b:URL>https://consoc.org.uk/the-constitution-explained/the-executive/</b:URL>
    <b:RefOrder>1</b:RefOrder>
  </b:Source>
  <b:Source>
    <b:Tag>Lex24</b:Tag>
    <b:SourceType>InternetSite</b:SourceType>
    <b:Guid>{7E139D91-48A1-4F8F-9975-086AB0DBCFBA}</b:Guid>
    <b:Author>
      <b:Author>
        <b:Corporate>LexisNexis</b:Corporate>
      </b:Author>
    </b:Author>
    <b:Title>Executive definition</b:Title>
    <b:Year>2024</b:Year>
    <b:YearAccessed>2024</b:YearAccessed>
    <b:MonthAccessed>2</b:MonthAccessed>
    <b:DayAccessed>15</b:DayAccessed>
    <b:URL>https://www.lexisnexis.co.uk/legal/glossary/executive</b:URL>
    <b:RefOrder>9</b:RefOrder>
  </b:Source>
  <b:Source>
    <b:Tag>Law24</b:Tag>
    <b:SourceType>InternetSite</b:SourceType>
    <b:Guid>{85E03CDA-3D64-42BD-9A9A-E9FF831C4EBA}</b:Guid>
    <b:Author>
      <b:Author>
        <b:Corporate>LawWales</b:Corporate>
      </b:Author>
    </b:Author>
    <b:Title>The three branches of government</b:Title>
    <b:Year>2021</b:Year>
    <b:YearAccessed>2024</b:YearAccessed>
    <b:MonthAccessed>2</b:MonthAccessed>
    <b:DayAccessed>15</b:DayAccessed>
    <b:URL>https://law.gov.wales/three-branches-government</b:URL>
    <b:RefOrder>3</b:RefOrder>
  </b:Source>
  <b:Source>
    <b:Tag>GOV24</b:Tag>
    <b:SourceType>InternetSite</b:SourceType>
    <b:Guid>{7CFF2230-4CAB-4855-8154-EE0B3A9754B5}</b:Guid>
    <b:Author>
      <b:Author>
        <b:Corporate>GOV.UK</b:Corporate>
      </b:Author>
    </b:Author>
    <b:Title>How government works</b:Title>
    <b:Year>2024</b:Year>
    <b:YearAccessed>2024</b:YearAccessed>
    <b:MonthAccessed>2</b:MonthAccessed>
    <b:DayAccessed>15</b:DayAccessed>
    <b:URL>https://www.gov.uk/government/how-government-works</b:URL>
    <b:RefOrder>4</b:RefOrder>
  </b:Source>
  <b:Source>
    <b:Tag>HAN24</b:Tag>
    <b:SourceType>InternetSite</b:SourceType>
    <b:Guid>{2B7D5EF6-DB14-49D7-9FAA-09E587AA03FC}</b:Guid>
    <b:Author>
      <b:Author>
        <b:NameList>
          <b:Person>
            <b:Last>WHITE</b:Last>
            <b:First>HANNAH</b:First>
          </b:Person>
        </b:NameList>
      </b:Author>
    </b:Author>
    <b:Title>What does good scrutiny look like?</b:Title>
    <b:Year>2024</b:Year>
    <b:YearAccessed>2024</b:YearAccessed>
    <b:MonthAccessed>2</b:MonthAccessed>
    <b:DayAccessed>15</b:DayAccessed>
    <b:URL>https://www.instituteforgovernment.org.uk/article/comment/what-does-good-scrutiny-look</b:URL>
    <b:RefOrder>6</b:RefOrder>
  </b:Source>
  <b:Source>
    <b:Tag>UOL23</b:Tag>
    <b:SourceType>InternetSite</b:SourceType>
    <b:Guid>{FC343C3C-23B1-4E04-9B0C-8B47F3CC9FC0}</b:Guid>
    <b:Author>
      <b:Author>
        <b:Corporate>UOLLB</b:Corporate>
      </b:Author>
    </b:Author>
    <b:Title>Separation of Powers in United Kingdom</b:Title>
    <b:Year>2023</b:Year>
    <b:YearAccessed>2024</b:YearAccessed>
    <b:MonthAccessed>2</b:MonthAccessed>
    <b:DayAccessed>15</b:DayAccessed>
    <b:URL>https://uollb.com/blog/english-common-law/separation-of-powers-in-united-kingdom</b:URL>
    <b:RefOrder>7</b:RefOrder>
  </b:Source>
  <b:Source>
    <b:Tag>Ass24</b:Tag>
    <b:SourceType>InternetSite</b:SourceType>
    <b:Guid>{C20CD6D2-D6CF-4056-B390-F91063ABD6D4}</b:Guid>
    <b:Author>
      <b:Author>
        <b:Corporate>Assets</b:Corporate>
      </b:Author>
    </b:Author>
    <b:Title>Chapter 8 – Holding the Government</b:Title>
    <b:Year>2024</b:Year>
    <b:YearAccessed>2024</b:YearAccessed>
    <b:MonthAccessed>2</b:MonthAccessed>
    <b:DayAccessed>15</b:DayAccessed>
    <b:URL>https://assets.publishing.service.gov.uk/media/5a7c327840f0b67d0b11f816/chap8.pdf</b:URL>
    <b:RefOrder>8</b:RefOrder>
  </b:Source>
  <b:Source>
    <b:Tag>UCL19</b:Tag>
    <b:SourceType>InternetSite</b:SourceType>
    <b:Guid>{51596E45-A3F2-400E-96D6-2C8AB853DE46}</b:Guid>
    <b:Author>
      <b:Author>
        <b:Corporate>UCL</b:Corporate>
      </b:Author>
    </b:Author>
    <b:Title>Analysis: Prorogation is an “abuse of executive power” says UCL’s Constitution Unit</b:Title>
    <b:Year>2019</b:Year>
    <b:YearAccessed>2024</b:YearAccessed>
    <b:MonthAccessed>2</b:MonthAccessed>
    <b:DayAccessed>15</b:DayAccessed>
    <b:URL>https://www.ucl.ac.uk/news/2019/aug/analysis-prorogation-abuse-executive-power-says-ucls-constitution-unit</b:URL>
    <b:RefOrder>5</b:RefOrder>
  </b:Source>
  <b:Source>
    <b:Tag>Ant21</b:Tag>
    <b:SourceType>InternetSite</b:SourceType>
    <b:Guid>{3F76BFF2-6589-4B06-B9FA-7F096D29DDE8}</b:Guid>
    <b:Author>
      <b:Author>
        <b:NameList>
          <b:Person>
            <b:Last>Bradley</b:Last>
            <b:First>Anthony</b:First>
          </b:Person>
        </b:NameList>
      </b:Author>
    </b:Author>
    <b:Title>The Human Rights Act, 1998</b:Title>
    <b:Year>2021</b:Year>
    <b:YearAccessed>2024</b:YearAccessed>
    <b:MonthAccessed>2</b:MonthAccessed>
    <b:DayAccessed>15</b:DayAccessed>
    <b:URL>https://ohrh.law.ox.ac.uk/the-human-rights-act-1998/</b:URL>
    <b:RefOrder>2</b:RefOrder>
  </b:Source>
</b:Sources>
</file>

<file path=customXml/itemProps1.xml><?xml version="1.0" encoding="utf-8"?>
<ds:datastoreItem xmlns:ds="http://schemas.openxmlformats.org/officeDocument/2006/customXml" ds:itemID="{B030E5A9-C70A-4058-851F-BB51F7C6B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2024-02-20T12:59:00Z</dcterms:created>
  <dcterms:modified xsi:type="dcterms:W3CDTF">2024-07-17T13:45:00Z</dcterms:modified>
</cp:coreProperties>
</file>