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docProps/app.xml" ContentType="application/vnd.openxmlformats-officedocument.extended-properties+xml"/>
  <Override PartName="/word/settings.xml" ContentType="application/vnd.openxmlformats-officedocument.wordprocessingml.settings+xml"/>
  <Override PartName="/word/footnotes.xml" ContentType="application/vnd.openxmlformats-officedocument.wordprocessingml.footnotes+xml"/>
  <Override PartName="/docProps/core.xml" ContentType="application/vnd.openxmlformats-package.core-properties+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word/theme/theme1.xml" ContentType="application/vnd.openxmlformats-officedocument.theme+xml"/>
  <Override PartName="/word/document.xml" ContentType="application/vnd.openxmlformats-officedocument.wordprocessingml.document.main+xml"/>
</Types>
</file>

<file path=_rels/.rels><?xml version="1.0" encoding="UTF-8"?>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4100"/>
        <w:jc w:val="center"/>
        <w:rPr>
          <w:sz w:val="36"/>
          <w:szCs w:val="36"/>
          <w:lang w:val="en-US"/>
        </w:rPr>
      </w:pPr>
      <w:r>
        <w:rPr>
          <w:sz w:val="36"/>
          <w:szCs w:val="36"/>
          <w:lang w:val="en-US"/>
        </w:rPr>
        <w:t>Cultural History of the Portrayal of the Pendle Witches in Selected Works of Historical Fiction</w:t>
      </w: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sz w:val="36"/>
          <w:szCs w:val="36"/>
          <w:lang w:val="en-US"/>
        </w:rPr>
      </w:pPr>
    </w:p>
    <w:p>
      <w:pPr>
        <w:pStyle w:val="style4100"/>
        <w:jc w:val="center"/>
        <w:rPr>
          <w:sz w:val="36"/>
          <w:szCs w:val="36"/>
          <w:lang w:val="en-US"/>
        </w:rPr>
      </w:pPr>
    </w:p>
    <w:p>
      <w:pPr>
        <w:pStyle w:val="style4100"/>
        <w:jc w:val="center"/>
        <w:rPr>
          <w:sz w:val="36"/>
          <w:szCs w:val="36"/>
          <w:lang w:val="en-US"/>
        </w:rPr>
      </w:pPr>
    </w:p>
    <w:p>
      <w:pPr>
        <w:pStyle w:val="style4100"/>
        <w:jc w:val="center"/>
        <w:rPr>
          <w:sz w:val="36"/>
          <w:szCs w:val="36"/>
          <w:lang w:val="en-US"/>
        </w:rPr>
      </w:pPr>
    </w:p>
    <w:p>
      <w:pPr>
        <w:pStyle w:val="style4100"/>
        <w:jc w:val="center"/>
        <w:rPr>
          <w:sz w:val="36"/>
          <w:szCs w:val="36"/>
          <w:lang w:val="en-US"/>
        </w:rPr>
      </w:pPr>
    </w:p>
    <w:p>
      <w:pPr>
        <w:pStyle w:val="style4100"/>
        <w:jc w:val="center"/>
        <w:rPr>
          <w:sz w:val="36"/>
          <w:szCs w:val="36"/>
          <w:lang w:val="en-US"/>
        </w:rPr>
      </w:pPr>
    </w:p>
    <w:p>
      <w:pPr>
        <w:pStyle w:val="style4100"/>
        <w:jc w:val="center"/>
        <w:rPr>
          <w:sz w:val="36"/>
          <w:szCs w:val="36"/>
          <w:lang w:val="en-US"/>
        </w:rPr>
      </w:pPr>
      <w:r>
        <w:rPr>
          <w:sz w:val="36"/>
          <w:szCs w:val="36"/>
          <w:lang w:val="en-US"/>
        </w:rPr>
        <w:t>Catherine Hornby</w:t>
      </w:r>
    </w:p>
    <w:p>
      <w:pPr>
        <w:pStyle w:val="style4100"/>
        <w:jc w:val="center"/>
        <w:rPr>
          <w:sz w:val="36"/>
          <w:szCs w:val="36"/>
          <w:lang w:val="en-US"/>
        </w:rPr>
      </w:pPr>
      <w:r>
        <w:rPr>
          <w:sz w:val="36"/>
          <w:szCs w:val="36"/>
          <w:lang w:val="en-US"/>
        </w:rPr>
        <w:t>27001103</w:t>
      </w: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sz w:val="36"/>
          <w:szCs w:val="36"/>
          <w:lang w:val="en-US"/>
        </w:rPr>
      </w:pPr>
    </w:p>
    <w:p>
      <w:pPr>
        <w:pStyle w:val="style4100"/>
        <w:jc w:val="center"/>
        <w:rPr>
          <w:sz w:val="36"/>
          <w:szCs w:val="36"/>
          <w:lang w:val="en-US"/>
        </w:rPr>
      </w:pPr>
    </w:p>
    <w:p>
      <w:pPr>
        <w:pStyle w:val="style4100"/>
        <w:jc w:val="center"/>
        <w:rPr>
          <w:sz w:val="36"/>
          <w:szCs w:val="36"/>
          <w:lang w:val="en-US"/>
        </w:rPr>
      </w:pPr>
    </w:p>
    <w:p>
      <w:pPr>
        <w:pStyle w:val="style4100"/>
        <w:jc w:val="center"/>
        <w:rPr>
          <w:sz w:val="36"/>
          <w:szCs w:val="36"/>
          <w:lang w:val="en-US"/>
        </w:rPr>
      </w:pPr>
    </w:p>
    <w:p>
      <w:pPr>
        <w:pStyle w:val="style4100"/>
        <w:jc w:val="center"/>
        <w:rPr>
          <w:sz w:val="36"/>
          <w:szCs w:val="36"/>
          <w:lang w:val="en-US"/>
        </w:rPr>
      </w:pPr>
    </w:p>
    <w:p>
      <w:pPr>
        <w:pStyle w:val="style4100"/>
        <w:jc w:val="center"/>
        <w:rPr>
          <w:sz w:val="36"/>
          <w:szCs w:val="36"/>
          <w:lang w:val="en-US"/>
        </w:rPr>
      </w:pPr>
    </w:p>
    <w:p>
      <w:pPr>
        <w:pStyle w:val="style4100"/>
        <w:jc w:val="center"/>
        <w:rPr>
          <w:sz w:val="36"/>
          <w:szCs w:val="36"/>
          <w:lang w:val="en-US"/>
        </w:rPr>
      </w:pPr>
      <w:r>
        <w:rPr>
          <w:sz w:val="36"/>
          <w:szCs w:val="36"/>
          <w:lang w:val="en-US"/>
        </w:rPr>
        <w:t>Dissertation submitted for the 60-credit level 7 module</w:t>
      </w:r>
    </w:p>
    <w:p>
      <w:pPr>
        <w:pStyle w:val="style4100"/>
        <w:jc w:val="center"/>
        <w:rPr>
          <w:sz w:val="36"/>
          <w:szCs w:val="36"/>
          <w:lang w:val="en-US"/>
        </w:rPr>
      </w:pPr>
      <w:r>
        <w:rPr>
          <w:sz w:val="36"/>
          <w:szCs w:val="36"/>
          <w:lang w:val="en-US"/>
        </w:rPr>
        <w:t>'Dissertation for the degree of MA in Modern Literature'</w:t>
      </w: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sz w:val="36"/>
          <w:szCs w:val="36"/>
          <w:lang w:val="en-US"/>
        </w:rPr>
      </w:pPr>
    </w:p>
    <w:p>
      <w:pPr>
        <w:pStyle w:val="style4100"/>
        <w:jc w:val="center"/>
        <w:rPr>
          <w:sz w:val="36"/>
          <w:szCs w:val="36"/>
          <w:lang w:val="en-US"/>
        </w:rPr>
      </w:pPr>
    </w:p>
    <w:p>
      <w:pPr>
        <w:pStyle w:val="style4100"/>
        <w:jc w:val="center"/>
        <w:rPr>
          <w:sz w:val="36"/>
          <w:szCs w:val="36"/>
          <w:lang w:val="en-US"/>
        </w:rPr>
      </w:pPr>
    </w:p>
    <w:p>
      <w:pPr>
        <w:pStyle w:val="style4100"/>
        <w:jc w:val="center"/>
        <w:rPr>
          <w:sz w:val="36"/>
          <w:szCs w:val="36"/>
          <w:lang w:val="en-US"/>
        </w:rPr>
      </w:pPr>
    </w:p>
    <w:p>
      <w:pPr>
        <w:pStyle w:val="style4100"/>
        <w:jc w:val="center"/>
        <w:rPr>
          <w:rFonts w:ascii="Arial Rounded MT Bold" w:cs="Arial Rounded MT Bold" w:eastAsia="Arial Rounded MT Bold" w:hAnsi="Arial Rounded MT Bold"/>
          <w:sz w:val="36"/>
          <w:szCs w:val="36"/>
          <w:lang w:val="en-US"/>
        </w:rPr>
      </w:pPr>
      <w:r>
        <w:rPr>
          <w:sz w:val="36"/>
          <w:szCs w:val="36"/>
          <w:lang w:val="en-US"/>
        </w:rPr>
        <w:t>2022</w:t>
      </w: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0"/>
        <w:spacing w:after="120"/>
        <w:ind w:left="720" w:firstLine="0"/>
        <w:rPr>
          <w:rFonts w:ascii="Arial" w:cs="Arial" w:eastAsia="Arial" w:hAnsi="Arial"/>
        </w:rPr>
      </w:pPr>
    </w:p>
    <w:p>
      <w:pPr>
        <w:pStyle w:val="style0"/>
        <w:spacing w:after="120"/>
        <w:ind w:left="720" w:firstLine="0"/>
        <w:rPr/>
      </w:pPr>
      <w:r>
        <w:rPr>
          <w:rFonts w:ascii="Arial" w:cs="Arial" w:eastAsia="Arial" w:hAnsi="Arial"/>
        </w:rPr>
        <w:drawing>
          <wp:inline distT="0" distR="0" distL="0" distB="0">
            <wp:extent cx="1857375" cy="762000"/>
            <wp:effectExtent l="0" t="0" r="0" b="0"/>
            <wp:docPr id="1026" name="officeArt object"/>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officeArt object"/>
                    <pic:cNvPicPr/>
                  </pic:nvPicPr>
                  <pic:blipFill>
                    <a:blip r:embed="rId2" cstate="print"/>
                    <a:srcRect l="0" t="0" r="0" b="0"/>
                    <a:stretch/>
                  </pic:blipFill>
                  <pic:spPr>
                    <a:xfrm rot="0">
                      <a:off x="0" y="0"/>
                      <a:ext cx="1857375" cy="762000"/>
                    </a:xfrm>
                    <a:prstGeom prst="rect"/>
                    <a:ln>
                      <a:noFill/>
                    </a:ln>
                  </pic:spPr>
                </pic:pic>
              </a:graphicData>
            </a:graphic>
          </wp:inline>
        </w:drawing>
      </w:r>
    </w:p>
    <w:p>
      <w:pPr>
        <w:pStyle w:val="style0"/>
        <w:pBdr>
          <w:left w:val="single" w:sz="4" w:space="0" w:color="000000"/>
          <w:right w:val="single" w:sz="4" w:space="0" w:color="000000"/>
          <w:top w:val="single" w:sz="4" w:space="0" w:color="000000"/>
          <w:bottom w:val="single" w:sz="4" w:space="0" w:color="000000"/>
        </w:pBdr>
        <w:spacing w:after="120"/>
        <w:jc w:val="center"/>
        <w:rPr/>
      </w:pPr>
      <w:r>
        <w:rPr>
          <w:rFonts w:ascii="Arial" w:hAnsi="Arial"/>
          <w:b/>
          <w:bCs/>
          <w:lang w:val="en-US"/>
        </w:rPr>
        <w:t>Master</w:t>
      </w:r>
      <w:r>
        <w:rPr>
          <w:rFonts w:ascii="Arial" w:hAnsi="Arial" w:hint="default"/>
          <w:b/>
          <w:bCs/>
          <w:lang w:val="en-US"/>
        </w:rPr>
        <w:t>’</w:t>
      </w:r>
      <w:r>
        <w:rPr>
          <w:rFonts w:ascii="Arial" w:hAnsi="Arial"/>
          <w:b/>
          <w:bCs/>
          <w:lang w:val="en-US"/>
        </w:rPr>
        <w:t>s Degrees by Examination and Dissertation</w:t>
      </w:r>
    </w:p>
    <w:p>
      <w:pPr>
        <w:pStyle w:val="style0"/>
        <w:pBdr>
          <w:left w:val="single" w:sz="4" w:space="0" w:color="000000"/>
          <w:right w:val="single" w:sz="4" w:space="0" w:color="000000"/>
          <w:top w:val="single" w:sz="4" w:space="0" w:color="000000"/>
          <w:bottom w:val="single" w:sz="4" w:space="0" w:color="000000"/>
        </w:pBdr>
        <w:spacing w:after="120"/>
        <w:jc w:val="center"/>
        <w:rPr/>
      </w:pPr>
      <w:r>
        <w:rPr>
          <w:rFonts w:ascii="Arial" w:hAnsi="Arial"/>
          <w:b/>
          <w:bCs/>
          <w:lang w:val="en-US"/>
        </w:rPr>
        <w:t>Declaration Form</w:t>
      </w:r>
    </w:p>
    <w:p>
      <w:pPr>
        <w:pStyle w:val="style0"/>
        <w:pBdr>
          <w:left w:val="single" w:sz="4" w:space="0" w:color="000000"/>
          <w:right w:val="single" w:sz="4" w:space="0" w:color="000000"/>
          <w:top w:val="single" w:sz="4" w:space="0" w:color="000000"/>
          <w:bottom w:val="single" w:sz="4" w:space="0" w:color="000000"/>
        </w:pBdr>
        <w:spacing w:after="120"/>
        <w:rPr/>
      </w:pPr>
      <w:r>
        <w:rPr>
          <w:rFonts w:ascii="Arial" w:hAnsi="Arial"/>
          <w:lang w:val="en-US"/>
        </w:rPr>
        <w:t>1. This work has not previously been accepted in substance for any degree and is not being concurrently submitted in candidature for any degree.</w:t>
      </w:r>
    </w:p>
    <w:p>
      <w:pPr>
        <w:pStyle w:val="style0"/>
        <w:pBdr>
          <w:left w:val="single" w:sz="4" w:space="0" w:color="000000"/>
          <w:right w:val="single" w:sz="4" w:space="0" w:color="000000"/>
          <w:top w:val="single" w:sz="4" w:space="0" w:color="000000"/>
          <w:bottom w:val="single" w:sz="4" w:space="0" w:color="000000"/>
        </w:pBdr>
        <w:spacing w:after="120" w:lineRule="auto" w:line="360"/>
        <w:rPr/>
      </w:pPr>
      <w:r>
        <w:rPr>
          <w:rFonts w:ascii="Arial" w:hAnsi="Arial"/>
          <w:lang w:val="en-US"/>
        </w:rPr>
        <w:t>Name..</w:t>
      </w:r>
      <w:r>
        <w:rPr>
          <w:rFonts w:ascii="Arial" w:hAnsi="Arial" w:hint="default"/>
          <w:lang w:val="en-US"/>
        </w:rPr>
        <w:t>……</w:t>
      </w:r>
      <w:r>
        <w:rPr>
          <w:rFonts w:ascii="Arial" w:hAnsi="Arial"/>
          <w:lang w:val="en-US"/>
        </w:rPr>
        <w:t>.</w:t>
      </w:r>
      <w:r>
        <w:rPr>
          <w:rFonts w:ascii="Arial" w:hAnsi="Arial" w:hint="default"/>
          <w:lang w:val="en-US"/>
        </w:rPr>
        <w:t>………</w:t>
      </w:r>
      <w:r>
        <w:rPr>
          <w:lang w:val="en-US"/>
        </w:rPr>
        <w:t>Catherine Hornby</w:t>
      </w:r>
      <w:r>
        <w:rPr>
          <w:rFonts w:ascii="Arial" w:hAnsi="Arial" w:hint="default"/>
          <w:lang w:val="en-US"/>
        </w:rPr>
        <w:t>………………………………………………………………</w:t>
      </w:r>
      <w:r>
        <w:rPr>
          <w:rFonts w:ascii="Arial" w:hAnsi="Arial"/>
          <w:lang w:val="en-US"/>
        </w:rPr>
        <w:t>...</w:t>
      </w:r>
    </w:p>
    <w:p>
      <w:pPr>
        <w:pStyle w:val="style0"/>
        <w:pBdr>
          <w:left w:val="single" w:sz="4" w:space="0" w:color="000000"/>
          <w:right w:val="single" w:sz="4" w:space="0" w:color="000000"/>
          <w:top w:val="single" w:sz="4" w:space="0" w:color="000000"/>
          <w:bottom w:val="single" w:sz="4" w:space="0" w:color="000000"/>
        </w:pBdr>
        <w:spacing w:after="120" w:lineRule="auto" w:line="360"/>
        <w:rPr/>
      </w:pPr>
      <w:r>
        <w:rPr>
          <w:rFonts w:ascii="Arial" w:hAnsi="Arial"/>
          <w:lang w:val="en-US"/>
        </w:rPr>
        <w:t xml:space="preserve">Date </w:t>
      </w:r>
      <w:r>
        <w:rPr>
          <w:rFonts w:ascii="Arial" w:hAnsi="Arial" w:hint="default"/>
          <w:lang w:val="en-US"/>
        </w:rPr>
        <w:t>…………</w:t>
      </w:r>
      <w:r>
        <w:rPr>
          <w:lang w:val="en-US"/>
        </w:rPr>
        <w:t>7/10/2022</w:t>
      </w:r>
      <w:r>
        <w:rPr>
          <w:rFonts w:ascii="Arial" w:hAnsi="Arial" w:hint="default"/>
          <w:lang w:val="en-US"/>
        </w:rPr>
        <w:t>……………………………………………………………………</w:t>
      </w:r>
      <w:r>
        <w:rPr>
          <w:rFonts w:ascii="Arial" w:hAnsi="Arial"/>
          <w:lang w:val="en-US"/>
        </w:rPr>
        <w:t>...</w:t>
      </w:r>
    </w:p>
    <w:p>
      <w:pPr>
        <w:pStyle w:val="style0"/>
        <w:pBdr>
          <w:left w:val="single" w:sz="4" w:space="0" w:color="000000"/>
          <w:right w:val="single" w:sz="4" w:space="0" w:color="000000"/>
          <w:top w:val="single" w:sz="4" w:space="0" w:color="000000"/>
          <w:bottom w:val="single" w:sz="4" w:space="0" w:color="000000"/>
        </w:pBdr>
        <w:spacing w:after="120" w:lineRule="auto" w:line="360"/>
        <w:rPr/>
      </w:pPr>
    </w:p>
    <w:p>
      <w:pPr>
        <w:pStyle w:val="style0"/>
        <w:pBdr>
          <w:left w:val="single" w:sz="4" w:space="0" w:color="000000"/>
          <w:right w:val="single" w:sz="4" w:space="0" w:color="000000"/>
          <w:top w:val="single" w:sz="4" w:space="0" w:color="000000"/>
          <w:bottom w:val="single" w:sz="4" w:space="0" w:color="000000"/>
        </w:pBdr>
        <w:spacing w:after="120"/>
        <w:rPr/>
      </w:pPr>
      <w:r>
        <w:rPr>
          <w:rFonts w:ascii="Arial" w:hAnsi="Arial"/>
          <w:lang w:val="en-US"/>
        </w:rPr>
        <w:t xml:space="preserve">2. This dissertation is being submitted in partial fulfilment of the requirements for the degree of </w:t>
      </w:r>
      <w:r>
        <w:rPr>
          <w:lang w:val="en-US"/>
        </w:rPr>
        <w:t>MA Modern Literature</w:t>
      </w:r>
      <w:r>
        <w:rPr>
          <w:rFonts w:ascii="Arial" w:hAnsi="Arial" w:hint="default"/>
          <w:lang w:val="en-US"/>
        </w:rPr>
        <w:t>…………………………………………………</w:t>
      </w:r>
      <w:r>
        <w:rPr>
          <w:rFonts w:ascii="Arial" w:hAnsi="Arial"/>
          <w:lang w:val="en-US"/>
        </w:rPr>
        <w:t>..................................</w:t>
      </w:r>
    </w:p>
    <w:p>
      <w:pPr>
        <w:pStyle w:val="style0"/>
        <w:pBdr>
          <w:left w:val="single" w:sz="4" w:space="0" w:color="000000"/>
          <w:right w:val="single" w:sz="4" w:space="0" w:color="000000"/>
          <w:top w:val="single" w:sz="4" w:space="0" w:color="000000"/>
          <w:bottom w:val="single" w:sz="4" w:space="0" w:color="000000"/>
        </w:pBdr>
        <w:spacing w:after="120" w:lineRule="auto" w:line="360"/>
        <w:rPr/>
      </w:pPr>
      <w:r>
        <w:rPr>
          <w:rFonts w:ascii="Arial" w:hAnsi="Arial"/>
          <w:lang w:val="en-US"/>
        </w:rPr>
        <w:t>Name</w:t>
      </w:r>
      <w:r>
        <w:rPr>
          <w:rFonts w:ascii="Arial" w:hAnsi="Arial" w:hint="default"/>
          <w:lang w:val="en-US"/>
        </w:rPr>
        <w:t>…</w:t>
      </w:r>
      <w:r>
        <w:rPr>
          <w:lang w:val="en-US"/>
        </w:rPr>
        <w:t>Catherine Hornby</w:t>
      </w:r>
      <w:r>
        <w:rPr>
          <w:rFonts w:ascii="Arial" w:hAnsi="Arial" w:hint="default"/>
          <w:lang w:val="en-US"/>
        </w:rPr>
        <w:t xml:space="preserve"> ……………………………………………………………………………</w:t>
      </w:r>
      <w:r>
        <w:rPr>
          <w:rFonts w:ascii="Arial" w:hAnsi="Arial"/>
          <w:lang w:val="en-US"/>
        </w:rPr>
        <w:t>.</w:t>
      </w:r>
    </w:p>
    <w:p>
      <w:pPr>
        <w:pStyle w:val="style0"/>
        <w:pBdr>
          <w:left w:val="single" w:sz="4" w:space="0" w:color="000000"/>
          <w:right w:val="single" w:sz="4" w:space="0" w:color="000000"/>
          <w:top w:val="single" w:sz="4" w:space="0" w:color="000000"/>
          <w:bottom w:val="single" w:sz="4" w:space="0" w:color="000000"/>
        </w:pBdr>
        <w:spacing w:after="120" w:lineRule="auto" w:line="360"/>
        <w:rPr/>
      </w:pPr>
      <w:r>
        <w:rPr>
          <w:rFonts w:ascii="Arial" w:hAnsi="Arial"/>
          <w:lang w:val="en-US"/>
        </w:rPr>
        <w:t xml:space="preserve">Date  </w:t>
      </w:r>
      <w:r>
        <w:rPr>
          <w:rFonts w:ascii="Arial" w:hAnsi="Arial" w:hint="default"/>
          <w:lang w:val="en-US"/>
        </w:rPr>
        <w:t>…</w:t>
      </w:r>
      <w:r>
        <w:rPr>
          <w:lang w:val="en-US"/>
        </w:rPr>
        <w:t>7/10/2022</w:t>
      </w:r>
      <w:r>
        <w:rPr>
          <w:rFonts w:ascii="Arial" w:hAnsi="Arial" w:hint="default"/>
          <w:lang w:val="en-US"/>
        </w:rPr>
        <w:t>……………………………………………………</w:t>
      </w:r>
      <w:r>
        <w:rPr>
          <w:rFonts w:ascii="Arial" w:hAnsi="Arial"/>
          <w:lang w:val="en-US"/>
        </w:rPr>
        <w:t>.</w:t>
      </w:r>
      <w:r>
        <w:rPr>
          <w:rFonts w:ascii="Arial" w:hAnsi="Arial" w:hint="default"/>
          <w:lang w:val="en-US"/>
        </w:rPr>
        <w:t>…………</w:t>
      </w:r>
      <w:r>
        <w:rPr>
          <w:rFonts w:ascii="Arial" w:hAnsi="Arial"/>
          <w:lang w:val="en-US"/>
        </w:rPr>
        <w:t>..</w:t>
      </w:r>
      <w:r>
        <w:rPr>
          <w:rFonts w:ascii="Arial" w:hAnsi="Arial" w:hint="default"/>
          <w:lang w:val="en-US"/>
        </w:rPr>
        <w:t>…………</w:t>
      </w:r>
      <w:r>
        <w:rPr>
          <w:rFonts w:ascii="Arial" w:hAnsi="Arial"/>
          <w:lang w:val="en-US"/>
        </w:rPr>
        <w:t>...</w:t>
      </w:r>
    </w:p>
    <w:p>
      <w:pPr>
        <w:pStyle w:val="style0"/>
        <w:pBdr>
          <w:left w:val="single" w:sz="4" w:space="0" w:color="000000"/>
          <w:right w:val="single" w:sz="4" w:space="0" w:color="000000"/>
          <w:top w:val="single" w:sz="4" w:space="0" w:color="000000"/>
          <w:bottom w:val="single" w:sz="4" w:space="0" w:color="000000"/>
        </w:pBdr>
        <w:spacing w:after="120" w:lineRule="auto" w:line="360"/>
        <w:rPr/>
      </w:pPr>
    </w:p>
    <w:p>
      <w:pPr>
        <w:pStyle w:val="style0"/>
        <w:pBdr>
          <w:left w:val="single" w:sz="4" w:space="0" w:color="000000"/>
          <w:right w:val="single" w:sz="4" w:space="0" w:color="000000"/>
          <w:top w:val="single" w:sz="4" w:space="0" w:color="000000"/>
          <w:bottom w:val="single" w:sz="4" w:space="0" w:color="000000"/>
        </w:pBdr>
        <w:spacing w:after="120"/>
        <w:rPr/>
      </w:pPr>
      <w:r>
        <w:rPr>
          <w:rFonts w:ascii="Arial" w:hAnsi="Arial"/>
          <w:lang w:val="en-US"/>
        </w:rPr>
        <w:t>3. This dissertation is the result of my own independent work/investigation, except where otherwise stated.</w:t>
      </w:r>
    </w:p>
    <w:p>
      <w:pPr>
        <w:pStyle w:val="style0"/>
        <w:pBdr>
          <w:left w:val="single" w:sz="4" w:space="0" w:color="000000"/>
          <w:right w:val="single" w:sz="4" w:space="0" w:color="000000"/>
          <w:top w:val="single" w:sz="4" w:space="0" w:color="000000"/>
          <w:bottom w:val="single" w:sz="4" w:space="0" w:color="000000"/>
        </w:pBdr>
        <w:spacing w:after="120"/>
        <w:rPr/>
      </w:pPr>
      <w:r>
        <w:rPr>
          <w:rFonts w:ascii="Arial" w:hAnsi="Arial"/>
          <w:lang w:val="en-US"/>
        </w:rPr>
        <w:t xml:space="preserve">Other sources are acknowledged by footnotes giving explicit references. </w:t>
      </w:r>
    </w:p>
    <w:p>
      <w:pPr>
        <w:pStyle w:val="style0"/>
        <w:pBdr>
          <w:left w:val="single" w:sz="4" w:space="0" w:color="000000"/>
          <w:right w:val="single" w:sz="4" w:space="0" w:color="000000"/>
          <w:top w:val="single" w:sz="4" w:space="0" w:color="000000"/>
          <w:bottom w:val="single" w:sz="4" w:space="0" w:color="000000"/>
        </w:pBdr>
        <w:spacing w:after="120"/>
        <w:rPr/>
      </w:pPr>
      <w:r>
        <w:rPr>
          <w:rFonts w:ascii="Arial" w:hAnsi="Arial"/>
          <w:lang w:val="en-US"/>
        </w:rPr>
        <w:t>A bibliography is appended.</w:t>
      </w:r>
    </w:p>
    <w:p>
      <w:pPr>
        <w:pStyle w:val="style0"/>
        <w:pBdr>
          <w:left w:val="single" w:sz="4" w:space="0" w:color="000000"/>
          <w:right w:val="single" w:sz="4" w:space="0" w:color="000000"/>
          <w:top w:val="single" w:sz="4" w:space="0" w:color="000000"/>
          <w:bottom w:val="single" w:sz="4" w:space="0" w:color="000000"/>
        </w:pBdr>
        <w:spacing w:after="120" w:lineRule="auto" w:line="360"/>
        <w:rPr/>
      </w:pPr>
      <w:r>
        <w:rPr>
          <w:rFonts w:ascii="Arial" w:hAnsi="Arial"/>
          <w:lang w:val="en-US"/>
        </w:rPr>
        <w:t>Name</w:t>
      </w:r>
      <w:r>
        <w:rPr>
          <w:rFonts w:ascii="Arial" w:hAnsi="Arial" w:hint="default"/>
          <w:lang w:val="en-US"/>
        </w:rPr>
        <w:t>………</w:t>
      </w:r>
      <w:r>
        <w:rPr>
          <w:lang w:val="en-US"/>
        </w:rPr>
        <w:t>Catherine Hornby</w:t>
      </w:r>
      <w:r>
        <w:rPr>
          <w:rFonts w:ascii="Arial" w:hAnsi="Arial" w:hint="default"/>
          <w:lang w:val="en-US"/>
        </w:rPr>
        <w:t>……</w:t>
      </w:r>
      <w:r>
        <w:rPr>
          <w:rFonts w:ascii="Arial" w:hAnsi="Arial"/>
          <w:lang w:val="en-US"/>
        </w:rPr>
        <w:t xml:space="preserve">:  </w:t>
      </w:r>
      <w:r>
        <w:rPr>
          <w:rFonts w:ascii="Arial" w:hAnsi="Arial" w:hint="default"/>
          <w:lang w:val="en-US"/>
        </w:rPr>
        <w:t>………………………………………………</w:t>
      </w:r>
      <w:r>
        <w:rPr>
          <w:rFonts w:ascii="Arial" w:hAnsi="Arial"/>
          <w:lang w:val="en-US"/>
        </w:rPr>
        <w:t>.</w:t>
      </w:r>
      <w:r>
        <w:rPr>
          <w:rFonts w:ascii="Arial" w:hAnsi="Arial" w:hint="default"/>
          <w:lang w:val="en-US"/>
        </w:rPr>
        <w:t>………………</w:t>
      </w:r>
      <w:r>
        <w:rPr>
          <w:rFonts w:ascii="Arial" w:hAnsi="Arial"/>
          <w:lang w:val="en-US"/>
        </w:rPr>
        <w:t>.</w:t>
      </w:r>
    </w:p>
    <w:p>
      <w:pPr>
        <w:pStyle w:val="style0"/>
        <w:pBdr>
          <w:left w:val="single" w:sz="4" w:space="0" w:color="000000"/>
          <w:right w:val="single" w:sz="4" w:space="0" w:color="000000"/>
          <w:top w:val="single" w:sz="4" w:space="0" w:color="000000"/>
          <w:bottom w:val="single" w:sz="4" w:space="0" w:color="000000"/>
        </w:pBdr>
        <w:spacing w:after="120" w:lineRule="auto" w:line="360"/>
        <w:rPr/>
      </w:pPr>
      <w:r>
        <w:rPr>
          <w:rFonts w:ascii="Arial" w:hAnsi="Arial"/>
          <w:lang w:val="en-US"/>
        </w:rPr>
        <w:t xml:space="preserve">Date:  </w:t>
      </w:r>
      <w:r>
        <w:rPr>
          <w:rFonts w:ascii="Arial" w:hAnsi="Arial" w:hint="default"/>
          <w:lang w:val="en-US"/>
        </w:rPr>
        <w:t>…</w:t>
      </w:r>
      <w:r>
        <w:rPr>
          <w:lang w:val="en-US"/>
        </w:rPr>
        <w:t>7/10/2022</w:t>
      </w:r>
      <w:r>
        <w:rPr>
          <w:rFonts w:ascii="Arial" w:hAnsi="Arial" w:hint="default"/>
          <w:lang w:val="en-US"/>
        </w:rPr>
        <w:t>…………………………………………………</w:t>
      </w:r>
      <w:r>
        <w:rPr>
          <w:rFonts w:ascii="Arial" w:hAnsi="Arial"/>
          <w:lang w:val="en-US"/>
        </w:rPr>
        <w:t>...</w:t>
      </w:r>
      <w:r>
        <w:rPr>
          <w:rFonts w:ascii="Arial" w:hAnsi="Arial" w:hint="default"/>
          <w:lang w:val="en-US"/>
        </w:rPr>
        <w:t>………………………</w:t>
      </w:r>
      <w:r>
        <w:rPr>
          <w:rFonts w:ascii="Arial" w:hAnsi="Arial"/>
          <w:lang w:val="en-US"/>
        </w:rPr>
        <w:t>.</w:t>
      </w:r>
    </w:p>
    <w:p>
      <w:pPr>
        <w:pStyle w:val="style0"/>
        <w:pBdr>
          <w:left w:val="single" w:sz="4" w:space="0" w:color="000000"/>
          <w:right w:val="single" w:sz="4" w:space="0" w:color="000000"/>
          <w:top w:val="single" w:sz="4" w:space="0" w:color="000000"/>
          <w:bottom w:val="single" w:sz="4" w:space="0" w:color="000000"/>
        </w:pBdr>
        <w:spacing w:after="120"/>
        <w:rPr/>
      </w:pPr>
      <w:r>
        <w:rPr>
          <w:rFonts w:ascii="Arial" w:hAnsi="Arial"/>
          <w:lang w:val="en-US"/>
        </w:rPr>
        <w:t xml:space="preserve">  </w:t>
      </w:r>
    </w:p>
    <w:p>
      <w:pPr>
        <w:pStyle w:val="style0"/>
        <w:pBdr>
          <w:left w:val="single" w:sz="4" w:space="0" w:color="000000"/>
          <w:right w:val="single" w:sz="4" w:space="0" w:color="000000"/>
          <w:top w:val="single" w:sz="4" w:space="0" w:color="000000"/>
          <w:bottom w:val="single" w:sz="4" w:space="0" w:color="000000"/>
        </w:pBdr>
        <w:spacing w:after="120"/>
        <w:rPr/>
      </w:pPr>
      <w:r>
        <w:rPr>
          <w:rFonts w:ascii="Arial" w:hAnsi="Arial"/>
          <w:lang w:val="en-US"/>
        </w:rPr>
        <w:t>4. I hereby give consent for my dissertation, if accepted, to be available for photocopying, inter- library loan, and for deposit in the University</w:t>
      </w:r>
      <w:r>
        <w:rPr>
          <w:rFonts w:ascii="Arial" w:hAnsi="Arial" w:hint="default"/>
          <w:lang w:val="en-US"/>
        </w:rPr>
        <w:t>’</w:t>
      </w:r>
      <w:r>
        <w:rPr>
          <w:rFonts w:ascii="Arial" w:hAnsi="Arial"/>
          <w:lang w:val="en-US"/>
        </w:rPr>
        <w:t xml:space="preserve">s digital repository </w:t>
      </w:r>
    </w:p>
    <w:p>
      <w:pPr>
        <w:pStyle w:val="style0"/>
        <w:pBdr>
          <w:left w:val="single" w:sz="4" w:space="0" w:color="000000"/>
          <w:right w:val="single" w:sz="4" w:space="0" w:color="000000"/>
          <w:top w:val="single" w:sz="4" w:space="0" w:color="000000"/>
          <w:bottom w:val="single" w:sz="4" w:space="0" w:color="000000"/>
        </w:pBdr>
        <w:spacing w:after="120" w:lineRule="auto" w:line="360"/>
        <w:rPr/>
      </w:pPr>
      <w:r>
        <w:rPr>
          <w:rFonts w:ascii="Arial" w:hAnsi="Arial"/>
          <w:lang w:val="en-US"/>
        </w:rPr>
        <w:t>Name</w:t>
      </w:r>
      <w:r>
        <w:rPr>
          <w:rFonts w:ascii="Arial" w:hAnsi="Arial" w:hint="default"/>
          <w:lang w:val="en-US"/>
        </w:rPr>
        <w:t>……</w:t>
      </w:r>
      <w:r>
        <w:rPr>
          <w:lang w:val="en-US"/>
        </w:rPr>
        <w:t>Catherine Hornby</w:t>
      </w:r>
      <w:r>
        <w:rPr>
          <w:rFonts w:ascii="Arial" w:hAnsi="Arial" w:hint="default"/>
          <w:lang w:val="en-US"/>
        </w:rPr>
        <w:t>…………………………………………………………………………</w:t>
      </w:r>
      <w:r>
        <w:rPr>
          <w:rFonts w:ascii="Arial" w:hAnsi="Arial"/>
          <w:lang w:val="en-US"/>
        </w:rPr>
        <w:t>.</w:t>
      </w:r>
    </w:p>
    <w:p>
      <w:pPr>
        <w:pStyle w:val="style0"/>
        <w:pBdr>
          <w:left w:val="single" w:sz="4" w:space="0" w:color="000000"/>
          <w:right w:val="single" w:sz="4" w:space="0" w:color="000000"/>
          <w:top w:val="single" w:sz="4" w:space="0" w:color="000000"/>
          <w:bottom w:val="single" w:sz="4" w:space="0" w:color="000000"/>
        </w:pBdr>
        <w:spacing w:after="120" w:lineRule="auto" w:line="360"/>
        <w:rPr/>
      </w:pPr>
      <w:r>
        <w:rPr>
          <w:rFonts w:ascii="Arial" w:hAnsi="Arial"/>
          <w:lang w:val="en-US"/>
        </w:rPr>
        <w:t>Date</w:t>
      </w:r>
      <w:r>
        <w:rPr>
          <w:rFonts w:ascii="Arial" w:hAnsi="Arial" w:hint="default"/>
          <w:lang w:val="en-US"/>
        </w:rPr>
        <w:t>……</w:t>
      </w:r>
      <w:r>
        <w:rPr>
          <w:lang w:val="en-US"/>
        </w:rPr>
        <w:t>7/10/2022</w:t>
      </w:r>
      <w:r>
        <w:rPr>
          <w:rFonts w:ascii="Arial" w:hAnsi="Arial" w:hint="default"/>
          <w:lang w:val="en-US"/>
        </w:rPr>
        <w:t>……………………………………………</w:t>
      </w:r>
      <w:r>
        <w:rPr>
          <w:rFonts w:ascii="Arial" w:hAnsi="Arial"/>
          <w:lang w:val="en-US"/>
        </w:rPr>
        <w:t>.</w:t>
      </w:r>
      <w:r>
        <w:rPr>
          <w:rFonts w:ascii="Arial" w:hAnsi="Arial" w:hint="default"/>
          <w:lang w:val="en-US"/>
        </w:rPr>
        <w:t>……………………………</w:t>
      </w:r>
      <w:r>
        <w:rPr>
          <w:rFonts w:ascii="Arial" w:hAnsi="Arial"/>
          <w:lang w:val="en-US"/>
        </w:rPr>
        <w:t>..</w:t>
      </w:r>
    </w:p>
    <w:p>
      <w:pPr>
        <w:pStyle w:val="style0"/>
        <w:pBdr>
          <w:left w:val="single" w:sz="4" w:space="0" w:color="000000"/>
          <w:right w:val="single" w:sz="4" w:space="0" w:color="000000"/>
          <w:top w:val="single" w:sz="4" w:space="0" w:color="000000"/>
          <w:bottom w:val="single" w:sz="4" w:space="0" w:color="000000"/>
        </w:pBdr>
        <w:spacing w:after="120"/>
        <w:rPr/>
      </w:pPr>
      <w:r>
        <w:rPr>
          <w:rFonts w:ascii="Arial" w:hAnsi="Arial"/>
          <w:b/>
          <w:bCs/>
          <w:lang w:val="en-US"/>
        </w:rPr>
        <w:t>Supervisor</w:t>
      </w:r>
      <w:r>
        <w:rPr>
          <w:rFonts w:ascii="Arial" w:hAnsi="Arial" w:hint="default"/>
          <w:b/>
          <w:bCs/>
          <w:lang w:val="en-US"/>
        </w:rPr>
        <w:t>’</w:t>
      </w:r>
      <w:r>
        <w:rPr>
          <w:rFonts w:ascii="Arial" w:hAnsi="Arial"/>
          <w:b/>
          <w:bCs/>
          <w:lang w:val="en-US"/>
        </w:rPr>
        <w:t>s Declaration</w:t>
      </w:r>
      <w:r>
        <w:rPr>
          <w:rFonts w:ascii="Arial" w:hAnsi="Arial"/>
          <w:lang w:val="en-US"/>
        </w:rPr>
        <w:t>.</w:t>
      </w:r>
    </w:p>
    <w:p>
      <w:pPr>
        <w:pStyle w:val="style0"/>
        <w:pBdr>
          <w:left w:val="single" w:sz="4" w:space="0" w:color="000000"/>
          <w:right w:val="single" w:sz="4" w:space="0" w:color="000000"/>
          <w:top w:val="single" w:sz="4" w:space="0" w:color="000000"/>
          <w:bottom w:val="single" w:sz="4" w:space="0" w:color="000000"/>
        </w:pBdr>
        <w:spacing w:after="120"/>
        <w:rPr/>
      </w:pPr>
      <w:r>
        <w:rPr>
          <w:rFonts w:ascii="Arial" w:hAnsi="Arial"/>
          <w:lang w:val="en-US"/>
        </w:rPr>
        <w:t>I am satisfied that this work is the result of the student</w:t>
      </w:r>
      <w:r>
        <w:rPr>
          <w:rFonts w:ascii="Arial" w:hAnsi="Arial" w:hint="default"/>
          <w:lang w:val="en-US"/>
        </w:rPr>
        <w:t>’</w:t>
      </w:r>
      <w:r>
        <w:rPr>
          <w:rFonts w:ascii="Arial" w:hAnsi="Arial"/>
          <w:lang w:val="en-US"/>
        </w:rPr>
        <w:t>s own efforts.</w:t>
      </w:r>
    </w:p>
    <w:p>
      <w:pPr>
        <w:pStyle w:val="style0"/>
        <w:pBdr>
          <w:left w:val="single" w:sz="4" w:space="0" w:color="000000"/>
          <w:right w:val="single" w:sz="4" w:space="0" w:color="000000"/>
          <w:top w:val="single" w:sz="4" w:space="0" w:color="000000"/>
          <w:bottom w:val="single" w:sz="4" w:space="0" w:color="000000"/>
        </w:pBdr>
        <w:spacing w:after="120" w:lineRule="auto" w:line="360"/>
        <w:rPr/>
      </w:pPr>
      <w:r>
        <w:rPr>
          <w:rFonts w:ascii="Arial" w:hAnsi="Arial"/>
          <w:lang w:val="en-US"/>
        </w:rPr>
        <w:t xml:space="preserve">Signed:  </w:t>
      </w:r>
      <w:r>
        <w:rPr>
          <w:rFonts w:ascii="Arial" w:hAnsi="Arial" w:hint="default"/>
          <w:lang w:val="en-US"/>
        </w:rPr>
        <w:t>…………………………………………………………………………</w:t>
      </w:r>
      <w:r>
        <w:rPr>
          <w:rFonts w:ascii="Arial" w:hAnsi="Arial"/>
          <w:lang w:val="en-US"/>
        </w:rPr>
        <w:t>...</w:t>
      </w:r>
    </w:p>
    <w:p>
      <w:pPr>
        <w:pStyle w:val="style0"/>
        <w:pBdr>
          <w:left w:val="single" w:sz="4" w:space="0" w:color="000000"/>
          <w:right w:val="single" w:sz="4" w:space="0" w:color="000000"/>
          <w:top w:val="single" w:sz="4" w:space="0" w:color="000000"/>
          <w:bottom w:val="single" w:sz="4" w:space="0" w:color="000000"/>
        </w:pBdr>
        <w:spacing w:after="120" w:lineRule="auto" w:line="360"/>
        <w:jc w:val="both"/>
        <w:rPr/>
      </w:pPr>
      <w:r>
        <w:rPr>
          <w:rFonts w:ascii="Arial" w:hAnsi="Arial"/>
          <w:lang w:val="en-US"/>
        </w:rPr>
        <w:t xml:space="preserve">Date: </w:t>
      </w:r>
      <w:r>
        <w:rPr>
          <w:rFonts w:ascii="Arial" w:hAnsi="Arial" w:hint="default"/>
          <w:lang w:val="en-US"/>
        </w:rPr>
        <w:t>…………………………………………………………………………</w:t>
      </w:r>
      <w:r>
        <w:rPr>
          <w:rFonts w:ascii="Arial" w:hAnsi="Arial"/>
          <w:lang w:val="en-US"/>
        </w:rPr>
        <w:t>..</w:t>
      </w: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56"/>
          <w:szCs w:val="56"/>
          <w:lang w:val="en-US"/>
        </w:rPr>
      </w:pPr>
      <w:r>
        <w:rPr>
          <w:sz w:val="56"/>
          <w:szCs w:val="56"/>
          <w:lang w:val="en-US"/>
        </w:rPr>
        <w:t>Contents</w:t>
      </w:r>
    </w:p>
    <w:p>
      <w:pPr>
        <w:pStyle w:val="style4100"/>
        <w:jc w:val="center"/>
        <w:rPr>
          <w:rFonts w:ascii="Arial Rounded MT Bold" w:cs="Arial Rounded MT Bold" w:eastAsia="Arial Rounded MT Bold" w:hAnsi="Arial Rounded MT Bold"/>
          <w:sz w:val="56"/>
          <w:szCs w:val="56"/>
        </w:rPr>
      </w:pPr>
    </w:p>
    <w:p>
      <w:pPr>
        <w:pStyle w:val="style4100"/>
        <w:jc w:val="center"/>
        <w:rPr>
          <w:rFonts w:ascii="Arial Rounded MT Bold" w:cs="Arial Rounded MT Bold" w:eastAsia="Arial Rounded MT Bold" w:hAnsi="Arial Rounded MT Bold"/>
          <w:sz w:val="56"/>
          <w:szCs w:val="56"/>
        </w:rPr>
      </w:pPr>
      <w:r>
        <w:rPr>
          <w:rFonts w:ascii="Arial Rounded MT Bold" w:hAnsi="Arial Rounded MT Bold"/>
          <w:sz w:val="56"/>
          <w:szCs w:val="56"/>
          <w:lang w:val="en-US"/>
        </w:rPr>
        <w:t>Abstract - p.4</w:t>
      </w:r>
    </w:p>
    <w:p>
      <w:pPr>
        <w:pStyle w:val="style4100"/>
        <w:jc w:val="center"/>
        <w:rPr>
          <w:rFonts w:ascii="Arial Rounded MT Bold" w:cs="Arial Rounded MT Bold" w:eastAsia="Arial Rounded MT Bold" w:hAnsi="Arial Rounded MT Bold"/>
          <w:sz w:val="56"/>
          <w:szCs w:val="56"/>
        </w:rPr>
      </w:pPr>
    </w:p>
    <w:p>
      <w:pPr>
        <w:pStyle w:val="style4100"/>
        <w:jc w:val="center"/>
        <w:rPr>
          <w:rFonts w:ascii="Arial Rounded MT Bold" w:cs="Arial Rounded MT Bold" w:eastAsia="Arial Rounded MT Bold" w:hAnsi="Arial Rounded MT Bold"/>
          <w:sz w:val="56"/>
          <w:szCs w:val="56"/>
        </w:rPr>
      </w:pPr>
      <w:r>
        <w:rPr>
          <w:rFonts w:ascii="Arial Rounded MT Bold" w:hAnsi="Arial Rounded MT Bold"/>
          <w:sz w:val="56"/>
          <w:szCs w:val="56"/>
          <w:lang w:val="en-US"/>
        </w:rPr>
        <w:t>Introduction - p.6</w:t>
      </w:r>
    </w:p>
    <w:p>
      <w:pPr>
        <w:pStyle w:val="style4100"/>
        <w:jc w:val="center"/>
        <w:rPr>
          <w:rFonts w:ascii="Arial Rounded MT Bold" w:cs="Arial Rounded MT Bold" w:eastAsia="Arial Rounded MT Bold" w:hAnsi="Arial Rounded MT Bold"/>
          <w:sz w:val="56"/>
          <w:szCs w:val="56"/>
        </w:rPr>
      </w:pPr>
    </w:p>
    <w:p>
      <w:pPr>
        <w:pStyle w:val="style4100"/>
        <w:jc w:val="center"/>
        <w:rPr>
          <w:rFonts w:ascii="Arial Rounded MT Bold" w:cs="Arial Rounded MT Bold" w:eastAsia="Arial Rounded MT Bold" w:hAnsi="Arial Rounded MT Bold"/>
          <w:sz w:val="56"/>
          <w:szCs w:val="56"/>
        </w:rPr>
      </w:pPr>
      <w:r>
        <w:rPr>
          <w:rFonts w:ascii="Arial Rounded MT Bold" w:hAnsi="Arial Rounded MT Bold"/>
          <w:sz w:val="56"/>
          <w:szCs w:val="56"/>
          <w:lang w:val="en-US"/>
        </w:rPr>
        <w:t>Chapter One - p.1</w:t>
      </w:r>
      <w:r>
        <w:rPr>
          <w:rFonts w:hAnsi="Arial Rounded MT Bold"/>
          <w:sz w:val="56"/>
          <w:szCs w:val="56"/>
          <w:lang w:val="en-GB"/>
        </w:rPr>
        <w:t>6</w:t>
      </w:r>
    </w:p>
    <w:p>
      <w:pPr>
        <w:pStyle w:val="style4100"/>
        <w:jc w:val="center"/>
        <w:rPr>
          <w:rFonts w:ascii="Arial Rounded MT Bold" w:cs="Arial Rounded MT Bold" w:eastAsia="Arial Rounded MT Bold" w:hAnsi="Arial Rounded MT Bold"/>
          <w:sz w:val="56"/>
          <w:szCs w:val="56"/>
        </w:rPr>
      </w:pPr>
    </w:p>
    <w:p>
      <w:pPr>
        <w:pStyle w:val="style4100"/>
        <w:jc w:val="center"/>
        <w:rPr>
          <w:rFonts w:ascii="Arial Rounded MT Bold" w:cs="Arial Rounded MT Bold" w:eastAsia="Arial Rounded MT Bold" w:hAnsi="Arial Rounded MT Bold"/>
          <w:sz w:val="56"/>
          <w:szCs w:val="56"/>
        </w:rPr>
      </w:pPr>
      <w:r>
        <w:rPr>
          <w:rFonts w:ascii="Arial Rounded MT Bold" w:hAnsi="Arial Rounded MT Bold"/>
          <w:sz w:val="56"/>
          <w:szCs w:val="56"/>
          <w:lang w:val="en-US"/>
        </w:rPr>
        <w:t>Chapter Two - p.3</w:t>
      </w:r>
      <w:r>
        <w:rPr>
          <w:rFonts w:hAnsi="Arial Rounded MT Bold"/>
          <w:sz w:val="56"/>
          <w:szCs w:val="56"/>
          <w:lang w:val="en-GB"/>
        </w:rPr>
        <w:t>5</w:t>
      </w:r>
    </w:p>
    <w:p>
      <w:pPr>
        <w:pStyle w:val="style4100"/>
        <w:jc w:val="center"/>
        <w:rPr>
          <w:rFonts w:ascii="Arial Rounded MT Bold" w:cs="Arial Rounded MT Bold" w:eastAsia="Arial Rounded MT Bold" w:hAnsi="Arial Rounded MT Bold"/>
          <w:sz w:val="56"/>
          <w:szCs w:val="56"/>
        </w:rPr>
      </w:pPr>
    </w:p>
    <w:p>
      <w:pPr>
        <w:pStyle w:val="style4100"/>
        <w:jc w:val="center"/>
        <w:rPr>
          <w:rFonts w:ascii="Arial Rounded MT Bold" w:cs="Arial Rounded MT Bold" w:eastAsia="Arial Rounded MT Bold" w:hAnsi="Arial Rounded MT Bold"/>
          <w:sz w:val="56"/>
          <w:szCs w:val="56"/>
        </w:rPr>
      </w:pPr>
      <w:r>
        <w:rPr>
          <w:rFonts w:ascii="Arial Rounded MT Bold" w:hAnsi="Arial Rounded MT Bold"/>
          <w:sz w:val="56"/>
          <w:szCs w:val="56"/>
          <w:lang w:val="en-US"/>
        </w:rPr>
        <w:t>Chapter Three - p.</w:t>
      </w:r>
      <w:r>
        <w:rPr>
          <w:rFonts w:hAnsi="Arial Rounded MT Bold"/>
          <w:sz w:val="56"/>
          <w:szCs w:val="56"/>
          <w:lang w:val="en-GB"/>
        </w:rPr>
        <w:t>53</w:t>
      </w:r>
    </w:p>
    <w:p>
      <w:pPr>
        <w:pStyle w:val="style4100"/>
        <w:jc w:val="center"/>
        <w:rPr>
          <w:rFonts w:ascii="Arial Rounded MT Bold" w:cs="Arial Rounded MT Bold" w:eastAsia="Arial Rounded MT Bold" w:hAnsi="Arial Rounded MT Bold"/>
          <w:sz w:val="56"/>
          <w:szCs w:val="56"/>
        </w:rPr>
      </w:pPr>
    </w:p>
    <w:p>
      <w:pPr>
        <w:pStyle w:val="style4100"/>
        <w:jc w:val="center"/>
        <w:rPr>
          <w:rFonts w:ascii="Arial Rounded MT Bold" w:cs="Arial Rounded MT Bold" w:eastAsia="Arial Rounded MT Bold" w:hAnsi="Arial Rounded MT Bold"/>
          <w:sz w:val="56"/>
          <w:szCs w:val="56"/>
        </w:rPr>
      </w:pPr>
      <w:r>
        <w:rPr>
          <w:rFonts w:ascii="Arial Rounded MT Bold" w:hAnsi="Arial Rounded MT Bold"/>
          <w:sz w:val="56"/>
          <w:szCs w:val="56"/>
          <w:lang w:val="en-US"/>
        </w:rPr>
        <w:t>Conclusion - p.</w:t>
      </w:r>
      <w:r>
        <w:rPr>
          <w:rFonts w:hAnsi="Arial Rounded MT Bold"/>
          <w:sz w:val="56"/>
          <w:szCs w:val="56"/>
          <w:lang w:val="en-GB"/>
        </w:rPr>
        <w:t>68</w:t>
      </w:r>
    </w:p>
    <w:p>
      <w:pPr>
        <w:pStyle w:val="style4100"/>
        <w:jc w:val="center"/>
        <w:rPr>
          <w:rFonts w:ascii="Arial Rounded MT Bold" w:cs="Arial Rounded MT Bold" w:eastAsia="Arial Rounded MT Bold" w:hAnsi="Arial Rounded MT Bold"/>
          <w:sz w:val="56"/>
          <w:szCs w:val="56"/>
        </w:rPr>
      </w:pPr>
    </w:p>
    <w:p>
      <w:pPr>
        <w:pStyle w:val="style4100"/>
        <w:jc w:val="center"/>
        <w:rPr>
          <w:rFonts w:ascii="Arial Rounded MT Bold" w:cs="Arial Rounded MT Bold" w:eastAsia="Arial Rounded MT Bold" w:hAnsi="Arial Rounded MT Bold"/>
          <w:sz w:val="56"/>
          <w:szCs w:val="56"/>
        </w:rPr>
      </w:pPr>
      <w:r>
        <w:rPr>
          <w:rFonts w:ascii="Arial Rounded MT Bold" w:hAnsi="Arial Rounded MT Bold"/>
          <w:sz w:val="56"/>
          <w:szCs w:val="56"/>
          <w:lang w:val="en-US"/>
        </w:rPr>
        <w:t>Bibliography - p.</w:t>
      </w:r>
      <w:r>
        <w:rPr>
          <w:rFonts w:hAnsi="Arial Rounded MT Bold"/>
          <w:sz w:val="56"/>
          <w:szCs w:val="56"/>
          <w:lang w:val="en-GB"/>
        </w:rPr>
        <w:t>70</w:t>
      </w:r>
    </w:p>
    <w:p>
      <w:pPr>
        <w:pStyle w:val="style4100"/>
        <w:jc w:val="center"/>
        <w:rPr>
          <w:rFonts w:ascii="Arial Rounded MT Bold" w:cs="Arial Rounded MT Bold" w:eastAsia="Arial Rounded MT Bold" w:hAnsi="Arial Rounded MT Bold"/>
          <w:sz w:val="56"/>
          <w:szCs w:val="56"/>
        </w:rPr>
      </w:pPr>
    </w:p>
    <w:p>
      <w:pPr>
        <w:pStyle w:val="style4100"/>
        <w:jc w:val="center"/>
        <w:rPr>
          <w:rFonts w:ascii="Arial Rounded MT Bold" w:cs="Arial Rounded MT Bold" w:eastAsia="Arial Rounded MT Bold" w:hAnsi="Arial Rounded MT Bold"/>
          <w:sz w:val="56"/>
          <w:szCs w:val="56"/>
        </w:rPr>
      </w:pPr>
    </w:p>
    <w:p>
      <w:pPr>
        <w:pStyle w:val="style4100"/>
        <w:jc w:val="center"/>
        <w:rPr>
          <w:rFonts w:ascii="Arial Rounded MT Bold" w:cs="Arial Rounded MT Bold" w:eastAsia="Arial Rounded MT Bold" w:hAnsi="Arial Rounded MT Bold"/>
          <w:sz w:val="56"/>
          <w:szCs w:val="56"/>
        </w:rPr>
      </w:pPr>
    </w:p>
    <w:p>
      <w:pPr>
        <w:pStyle w:val="style4100"/>
        <w:jc w:val="center"/>
        <w:rPr>
          <w:rFonts w:ascii="Arial Rounded MT Bold" w:cs="Arial Rounded MT Bold" w:eastAsia="Arial Rounded MT Bold" w:hAnsi="Arial Rounded MT Bold"/>
          <w:sz w:val="56"/>
          <w:szCs w:val="5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left"/>
        <w:rPr>
          <w:sz w:val="36"/>
          <w:szCs w:val="36"/>
          <w:lang w:val="en-US"/>
        </w:rPr>
      </w:pPr>
    </w:p>
    <w:p>
      <w:pPr>
        <w:pStyle w:val="style4100"/>
        <w:jc w:val="left"/>
        <w:rPr>
          <w:sz w:val="36"/>
          <w:szCs w:val="36"/>
          <w:lang w:val="en-US"/>
        </w:rPr>
      </w:pPr>
    </w:p>
    <w:p>
      <w:pPr>
        <w:pStyle w:val="style4100"/>
        <w:jc w:val="center"/>
        <w:rPr>
          <w:rFonts w:ascii="Arial Rounded MT Bold" w:cs="Arial Rounded MT Bold" w:eastAsia="Arial Rounded MT Bold" w:hAnsi="Arial Rounded MT Bold"/>
          <w:sz w:val="36"/>
          <w:szCs w:val="36"/>
          <w:lang w:val="en-US"/>
        </w:rPr>
      </w:pPr>
      <w:r>
        <w:rPr>
          <w:sz w:val="36"/>
          <w:szCs w:val="36"/>
          <w:lang w:val="en-US"/>
        </w:rPr>
        <w:t>Abstract</w:t>
      </w:r>
    </w:p>
    <w:p>
      <w:pPr>
        <w:pStyle w:val="style4100"/>
        <w:jc w:val="center"/>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lang w:val="en-US"/>
        </w:rPr>
      </w:pPr>
      <w:r>
        <w:rPr>
          <w:sz w:val="36"/>
          <w:szCs w:val="36"/>
          <w:lang w:val="en-US"/>
        </w:rPr>
        <w:t xml:space="preserve">This paper is a study of the events of the Pendle Witch Trials of 1612, specifically of their representations in historical fiction. The perspective used is cultural-historical and takes a broadly chronological approach, examining a range of texts from the nineteenth to the twenty-first centuries. Both the real history and the literary treatments are examined. The structure takes a character-by-character approach across the three chapters; beginning with the high-status </w:t>
      </w:r>
      <w:r>
        <w:rPr>
          <w:sz w:val="36"/>
          <w:szCs w:val="36"/>
          <w:lang w:val="en-US"/>
        </w:rPr>
        <w:t>King James and Alice Nutter, continuing with the Pendle Witch Child, Jennet Device and ending on an optimistic note by considering the survivors of the story. Research matters</w:t>
      </w:r>
      <w:r>
        <w:rPr>
          <w:sz w:val="36"/>
          <w:szCs w:val="36"/>
          <w:lang w:val="en-US"/>
        </w:rPr>
        <w:t xml:space="preserve"> examined include chronological progression of character portrayals in historical fiction, as well as the literary roles and functions of said characters. The question of historical accuracy is also considered, in order to determine if there is any chronological progression either towards or away from it. Additionally, the literary versions of characters are compared to their known historical counterparts. Connections between the 1612 Pendle case and other comparable witch trials are also explored, including the Salem case and the later Pendle case. It is determined that the earlier Pendle case contributed to causing the Salem case. Other conclusions reached are that the historical fiction is gradually progressing towards increased historical accuracy and more complete retellings. Furthermore, the production of Pendle Witches historical fiction has increased abundantly by the twenty-first century, since its nineteenth century roots. There is far more in existence than can be covered in a dissertation, and the new sub-genre continues to reproduce itself. The optimistic tone of the last chapter continues into the conclusion, as the twenty-first century practice of giving voices to the Pendle Witches (something they were denied in life) is given praise. The author pays tribute to the realm of historical fiction and the place of the Pendle Witches story within it. For there</w:t>
      </w:r>
      <w:r>
        <w:rPr>
          <w:sz w:val="36"/>
          <w:szCs w:val="36"/>
          <w:lang w:val="en-GB"/>
        </w:rPr>
        <w:t>,</w:t>
      </w:r>
      <w:r>
        <w:rPr>
          <w:sz w:val="36"/>
          <w:szCs w:val="36"/>
          <w:lang w:val="en-US"/>
        </w:rPr>
        <w:t xml:space="preserve"> it is simultaneously truth and fiction and can be retold unto infinity.</w:t>
      </w:r>
    </w:p>
    <w:p>
      <w:pPr>
        <w:pStyle w:val="style4100"/>
        <w:jc w:val="center"/>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Introduction </w:t>
      </w: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i w:val="false"/>
          <w:iCs w:val="false"/>
          <w:sz w:val="36"/>
          <w:szCs w:val="36"/>
        </w:rPr>
      </w:pPr>
      <w:r>
        <w:rPr>
          <w:rFonts w:ascii="Arial Rounded MT Bold" w:hAnsi="Arial Rounded MT Bold"/>
          <w:sz w:val="36"/>
          <w:szCs w:val="36"/>
          <w:lang w:val="en-US"/>
        </w:rPr>
        <w:t>One of the most notorious witchcraft trials in British history is the Pendle Witches case in 1612. Just over two hundred years later (a seventeenth century play loosely based on the case notwithstanding) it entered the realm of historical fiction, when William Harrison Ainsworth wrote and published his novel entitled</w:t>
      </w:r>
      <w:r>
        <w:rPr>
          <w:rFonts w:ascii="Arial Rounded MT Bold" w:hAnsi="Arial Rounded MT Bold"/>
          <w:i/>
          <w:iCs/>
          <w:sz w:val="36"/>
          <w:szCs w:val="36"/>
          <w:lang w:val="en-US"/>
        </w:rPr>
        <w:t xml:space="preserve"> Lancashire Witches: A Romance of Pendle Forest (</w:t>
      </w:r>
      <w:r>
        <w:rPr>
          <w:rFonts w:ascii="Arial Rounded MT Bold" w:hAnsi="Arial Rounded MT Bold"/>
          <w:i w:val="false"/>
          <w:iCs w:val="false"/>
          <w:sz w:val="36"/>
          <w:szCs w:val="36"/>
          <w:lang w:val="en-US"/>
        </w:rPr>
        <w:t>1854)</w:t>
      </w:r>
      <w:r>
        <w:rPr>
          <w:rFonts w:ascii="Arial Rounded MT Bold" w:hAnsi="Arial Rounded MT Bold"/>
          <w:i/>
          <w:iCs/>
          <w:sz w:val="36"/>
          <w:szCs w:val="36"/>
          <w:lang w:val="en-US"/>
        </w:rPr>
        <w:t xml:space="preserve">. </w:t>
      </w:r>
      <w:r>
        <w:rPr>
          <w:rFonts w:ascii="Arial Rounded MT Bold" w:hAnsi="Arial Rounded MT Bold"/>
          <w:sz w:val="36"/>
          <w:szCs w:val="36"/>
          <w:lang w:val="en-US"/>
        </w:rPr>
        <w:t xml:space="preserve">While using a certain amount of artistic license with the history, this novel worked the Pendle Witches case into an ebullient story. It was a novel of its time; using a number of nineteenth century literary traditions. However, it also made literary history, by keeping the case in the public imagination, and encouraging later authors to follow Ainsworth's example; by fictionalising the case into creative works for their own time. Ainsworth was followed in the twentieth century by Robert Neill, who authored the novel </w:t>
      </w:r>
      <w:r>
        <w:rPr>
          <w:rFonts w:ascii="Arial Rounded MT Bold" w:hAnsi="Arial Rounded MT Bold"/>
          <w:i/>
          <w:iCs/>
          <w:sz w:val="36"/>
          <w:szCs w:val="36"/>
          <w:lang w:val="en-US"/>
        </w:rPr>
        <w:t>Mist Over Pendle</w:t>
      </w:r>
      <w:r>
        <w:rPr>
          <w:rFonts w:ascii="Arial Rounded MT Bold" w:hAnsi="Arial Rounded MT Bold"/>
          <w:sz w:val="36"/>
          <w:szCs w:val="36"/>
          <w:lang w:val="en-US"/>
        </w:rPr>
        <w:t xml:space="preserve"> (1951). While these are the main representatives of the nineteenth and twentieth centuries respectively, the twenty first century produced many examples of Pendle Witches historical fiction. In addition to novels, there are also short stories, plays and the occasional series of books. A few texts will be focused on to represent the twenty first century, specifically the novels </w:t>
      </w:r>
      <w:r>
        <w:rPr>
          <w:rFonts w:ascii="Arial Rounded MT Bold" w:hAnsi="Arial Rounded MT Bold"/>
          <w:i/>
          <w:iCs/>
          <w:sz w:val="36"/>
          <w:szCs w:val="36"/>
          <w:lang w:val="en-US"/>
        </w:rPr>
        <w:t>The Familiars</w:t>
      </w:r>
      <w:r>
        <w:rPr>
          <w:rFonts w:ascii="Arial Rounded MT Bold" w:hAnsi="Arial Rounded MT Bold"/>
          <w:sz w:val="36"/>
          <w:szCs w:val="36"/>
          <w:lang w:val="en-US"/>
        </w:rPr>
        <w:t xml:space="preserve"> and </w:t>
      </w:r>
      <w:r>
        <w:rPr>
          <w:rFonts w:ascii="Arial Rounded MT Bold" w:hAnsi="Arial Rounded MT Bold"/>
          <w:i/>
          <w:iCs/>
          <w:sz w:val="36"/>
          <w:szCs w:val="36"/>
          <w:lang w:val="en-US"/>
        </w:rPr>
        <w:t>The Daylight Gate</w:t>
      </w:r>
      <w:r>
        <w:rPr>
          <w:rFonts w:ascii="Arial Rounded MT Bold" w:hAnsi="Arial Rounded MT Bold"/>
          <w:sz w:val="36"/>
          <w:szCs w:val="36"/>
          <w:lang w:val="en-US"/>
        </w:rPr>
        <w:t>, alongside the plays</w:t>
      </w:r>
      <w:r>
        <w:rPr>
          <w:rFonts w:ascii="Arial Rounded MT Bold" w:hAnsi="Arial Rounded MT Bold"/>
          <w:i/>
          <w:iCs/>
          <w:sz w:val="36"/>
          <w:szCs w:val="36"/>
          <w:lang w:val="en-US"/>
        </w:rPr>
        <w:t xml:space="preserve"> Sabbat</w:t>
      </w:r>
      <w:r>
        <w:rPr>
          <w:rFonts w:ascii="Arial Rounded MT Bold" w:hAnsi="Arial Rounded MT Bold"/>
          <w:sz w:val="36"/>
          <w:szCs w:val="36"/>
          <w:lang w:val="en-US"/>
        </w:rPr>
        <w:t xml:space="preserve"> and </w:t>
      </w:r>
      <w:r>
        <w:rPr>
          <w:rFonts w:ascii="Arial Rounded MT Bold" w:hAnsi="Arial Rounded MT Bold"/>
          <w:i/>
          <w:iCs/>
          <w:sz w:val="36"/>
          <w:szCs w:val="36"/>
          <w:lang w:val="en-US"/>
        </w:rPr>
        <w:t>The Pendle Witch.</w:t>
      </w: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Thomas Potts was the original chronicler of the Pendle Witches. He is the only reason that the story - to use the word in its broad historical sense - has survived at all. He was the author of the only primary source document on the case and no other contemporary records have been preserved. Thomas Potts was the clerk of the court during the 1612 Pendle Witch Trials. The following year he published his account of the case in the form of a pamphlet entitled </w:t>
      </w:r>
      <w:r>
        <w:rPr>
          <w:rFonts w:ascii="Arial Rounded MT Bold" w:hAnsi="Arial Rounded MT Bold"/>
          <w:i/>
          <w:iCs/>
          <w:sz w:val="36"/>
          <w:szCs w:val="36"/>
          <w:lang w:val="en-US"/>
        </w:rPr>
        <w:t>The Wonderfull Discoverie of Witches in the Countie</w:t>
      </w:r>
      <w:r>
        <w:rPr>
          <w:rFonts w:ascii="Arial Rounded MT Bold" w:hAnsi="Arial Rounded MT Bold"/>
          <w:sz w:val="36"/>
          <w:szCs w:val="36"/>
          <w:lang w:val="en-US"/>
        </w:rPr>
        <w:t xml:space="preserve"> </w:t>
      </w:r>
      <w:r>
        <w:rPr>
          <w:rFonts w:ascii="Arial Rounded MT Bold" w:hAnsi="Arial Rounded MT Bold"/>
          <w:i/>
          <w:iCs/>
          <w:sz w:val="36"/>
          <w:szCs w:val="36"/>
          <w:lang w:val="en-US"/>
        </w:rPr>
        <w:t>of Lancaster</w:t>
      </w:r>
      <w:r>
        <w:rPr>
          <w:rFonts w:ascii="Arial Rounded MT Bold" w:hAnsi="Arial Rounded MT Bold"/>
          <w:sz w:val="36"/>
          <w:szCs w:val="36"/>
          <w:lang w:val="en-US"/>
        </w:rPr>
        <w:t>. He had done so twice before with previous cases, but his pamphlet on the witches was by far his best selling work. It has remained in print ever since, and has been tremendously popular and influential. It contains an unusual level of detail for witchcraft trial records of the time. It should be noted that it is less detailed than modern trial records, in the sense that rather than containing a verbatim transcript of all and exact words spoken, it instead provides an account of what happened. Therefore</w:t>
      </w:r>
      <w:r>
        <w:rPr>
          <w:sz w:val="36"/>
          <w:szCs w:val="36"/>
          <w:lang w:val="en-US"/>
        </w:rPr>
        <w:t>,</w:t>
      </w:r>
      <w:r>
        <w:rPr>
          <w:rFonts w:ascii="Arial Rounded MT Bold" w:hAnsi="Arial Rounded MT Bold"/>
          <w:sz w:val="36"/>
          <w:szCs w:val="36"/>
          <w:lang w:val="en-US"/>
        </w:rPr>
        <w:t xml:space="preserve"> there is more paraphrasing and summarising included than direct quotation. Still though, due to its use in commercial publishing, the record of the Pendle Witch Trials is the most extensive account of a witchcraft case available in the annals of British History. It is essentially the British version of the American Salem Witch Trials that occurred eighty years later. It remains slightly less well known, I would argue, due to not having an equivalent play to Arthur Miller's</w:t>
      </w:r>
      <w:r>
        <w:rPr>
          <w:rFonts w:ascii="Arial Rounded MT Bold" w:hAnsi="Arial Rounded MT Bold"/>
          <w:i/>
          <w:iCs/>
          <w:sz w:val="36"/>
          <w:szCs w:val="36"/>
          <w:lang w:val="en-US"/>
        </w:rPr>
        <w:t xml:space="preserve"> The</w:t>
      </w:r>
      <w:r>
        <w:rPr>
          <w:rFonts w:ascii="Arial Rounded MT Bold" w:hAnsi="Arial Rounded MT Bold"/>
          <w:sz w:val="36"/>
          <w:szCs w:val="36"/>
          <w:lang w:val="en-US"/>
        </w:rPr>
        <w:t xml:space="preserve"> </w:t>
      </w:r>
      <w:r>
        <w:rPr>
          <w:rFonts w:ascii="Arial Rounded MT Bold" w:hAnsi="Arial Rounded MT Bold"/>
          <w:i/>
          <w:iCs/>
          <w:sz w:val="36"/>
          <w:szCs w:val="36"/>
          <w:lang w:val="en-US"/>
        </w:rPr>
        <w:t>Crucible</w:t>
      </w:r>
      <w:r>
        <w:rPr>
          <w:rFonts w:ascii="Arial Rounded MT Bold" w:hAnsi="Arial Rounded MT Bold"/>
          <w:sz w:val="36"/>
          <w:szCs w:val="36"/>
          <w:lang w:val="en-US"/>
        </w:rPr>
        <w:t xml:space="preserve">. For all that Miller wrote this in part as a political allegory on the anti-Communist 'witch hunts' of McCarthyism in his own era, his invocation of seventeenth century Salem seems to be largely historically accurate. Therefore, anyone wishing to acquaint themselves with at least the gist of the subject, need only become familiar with Miller's play, or else the film version, scripted by the same author. However, there is no equivalent dramatic work on the Pendle Witches. There are, as mentioned, theatrical versions which will be considered, but due to reasons of both scope and content, they provide a less comprehensive introduction to the subject than Miller does in </w:t>
      </w:r>
      <w:r>
        <w:rPr>
          <w:rFonts w:ascii="Arial Rounded MT Bold" w:hAnsi="Arial Rounded MT Bold"/>
          <w:i/>
          <w:iCs/>
          <w:sz w:val="36"/>
          <w:szCs w:val="36"/>
          <w:lang w:val="en-US"/>
        </w:rPr>
        <w:t>The Crucible</w:t>
      </w:r>
      <w:r>
        <w:rPr>
          <w:rFonts w:ascii="Arial Rounded MT Bold" w:hAnsi="Arial Rounded MT Bold"/>
          <w:sz w:val="36"/>
          <w:szCs w:val="36"/>
          <w:lang w:val="en-US"/>
        </w:rPr>
        <w:t>.</w:t>
      </w: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Potts</w:t>
      </w:r>
      <w:r>
        <w:rPr>
          <w:rFonts w:ascii="Arial Rounded MT Bold" w:hAnsi="Arial Rounded MT Bold" w:hint="default"/>
          <w:sz w:val="36"/>
          <w:szCs w:val="36"/>
          <w:lang w:val="en-US"/>
        </w:rPr>
        <w:t>’</w:t>
      </w:r>
      <w:r>
        <w:rPr>
          <w:rFonts w:ascii="Arial Rounded MT Bold" w:hAnsi="Arial Rounded MT Bold"/>
          <w:sz w:val="36"/>
          <w:szCs w:val="36"/>
          <w:lang w:val="en-US"/>
        </w:rPr>
        <w:t>s pamphlet crucially provides the only contemporary written record of the 1612 witch hunt and subsequent witch trial and executions. It is therefore essential for the historical study of this event. It is also crucial for the examination of its use in historical fiction. Since the nineteenth century, it has been used as a template for every historical fiction author writing their own invocation of the events. What is interesting is how very differently their respective creations turned out; both from one another and from their original source material. One might expect them to be more homogeneous, given that they were all based on the same pamphlet. However there is tremendous variation between them as each author filtered the story through the consciousness of their own particular and historical world view. In the words of Shakespeare</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Hamlet they held </w:t>
      </w:r>
      <w:r>
        <w:rPr>
          <w:rFonts w:ascii="Arial Rounded MT Bold" w:hAnsi="Arial Rounded MT Bold" w:hint="default"/>
          <w:sz w:val="36"/>
          <w:szCs w:val="36"/>
          <w:lang w:val="en-US"/>
        </w:rPr>
        <w:t>“</w:t>
      </w:r>
      <w:r>
        <w:rPr>
          <w:rFonts w:ascii="Arial Rounded MT Bold" w:hAnsi="Arial Rounded MT Bold"/>
          <w:sz w:val="36"/>
          <w:szCs w:val="36"/>
          <w:lang w:val="en-US"/>
        </w:rPr>
        <w:t>as t</w:t>
      </w:r>
      <w:r>
        <w:rPr>
          <w:rFonts w:ascii="Arial Rounded MT Bold" w:hAnsi="Arial Rounded MT Bold" w:hint="default"/>
          <w:sz w:val="36"/>
          <w:szCs w:val="36"/>
          <w:lang w:val="en-US"/>
        </w:rPr>
        <w:t>’</w:t>
      </w:r>
      <w:r>
        <w:rPr>
          <w:rFonts w:ascii="Arial Rounded MT Bold" w:hAnsi="Arial Rounded MT Bold"/>
          <w:sz w:val="36"/>
          <w:szCs w:val="36"/>
          <w:lang w:val="en-US"/>
        </w:rPr>
        <w:t>were, a mirror up to nature.</w:t>
      </w:r>
      <w:r>
        <w:rPr>
          <w:rFonts w:ascii="Arial Rounded MT Bold" w:hAnsi="Arial Rounded MT Bold" w:hint="default"/>
          <w:sz w:val="36"/>
          <w:szCs w:val="36"/>
          <w:lang w:val="en-US"/>
        </w:rPr>
        <w:t xml:space="preserve">” </w:t>
      </w:r>
      <w:r>
        <w:rPr>
          <w:rFonts w:ascii="Arial Rounded MT Bold" w:hAnsi="Arial Rounded MT Bold"/>
          <w:sz w:val="36"/>
          <w:szCs w:val="36"/>
          <w:lang w:val="en-US"/>
        </w:rPr>
        <w:t xml:space="preserve">Through the </w:t>
      </w:r>
      <w:r>
        <w:rPr>
          <w:rFonts w:ascii="Arial Rounded MT Bold" w:hAnsi="Arial Rounded MT Bold" w:hint="default"/>
          <w:sz w:val="36"/>
          <w:szCs w:val="36"/>
          <w:lang w:val="en-US"/>
        </w:rPr>
        <w:t>‘</w:t>
      </w:r>
      <w:r>
        <w:rPr>
          <w:rFonts w:ascii="Arial Rounded MT Bold" w:hAnsi="Arial Rounded MT Bold"/>
          <w:sz w:val="36"/>
          <w:szCs w:val="36"/>
          <w:lang w:val="en-US"/>
        </w:rPr>
        <w:t>mirror</w:t>
      </w:r>
      <w:r>
        <w:rPr>
          <w:rFonts w:ascii="Arial Rounded MT Bold" w:hAnsi="Arial Rounded MT Bold" w:hint="default"/>
          <w:sz w:val="36"/>
          <w:szCs w:val="36"/>
          <w:lang w:val="en-US"/>
        </w:rPr>
        <w:t xml:space="preserve">’ </w:t>
      </w:r>
      <w:r>
        <w:rPr>
          <w:rFonts w:ascii="Arial Rounded MT Bold" w:hAnsi="Arial Rounded MT Bold"/>
          <w:sz w:val="36"/>
          <w:szCs w:val="36"/>
          <w:lang w:val="en-US"/>
        </w:rPr>
        <w:t>of the story of the Pendle Witches, what these authors saw was, in a sense, themselves and their own societies. The historical works in question include poetry, as well as prose narratives of varying lengths, including novels, novellas and short stories, as well as stage plays.</w:t>
      </w: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This dissertation is interested in the gradual progression of how the story was told, from the nineteenth to the twenty first centuries. In order to bridge the gap between History and English Literature, the focus will be on historical fiction, from a cultural-historical perspective. The structure will be a character-by-character approach across the three chapters: first the high-status characters, King James and Alice Nutter, then the Pendle Witch Child; Jennet Device, and ending on an optimistic note with the survivors of the story. It will consider both the real history and the literary treatments, and will attempt to answer such research questions as:</w:t>
      </w: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How does the portrayal of each character progress in historical fiction through time?</w:t>
      </w: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 What literary roles and functions do the characters play? </w:t>
      </w: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Is there a chronological progression either towards or away from historical accuracy?</w:t>
      </w: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How do the literary versions of the characters compare to their known historical counterparts?</w:t>
      </w: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There will also be some consideration given to the question of the connection between the Pendle case (1612) and the Salem case (1692), and the former's partial role in causing the latter.</w:t>
      </w: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 </w:t>
      </w: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I have now reached the point where it is necessary to give a brief historical account of the events leading up to the trials. This is all information that can be gleaned from Thomas Potts's pamphlet, along with an account of the trials themselves. The Device family all lived in a residence known as Malkin Tower. It was the home of the grandmother, Elizabeth Southerns, who was the matriarch of the family. She was nicknamed Old Demdike or Mother Demdike, which roughly translates to 'Devil Woman', indicating that she was known as a witch. Indeed, the pamphlet states that by 1612, she had been a witch for fifty years. It gives her age as eighty, and therefore indicates that this had been her profession since her youth. It was indeed a profession, an important point to note, as it leads into the economic factors of the story. Demdike, like her rival Old Mother Chattox, further to be considered, was a local Cunning Woman, otherwise called a Wise Woman. The Cunning Folk were important figures of the community in this period. Many of the services they provided could be loosely classified as medical. These included such matters as midwifery, herbalism and attending to the sick; both human and animal. They also applied themselves to more mundane matters, such as finding lost items and 'curing' beer. Bearing in mind that the period was long before the formation of the NHS and the Welfare State, the services of the cunning folk would have been invaluable to those who could not afford to hire a physician, or even visit an apothecary. This would have been a large proportion of the community, as medical fees were high. Furthermore, the Dissolution of the Monasteries, occurring some seventy-five years before, meant that there was much less access to free medical care, hospitality and charity than there had been, as these were all resources that would once have been provided by the local monastery. Thus, the Cunning Folk were able to fill a void and provide themselves and their families with an income. This was especially noteworthy as being a rare means for women to earn an independent living. The corollary to this though, was that the Dissolution of the Monasteries may have led to an increase in the number of witchcraft allegations, on the grounds that poor women who were without access to monastery charity may have fallen into beggary. On being refused alms, they may have 'cursed' those who denied them, and thus, left themselves open to accusations of witchcraft. Keith Thomas discusses this idea</w:t>
      </w:r>
      <w:r>
        <w:rPr>
          <w:rFonts w:hAnsi="Arial Rounded MT Bold"/>
          <w:sz w:val="36"/>
          <w:szCs w:val="36"/>
          <w:lang w:val="en-GB"/>
        </w:rPr>
        <w:t xml:space="preserve"> </w:t>
      </w:r>
      <w:r>
        <w:rPr>
          <w:rFonts w:ascii="Arial Rounded MT Bold" w:hAnsi="Arial Rounded MT Bold"/>
          <w:sz w:val="36"/>
          <w:szCs w:val="36"/>
          <w:lang w:val="en-US"/>
        </w:rPr>
        <w:t xml:space="preserve">in his book </w:t>
      </w:r>
      <w:r>
        <w:rPr>
          <w:rFonts w:hAnsi="Arial Rounded MT Bold"/>
          <w:i/>
          <w:iCs/>
          <w:sz w:val="36"/>
          <w:szCs w:val="36"/>
          <w:lang w:val="en-GB"/>
        </w:rPr>
        <w:t>Religion</w:t>
      </w:r>
      <w:r>
        <w:rPr>
          <w:rFonts w:ascii="Arial Rounded MT Bold" w:hAnsi="Arial Rounded MT Bold"/>
          <w:i/>
          <w:iCs/>
          <w:sz w:val="36"/>
          <w:szCs w:val="36"/>
          <w:lang w:val="en-US"/>
        </w:rPr>
        <w:t xml:space="preserve"> and the</w:t>
      </w:r>
      <w:r>
        <w:rPr>
          <w:rFonts w:hAnsi="Arial Rounded MT Bold"/>
          <w:i/>
          <w:iCs/>
          <w:sz w:val="36"/>
          <w:szCs w:val="36"/>
          <w:lang w:val="en-GB"/>
        </w:rPr>
        <w:t xml:space="preserve"> </w:t>
      </w:r>
      <w:r>
        <w:rPr>
          <w:rFonts w:ascii="Arial Rounded MT Bold" w:hAnsi="Arial Rounded MT Bold"/>
          <w:i/>
          <w:iCs/>
          <w:sz w:val="36"/>
          <w:szCs w:val="36"/>
          <w:lang w:val="en-US"/>
        </w:rPr>
        <w:t>Decline of Magic</w:t>
      </w:r>
      <w:r>
        <w:rPr>
          <w:rFonts w:ascii="Arial Rounded MT Bold" w:hAnsi="Arial Rounded MT Bold"/>
          <w:sz w:val="36"/>
          <w:szCs w:val="36"/>
          <w:lang w:val="en-US"/>
        </w:rPr>
        <w:t xml:space="preserve"> (1971)</w:t>
      </w:r>
      <w:r>
        <w:rPr>
          <w:rFonts w:ascii="Arial Rounded MT Bold" w:cs="Arial Rounded MT Bold" w:eastAsia="Arial Rounded MT Bold" w:hAnsi="Arial Rounded MT Bold"/>
          <w:sz w:val="36"/>
          <w:szCs w:val="36"/>
          <w:vertAlign w:val="superscript"/>
        </w:rPr>
        <w:footnoteReference w:id="1"/>
      </w:r>
      <w:r>
        <w:rPr>
          <w:rFonts w:ascii="Arial Rounded MT Bold" w:hAnsi="Arial Rounded MT Bold"/>
          <w:sz w:val="36"/>
          <w:szCs w:val="36"/>
          <w:lang w:val="en-US"/>
        </w:rPr>
        <w:t>. Certainly, this pattern was relevant to the Pendle Witches and applied to some of them. This would include Alizon Device and her roadside encounter with the pedlar that precipitated the entire affair. Alizon was the granddaughter of Elizabeth Southerns (Demdike) and resided with her at Malkin Tower, along with her siblings James and Jennet, and their mother Elizabeth Device. Like her mother, the younger Elizabeth was also given a nickname. Locally she was known as Squinting Lizzie, due to the problems with her eyes as outlined in the pamphlet. They may have been caused by either a birth defect or an accident in infancy. Her mother, Demdike is stated to be blind or nearly so in the pamphlet, as is Chattox, presumably as a natural effect of aging in both cases. The mere fact of both women surviving past the age of eighty at a time when this far exceeded the average life expectancy, is suggestive of their superior skills in medicine and herbalism. There were bound to be some conditions they could not cure, such as their own eyesight. By 1612, Mother Demdike's sight had deteriorated to the point that she could no longer travel about the community alone in the course of her work and she had to be led by the hand, usually by her granddaughter Alizon. This may have led to a close relationship between them. It is worth noting that there were no adult men living at Malkin Tower; Mr. Southerns and Mr. Device, the husbands of the two Elizabeths having long since died. In the case of John Device, the alleged manner of his death was to be of relevance to the trials. Thus, the two main witch families of the Pendle area, the Devices and the Chattoxes could be considered matriarchies and are therefore rare examples of female power and authority in the period. The Chattox family was a smaller one than the Device, but no less matriarchal for its size. By 1612 it was down to its last two members, Mother Chattox herself, whose real name was Anne Whittle, and her adult daughter whose name since her marriage had been Anne Redfern. Like the Devices, they were without living husbands to protect them. These matriarchal families might have rung alarm bells in the minds of their neighbours. The idea of women being in charge and also being witches was indicative of society being in chaos. The fact that the cliched accused witch of this period was an elderly, marginalised cunning woman, is portentous of the danger approaching both Demdike and Chattox. James Device was notably one of the only two male victims of the Pendle Witch Trials. The other was John Bulcock, a middle-aged man who was accused alongside his mother, Jane. James by contrast, seems to have been a youth as opposed to a man. His exact age is unrecorded by history, but his youth is emphasised along with that of his sister Alizon, who was known as the youngest of the Pendle Witches. In historical fiction they are both usually portrayed as teenagers or slightly older, with their exact ages being left vague. This is fitting as it is the same way the pamphlet treats them. Besides his youth, another reason why James Device is not considered an adult man is that he seems to have had a condition that stunted his development. This may have been a learning disability or else he may have been emotionally or mentally disturbed in some way. By the time of his trial, this was compounded by a physical illness that prevented him from standing unaided in the court. This may have been the same jail fever said to have claimed the life of his grandmother in Lancaster Castle jail. As to how she or the rest of the coven found themselves in that grim dungeon, that began with Alizon Device, one spring day in 1612. The date given is the 18th of March.</w:t>
      </w: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As was her usual practice, Alizon was that day </w:t>
      </w:r>
      <w:r>
        <w:rPr>
          <w:rFonts w:ascii="Arial Rounded MT Bold" w:hAnsi="Arial Rounded MT Bold" w:hint="default"/>
          <w:sz w:val="36"/>
          <w:szCs w:val="36"/>
          <w:lang w:val="en-US"/>
        </w:rPr>
        <w:t>“</w:t>
      </w:r>
      <w:r>
        <w:rPr>
          <w:rFonts w:ascii="Arial Rounded MT Bold" w:hAnsi="Arial Rounded MT Bold"/>
          <w:sz w:val="36"/>
          <w:szCs w:val="36"/>
          <w:lang w:val="en-US"/>
        </w:rPr>
        <w:t>out and about, walking down a lane</w:t>
      </w:r>
      <w:r>
        <w:rPr>
          <w:rFonts w:ascii="Arial Rounded MT Bold" w:hAnsi="Arial Rounded MT Bold" w:hint="default"/>
          <w:sz w:val="36"/>
          <w:szCs w:val="36"/>
          <w:lang w:val="en-US"/>
        </w:rPr>
        <w:t>”</w:t>
      </w:r>
      <w:r>
        <w:rPr>
          <w:rFonts w:ascii="Arial Rounded MT Bold" w:hAnsi="Arial Rounded MT Bold"/>
          <w:sz w:val="36"/>
          <w:szCs w:val="36"/>
          <w:lang w:val="en-US"/>
        </w:rPr>
        <w:t>. (The Pendle Witch Child Documentary.) She was presumably engaged in beggary, which besides leading her grandmother around, was a regular occupation of hers. In time, she encountered the pedlar John Law; a man in his sixties, according to the pamphlet. Alizon asked him for some pins, one of the items he carried in his pack.  Whether she was begging for them, or had the means and intention to pay for them has never been made clear. The pamphlet is ambiguous on this point, as are subsequent historical accounts. It is a point that historical fiction writers are left to interpret. Either way, John Law was not keen to transact business with Alizon. He declined to open his pack for such a small transaction, perhaps especially one he was sceptical about receiving payment for, and he walked on.  Harsh words were exchanged between them, and the altercation quickly became heated. It appeared that both parties were angered. Thus far this tale is all believable. At this point however, it takes a turn for the fanciful. Alizon is said to have verbally cursed the pedlar, both by words addressed to him and to a mysterious black dog that seemed to have suddenly appeared at this exact moment. Speaking to a dog is not so strange; it is a practice followed by many, even today. It was the dog speaking to Alizon that brings the story into the realm of the fantastical, and what he said and did - and its apparent effects - that began the case against her. Supposedly, the dog asked Alizon what she would have him do, and offered to lame the pedlar. Alizon agreed that he should lame him. On receiving her assent, the dog ran after him. There is no record of the dog actually reaching him, but after walking a further few yards down the road, the pedlar collapsed. Judging by the symptoms listed in the pamphlet, and it happening so suddenly, the modern interpretation is that John Law experienced a stroke.</w:t>
      </w:r>
      <w:r>
        <w:rPr>
          <w:rFonts w:ascii="Arial Rounded MT Bold" w:cs="Arial Rounded MT Bold" w:eastAsia="Arial Rounded MT Bold" w:hAnsi="Arial Rounded MT Bold"/>
          <w:sz w:val="36"/>
          <w:szCs w:val="36"/>
          <w:vertAlign w:val="superscript"/>
        </w:rPr>
        <w:footnoteReference w:id="2"/>
      </w:r>
      <w:r>
        <w:rPr>
          <w:rFonts w:ascii="Arial Rounded MT Bold" w:hAnsi="Arial Rounded MT Bold"/>
          <w:sz w:val="36"/>
          <w:szCs w:val="36"/>
          <w:lang w:val="en-US"/>
        </w:rPr>
        <w:t xml:space="preserve"> His heated encounter with Alizon may have precipitated the stroke, but other factors, including his age, his general state of health, the distance he had walked and the weight of his pack likely played a role. In 1612 though, Alizon was given the blame, because it appeared that her curse had worked. Worse still from a legal perspective is the fact that she blamed herself when accused of harmfully cursing him. Potts records that when Alizon confessed, she knelt and wept and begged for forgiveness. She did the same thing in court, when dramatically confronted with her apparent victim, and was convicted and hanged alongside most of the rest of the accused. This included her entire family, save her sister Jennet and her grandmother, Demdike, the latter having died in the jail. It is likely that the teenage Alizon did not know at the time of her first confession that she was admitting to a capital crime. Her words led to further trouble when she spoke of her grandmother and detailed the feud between the Devices and the Chattoxes. In other periods of history, such family squabbles would likely have passed by unrecorded. In the witch-hunting culture of 1612, largely created by the King, as the next Chapter will demonstrate, they led to four arrests: Demdike, Chattox and her daughter and Alizon herself. These initial arrests led to their worried families and friends having a meeting at Malkin Tower on Good Friday, to provide support and decide upon a course of action. This supposedly included a plan to blow up Lancaster Castle and kill the jailer. James Device had stolen a sheep to provide food for the gathering. According to the pamphlet, two other kinds of meat were also eaten. Alcohol was flowing freely which partially accounted for the wild talk. Somehow, word of the gathering reached Roger Nowell, which resulted in the arrests of everyone found on the premises, along with everyone stated to have been there. They were reunited with the friends they had hoped to help in the jail at the distinctly unexploded Lancaster Castle. They would only emerge from it some four months later, to attend trial on the eighteenth and nineteenth of August, during the next Judges Assize Time. In all cases the charge was witchcraft, specifically malficia; causing harm. After the trials, the only remaining destination for most was the gallows the following day. The few survivors will be considered in Chapter Three. A contributing factor to many of the convictions was the testimony of child star witness Jennet Device. She has subsequently become known as the Pendle Witch Child, and will have her story explored in Chapter Two.</w:t>
      </w: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p>
    <w:p>
      <w:pPr>
        <w:pStyle w:val="style4100"/>
        <w:jc w:val="left"/>
        <w:rPr>
          <w:rFonts w:ascii="Arial Rounded MT Bold" w:hAnsi="Arial Rounded MT Bold"/>
          <w:sz w:val="36"/>
          <w:szCs w:val="36"/>
          <w:lang w:val="en-US"/>
        </w:rPr>
      </w:pPr>
    </w:p>
    <w:p>
      <w:pPr>
        <w:pStyle w:val="style4100"/>
        <w:jc w:val="left"/>
        <w:rPr>
          <w:rFonts w:ascii="Arial Rounded MT Bold" w:hAnsi="Arial Rounded MT Bold"/>
          <w:sz w:val="36"/>
          <w:szCs w:val="36"/>
          <w:lang w:val="en-US"/>
        </w:rPr>
      </w:pPr>
    </w:p>
    <w:p>
      <w:pPr>
        <w:pStyle w:val="style4100"/>
        <w:jc w:val="center"/>
        <w:rPr>
          <w:rFonts w:ascii="Arial Rounded MT Bold" w:hAnsi="Arial Rounded MT Bold"/>
          <w:sz w:val="36"/>
          <w:szCs w:val="36"/>
          <w:lang w:val="en-US"/>
        </w:rPr>
      </w:pPr>
    </w:p>
    <w:p>
      <w:pPr>
        <w:pStyle w:val="style4100"/>
        <w:jc w:val="center"/>
        <w:rPr>
          <w:rFonts w:ascii="Arial Rounded MT Bold" w:hAnsi="Arial Rounded MT Bold"/>
          <w:sz w:val="36"/>
          <w:szCs w:val="36"/>
          <w:lang w:val="en-US"/>
        </w:rPr>
      </w:pPr>
    </w:p>
    <w:p>
      <w:pPr>
        <w:pStyle w:val="style4100"/>
        <w:jc w:val="center"/>
        <w:rPr>
          <w:rFonts w:ascii="Arial Rounded MT Bold" w:hAnsi="Arial Rounded MT Bold"/>
          <w:sz w:val="36"/>
          <w:szCs w:val="36"/>
          <w:lang w:val="en-US"/>
        </w:rPr>
      </w:pPr>
    </w:p>
    <w:p>
      <w:pPr>
        <w:pStyle w:val="style4100"/>
        <w:jc w:val="center"/>
        <w:rPr>
          <w:rFonts w:ascii="Arial Rounded MT Bold" w:hAnsi="Arial Rounded MT Bold"/>
          <w:sz w:val="36"/>
          <w:szCs w:val="36"/>
          <w:lang w:val="en-US"/>
        </w:rPr>
      </w:pPr>
    </w:p>
    <w:p>
      <w:pPr>
        <w:pStyle w:val="style4100"/>
        <w:jc w:val="center"/>
        <w:rPr>
          <w:rFonts w:ascii="Arial Rounded MT Bold" w:hAnsi="Arial Rounded MT Bold"/>
          <w:sz w:val="36"/>
          <w:szCs w:val="36"/>
          <w:lang w:val="en-US"/>
        </w:rPr>
      </w:pPr>
    </w:p>
    <w:p>
      <w:pPr>
        <w:pStyle w:val="style4100"/>
        <w:jc w:val="center"/>
        <w:rPr>
          <w:rFonts w:ascii="Arial Rounded MT Bold" w:hAnsi="Arial Rounded MT Bold"/>
          <w:sz w:val="36"/>
          <w:szCs w:val="36"/>
          <w:lang w:val="en-US"/>
        </w:rPr>
      </w:pPr>
    </w:p>
    <w:p>
      <w:pPr>
        <w:pStyle w:val="style4100"/>
        <w:jc w:val="center"/>
        <w:rPr>
          <w:rFonts w:ascii="Arial Rounded MT Bold" w:hAnsi="Arial Rounded MT Bold"/>
          <w:sz w:val="36"/>
          <w:szCs w:val="36"/>
          <w:lang w:val="en-US"/>
        </w:rPr>
      </w:pPr>
    </w:p>
    <w:p>
      <w:pPr>
        <w:pStyle w:val="style4100"/>
        <w:jc w:val="center"/>
        <w:rPr>
          <w:rFonts w:ascii="Arial Rounded MT Bold" w:hAnsi="Arial Rounded MT Bold"/>
          <w:sz w:val="36"/>
          <w:szCs w:val="36"/>
          <w:lang w:val="en-US"/>
        </w:rPr>
      </w:pPr>
    </w:p>
    <w:p>
      <w:pPr>
        <w:pStyle w:val="style4100"/>
        <w:jc w:val="center"/>
        <w:rPr>
          <w:rFonts w:ascii="Arial Rounded MT Bold" w:hAnsi="Arial Rounded MT Bold"/>
          <w:sz w:val="36"/>
          <w:szCs w:val="36"/>
          <w:lang w:val="en-US"/>
        </w:rPr>
      </w:pPr>
    </w:p>
    <w:p>
      <w:pPr>
        <w:pStyle w:val="style4100"/>
        <w:jc w:val="center"/>
        <w:rPr>
          <w:rFonts w:ascii="Arial Rounded MT Bold" w:hAnsi="Arial Rounded MT Bold"/>
          <w:sz w:val="36"/>
          <w:szCs w:val="36"/>
          <w:lang w:val="en-US"/>
        </w:rPr>
      </w:pPr>
    </w:p>
    <w:p>
      <w:pPr>
        <w:pStyle w:val="style4100"/>
        <w:jc w:val="center"/>
        <w:rPr>
          <w:rFonts w:ascii="Arial Rounded MT Bold" w:hAnsi="Arial Rounded MT Bold"/>
          <w:sz w:val="36"/>
          <w:szCs w:val="36"/>
          <w:lang w:val="en-US"/>
        </w:rPr>
      </w:pPr>
    </w:p>
    <w:p>
      <w:pPr>
        <w:pStyle w:val="style4100"/>
        <w:jc w:val="center"/>
        <w:rPr>
          <w:rFonts w:ascii="Arial Rounded MT Bold" w:hAnsi="Arial Rounded MT Bold"/>
          <w:sz w:val="36"/>
          <w:szCs w:val="36"/>
          <w:lang w:val="en-US"/>
        </w:rPr>
      </w:pPr>
    </w:p>
    <w:p>
      <w:pPr>
        <w:pStyle w:val="style4100"/>
        <w:jc w:val="center"/>
        <w:rPr>
          <w:rFonts w:ascii="Arial Rounded MT Bold" w:hAnsi="Arial Rounded MT Bold"/>
          <w:sz w:val="36"/>
          <w:szCs w:val="36"/>
          <w:lang w:val="en-US"/>
        </w:rPr>
      </w:pPr>
    </w:p>
    <w:p>
      <w:pPr>
        <w:pStyle w:val="style4100"/>
        <w:jc w:val="center"/>
        <w:rPr>
          <w:rFonts w:ascii="Arial Rounded MT Bold" w:hAnsi="Arial Rounded MT Bold"/>
          <w:sz w:val="36"/>
          <w:szCs w:val="36"/>
          <w:lang w:val="en-US"/>
        </w:rPr>
      </w:pPr>
    </w:p>
    <w:p>
      <w:pPr>
        <w:pStyle w:val="style41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Chapter One:</w:t>
      </w:r>
    </w:p>
    <w:p>
      <w:pPr>
        <w:pStyle w:val="style4100"/>
        <w:jc w:val="center"/>
        <w:rPr>
          <w:rFonts w:ascii="Arial Rounded MT Bold" w:cs="Arial Rounded MT Bold" w:eastAsia="Arial Rounded MT Bold" w:hAnsi="Arial Rounded MT Bold"/>
          <w:sz w:val="36"/>
          <w:szCs w:val="36"/>
        </w:rPr>
      </w:pPr>
    </w:p>
    <w:p>
      <w:pPr>
        <w:pStyle w:val="style41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 High Status Characters: King James I and VI and Alice Nutter</w:t>
      </w:r>
    </w:p>
    <w:p>
      <w:pPr>
        <w:pStyle w:val="style410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Ostensibly, the authority figure presiding over the trials and the whole legal process against the Pendle Witches was the local magistrate, Roger Nowell. But above and beyond him, a larger authority loomed, in the form of the over-arching shadowy figure of the King himself: King James I and VI. It was an important part of the historical context that the trials took place in his England. In 1612, King James was nine years into his reign of England, since his accession on the death of Elizabeth I in 1603. He had however been King of Scotland effectively all his life; succeeding to that throne on his mother's abdication when he was one year old. Thus he continued the pattern established by his mother, Mary Queen of Scots, who had been only days old at her accession to the Scottish throne. After her abdication, she evaded her jailers and fled to England, remaining there in captivity for twenty years until her execution under the orders of Elizabeth I. Her only son, James, the new King of Scotland, left behind in that country, never saw his mother again. His father, Henry Stuart, Lord Darnley, (the second husband of Queen Mary, making him King Consort of Scotland) had died earlier that same eventful year of 1567. This death still has much historical mystery to it, but it was undoubtedly a violent death by murder. The house where he was lodged at Kirk O</w:t>
      </w:r>
      <w:r>
        <w:rPr>
          <w:rFonts w:ascii="Arial Rounded MT Bold" w:hAnsi="Arial Rounded MT Bold" w:hint="default"/>
          <w:sz w:val="36"/>
          <w:szCs w:val="36"/>
          <w:lang w:val="en-US"/>
        </w:rPr>
        <w:t>’</w:t>
      </w:r>
      <w:r>
        <w:rPr>
          <w:rFonts w:ascii="Arial Rounded MT Bold" w:hAnsi="Arial Rounded MT Bold"/>
          <w:sz w:val="36"/>
          <w:szCs w:val="36"/>
          <w:lang w:val="en-US"/>
        </w:rPr>
        <w:t>Field was exploded by gunpowder in the middle of the night of February the 10th. Darnley's body, along with that of his valet, was found in the garden. They were undamaged by the explosion, but appeared to have been smothered. It can therefore be ascertained that they received sufficient warning to escape from the explosion, but the unknown killers apprehended them and dispatched them via another method of murder. Young Prince James had yet to reach his first birthday. His mother's actions after her second husband's death led ultimately to her being overthrown and forced to abdicate. This, in turn, set her on a path of captivity, escape, exile, further imprisonment, numerous plots and finally to her execution. Thus, Prince James became a King, losing both his parents in his infancy, before he was old enough to remember them. Both his parents as demonstrated, had violent deaths, his father by smothering after a failed attempt to blow him up, and his mother by beheading in an English castle. It is safe to state that James was affected by their fates. The most evident effect they had on him was a severe case of paranoia. Primary evidence for this includes the surviving description by Sir Anthony Weldon of the eighteen-year-old James:</w:t>
      </w: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He was of middle height, more fat because of his clothes than his body. His clothes always being made large and easy, the doublets quilted to be dagger-proof. His breeches were in great pleats and full stuffed. He was naturally timid, his eyes large and always rolling after any stranger came into his presence.  His beard was very thin. His tongue too large for his mouth which made him drink very badly as if eating his drink which came out into the cup from each side of his mouth. His skin was soft because he never washed his hands, only rubbed his finger ends slightly with the wet end of a napkin.</w:t>
      </w:r>
      <w:r>
        <w:rPr>
          <w:rFonts w:ascii="Arial Rounded MT Bold" w:cs="Arial Rounded MT Bold" w:eastAsia="Arial Rounded MT Bold" w:hAnsi="Arial Rounded MT Bold"/>
          <w:sz w:val="36"/>
          <w:szCs w:val="36"/>
          <w:vertAlign w:val="superscript"/>
        </w:rPr>
        <w:footnoteReference w:id="3"/>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His physical problems might be partially accounted for by his parents being cousins. Additionally, further accounts suggest that he was bow-legged. </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His father's death in proximity to an explosion was of significance to James's character and development. In addition to the Gunpowder Plot occurring in 1605, it was likely a contributing factor in James becoming extremely sensitive to the idea of explosions. This was to go hard with the Pendle Witches in 1612, when they decided to spend their Good Friday feast, among other plans, plotting to blow up Lancaster Castle. The aforementioned continued existence of the castle testifies to the failure of the plan. Given the extremely complex and expensive logistics that would have been involved and indeed were involved in the 1605 Gunpowder Plot - which failed - it is unlikely that the folk of Pendle would have even come close to following through. However, under King James, their mostly idle talk of the idea was enough to clench the case against them. Indeed, there were additional connections between the 1605 Gunpowder Plot and the 1612 witch trials, which further emphasised the association between witchcraft and conspiracy against the state. Notably, Thomas Potts chose to dedicate his pamphlet to Sir Thomas Knyvett, the man who had arrested Guy Fawkes. The gunpowder conspirators (save Guy Fawkes himself, who was famously caught in the act), prior to being apprehended, were known to have escaped to Lancashire. This county was a long way from London in every sense, and was considered to be "a dark corner of the land".</w:t>
      </w:r>
      <w:r>
        <w:rPr>
          <w:rFonts w:ascii="Arial Rounded MT Bold" w:cs="Arial Rounded MT Bold" w:eastAsia="Arial Rounded MT Bold" w:hAnsi="Arial Rounded MT Bold"/>
          <w:sz w:val="36"/>
          <w:szCs w:val="36"/>
          <w:vertAlign w:val="superscript"/>
        </w:rPr>
        <w:footnoteReference w:id="4"/>
      </w:r>
      <w:r>
        <w:rPr>
          <w:rFonts w:ascii="Arial Rounded MT Bold" w:hAnsi="Arial Rounded MT Bold"/>
          <w:sz w:val="36"/>
          <w:szCs w:val="36"/>
          <w:lang w:val="en-US"/>
        </w:rPr>
        <w:t xml:space="preserve"> By reputation it was swarming with malcontents, rebels, Catholics and witches. Furthermore, in the worldview of the period, witches and Catholics had become conflated. Certainly, this was the case in the mind of the King, who had been raised as very strictly Protestant within the Church of Scotland, in order to counteract even the potential influence of his Catholic mother. As to witches, King James had his own reasons for his deep aversion to them, further to be revealed. At this point it is sufficient to state that he not only believed in witches, but considered himself to be personally targeted by them. This meant that James's reign was a very dangerous time to be thought a witch. I might further add the next logical statement: that it was a very dangerous time to be a woman. Nor was the danger limited to a certain class of women. Among the Pendle Witches, although the majority of them could be classified as poor, the upper-class circle represented by Alice Nutter and her peers constituted a significant minority. Contemporary evidence for the conflation of Catholics and witches can be found in Thomas Potts's preface to the pamphlet, in which he refers to "popery witchery, witchery popery".</w:t>
      </w:r>
      <w:r>
        <w:rPr>
          <w:rFonts w:ascii="Arial Rounded MT Bold" w:cs="Arial Rounded MT Bold" w:eastAsia="Arial Rounded MT Bold" w:hAnsi="Arial Rounded MT Bold"/>
          <w:sz w:val="36"/>
          <w:szCs w:val="36"/>
          <w:vertAlign w:val="superscript"/>
        </w:rPr>
        <w:footnoteReference w:id="5"/>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The consideration of both Catholics and the upper-class circle among the Pendle Witches brings the discussion around to Alice Nutter. Arguably, this character exemplifies both categories and is the chief example of each. She is a true standout among the Pendle Witches, being one of the most famous of them. Feasibly, she is the most fondly remembered as she is the only one to have her own statue. The statue is of the modern metallic kind, and was commissioned and erected as a part of the four-hundred-year anniversary celebrations in 2012. It stands in the vicinity of Roughlee Hall, in the village of the same name. Traditionally, this stately, listed and historic building was held to have been the home of Alice Nutter. It therefore can be included among the surviving buildings of significance to the Pendle Witches story. Other examples include Salmebury Hall, Lancaster Castle and the Lancaster Judge's Lodgings. Recent Pendle Witch scholarship has begun to cast doubt on the traditionally held connection between Alice Nutter and Roughlee Hall. Scholars have begun to suggest alternative addresses for her. These doubts seem to be based on obscure documentary evidence somewhat beyond the scope of this dissertation.</w:t>
      </w:r>
      <w:r>
        <w:rPr>
          <w:rFonts w:ascii="Arial Rounded MT Bold" w:cs="Arial Rounded MT Bold" w:eastAsia="Arial Rounded MT Bold" w:hAnsi="Arial Rounded MT Bold"/>
          <w:sz w:val="36"/>
          <w:szCs w:val="36"/>
          <w:vertAlign w:val="superscript"/>
        </w:rPr>
        <w:footnoteReference w:id="6"/>
      </w:r>
      <w:r>
        <w:rPr>
          <w:rFonts w:ascii="Arial Rounded MT Bold" w:hAnsi="Arial Rounded MT Bold"/>
          <w:sz w:val="36"/>
          <w:szCs w:val="36"/>
          <w:lang w:val="en-US"/>
        </w:rPr>
        <w:t xml:space="preserve"> However, since my own focus is historical fiction, which firmly locates Alice in Roughlee Hall, the connection between them remains from this dissertation's perspective.</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The historical Alice Nutter is traditionally attributed with the characteristics of a kind of feminist heroine. She is also imbued with Robin Hood-type qualities, in the sense of standing up for the rights of others. Traditional narrative holds that she was involved in two land territory disputes with Roger Nowell. One of them was on her own behalf and the other was on behalf of two of her friends, the mother and son John and Jane Bulcock. In both cases, she was successful, despite opposition, both for being a woman and for challenging the authority of the local magistrate and Sheriff of Lancashire (Roger Nowell). As evidenced by the stature of her home, Alice Nutter was wealthier and of higher social class than the majority of the accused witches. Furthermore, as a widow in her mature years (she had reached the age of sixty by 1612), she had more freedom and more control over her financial and additional assets than other women. The lawsuits occurred before the 1612 witch trials, possibly explaining Roger Nowell's enmity towards all three people involved, and his targeting them for his own revenge by charging them with witchcraft. Furthermore, Alice Nutter was from one of the traditional old Catholic families of the North, and rumoured to still be loyal to the Church of Rome, in spite of the establishment of the Church of England the previous century and the country having officially turned Protestant since then. However, such full-scale religious changes can take time to extend northwards from London. Some Northern families were notably resistant to change. Alice's family were especially infamous for retaining their Catholic practices, to the point that two of her relatives had been executed by hanging, drawing and quartering for being Catholic priests.</w:t>
      </w:r>
      <w:r>
        <w:rPr>
          <w:rFonts w:ascii="Arial Rounded MT Bold" w:cs="Arial Rounded MT Bold" w:eastAsia="Arial Rounded MT Bold" w:hAnsi="Arial Rounded MT Bold"/>
          <w:sz w:val="36"/>
          <w:szCs w:val="36"/>
          <w:vertAlign w:val="superscript"/>
        </w:rPr>
        <w:footnoteReference w:id="7"/>
      </w:r>
      <w:r>
        <w:rPr>
          <w:rFonts w:ascii="Arial Rounded MT Bold" w:hAnsi="Arial Rounded MT Bold"/>
          <w:sz w:val="36"/>
          <w:szCs w:val="36"/>
          <w:lang w:val="en-US"/>
        </w:rPr>
        <w:t xml:space="preserve"> From Roger Nowell's perspective, it is possible that in addition to his own personal grudge against Alice, he also considered her to be another trouble making Catholic from a notorious family. He may have seen little difference between a High Mass and a Black Mass (Catholicism being considered a demonic religion in this time period) and therefore chosen the most convenient one of which to accuse Alice. This turned out to be the Black Mass, because the opportunity arose due to the multiple witchcraft accusations being made. In some historical fiction accounts, Roger opportunistically coaxes and manipulates Jennet Device into naming Alice among the Malkin Tower Good Friday guests. On some occasions, he even convinces Jennet into believing Alice to have been present, superseding Jennet's own memory. In Lexi Wolfe's single performer play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Pendle</w:t>
      </w:r>
      <w:r>
        <w:rPr>
          <w:rFonts w:ascii="Arial Rounded MT Bold" w:hAnsi="Arial Rounded MT Bold"/>
          <w:sz w:val="36"/>
          <w:szCs w:val="36"/>
          <w:lang w:val="en-US"/>
        </w:rPr>
        <w:t xml:space="preserve"> </w:t>
      </w:r>
      <w:r>
        <w:rPr>
          <w:rFonts w:ascii="Arial Rounded MT Bold" w:hAnsi="Arial Rounded MT Bold"/>
          <w:i/>
          <w:iCs/>
          <w:sz w:val="36"/>
          <w:szCs w:val="36"/>
          <w:lang w:val="en-US"/>
        </w:rPr>
        <w:t>Witch</w:t>
      </w:r>
      <w:r>
        <w:rPr>
          <w:rFonts w:ascii="Arial Rounded MT Bold" w:hAnsi="Arial Rounded MT Bold"/>
          <w:sz w:val="36"/>
          <w:szCs w:val="36"/>
          <w:lang w:val="en-US"/>
        </w:rPr>
        <w:t>, Jennet denies seeing Alice Nutter there a few times, but eventually concedes, in the face of Roger's insistence: "Yes, Sir. I suppose she must have been there."</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The specific witchcraft charges laid against Alice Nutter and John and Jane Bulcock are detailed in Potts's pamphlet. The Bulcocks are said to have used witchcraft to torment a woman named Jean into absolute insanity. This parallels with Alizon Device, as all three were convicted of non-fatal harm caused by witchcraft, as opposed to murder by witchcraft, which formed the majority of the charges against the Pendle Witches.</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The charge against Alice Nutter was that she had teamed up with the mother and daughter Demdike and Squinting Lizzie (Elizabeth Southerns and Elizabeth Device) in order to cause the death by witchcraft of a man named Henry Mitton. The motivation for this was stated to be revenge for his refusal to give Demdike a penny for which she had begged. This charge and especially the motivation in Alice's case, seems to be quite deliberately ludicrous. It is necessary to adjust for monetary inflation. A penny in 1612 had considerably more value than it does in the present, but it was still a fairly small sum. As has been noted, Alice was a woman of wealth and assets. She had no need to beg. Plausibly, she could have had friends in a lower social class, but it is rather hard to believe that she was a social beggar. After all, while she might have felt sympathy and loyalty towards her poorer friends, it would be far easier for her to provide for them, than to assist them with beggary, let alone with magical revenge. This objection is directly raised and discussed in Richard Shannon</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2012 play, </w:t>
      </w:r>
      <w:r>
        <w:rPr>
          <w:rFonts w:ascii="Arial Rounded MT Bold" w:hAnsi="Arial Rounded MT Bold"/>
          <w:i/>
          <w:iCs/>
          <w:sz w:val="36"/>
          <w:szCs w:val="36"/>
          <w:lang w:val="en-US"/>
        </w:rPr>
        <w:t>Sabbat</w:t>
      </w:r>
      <w:r>
        <w:rPr>
          <w:rFonts w:ascii="Arial Rounded MT Bold" w:hAnsi="Arial Rounded MT Bold"/>
          <w:sz w:val="36"/>
          <w:szCs w:val="36"/>
          <w:lang w:val="en-US"/>
        </w:rPr>
        <w:t xml:space="preserve">. In this play, Roger Nowell and Alice Nutter are both lead roles and there are several scenes of him interrogating her. He directly confronts her with the slightly modified accusation that she has killed Henry Mitton by witchcraft because he owed her money, specifying a penny when she asks for the amount. She queries this motivation, especially for this small amount: "A penny? Oh Sir, this will not do. You know I have no need of money." </w:t>
      </w: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Roger replies "You may have no need - but Demdike and Elizabeth Device are poor and needy. You care for the poor. It would be but a short throw for you to help them in other ways.</w:t>
      </w:r>
      <w:r>
        <w:rPr>
          <w:rFonts w:ascii="Arial Rounded MT Bold" w:hAnsi="Arial Rounded MT Bold" w:hint="default"/>
          <w:sz w:val="36"/>
          <w:szCs w:val="36"/>
          <w:lang w:val="en-US"/>
        </w:rPr>
        <w:t>”</w:t>
      </w: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Alice's answer that she "would rather give the penny and more than see a man die for it" seems perfectly plausible.</w:t>
      </w:r>
      <w:r>
        <w:rPr>
          <w:rFonts w:ascii="Arial Rounded MT Bold" w:cs="Arial Rounded MT Bold" w:eastAsia="Arial Rounded MT Bold" w:hAnsi="Arial Rounded MT Bold"/>
          <w:sz w:val="36"/>
          <w:szCs w:val="36"/>
          <w:vertAlign w:val="superscript"/>
        </w:rPr>
        <w:footnoteReference w:id="8"/>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As demonstrated, the specific charge against Alice Nutter seemed ludicrous, even in its own time. The general accusation that she was involved in witchcraft alongside many of the local beggars appeared equally implausible. Nevertheless, it was presumably believed by the court that convicted her. It is therefore the task of historical fiction to account for what happened to her and speculate upon what her actions and motivations may have been. As a singularly idiosyncratic character, one who differed from the rest, it makes sense that she is a character for focus. </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Ainsworth's Victorian novel supports this primacy, by featuring Alice Nutter in a leading role. She is first vilified, being characterised as a powerful witch in the book. Portrayed as an evil witch, she fits the contemporary definition, having gained her power through demonic pacts in exchange for her soul. The familiar demons that serve her are characters in the book. Alice is shown using her powers for evil, including kidnapping and threatening other characters and recruiting additional witches, thus endangering their souls. Roger Nowell is a prominent victim of her mischievous pranks. He is included among the characters that she traps in her house; the aforementioned Roughlee Hall and threatens with various supernatural horrors. The historical territory dispute that Alice had with him on her own behalf, features in the book. It takes the form of a comic scene, in which Alice's demonic familiars literally move the boundaries of the land, ensuring that she is proven right. The humour derives from Roger's increasing frustration and mystification. Indeed, this scene in the book greatly contributes to Alice and Roger's territory dispute being known to history.</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Ainsworth's version of Alice is revealed as a complex character when she attempts to repent of her witchcraft and regain her soul. She agonises over this for a long time, being told by her demons that there can be no reversal of her original decision. The key to her repentance and ultimate redemption lays with her long-lost daughter; the character history knows as Alizon Device. This version of events gives her an additional name, her supposed birth name of Agnes Nutter.</w:t>
      </w:r>
      <w:r>
        <w:rPr>
          <w:rFonts w:ascii="Arial Rounded MT Bold" w:cs="Arial Rounded MT Bold" w:eastAsia="Arial Rounded MT Bold" w:hAnsi="Arial Rounded MT Bold"/>
          <w:sz w:val="36"/>
          <w:szCs w:val="36"/>
          <w:vertAlign w:val="superscript"/>
          <w:lang w:val="en-US"/>
        </w:rPr>
        <w:footnoteReference w:id="9"/>
      </w:r>
      <w:r>
        <w:rPr>
          <w:rFonts w:ascii="Arial Rounded MT Bold" w:hAnsi="Arial Rounded MT Bold"/>
          <w:sz w:val="36"/>
          <w:szCs w:val="36"/>
          <w:lang w:val="en-US"/>
        </w:rPr>
        <w:t xml:space="preserve"> The daughter character is thus drawn into a parallel with Victor Hugo's gypsy heroine of </w:t>
      </w:r>
      <w:r>
        <w:rPr>
          <w:rFonts w:hAnsi="Arial Rounded MT Bold"/>
          <w:i/>
          <w:iCs/>
          <w:sz w:val="36"/>
          <w:szCs w:val="36"/>
          <w:lang w:val="en-GB"/>
        </w:rPr>
        <w:t>The</w:t>
      </w:r>
      <w:r>
        <w:rPr>
          <w:rFonts w:ascii="Arial Rounded MT Bold" w:hAnsi="Arial Rounded MT Bold"/>
          <w:i/>
          <w:iCs/>
          <w:sz w:val="36"/>
          <w:szCs w:val="36"/>
          <w:lang w:val="en-US"/>
        </w:rPr>
        <w:t xml:space="preserve"> Hunchback of Notre Dame</w:t>
      </w:r>
      <w:r>
        <w:rPr>
          <w:rFonts w:ascii="Arial Rounded MT Bold" w:hAnsi="Arial Rounded MT Bold"/>
          <w:sz w:val="36"/>
          <w:szCs w:val="36"/>
          <w:lang w:val="en-US"/>
        </w:rPr>
        <w:t xml:space="preserve">, Esmerelda. Hugo's book eventually reveals that Esmerelda was kidnapped by the gypsies in her infancy from her mother, who had named her Agnes. In Ainsworth's book, another nineteenth century novel, a comparable incident occurs. At some point in the novel's backstory, Elizabeth Device is employed by Alice Nutter as a nurse maid to her infant daughter. Elizabeth also has an infant of her own. During a violent altercation between Elizabeth and her husband John, in a fit of rage and jealousy, he mistakenly kills his own child, believing her to be Alice's. Elizabeth, while shocked, decides to go along with the mistaken identity, taking Alice's daughter home, in place of her own, leaving Alice to believe herself bereaved. Thus, the displaced, lost child motif, popular in nineteenth century novels (another example is </w:t>
      </w:r>
      <w:r>
        <w:rPr>
          <w:rFonts w:ascii="Arial Rounded MT Bold" w:hAnsi="Arial Rounded MT Bold"/>
          <w:i/>
          <w:iCs/>
          <w:sz w:val="36"/>
          <w:szCs w:val="36"/>
          <w:lang w:val="en-US"/>
        </w:rPr>
        <w:t>Oliver</w:t>
      </w:r>
      <w:r>
        <w:rPr>
          <w:rFonts w:ascii="Arial Rounded MT Bold" w:hAnsi="Arial Rounded MT Bold"/>
          <w:sz w:val="36"/>
          <w:szCs w:val="36"/>
          <w:lang w:val="en-US"/>
        </w:rPr>
        <w:t xml:space="preserve"> </w:t>
      </w:r>
      <w:r>
        <w:rPr>
          <w:rFonts w:ascii="Arial Rounded MT Bold" w:hAnsi="Arial Rounded MT Bold"/>
          <w:i/>
          <w:iCs/>
          <w:sz w:val="36"/>
          <w:szCs w:val="36"/>
          <w:lang w:val="en-US"/>
        </w:rPr>
        <w:t>Twist</w:t>
      </w:r>
      <w:r>
        <w:rPr>
          <w:rFonts w:ascii="Arial Rounded MT Bold" w:hAnsi="Arial Rounded MT Bold"/>
          <w:sz w:val="36"/>
          <w:szCs w:val="36"/>
          <w:lang w:val="en-US"/>
        </w:rPr>
        <w:t xml:space="preserve">) finds its place in the Pendle Witches story. It might be speculated that Ainsworth noticed the similarity between the characters' names, 'Alice' and 'Alizon', and imagined a connection between them. Furthermore, he might have viewed them both as characters who did not fit in with the other accused witches, Alice due to her wealth and higher social class, and Alizon as being seemingly a young, innocent girl. She is therefore perfectly cast as the Victorian heroine. She plays this role to a tee in Ainsworth's book, complete with the traditional tragic romance in her love story with Richard </w:t>
      </w:r>
      <w:r>
        <w:rPr>
          <w:sz w:val="36"/>
          <w:szCs w:val="36"/>
          <w:lang w:val="en-US"/>
        </w:rPr>
        <w:t>Ashton</w:t>
      </w:r>
      <w:r>
        <w:rPr>
          <w:rFonts w:ascii="Arial Rounded MT Bold" w:hAnsi="Arial Rounded MT Bold"/>
          <w:sz w:val="36"/>
          <w:szCs w:val="36"/>
          <w:lang w:val="en-US"/>
        </w:rPr>
        <w:t>. Alizon's story ends climactically, with her literally wrestling demons for the soul of her mother. Although she dies from this altercation, she is ultimately successful, giving her final words of "Mother! You are saved!" a heart-rending poignancy. Indeed, Alice's soul is considered to be saved from this point onwards. The willing sacrifice of her daughter accomplished its restoration. Her life though, remains forfeit to the law. Like many historical novel characters, Alice is doomed by history to die on the day it decrees, even if the circumstances are subject to alteration. In this case, the fiction lines up with the history up to a certain point. Alice is depicted imprisoned in the castle the night before her scheduled execution. So far, so accurate, although the book allows her more freedom of movement than history did, as she is shown roaming the castle, rather than being confined to the dungeon. As history dictates, she is on the gallows on execution day. However, in a final twist, she summons a demonic animal companion in the form of a bird, who, at her signal, rips out her throat. Her death, therefore, can be viewed as an assisted suicide to avoid execution. The motive could be considered to be one of pride and control, so as not to let the State get the better of her. The throat ripping could hardly be considered less painful than hanging, but it may well be faster than an old-fashioned death on the gallows, in the age before the long drop.</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Progressing to the twentieth century novel, </w:t>
      </w:r>
      <w:r>
        <w:rPr>
          <w:rFonts w:ascii="Arial Rounded MT Bold" w:hAnsi="Arial Rounded MT Bold"/>
          <w:i/>
          <w:iCs/>
          <w:sz w:val="36"/>
          <w:szCs w:val="36"/>
          <w:lang w:val="en-US"/>
        </w:rPr>
        <w:t>Mist</w:t>
      </w:r>
      <w:r>
        <w:rPr>
          <w:rFonts w:ascii="Arial Rounded MT Bold" w:hAnsi="Arial Rounded MT Bold"/>
          <w:sz w:val="36"/>
          <w:szCs w:val="36"/>
          <w:lang w:val="en-US"/>
        </w:rPr>
        <w:t xml:space="preserve"> </w:t>
      </w:r>
      <w:r>
        <w:rPr>
          <w:rFonts w:ascii="Arial Rounded MT Bold" w:hAnsi="Arial Rounded MT Bold"/>
          <w:i/>
          <w:iCs/>
          <w:sz w:val="36"/>
          <w:szCs w:val="36"/>
          <w:lang w:val="en-US"/>
        </w:rPr>
        <w:t>Over</w:t>
      </w:r>
      <w:r>
        <w:rPr>
          <w:rFonts w:ascii="Arial Rounded MT Bold" w:hAnsi="Arial Rounded MT Bold"/>
          <w:sz w:val="36"/>
          <w:szCs w:val="36"/>
          <w:lang w:val="en-US"/>
        </w:rPr>
        <w:t xml:space="preserve"> </w:t>
      </w:r>
      <w:r>
        <w:rPr>
          <w:rFonts w:ascii="Arial Rounded MT Bold" w:hAnsi="Arial Rounded MT Bold"/>
          <w:i/>
          <w:iCs/>
          <w:sz w:val="36"/>
          <w:szCs w:val="36"/>
          <w:lang w:val="en-US"/>
        </w:rPr>
        <w:t>Pendle</w:t>
      </w:r>
      <w:r>
        <w:rPr>
          <w:rFonts w:ascii="Arial Rounded MT Bold" w:hAnsi="Arial Rounded MT Bold"/>
          <w:sz w:val="36"/>
          <w:szCs w:val="36"/>
          <w:lang w:val="en-US"/>
        </w:rPr>
        <w:t xml:space="preserve">, this book unequivocally casts Alice Nutter as the villain of the piece. Her character takes the form of a malevolent, brooding and threatening presence. Although her involvement in witchcraft is distinctly dubious, the book clarifies the issue of her guilt by making her a multiple murderess. Her weapon of choice is poison, specifically herbal poison, as found naturally occurring in certain plants and fruits. This is fitting, as it seems to bridge the gap between murder by witchcraft and just plain murder. It also invokes the inversion of the archetypal wise woman and midwife, who might use plants and herbs for healing and for facilitating the continuance of life. It is interesting therefore to compare this version of Alice Nutter with that in the play </w:t>
      </w:r>
      <w:r>
        <w:rPr>
          <w:rFonts w:ascii="Arial Rounded MT Bold" w:hAnsi="Arial Rounded MT Bold"/>
          <w:i/>
          <w:iCs/>
          <w:sz w:val="36"/>
          <w:szCs w:val="36"/>
          <w:lang w:val="en-US"/>
        </w:rPr>
        <w:t>Sabbat</w:t>
      </w:r>
      <w:r>
        <w:rPr>
          <w:rFonts w:ascii="Arial Rounded MT Bold" w:hAnsi="Arial Rounded MT Bold"/>
          <w:sz w:val="36"/>
          <w:szCs w:val="36"/>
          <w:lang w:val="en-US"/>
        </w:rPr>
        <w:t xml:space="preserve">, which makes her a midwife and does not represent her as being guilty. Further material on the play can be found in Chapter Three. In </w:t>
      </w:r>
      <w:r>
        <w:rPr>
          <w:rFonts w:ascii="Arial Rounded MT Bold" w:hAnsi="Arial Rounded MT Bold"/>
          <w:i/>
          <w:iCs/>
          <w:sz w:val="36"/>
          <w:szCs w:val="36"/>
          <w:lang w:val="en-US"/>
        </w:rPr>
        <w:t>Mist</w:t>
      </w:r>
      <w:r>
        <w:rPr>
          <w:rFonts w:ascii="Arial Rounded MT Bold" w:hAnsi="Arial Rounded MT Bold"/>
          <w:sz w:val="36"/>
          <w:szCs w:val="36"/>
          <w:lang w:val="en-US"/>
        </w:rPr>
        <w:t xml:space="preserve"> </w:t>
      </w:r>
      <w:r>
        <w:rPr>
          <w:rFonts w:ascii="Arial Rounded MT Bold" w:hAnsi="Arial Rounded MT Bold"/>
          <w:i/>
          <w:iCs/>
          <w:sz w:val="36"/>
          <w:szCs w:val="36"/>
          <w:lang w:val="en-US"/>
        </w:rPr>
        <w:t>Over</w:t>
      </w:r>
      <w:r>
        <w:rPr>
          <w:rFonts w:ascii="Arial Rounded MT Bold" w:hAnsi="Arial Rounded MT Bold"/>
          <w:sz w:val="36"/>
          <w:szCs w:val="36"/>
          <w:lang w:val="en-US"/>
        </w:rPr>
        <w:t xml:space="preserve"> </w:t>
      </w:r>
      <w:r>
        <w:rPr>
          <w:rFonts w:ascii="Arial Rounded MT Bold" w:hAnsi="Arial Rounded MT Bold"/>
          <w:i/>
          <w:iCs/>
          <w:sz w:val="36"/>
          <w:szCs w:val="36"/>
          <w:lang w:val="en-US"/>
        </w:rPr>
        <w:t>Pendle</w:t>
      </w:r>
      <w:r>
        <w:rPr>
          <w:rFonts w:ascii="Arial Rounded MT Bold" w:hAnsi="Arial Rounded MT Bold"/>
          <w:sz w:val="36"/>
          <w:szCs w:val="36"/>
          <w:lang w:val="en-US"/>
        </w:rPr>
        <w:t>, the protagonists Roger Nowell and his cousin Marjorie gradually uncover Alice's guilt in the murders to their own satisfaction, but face obstacles in the matter of providing proof. Just when they think they have enough evidence, Alice diverts their attention by declaring that it seems to point more towards her husband, and that his own apparent motivation to want the murdered characters dead appears to be even stronger than hers. Alice's husband is inaccurately still living in this version of events, and is presented as being innocent of his wife's machinations. Roger and Marjorie are initially stalled by this, as they do not wish the husband to be implicated. Eventually they reach the creative solution of framing and charging Alice with witchcraft. For this, they concoct the story of Alice, Henry Mitton and the penny, along with Alice's supposed alliance with Elizabeth Device and Demdike; Elizabeth's mother. This seems to require little more than their own word to be accepted as a charge, along with the cooperation of Elizabeth Device. Elizabeth is quite willing to accuse Alice, in revenge for Alice killing her mother. Demdike is included among Alice's victims in this story, by means of a poisoned pie consumed in the jail. Worse still, from Elizabeth's perspective, was that she herself was made an unwitting instrument of the murder by delivering the pie to her mother, unaware of its tainted ingredients. It is interesting that Demdike herself - perhaps the most notorious accused witch of her own time - should be made a victim of Alice in this novel. It gives the impression that the accused were turning on one another by this point, and provides an alternative explanation for Demdike's death in the jail cell before the trial. In real life, her advanced age of eighty, the poor conditions of the jail and the propensity of the jail fever were probably sufficient causes for her demise. In practical legal terms, it did mean that unlike most of the accused, she avoided being convicted of witchcraft. She might be considered to have died innocent. Potts, however, circumvents this interpretation by including her confession in his pamphlet. Still though, villain, victim or both, Demdike is shown in this novel to mean a great deal to her daughter, Elizabeth. Elizabeth is driven to avenge her by corroborating the witchcraft charge against Alice Nutter. Paradoxically, this means Elizabeth retrospectively claims Alice as an ally in the past, while truthfully revealing herself to be Alice's enemy in the present. She does this without any hope of leniency for herself, demonstrating her strong attachment to her mother.</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One of the two new Pendle Witch novellas commissioned for the four-hundredth anniversary in 2012 was Jeanette Winterson</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w:t>
      </w:r>
      <w:r>
        <w:rPr>
          <w:rFonts w:ascii="Arial Rounded MT Bold" w:hAnsi="Arial Rounded MT Bold"/>
          <w:i/>
          <w:iCs/>
          <w:sz w:val="36"/>
          <w:szCs w:val="36"/>
          <w:lang w:val="en-US"/>
        </w:rPr>
        <w:t>The Daylight Gate</w:t>
      </w:r>
      <w:r>
        <w:rPr>
          <w:rFonts w:ascii="Arial Rounded MT Bold" w:hAnsi="Arial Rounded MT Bold"/>
          <w:sz w:val="36"/>
          <w:szCs w:val="36"/>
          <w:lang w:val="en-US"/>
        </w:rPr>
        <w:t xml:space="preserve">. This book makes Alice Nutter the central figure. As Silvia Antosa describes it in her article: </w:t>
      </w:r>
      <w:r>
        <w:rPr>
          <w:rFonts w:ascii="Arial Rounded MT Bold" w:hAnsi="Arial Rounded MT Bold" w:hint="default"/>
          <w:sz w:val="36"/>
          <w:szCs w:val="36"/>
          <w:lang w:val="en-US"/>
        </w:rPr>
        <w:t>“</w:t>
      </w:r>
      <w:r>
        <w:rPr>
          <w:rFonts w:ascii="Arial Rounded MT Bold" w:hAnsi="Arial Rounded MT Bold"/>
          <w:sz w:val="36"/>
          <w:szCs w:val="36"/>
          <w:lang w:val="en-US"/>
        </w:rPr>
        <w:t>Winterson</w:t>
      </w:r>
      <w:r>
        <w:rPr>
          <w:rFonts w:ascii="Arial Rounded MT Bold" w:hAnsi="Arial Rounded MT Bold" w:hint="default"/>
          <w:sz w:val="36"/>
          <w:szCs w:val="36"/>
          <w:lang w:val="en-US"/>
        </w:rPr>
        <w:t>’</w:t>
      </w:r>
      <w:r>
        <w:rPr>
          <w:rFonts w:ascii="Arial Rounded MT Bold" w:hAnsi="Arial Rounded MT Bold"/>
          <w:sz w:val="36"/>
          <w:szCs w:val="36"/>
          <w:lang w:val="en-US"/>
        </w:rPr>
        <w:t>s novel focuses on Alice Nutter and imaginatively rereads events from her perspective.</w:t>
      </w:r>
      <w:r>
        <w:rPr>
          <w:rFonts w:ascii="Arial Rounded MT Bold" w:hAnsi="Arial Rounded MT Bold" w:hint="default"/>
          <w:sz w:val="36"/>
          <w:szCs w:val="36"/>
          <w:lang w:val="en-US"/>
        </w:rPr>
        <w:t xml:space="preserve">” </w:t>
      </w:r>
      <w:r>
        <w:rPr>
          <w:rFonts w:ascii="Arial Rounded MT Bold" w:hAnsi="Arial Rounded MT Bold"/>
          <w:sz w:val="36"/>
          <w:szCs w:val="36"/>
          <w:lang w:val="en-US"/>
        </w:rPr>
        <w:t>Crucially, although Alice</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widowhood is presented accurately in this book, it is not the source of her wealth as it was historically. Instead, Alice </w:t>
      </w:r>
      <w:r>
        <w:rPr>
          <w:rFonts w:ascii="Arial Rounded MT Bold" w:hAnsi="Arial Rounded MT Bold" w:hint="default"/>
          <w:sz w:val="36"/>
          <w:szCs w:val="36"/>
          <w:lang w:val="en-US"/>
        </w:rPr>
        <w:t>“</w:t>
      </w:r>
      <w:r>
        <w:rPr>
          <w:rFonts w:ascii="Arial Rounded MT Bold" w:hAnsi="Arial Rounded MT Bold"/>
          <w:sz w:val="36"/>
          <w:szCs w:val="36"/>
          <w:lang w:val="en-US"/>
        </w:rPr>
        <w:t>is a self-made woman</w:t>
      </w:r>
      <w:r>
        <w:rPr>
          <w:rFonts w:ascii="Arial Rounded MT Bold" w:hAnsi="Arial Rounded MT Bold" w:hint="default"/>
          <w:sz w:val="36"/>
          <w:szCs w:val="36"/>
          <w:lang w:val="en-US"/>
        </w:rPr>
        <w:t>”</w:t>
      </w:r>
      <w:r>
        <w:rPr>
          <w:rFonts w:ascii="Arial Rounded MT Bold" w:hAnsi="Arial Rounded MT Bold"/>
          <w:sz w:val="36"/>
          <w:szCs w:val="36"/>
          <w:lang w:val="en-US"/>
        </w:rPr>
        <w:t xml:space="preserve">. Specifically, Alice </w:t>
      </w:r>
      <w:r>
        <w:rPr>
          <w:rFonts w:ascii="Arial Rounded MT Bold" w:hAnsi="Arial Rounded MT Bold" w:hint="default"/>
          <w:sz w:val="36"/>
          <w:szCs w:val="36"/>
          <w:lang w:val="en-US"/>
        </w:rPr>
        <w:t>“</w:t>
      </w:r>
      <w:r>
        <w:rPr>
          <w:rFonts w:ascii="Arial Rounded MT Bold" w:hAnsi="Arial Rounded MT Bold"/>
          <w:sz w:val="36"/>
          <w:szCs w:val="36"/>
          <w:lang w:val="en-US"/>
        </w:rPr>
        <w:t>makes her fortune through her discovery of a special technique for dying cloth</w:t>
      </w:r>
      <w:r>
        <w:rPr>
          <w:rFonts w:ascii="Arial Rounded MT Bold" w:hAnsi="Arial Rounded MT Bold" w:hint="default"/>
          <w:sz w:val="36"/>
          <w:szCs w:val="36"/>
          <w:lang w:val="en-US"/>
        </w:rPr>
        <w:t>”</w:t>
      </w:r>
      <w:r>
        <w:rPr>
          <w:rFonts w:ascii="Arial Rounded MT Bold" w:hAnsi="Arial Rounded MT Bold"/>
          <w:sz w:val="36"/>
          <w:szCs w:val="36"/>
          <w:lang w:val="en-US"/>
        </w:rPr>
        <w:t>.</w:t>
      </w:r>
      <w:r>
        <w:rPr>
          <w:rFonts w:ascii="Arial Rounded MT Bold" w:cs="Arial Rounded MT Bold" w:eastAsia="Arial Rounded MT Bold" w:hAnsi="Arial Rounded MT Bold"/>
          <w:sz w:val="36"/>
          <w:szCs w:val="36"/>
          <w:vertAlign w:val="superscript"/>
          <w:lang w:val="en-US"/>
        </w:rPr>
        <w:footnoteReference w:id="10"/>
      </w:r>
      <w:r>
        <w:rPr>
          <w:rFonts w:ascii="Arial Rounded MT Bold" w:hAnsi="Arial Rounded MT Bold"/>
          <w:sz w:val="36"/>
          <w:szCs w:val="36"/>
          <w:lang w:val="en-US"/>
        </w:rPr>
        <w:t xml:space="preserve"> Alice is shown interacting with a number of period-appropriate celebrities, including William Shakespeare, when she attends a performance of his play, </w:t>
      </w:r>
      <w:r>
        <w:rPr>
          <w:rFonts w:ascii="Arial Rounded MT Bold" w:hAnsi="Arial Rounded MT Bold"/>
          <w:i/>
          <w:iCs/>
          <w:sz w:val="36"/>
          <w:szCs w:val="36"/>
          <w:lang w:val="en-US"/>
        </w:rPr>
        <w:t>The Tempest</w:t>
      </w:r>
      <w:r>
        <w:rPr>
          <w:rFonts w:ascii="Arial Rounded MT Bold" w:hAnsi="Arial Rounded MT Bold"/>
          <w:sz w:val="36"/>
          <w:szCs w:val="36"/>
          <w:lang w:val="en-US"/>
        </w:rPr>
        <w:t xml:space="preserve">. (Which is just magical enough; </w:t>
      </w:r>
      <w:r>
        <w:rPr>
          <w:rFonts w:ascii="Arial Rounded MT Bold" w:hAnsi="Arial Rounded MT Bold"/>
          <w:i/>
          <w:iCs/>
          <w:sz w:val="36"/>
          <w:szCs w:val="36"/>
          <w:lang w:val="en-US"/>
        </w:rPr>
        <w:t xml:space="preserve">Macbeth </w:t>
      </w:r>
      <w:r>
        <w:rPr>
          <w:rFonts w:ascii="Arial Rounded MT Bold" w:hAnsi="Arial Rounded MT Bold"/>
          <w:sz w:val="36"/>
          <w:szCs w:val="36"/>
          <w:lang w:val="en-US"/>
        </w:rPr>
        <w:t>would have been a step too far.) She is also associated with Queen Elizabeth</w:t>
      </w:r>
      <w:r>
        <w:rPr>
          <w:rFonts w:ascii="Arial Rounded MT Bold" w:hAnsi="Arial Rounded MT Bold" w:hint="default"/>
          <w:sz w:val="36"/>
          <w:szCs w:val="36"/>
          <w:lang w:val="en-US"/>
        </w:rPr>
        <w:t>’</w:t>
      </w:r>
      <w:r>
        <w:rPr>
          <w:rFonts w:ascii="Arial Rounded MT Bold" w:hAnsi="Arial Rounded MT Bold"/>
          <w:sz w:val="36"/>
          <w:szCs w:val="36"/>
          <w:lang w:val="en-US"/>
        </w:rPr>
        <w:t>s mathematician and astrologer, John Dee. Indeed, Alice and Elizabeth Southerns were both members of Dee</w:t>
      </w:r>
      <w:r>
        <w:rPr>
          <w:rFonts w:ascii="Arial Rounded MT Bold" w:hAnsi="Arial Rounded MT Bold" w:hint="default"/>
          <w:sz w:val="36"/>
          <w:szCs w:val="36"/>
          <w:lang w:val="en-US"/>
        </w:rPr>
        <w:t>’</w:t>
      </w:r>
      <w:r>
        <w:rPr>
          <w:rFonts w:ascii="Arial Rounded MT Bold" w:hAnsi="Arial Rounded MT Bold"/>
          <w:sz w:val="36"/>
          <w:szCs w:val="36"/>
          <w:lang w:val="en-US"/>
        </w:rPr>
        <w:t>s elite study and research group during the novel</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backstory. It is during this period of acquaintance that they became romantically involved. After all, it would not be a Jeanette Winterson novel without a lesbian love story. This is just as important as the feminist elements of the story, such as Alice becoming independently wealthy. In the event, Alice discovers more than techniques of dying cloth, as, due partly to her association with such </w:t>
      </w:r>
      <w:r>
        <w:rPr>
          <w:rFonts w:ascii="Arial Rounded MT Bold" w:hAnsi="Arial Rounded MT Bold" w:hint="default"/>
          <w:sz w:val="36"/>
          <w:szCs w:val="36"/>
          <w:lang w:val="en-US"/>
        </w:rPr>
        <w:t>‘</w:t>
      </w:r>
      <w:r>
        <w:rPr>
          <w:rFonts w:ascii="Arial Rounded MT Bold" w:hAnsi="Arial Rounded MT Bold"/>
          <w:sz w:val="36"/>
          <w:szCs w:val="36"/>
          <w:lang w:val="en-US"/>
        </w:rPr>
        <w:t>magical</w:t>
      </w:r>
      <w:r>
        <w:rPr>
          <w:rFonts w:ascii="Arial Rounded MT Bold" w:hAnsi="Arial Rounded MT Bold" w:hint="default"/>
          <w:sz w:val="36"/>
          <w:szCs w:val="36"/>
          <w:lang w:val="en-US"/>
        </w:rPr>
        <w:t xml:space="preserve">’ </w:t>
      </w:r>
      <w:r>
        <w:rPr>
          <w:rFonts w:ascii="Arial Rounded MT Bold" w:hAnsi="Arial Rounded MT Bold"/>
          <w:sz w:val="36"/>
          <w:szCs w:val="36"/>
          <w:lang w:val="en-US"/>
        </w:rPr>
        <w:t>characters as John Dee and Elizabeth Southerns, Alice also makes supernatural discoveries. She uses one of these, a youth potion of sorts, to maintain the appearance and attributes of youth. Due to their former association, this book implies Alice to be a contemporary of the octogenarian Elizabeth Southerns, but she looks and acts much younger. This includes travelling about the countryside and riding horseback (controversially astride, no less). In real life, Elizabeth Southerns and Alice Nutter were approximately twenty years apart in age. In summation, Jeanette Winterson</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Alice Nutter </w:t>
      </w:r>
      <w:r>
        <w:rPr>
          <w:sz w:val="36"/>
          <w:szCs w:val="36"/>
          <w:lang w:val="en-US"/>
        </w:rPr>
        <w:t>re</w:t>
      </w:r>
      <w:r>
        <w:rPr>
          <w:rFonts w:ascii="Arial Rounded MT Bold" w:hAnsi="Arial Rounded MT Bold"/>
          <w:sz w:val="36"/>
          <w:szCs w:val="36"/>
          <w:lang w:val="en-US"/>
        </w:rPr>
        <w:t xml:space="preserve">presents an alternative version of the character, largely unconnected to the historical record. Comparably, Richard Shannon does the same thing in his play </w:t>
      </w:r>
      <w:r>
        <w:rPr>
          <w:rFonts w:ascii="Arial Rounded MT Bold" w:hAnsi="Arial Rounded MT Bold"/>
          <w:i/>
          <w:iCs/>
          <w:sz w:val="36"/>
          <w:szCs w:val="36"/>
          <w:lang w:val="en-US"/>
        </w:rPr>
        <w:t>Sabbat</w:t>
      </w:r>
      <w:r>
        <w:rPr>
          <w:rFonts w:ascii="Arial Rounded MT Bold" w:hAnsi="Arial Rounded MT Bold"/>
          <w:sz w:val="36"/>
          <w:szCs w:val="36"/>
          <w:lang w:val="en-US"/>
        </w:rPr>
        <w:t>, further discussed in Chapter Three.</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hAnsi="Arial Rounded MT Bold"/>
          <w:sz w:val="36"/>
          <w:szCs w:val="36"/>
          <w:lang w:val="en-US"/>
        </w:rPr>
      </w:pPr>
      <w:r>
        <w:rPr>
          <w:rFonts w:ascii="Arial Rounded MT Bold" w:hAnsi="Arial Rounded MT Bold"/>
          <w:sz w:val="36"/>
          <w:szCs w:val="36"/>
          <w:lang w:val="en-US"/>
        </w:rPr>
        <w:t xml:space="preserve">Returning to King James, his interest in and aversion to witchcraft were grounded in his own experience. The circumstances of his marriage to Anne of Denmark in 1589 played a role. Anne had initially begun sailing to Scotland to be married to James following the proxy ceremony. However, her ship only reached the coast of Norway before the voyage had to be abandoned, due to stormy seas. On receipt of this news, James decided to fetch Anne himself, sailing to her location with a substantial fleet. Historian David Harris Willson referred to this event as </w:t>
      </w:r>
      <w:r>
        <w:rPr>
          <w:rFonts w:ascii="Arial Rounded MT Bold" w:hAnsi="Arial Rounded MT Bold" w:hint="default"/>
          <w:sz w:val="36"/>
          <w:szCs w:val="36"/>
          <w:lang w:val="en-US"/>
        </w:rPr>
        <w:t>“</w:t>
      </w:r>
      <w:r>
        <w:rPr>
          <w:rFonts w:ascii="Arial Rounded MT Bold" w:hAnsi="Arial Rounded MT Bold"/>
          <w:sz w:val="36"/>
          <w:szCs w:val="36"/>
          <w:lang w:val="en-US"/>
        </w:rPr>
        <w:t>the one romantic episode of his life</w:t>
      </w:r>
      <w:r>
        <w:rPr>
          <w:rFonts w:ascii="Arial Rounded MT Bold" w:hAnsi="Arial Rounded MT Bold" w:hint="default"/>
          <w:sz w:val="36"/>
          <w:szCs w:val="36"/>
          <w:lang w:val="en-US"/>
        </w:rPr>
        <w:t>”</w:t>
      </w:r>
      <w:r>
        <w:rPr>
          <w:rFonts w:ascii="Arial Rounded MT Bold" w:hAnsi="Arial Rounded MT Bold"/>
          <w:sz w:val="36"/>
          <w:szCs w:val="36"/>
          <w:lang w:val="en-US"/>
        </w:rPr>
        <w:t>.</w:t>
      </w:r>
      <w:r>
        <w:rPr>
          <w:rFonts w:ascii="Arial Rounded MT Bold" w:cs="Arial Rounded MT Bold" w:eastAsia="Arial Rounded MT Bold" w:hAnsi="Arial Rounded MT Bold"/>
          <w:sz w:val="36"/>
          <w:szCs w:val="36"/>
          <w:vertAlign w:val="superscript"/>
        </w:rPr>
        <w:footnoteReference w:id="11"/>
      </w:r>
      <w:r>
        <w:rPr>
          <w:rFonts w:ascii="Arial Rounded MT Bold" w:hAnsi="Arial Rounded MT Bold"/>
          <w:sz w:val="36"/>
          <w:szCs w:val="36"/>
          <w:lang w:val="en-US"/>
        </w:rPr>
        <w:t xml:space="preserve"> Anne and James</w:t>
      </w:r>
      <w:r>
        <w:rPr>
          <w:rFonts w:ascii="Arial Rounded MT Bold" w:hAnsi="Arial Rounded MT Bold" w:hint="default"/>
          <w:sz w:val="36"/>
          <w:szCs w:val="36"/>
          <w:lang w:val="en-US"/>
        </w:rPr>
        <w:t>’</w:t>
      </w:r>
      <w:r>
        <w:rPr>
          <w:rFonts w:ascii="Arial Rounded MT Bold" w:hAnsi="Arial Rounded MT Bold"/>
          <w:sz w:val="36"/>
          <w:szCs w:val="36"/>
          <w:lang w:val="en-US"/>
        </w:rPr>
        <w:t>s marriage was celebrated at the Bishop</w:t>
      </w:r>
      <w:r>
        <w:rPr>
          <w:rFonts w:ascii="Arial Rounded MT Bold" w:hAnsi="Arial Rounded MT Bold" w:hint="default"/>
          <w:sz w:val="36"/>
          <w:szCs w:val="36"/>
          <w:lang w:val="en-US"/>
        </w:rPr>
        <w:t>’</w:t>
      </w:r>
      <w:r>
        <w:rPr>
          <w:rFonts w:ascii="Arial Rounded MT Bold" w:hAnsi="Arial Rounded MT Bold"/>
          <w:sz w:val="36"/>
          <w:szCs w:val="36"/>
          <w:lang w:val="en-US"/>
        </w:rPr>
        <w:t>s Palace in Oslo on the 23rd November 1589. Following this, the royal couple had something of an early honeymoon, before the concept was fashionable; travelling around both Norway and Denmark. James</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initial interest in witchcraft is traditionally traced to his travels in Denmark. Witch hunts and witch trials were prevalent in that country and James would have been able to see them first hand. James considered witchcraft to be a branch of theology, and referred to it as such in his treatise on the subject, entitled </w:t>
      </w:r>
      <w:r>
        <w:rPr>
          <w:rFonts w:ascii="Arial Rounded MT Bold" w:hAnsi="Arial Rounded MT Bold"/>
          <w:i/>
          <w:iCs/>
          <w:sz w:val="36"/>
          <w:szCs w:val="36"/>
          <w:lang w:val="en-US"/>
        </w:rPr>
        <w:t>Demonology</w:t>
      </w:r>
      <w:r>
        <w:rPr>
          <w:rFonts w:ascii="Arial Rounded MT Bold" w:hAnsi="Arial Rounded MT Bold"/>
          <w:sz w:val="36"/>
          <w:szCs w:val="36"/>
          <w:lang w:val="en-US"/>
        </w:rPr>
        <w:t>, first published in Edinburgh in 1597. Furthermore, he considered it to be a form of heresy, and an act of treason; both against the King and against God. In Scotland, witchcraft was legally treated as a heresy. This explains why convicted witches in Scotland were often burned in a common penalty with heretics. The burning could be either at the stake or in a tar barrel. Those also convicted of treason were often strangled to death first, or else simultaneously, in penalty for that crime. It had the additional effect of making the execution more merciful. Contrastingly, in England, witchcraft was a crime, with specific statutes prohibiting it. It therefore carried the penalty of hanging, in common with other capital crimes. There were additional legal differences between the two countries, for example in Scotland, accused witches had the legal right to a defence council, assuming they could afford one. On balance, England was a better place to be accused of witchcraft than Scotland. The defendant had more rights when accused of a crime than a heresy and more chance of avoiding execution. One example is the case of Pendle Witch Margaret Pearson, who will be considered in Chapter Three.</w:t>
      </w:r>
    </w:p>
    <w:p>
      <w:pPr>
        <w:pStyle w:val="style0"/>
        <w:rPr>
          <w:rFonts w:ascii="Arial Rounded MT Bold" w:hAnsi="Arial Rounded MT Bold"/>
          <w:sz w:val="36"/>
          <w:szCs w:val="36"/>
          <w:lang w:val="en-US"/>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 In the Scottish History of Witchcraft, there were four major outbreaks of witch hunting that took place between the seventeenth and eighteenth centuries. The first began in 1590, lasted for two years and led to some seventy people being accused and dozens of executions.</w:t>
      </w:r>
      <w:r>
        <w:rPr>
          <w:rFonts w:ascii="Arial Rounded MT Bold" w:cs="Arial Rounded MT Bold" w:eastAsia="Arial Rounded MT Bold" w:hAnsi="Arial Rounded MT Bold"/>
          <w:sz w:val="36"/>
          <w:szCs w:val="36"/>
          <w:vertAlign w:val="superscript"/>
        </w:rPr>
        <w:footnoteReference w:id="12"/>
      </w:r>
      <w:r>
        <w:rPr>
          <w:rFonts w:ascii="Arial Rounded MT Bold" w:hAnsi="Arial Rounded MT Bold"/>
          <w:sz w:val="36"/>
          <w:szCs w:val="36"/>
          <w:lang w:val="en-US"/>
        </w:rPr>
        <w:t xml:space="preserve"> Crucially, it coincided with James and Anne sailing home to Scotland and was supposedly linked to the numerous storms that plagued their journey. James initially blamed only the weather for his difficult voyage, but was later persuaded to blame the witches for raising the storms in an attempt on his life. This explains why he believed himself to be the target of witches' malice. He was directly involved in some of the investigations, including the interrogation of Agnes Sampson; one of the main defendants in the case. He initially disbelieved her confession of causing the storm intended to sink his ship. However, after she </w:t>
      </w:r>
      <w:r>
        <w:rPr>
          <w:rFonts w:ascii="Arial Rounded MT Bold" w:hAnsi="Arial Rounded MT Bold" w:hint="default"/>
          <w:sz w:val="36"/>
          <w:szCs w:val="36"/>
          <w:lang w:val="en-US"/>
        </w:rPr>
        <w:t>“</w:t>
      </w:r>
      <w:r>
        <w:rPr>
          <w:rFonts w:ascii="Arial Rounded MT Bold" w:hAnsi="Arial Rounded MT Bold"/>
          <w:sz w:val="36"/>
          <w:szCs w:val="36"/>
          <w:lang w:val="en-US"/>
        </w:rPr>
        <w:t>declared unto him the very words which passed between the King</w:t>
      </w:r>
      <w:r>
        <w:rPr>
          <w:rFonts w:ascii="Arial Rounded MT Bold" w:hAnsi="Arial Rounded MT Bold" w:hint="default"/>
          <w:sz w:val="36"/>
          <w:szCs w:val="36"/>
          <w:lang w:val="en-US"/>
        </w:rPr>
        <w:t>’</w:t>
      </w:r>
      <w:r>
        <w:rPr>
          <w:rFonts w:ascii="Arial Rounded MT Bold" w:hAnsi="Arial Rounded MT Bold"/>
          <w:sz w:val="36"/>
          <w:szCs w:val="36"/>
          <w:lang w:val="en-US"/>
        </w:rPr>
        <w:t>s Majesty and his Queen at Oslo in Norway the first night of their marriage</w:t>
      </w:r>
      <w:r>
        <w:rPr>
          <w:rFonts w:ascii="Arial Rounded MT Bold" w:hAnsi="Arial Rounded MT Bold" w:hint="default"/>
          <w:sz w:val="36"/>
          <w:szCs w:val="36"/>
          <w:lang w:val="en-US"/>
        </w:rPr>
        <w:t>”</w:t>
      </w:r>
      <w:r>
        <w:rPr>
          <w:rFonts w:ascii="Arial Rounded MT Bold" w:cs="Arial Rounded MT Bold" w:eastAsia="Arial Rounded MT Bold" w:hAnsi="Arial Rounded MT Bold"/>
          <w:sz w:val="36"/>
          <w:szCs w:val="36"/>
          <w:vertAlign w:val="superscript"/>
        </w:rPr>
        <w:footnoteReference w:id="13"/>
      </w:r>
      <w:r>
        <w:rPr>
          <w:rFonts w:ascii="Arial Rounded MT Bold" w:hAnsi="Arial Rounded MT Bold"/>
          <w:sz w:val="36"/>
          <w:szCs w:val="36"/>
          <w:lang w:val="en-US"/>
        </w:rPr>
        <w:t xml:space="preserve"> he was shocked into believing her. From this point, James took a more active role in the case that became known as the North Berwick Witch Trials, including supervising the torture of the defendants. This was a legal practice in Scotland. In England there were laws against it, which did not always prevent it from happening. There were also other methods to torment defendants into confessing. The events of the trials were later compiled into a pamphlet, entitled Newes From Scotland and published in 1591. It contained all the details of how the curse was supposedly carried out, including exhuming and dismembering a corpse, tying the severed limbs to a cat, and throwing the cat into the sea where the storm was intended to brew. It also revealed the fates of the witches involved, which for Agnes Sampson and many of her associates was burning to death, following the Scottish tradition. King James published his own work on witchcraft, the </w:t>
      </w:r>
      <w:r>
        <w:rPr>
          <w:rFonts w:ascii="Arial Rounded MT Bold" w:hAnsi="Arial Rounded MT Bold"/>
          <w:i/>
          <w:iCs/>
          <w:sz w:val="36"/>
          <w:szCs w:val="36"/>
          <w:lang w:val="en-US"/>
        </w:rPr>
        <w:t>Demonology</w:t>
      </w:r>
      <w:r>
        <w:rPr>
          <w:rFonts w:ascii="Arial Rounded MT Bold" w:hAnsi="Arial Rounded MT Bold"/>
          <w:sz w:val="36"/>
          <w:szCs w:val="36"/>
          <w:lang w:val="en-US"/>
        </w:rPr>
        <w:t xml:space="preserve"> in 1597; a few years later. In the first edition, he also included a reprint of Newes From Scotland within the book. This shows how important he considered the earlier work to be, and how he wanted to stress its connection to his own book as it was the case that involved him in witchcraft. Following his accession to England in 1603, James reissued his book; publishing it in England in 1604. From this point, the King</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Judges would have had access to the book, which explains its use during the 1612 Witch Trials. William Shakespeare also found it to be of use for the writing of his </w:t>
      </w:r>
      <w:r>
        <w:rPr>
          <w:rFonts w:ascii="Arial Rounded MT Bold" w:hAnsi="Arial Rounded MT Bold"/>
          <w:i/>
          <w:iCs/>
          <w:sz w:val="36"/>
          <w:szCs w:val="36"/>
          <w:lang w:val="en-US"/>
        </w:rPr>
        <w:t>Macbeth</w:t>
      </w:r>
      <w:r>
        <w:rPr>
          <w:rFonts w:ascii="Arial Rounded MT Bold" w:hAnsi="Arial Rounded MT Bold"/>
          <w:sz w:val="36"/>
          <w:szCs w:val="36"/>
          <w:lang w:val="en-US"/>
        </w:rPr>
        <w:t>. This was Shakespeare</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contribution to the Jacobean fashion for witchcraft-based plays. </w:t>
      </w:r>
      <w:r>
        <w:rPr>
          <w:rFonts w:ascii="Arial Rounded MT Bold" w:hAnsi="Arial Rounded MT Bold"/>
          <w:i/>
          <w:iCs/>
          <w:sz w:val="36"/>
          <w:szCs w:val="36"/>
          <w:lang w:val="en-US"/>
        </w:rPr>
        <w:t>Macbeth</w:t>
      </w:r>
      <w:r>
        <w:rPr>
          <w:rFonts w:ascii="Arial Rounded MT Bold" w:hAnsi="Arial Rounded MT Bold"/>
          <w:sz w:val="36"/>
          <w:szCs w:val="36"/>
          <w:lang w:val="en-US"/>
        </w:rPr>
        <w:t xml:space="preserve"> was written in King James</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honour. His </w:t>
      </w:r>
      <w:r>
        <w:rPr>
          <w:rFonts w:ascii="Arial Rounded MT Bold" w:hAnsi="Arial Rounded MT Bold"/>
          <w:i/>
          <w:iCs/>
          <w:sz w:val="36"/>
          <w:szCs w:val="36"/>
          <w:lang w:val="en-US"/>
        </w:rPr>
        <w:t>Demonology</w:t>
      </w:r>
      <w:r>
        <w:rPr>
          <w:rFonts w:ascii="Arial Rounded MT Bold" w:hAnsi="Arial Rounded MT Bold"/>
          <w:sz w:val="36"/>
          <w:szCs w:val="36"/>
          <w:lang w:val="en-US"/>
        </w:rPr>
        <w:t xml:space="preserve"> proved to be a useful source from which Shakespeare could derive much material on witchcraft lore and beliefs. Furthermore, the witch</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couplet </w:t>
      </w:r>
      <w:r>
        <w:rPr>
          <w:rFonts w:ascii="Arial Rounded MT Bold" w:hAnsi="Arial Rounded MT Bold" w:hint="default"/>
          <w:sz w:val="36"/>
          <w:szCs w:val="36"/>
          <w:lang w:val="en-US"/>
        </w:rPr>
        <w:t>“</w:t>
      </w:r>
      <w:r>
        <w:rPr>
          <w:rFonts w:ascii="Arial Rounded MT Bold" w:hAnsi="Arial Rounded MT Bold"/>
          <w:sz w:val="36"/>
          <w:szCs w:val="36"/>
          <w:lang w:val="en-US"/>
        </w:rPr>
        <w:t>Though the ship cannot be lost, / Yet it shall be tempest tossed</w:t>
      </w:r>
      <w:r>
        <w:rPr>
          <w:rFonts w:ascii="Arial Rounded MT Bold" w:hAnsi="Arial Rounded MT Bold" w:hint="default"/>
          <w:sz w:val="36"/>
          <w:szCs w:val="36"/>
          <w:lang w:val="en-US"/>
        </w:rPr>
        <w:t>”</w:t>
      </w: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seems to describe the events involving King James, outlined in Newes From Scotland. This suggests that Shakespeare</w:t>
      </w:r>
      <w:r>
        <w:rPr>
          <w:rFonts w:ascii="Arial Rounded MT Bold" w:hAnsi="Arial Rounded MT Bold" w:hint="default"/>
          <w:sz w:val="36"/>
          <w:szCs w:val="36"/>
          <w:lang w:val="en-US"/>
        </w:rPr>
        <w:t>’</w:t>
      </w:r>
      <w:r>
        <w:rPr>
          <w:rFonts w:ascii="Arial Rounded MT Bold" w:hAnsi="Arial Rounded MT Bold"/>
          <w:sz w:val="36"/>
          <w:szCs w:val="36"/>
          <w:lang w:val="en-US"/>
        </w:rPr>
        <w:t>s source was the edition containing both texts.</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In addition to writing his own book, King James also sponsored and commissioned a new edition of the Bible. Known as the King James Bible (1611), this version became popular in its own time, with royal support and patronage. It remains famous and widespread today. One aspect of becoming King of England that appealed to James, was that he automatically also became Supreme Governor of the Church of England, a title also borne by his predecessor, Queen Elizabeth I. In Scotland his relationship with the Church had been more complex, and he had less authority over it. By updating and improving the Bible (in his view), he was able to assert his influence over the country</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religion. It was in the King James Bible that the biblical references to witches were rephrased to become clearer and more emphatically negative than they had been previously. The most famous is Exodus 22:18 </w:t>
      </w:r>
      <w:r>
        <w:rPr>
          <w:rFonts w:ascii="Arial Rounded MT Bold" w:hAnsi="Arial Rounded MT Bold" w:hint="default"/>
          <w:sz w:val="36"/>
          <w:szCs w:val="36"/>
          <w:lang w:val="en-US"/>
        </w:rPr>
        <w:t>“</w:t>
      </w:r>
      <w:r>
        <w:rPr>
          <w:rFonts w:ascii="Arial Rounded MT Bold" w:hAnsi="Arial Rounded MT Bold"/>
          <w:sz w:val="36"/>
          <w:szCs w:val="36"/>
          <w:lang w:val="en-US"/>
        </w:rPr>
        <w:t>Thou shalt not suffer a witch to live</w:t>
      </w:r>
      <w:r>
        <w:rPr>
          <w:rFonts w:ascii="Arial Rounded MT Bold" w:hAnsi="Arial Rounded MT Bold" w:hint="default"/>
          <w:sz w:val="36"/>
          <w:szCs w:val="36"/>
          <w:lang w:val="en-US"/>
        </w:rPr>
        <w:t>”</w:t>
      </w:r>
      <w:r>
        <w:rPr>
          <w:rFonts w:ascii="Arial Rounded MT Bold" w:hAnsi="Arial Rounded MT Bold"/>
          <w:sz w:val="36"/>
          <w:szCs w:val="36"/>
          <w:lang w:val="en-US"/>
        </w:rPr>
        <w:t>.</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The next Chapter will demonstrate how </w:t>
      </w:r>
      <w:r>
        <w:rPr>
          <w:rFonts w:ascii="Arial Rounded MT Bold" w:hAnsi="Arial Rounded MT Bold"/>
          <w:i/>
          <w:iCs/>
          <w:sz w:val="36"/>
          <w:szCs w:val="36"/>
          <w:lang w:val="en-US"/>
        </w:rPr>
        <w:t>Demonology</w:t>
      </w:r>
      <w:r>
        <w:rPr>
          <w:rFonts w:ascii="Arial Rounded MT Bold" w:hAnsi="Arial Rounded MT Bold"/>
          <w:sz w:val="36"/>
          <w:szCs w:val="36"/>
          <w:lang w:val="en-US"/>
        </w:rPr>
        <w:t>, the King</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book, was used during the investigations against the Pendle Witches. Mirroring this, in historical fiction, both the King and his book are often mentioned. Thus, the King and the </w:t>
      </w:r>
      <w:r>
        <w:rPr>
          <w:rFonts w:ascii="Arial Rounded MT Bold" w:hAnsi="Arial Rounded MT Bold"/>
          <w:i/>
          <w:iCs/>
          <w:sz w:val="36"/>
          <w:szCs w:val="36"/>
          <w:lang w:val="en-US"/>
        </w:rPr>
        <w:t>Demonology</w:t>
      </w:r>
      <w:r>
        <w:rPr>
          <w:rFonts w:ascii="Arial Rounded MT Bold" w:hAnsi="Arial Rounded MT Bold"/>
          <w:sz w:val="36"/>
          <w:szCs w:val="36"/>
          <w:lang w:val="en-US"/>
        </w:rPr>
        <w:t xml:space="preserve"> loom large over the story. Only in one version, Ainsworth</w:t>
      </w:r>
      <w:r>
        <w:rPr>
          <w:rFonts w:ascii="Arial Rounded MT Bold" w:hAnsi="Arial Rounded MT Bold" w:hint="default"/>
          <w:sz w:val="36"/>
          <w:szCs w:val="36"/>
          <w:lang w:val="en-US"/>
        </w:rPr>
        <w:t>’</w:t>
      </w:r>
      <w:r>
        <w:rPr>
          <w:rFonts w:ascii="Arial Rounded MT Bold" w:hAnsi="Arial Rounded MT Bold"/>
          <w:sz w:val="36"/>
          <w:szCs w:val="36"/>
          <w:lang w:val="en-US"/>
        </w:rPr>
        <w:t>s Victorian novel, does the King feature as an actual character, in terms of being present in the action and interacting with the others. Ainsworth changed the date of a real life visit of the King to the area to 1612, so that he could be in his book. This is noted by Stephen Carver.</w:t>
      </w:r>
      <w:r>
        <w:rPr>
          <w:rFonts w:ascii="Arial Rounded MT Bold" w:cs="Arial Rounded MT Bold" w:eastAsia="Arial Rounded MT Bold" w:hAnsi="Arial Rounded MT Bold"/>
          <w:sz w:val="36"/>
          <w:szCs w:val="36"/>
          <w:vertAlign w:val="superscript"/>
        </w:rPr>
        <w:footnoteReference w:id="14"/>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 To close this Chapter, it is necessary to mention James</w:t>
      </w:r>
      <w:r>
        <w:rPr>
          <w:rFonts w:ascii="Arial Rounded MT Bold" w:hAnsi="Arial Rounded MT Bold" w:hint="default"/>
          <w:sz w:val="36"/>
          <w:szCs w:val="36"/>
          <w:lang w:val="en-US"/>
        </w:rPr>
        <w:t>’</w:t>
      </w:r>
      <w:r>
        <w:rPr>
          <w:rFonts w:ascii="Arial Rounded MT Bold" w:hAnsi="Arial Rounded MT Bold"/>
          <w:sz w:val="36"/>
          <w:szCs w:val="36"/>
          <w:lang w:val="en-US"/>
        </w:rPr>
        <w:t>s scepticism about witchcraft in later life. While the evidence indicates that James was a believer in witchcraft to the point of paranoia, he was also well aware of its problematic status as an invisible crime. There were some cases, both before and after 1612, in which his judgement was requested and the accusations were proven false. One noteworthy example is the Anne Gunter case (1606), whereupon the accusers ended up in the Court of Star Chamber for fraud.</w:t>
      </w:r>
      <w:r>
        <w:rPr>
          <w:rFonts w:ascii="Arial Rounded MT Bold" w:cs="Arial Rounded MT Bold" w:eastAsia="Arial Rounded MT Bold" w:hAnsi="Arial Rounded MT Bold"/>
          <w:sz w:val="36"/>
          <w:szCs w:val="36"/>
          <w:vertAlign w:val="superscript"/>
        </w:rPr>
        <w:footnoteReference w:id="15"/>
      </w:r>
      <w:r>
        <w:rPr>
          <w:rFonts w:ascii="Arial Rounded MT Bold" w:hAnsi="Arial Rounded MT Bold"/>
          <w:sz w:val="36"/>
          <w:szCs w:val="36"/>
          <w:lang w:val="en-US"/>
        </w:rPr>
        <w:t xml:space="preserve"> This had the gradual effect of increasing the King</w:t>
      </w:r>
      <w:r>
        <w:rPr>
          <w:rFonts w:ascii="Arial Rounded MT Bold" w:hAnsi="Arial Rounded MT Bold" w:hint="default"/>
          <w:sz w:val="36"/>
          <w:szCs w:val="36"/>
          <w:lang w:val="en-US"/>
        </w:rPr>
        <w:t>’</w:t>
      </w:r>
      <w:r>
        <w:rPr>
          <w:rFonts w:ascii="Arial Rounded MT Bold" w:hAnsi="Arial Rounded MT Bold"/>
          <w:sz w:val="36"/>
          <w:szCs w:val="36"/>
          <w:lang w:val="en-US"/>
        </w:rPr>
        <w:t>s wariness and scepticism in such matters. He passed this cautious attitude on to his son and heir King Charles I. This partly accounts for the outcome of the 1634 Pendle Witch case, which will be further examined in the next Chapter.</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hAnsi="Arial Rounded MT Bold"/>
          <w:sz w:val="36"/>
          <w:szCs w:val="36"/>
          <w:lang w:val="en-US"/>
        </w:rPr>
      </w:pPr>
    </w:p>
    <w:p>
      <w:pPr>
        <w:pStyle w:val="style0"/>
        <w:jc w:val="center"/>
        <w:rPr>
          <w:rFonts w:ascii="Arial Rounded MT Bold" w:hAnsi="Arial Rounded MT Bold"/>
          <w:sz w:val="36"/>
          <w:szCs w:val="36"/>
          <w:lang w:val="en-US"/>
        </w:rPr>
      </w:pPr>
    </w:p>
    <w:p>
      <w:pPr>
        <w:pStyle w:val="style0"/>
        <w:jc w:val="center"/>
        <w:rPr>
          <w:rFonts w:ascii="Arial Rounded MT Bold" w:hAnsi="Arial Rounded MT Bold"/>
          <w:sz w:val="36"/>
          <w:szCs w:val="36"/>
          <w:lang w:val="en-US"/>
        </w:rPr>
      </w:pPr>
    </w:p>
    <w:p>
      <w:pPr>
        <w:pStyle w:val="style0"/>
        <w:jc w:val="center"/>
        <w:rPr>
          <w:rFonts w:ascii="Arial Rounded MT Bold" w:hAnsi="Arial Rounded MT Bold"/>
          <w:sz w:val="36"/>
          <w:szCs w:val="36"/>
          <w:lang w:val="en-US"/>
        </w:rPr>
      </w:pPr>
    </w:p>
    <w:p>
      <w:pPr>
        <w:pStyle w:val="style0"/>
        <w:jc w:val="center"/>
        <w:rPr>
          <w:rFonts w:ascii="Arial Rounded MT Bold" w:hAnsi="Arial Rounded MT Bold"/>
          <w:sz w:val="36"/>
          <w:szCs w:val="36"/>
          <w:lang w:val="en-US"/>
        </w:rPr>
      </w:pPr>
    </w:p>
    <w:p>
      <w:pPr>
        <w:pStyle w:val="style0"/>
        <w:jc w:val="center"/>
        <w:rPr>
          <w:rFonts w:ascii="Arial Rounded MT Bold" w:hAnsi="Arial Rounded MT Bold"/>
          <w:sz w:val="36"/>
          <w:szCs w:val="36"/>
          <w:lang w:val="en-US"/>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Chapter Two </w:t>
      </w: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Jennet Device </w:t>
      </w: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The Pendle Witch Child </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Jennet Device is a seriously problematic character. It is in recent years, since the four hundredth anniversary of the trials that history has begun to take more of an interest in her. This began with the previously referenced 2012 documentary focused on her, entitled The Pendle Witch Child. Hence this chapter</w:t>
      </w:r>
      <w:r>
        <w:rPr>
          <w:rFonts w:ascii="Arial Rounded MT Bold" w:hAnsi="Arial Rounded MT Bold" w:hint="default"/>
          <w:sz w:val="36"/>
          <w:szCs w:val="36"/>
          <w:lang w:val="en-US"/>
        </w:rPr>
        <w:t>’</w:t>
      </w:r>
      <w:r>
        <w:rPr>
          <w:rFonts w:ascii="Arial Rounded MT Bold" w:hAnsi="Arial Rounded MT Bold"/>
          <w:sz w:val="36"/>
          <w:szCs w:val="36"/>
          <w:lang w:val="en-US"/>
        </w:rPr>
        <w:t>s subtitle. Since then, a number of narratives have been published that feature her as the main character. These include novels, plays, poetry, and even the occasional mini-series of books. The 2012 four hundredth anniversary of the trials included the commission of two new novellas on the topic. These were Levi Michael</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w:t>
      </w:r>
      <w:r>
        <w:rPr>
          <w:rFonts w:ascii="Arial Rounded MT Bold" w:hAnsi="Arial Rounded MT Bold"/>
          <w:i/>
          <w:iCs/>
          <w:sz w:val="36"/>
          <w:szCs w:val="36"/>
          <w:lang w:val="en-US"/>
        </w:rPr>
        <w:t>Malkin</w:t>
      </w:r>
      <w:r>
        <w:rPr>
          <w:rFonts w:ascii="Arial Rounded MT Bold" w:hAnsi="Arial Rounded MT Bold"/>
          <w:sz w:val="36"/>
          <w:szCs w:val="36"/>
          <w:lang w:val="en-US"/>
        </w:rPr>
        <w:t xml:space="preserve"> </w:t>
      </w:r>
      <w:r>
        <w:rPr>
          <w:rFonts w:ascii="Arial Rounded MT Bold" w:hAnsi="Arial Rounded MT Bold"/>
          <w:i/>
          <w:iCs/>
          <w:sz w:val="36"/>
          <w:szCs w:val="36"/>
          <w:lang w:val="en-US"/>
        </w:rPr>
        <w:t>Child</w:t>
      </w:r>
      <w:r>
        <w:rPr>
          <w:rFonts w:ascii="Arial Rounded MT Bold" w:hAnsi="Arial Rounded MT Bold"/>
          <w:sz w:val="36"/>
          <w:szCs w:val="36"/>
          <w:lang w:val="en-US"/>
        </w:rPr>
        <w:t xml:space="preserve"> and Jeanette Winterson</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Daylight</w:t>
      </w:r>
      <w:r>
        <w:rPr>
          <w:rFonts w:ascii="Arial Rounded MT Bold" w:hAnsi="Arial Rounded MT Bold"/>
          <w:sz w:val="36"/>
          <w:szCs w:val="36"/>
          <w:lang w:val="en-US"/>
        </w:rPr>
        <w:t xml:space="preserve"> </w:t>
      </w:r>
      <w:r>
        <w:rPr>
          <w:rFonts w:ascii="Arial Rounded MT Bold" w:hAnsi="Arial Rounded MT Bold"/>
          <w:i/>
          <w:iCs/>
          <w:sz w:val="36"/>
          <w:szCs w:val="36"/>
          <w:lang w:val="en-US"/>
        </w:rPr>
        <w:t>Gate</w:t>
      </w:r>
      <w:r>
        <w:rPr>
          <w:rFonts w:ascii="Arial Rounded MT Bold" w:hAnsi="Arial Rounded MT Bold"/>
          <w:sz w:val="36"/>
          <w:szCs w:val="36"/>
          <w:lang w:val="en-US"/>
        </w:rPr>
        <w:t>. The former is told by Jennet in the first person, and it being her own story in her own words is emphasised throughout, beginning on the first page. This is further highlighted by an initial dialogue between herself and an anonymous narrator, who attempts to recount the story in a traditional third person manner, only for Jennet to interrupt and insist on taking over the narration. The latter text by Winterson tells the whole story of the trials and the surrounding events. Thus, a range of characters and multiple viewpoints are included. Alice Nutter is given the most focus, along with Elizabeth Southerns (Mother Demdike) to a lesser extent. However, the role played by Jennet Device in this text is by no means an insignificant one. Her status as a problematic character who acts as the star prosecution witness who sends her family and many of her neighbors to the gallows remains intact. This is further compounded in this book by Jennet also being the murderer of her father, and by immurement, no less, when she traps him in the cellar and leaves him there to starve to death. This is a horrific and protracted end, which provides a shock effect. However, Jennet does have a claim to a defence; specifically self-defence. A tangential point is that history does not know who Jennet Device</w:t>
      </w:r>
      <w:r>
        <w:rPr>
          <w:rFonts w:ascii="Arial Rounded MT Bold" w:hAnsi="Arial Rounded MT Bold" w:hint="default"/>
          <w:sz w:val="36"/>
          <w:szCs w:val="36"/>
          <w:lang w:val="en-US"/>
        </w:rPr>
        <w:t>’</w:t>
      </w:r>
      <w:r>
        <w:rPr>
          <w:rFonts w:ascii="Arial Rounded MT Bold" w:hAnsi="Arial Rounded MT Bold"/>
          <w:sz w:val="36"/>
          <w:szCs w:val="36"/>
          <w:lang w:val="en-US"/>
        </w:rPr>
        <w:t>s father was. She is assumed to have been illegitimate, the only child in her family with this status, which is one of the factors that made her different from the rest. This idea is taken from the references in Potts</w:t>
      </w:r>
      <w:r>
        <w:rPr>
          <w:rFonts w:ascii="Arial Rounded MT Bold" w:hAnsi="Arial Rounded MT Bold" w:hint="default"/>
          <w:sz w:val="36"/>
          <w:szCs w:val="36"/>
          <w:lang w:val="en-US"/>
        </w:rPr>
        <w:t>’</w:t>
      </w:r>
      <w:r>
        <w:rPr>
          <w:rFonts w:ascii="Arial Rounded MT Bold" w:hAnsi="Arial Rounded MT Bold"/>
          <w:sz w:val="36"/>
          <w:szCs w:val="36"/>
          <w:lang w:val="en-US"/>
        </w:rPr>
        <w:t>s pamphlet to her mother Elizabeth bearing an illegitimate child. In one case, this was said to have been connected to Elizabeth</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motive in murdering someone by witchcraft, specifically John Robinson of Barley. To spread rumours of an illegitimate birth, whether true or not, is a rather specific and damaging way to call a woman a whore, and Elizabeth may well have been incensed enough to seek revenge on the man who did this. Philip C. Almond emphasises this point in his (2012) book </w:t>
      </w:r>
      <w:r>
        <w:rPr>
          <w:rFonts w:ascii="Arial Rounded MT Bold" w:hAnsi="Arial Rounded MT Bold"/>
          <w:i/>
          <w:iCs/>
          <w:sz w:val="36"/>
          <w:szCs w:val="36"/>
          <w:lang w:val="en-US"/>
        </w:rPr>
        <w:t>The Lancashire Witches: A Chronicle of Sorcery and Death on Pendle Hill</w:t>
      </w:r>
      <w:r>
        <w:rPr>
          <w:rFonts w:ascii="Arial Rounded MT Bold" w:hAnsi="Arial Rounded MT Bold"/>
          <w:sz w:val="36"/>
          <w:szCs w:val="36"/>
          <w:lang w:val="en-US"/>
        </w:rPr>
        <w:t xml:space="preserve">. His evidence is that slanders of sexual misconduct were the leading contemporary cause of defamation law suits. The relevant part of the pamphlet names </w:t>
      </w:r>
      <w:r>
        <w:rPr>
          <w:rFonts w:ascii="Arial Rounded MT Bold" w:hAnsi="Arial Rounded MT Bold" w:hint="default"/>
          <w:sz w:val="36"/>
          <w:szCs w:val="36"/>
          <w:lang w:val="en-US"/>
        </w:rPr>
        <w:t>“</w:t>
      </w:r>
      <w:r>
        <w:rPr>
          <w:rFonts w:ascii="Arial Rounded MT Bold" w:hAnsi="Arial Rounded MT Bold"/>
          <w:sz w:val="36"/>
          <w:szCs w:val="36"/>
          <w:lang w:val="en-US"/>
        </w:rPr>
        <w:t>a man named Sellars</w:t>
      </w:r>
      <w:r>
        <w:rPr>
          <w:rFonts w:ascii="Arial Rounded MT Bold" w:hAnsi="Arial Rounded MT Bold" w:hint="default"/>
          <w:sz w:val="36"/>
          <w:szCs w:val="36"/>
          <w:lang w:val="en-US"/>
        </w:rPr>
        <w:t xml:space="preserve">” </w:t>
      </w:r>
      <w:r>
        <w:rPr>
          <w:rFonts w:ascii="Arial Rounded MT Bold" w:hAnsi="Arial Rounded MT Bold"/>
          <w:sz w:val="36"/>
          <w:szCs w:val="36"/>
          <w:lang w:val="en-US"/>
        </w:rPr>
        <w:t>as the father of the illegitimate child in question, who is presumed to be Jennet. Therefore, some novels have a character by this name featuring as Jennet</w:t>
      </w:r>
      <w:r>
        <w:rPr>
          <w:rFonts w:ascii="Arial Rounded MT Bold" w:hAnsi="Arial Rounded MT Bold" w:hint="default"/>
          <w:sz w:val="36"/>
          <w:szCs w:val="36"/>
          <w:lang w:val="en-US"/>
        </w:rPr>
        <w:t>’</w:t>
      </w:r>
      <w:r>
        <w:rPr>
          <w:rFonts w:ascii="Arial Rounded MT Bold" w:hAnsi="Arial Rounded MT Bold"/>
          <w:sz w:val="36"/>
          <w:szCs w:val="36"/>
          <w:lang w:val="en-US"/>
        </w:rPr>
        <w:t>s father. However, the pamphlet also offers conflicting evidence that the man in question was named Baldwin. Therefore some novels name one of the Baldwins as her father. In Mary Sharrett</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w:t>
      </w:r>
      <w:r>
        <w:rPr>
          <w:rFonts w:ascii="Arial Rounded MT Bold" w:hAnsi="Arial Rounded MT Bold"/>
          <w:i/>
          <w:iCs/>
          <w:sz w:val="36"/>
          <w:szCs w:val="36"/>
          <w:lang w:val="en-US"/>
        </w:rPr>
        <w:t>Daughters of the Witching Hill</w:t>
      </w:r>
      <w:r>
        <w:rPr>
          <w:rFonts w:ascii="Arial Rounded MT Bold" w:hAnsi="Arial Rounded MT Bold"/>
          <w:sz w:val="36"/>
          <w:szCs w:val="36"/>
          <w:lang w:val="en-US"/>
        </w:rPr>
        <w:t xml:space="preserve"> (2010), this role is assigned to Richard Baldwin, the man whose daughter was said to have been magically killed by Demdike, following an argument between them. Further evidence for Jennet</w:t>
      </w:r>
      <w:r>
        <w:rPr>
          <w:rFonts w:ascii="Arial Rounded MT Bold" w:hAnsi="Arial Rounded MT Bold" w:hint="default"/>
          <w:sz w:val="36"/>
          <w:szCs w:val="36"/>
          <w:lang w:val="en-US"/>
        </w:rPr>
        <w:t>’</w:t>
      </w:r>
      <w:r>
        <w:rPr>
          <w:rFonts w:ascii="Arial Rounded MT Bold" w:hAnsi="Arial Rounded MT Bold"/>
          <w:sz w:val="36"/>
          <w:szCs w:val="36"/>
          <w:lang w:val="en-US"/>
        </w:rPr>
        <w:t>s illegitimacy is found in her age. Potts names her as being nine years old in 1612. This would place her birth in around 1603. John Device, her mother</w:t>
      </w:r>
      <w:r>
        <w:rPr>
          <w:rFonts w:ascii="Arial Rounded MT Bold" w:hAnsi="Arial Rounded MT Bold" w:hint="default"/>
          <w:sz w:val="36"/>
          <w:szCs w:val="36"/>
          <w:lang w:val="en-US"/>
        </w:rPr>
        <w:t>’</w:t>
      </w:r>
      <w:r>
        <w:rPr>
          <w:rFonts w:ascii="Arial Rounded MT Bold" w:hAnsi="Arial Rounded MT Bold"/>
          <w:sz w:val="36"/>
          <w:szCs w:val="36"/>
          <w:lang w:val="en-US"/>
        </w:rPr>
        <w:t>s husband, died in 1601, according to Potts, the apparent victim of Chattox</w:t>
      </w:r>
      <w:r>
        <w:rPr>
          <w:rFonts w:ascii="Arial Rounded MT Bold" w:hAnsi="Arial Rounded MT Bold" w:hint="default"/>
          <w:sz w:val="36"/>
          <w:szCs w:val="36"/>
          <w:lang w:val="en-US"/>
        </w:rPr>
        <w:t>’</w:t>
      </w:r>
      <w:r>
        <w:rPr>
          <w:rFonts w:ascii="Arial Rounded MT Bold" w:hAnsi="Arial Rounded MT Bold"/>
          <w:sz w:val="36"/>
          <w:szCs w:val="36"/>
          <w:lang w:val="en-US"/>
        </w:rPr>
        <w:t>s witchcraft. If these dates are correct, John Device could not possibly have been her father, in spite of her surname. Her illegitimacy therefore could hardly have been a secret and therefore Elizabeth would hardly have had reason to strongly object to it being remarked upon. For this reason, and because they suspect Potts of altering Jennet</w:t>
      </w:r>
      <w:r>
        <w:rPr>
          <w:rFonts w:ascii="Arial Rounded MT Bold" w:hAnsi="Arial Rounded MT Bold" w:hint="default"/>
          <w:sz w:val="36"/>
          <w:szCs w:val="36"/>
          <w:lang w:val="en-US"/>
        </w:rPr>
        <w:t>’</w:t>
      </w:r>
      <w:r>
        <w:rPr>
          <w:rFonts w:ascii="Arial Rounded MT Bold" w:hAnsi="Arial Rounded MT Bold"/>
          <w:sz w:val="36"/>
          <w:szCs w:val="36"/>
          <w:lang w:val="en-US"/>
        </w:rPr>
        <w:t>s age for his own purposes; to better fit his image of her, some authors adjust her birth date to around 1600, making her twelve by the time of the trials. This is presumably so that John Device might theoretically have been well enough to have fathered her, as the following year he was ill prior to his death. However, in these versions, Jennet</w:t>
      </w:r>
      <w:r>
        <w:rPr>
          <w:rFonts w:ascii="Arial Rounded MT Bold" w:hAnsi="Arial Rounded MT Bold" w:hint="default"/>
          <w:sz w:val="36"/>
          <w:szCs w:val="36"/>
          <w:lang w:val="en-US"/>
        </w:rPr>
        <w:t>’</w:t>
      </w:r>
      <w:r>
        <w:rPr>
          <w:rFonts w:ascii="Arial Rounded MT Bold" w:hAnsi="Arial Rounded MT Bold"/>
          <w:sz w:val="36"/>
          <w:szCs w:val="36"/>
          <w:lang w:val="en-US"/>
        </w:rPr>
        <w:t>s illegitimacy remains. Her being born out of wedlock is connected to an estrangement between her mother and her husband and a subsequent extra-marital affair. This version of events is played out in Sarah L. King</w:t>
      </w:r>
      <w:r>
        <w:rPr>
          <w:rFonts w:ascii="Arial Rounded MT Bold" w:hAnsi="Arial Rounded MT Bold" w:hint="default"/>
          <w:sz w:val="36"/>
          <w:szCs w:val="36"/>
          <w:lang w:val="en-US"/>
        </w:rPr>
        <w:t>’</w:t>
      </w:r>
      <w:r>
        <w:rPr>
          <w:rFonts w:ascii="Arial Rounded MT Bold" w:hAnsi="Arial Rounded MT Bold"/>
          <w:sz w:val="36"/>
          <w:szCs w:val="36"/>
          <w:lang w:val="en-US"/>
        </w:rPr>
        <w:t>s Pendle Witches trilogy, which focuses on Jennet. Alternatively though, Jennet</w:t>
      </w:r>
      <w:r>
        <w:rPr>
          <w:rFonts w:ascii="Arial Rounded MT Bold" w:hAnsi="Arial Rounded MT Bold" w:hint="default"/>
          <w:sz w:val="36"/>
          <w:szCs w:val="36"/>
          <w:lang w:val="en-US"/>
        </w:rPr>
        <w:t>’</w:t>
      </w:r>
      <w:r>
        <w:rPr>
          <w:rFonts w:ascii="Arial Rounded MT Bold" w:hAnsi="Arial Rounded MT Bold"/>
          <w:sz w:val="36"/>
          <w:szCs w:val="36"/>
          <w:lang w:val="en-US"/>
        </w:rPr>
        <w:t>s father is sometimes presented as a rapist. This is the case in Jeanette Winterson</w:t>
      </w:r>
      <w:r>
        <w:rPr>
          <w:rFonts w:ascii="Arial Rounded MT Bold" w:hAnsi="Arial Rounded MT Bold" w:hint="default"/>
          <w:sz w:val="36"/>
          <w:szCs w:val="36"/>
          <w:lang w:val="en-US"/>
        </w:rPr>
        <w:t>’</w:t>
      </w:r>
      <w:r>
        <w:rPr>
          <w:rFonts w:ascii="Arial Rounded MT Bold" w:hAnsi="Arial Rounded MT Bold"/>
          <w:sz w:val="36"/>
          <w:szCs w:val="36"/>
          <w:lang w:val="en-US"/>
        </w:rPr>
        <w:t>s book, in which he is stated to have raped her mother and conceived Jennet that way. This being the case, it is perhaps unsurprising that he subsequently extended the sexual abuse to his own daughter. This began with him buying sexual access to her in exchange for alcohol given to her brother James. Further on in the text, after the siblings are separated, Jennet</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father has her to himself. He is therefore able to coerce sexual favours from her by threats and intimidation, as well as by outright overwhelming her. He is on the point of repeating this action when Jennet manages to send him to the cellar and confine him there. What follows is rather grim. Jennet progressively eats her way through the food that her father had brought home for both of them, while keeping one ear out for the gradually weakening hammering coming from the cellar. She and the reader are both aware that she is hearing his slow and protracted death from dehydration and starvation. While this is disturbing, and the slowness of his death is regrettable, it was undoubtedly self-defence, which combined with her age, should largely acquit Jennet of culpability. </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While the historical evidence for it is fairly scant, it is entirely possible that some of the Pendle witches were the victims of sexual harassment and related offences, as has been demonstrated here with Jennet in a fictionalised form. Her mother indirectly being called a whore could certainly fall into this category. Historically, the main victim of this was Anne Redfern, Chattox</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daughter. In her case it played a direct role in the witchcraft charges placed against her, despite twenty years having passed. She had been targeted by Robert Nutter, the son of her landlord, who had wanted to </w:t>
      </w:r>
      <w:r>
        <w:rPr>
          <w:rFonts w:ascii="Arial Rounded MT Bold" w:hAnsi="Arial Rounded MT Bold" w:hint="default"/>
          <w:sz w:val="36"/>
          <w:szCs w:val="36"/>
          <w:lang w:val="en-US"/>
        </w:rPr>
        <w:t>“</w:t>
      </w:r>
      <w:r>
        <w:rPr>
          <w:rFonts w:ascii="Arial Rounded MT Bold" w:hAnsi="Arial Rounded MT Bold"/>
          <w:sz w:val="36"/>
          <w:szCs w:val="36"/>
          <w:lang w:val="en-US"/>
        </w:rPr>
        <w:t>have his pleasure with her</w:t>
      </w:r>
      <w:r>
        <w:rPr>
          <w:rFonts w:ascii="Arial Rounded MT Bold" w:hAnsi="Arial Rounded MT Bold" w:hint="default"/>
          <w:sz w:val="36"/>
          <w:szCs w:val="36"/>
          <w:lang w:val="en-US"/>
        </w:rPr>
        <w:t xml:space="preserve">” </w:t>
      </w:r>
      <w:r>
        <w:rPr>
          <w:rFonts w:ascii="Arial Rounded MT Bold" w:hAnsi="Arial Rounded MT Bold"/>
          <w:sz w:val="36"/>
          <w:szCs w:val="36"/>
          <w:lang w:val="en-US"/>
        </w:rPr>
        <w:t xml:space="preserve">(pamphlet). Angered by her refusal, he had threatened to have the family evicted from their cottage. To some historical fiction authors, this is taken to mean that there were incidents of rape or attempted rape. In the novel </w:t>
      </w:r>
      <w:r>
        <w:rPr>
          <w:rFonts w:ascii="Arial Rounded MT Bold" w:hAnsi="Arial Rounded MT Bold"/>
          <w:i/>
          <w:iCs/>
          <w:sz w:val="36"/>
          <w:szCs w:val="36"/>
          <w:lang w:val="en-US"/>
        </w:rPr>
        <w:t>A Cry of Innocence</w:t>
      </w:r>
      <w:r>
        <w:rPr>
          <w:rFonts w:ascii="Arial Rounded MT Bold" w:hAnsi="Arial Rounded MT Bold"/>
          <w:sz w:val="36"/>
          <w:szCs w:val="36"/>
          <w:lang w:val="en-US"/>
        </w:rPr>
        <w:t xml:space="preserve">, Robert rapes Anne on multiple occasions. Anne Redfern was the one who </w:t>
      </w:r>
      <w:r>
        <w:rPr>
          <w:rFonts w:ascii="Arial Rounded MT Bold" w:hAnsi="Arial Rounded MT Bold" w:hint="default"/>
          <w:sz w:val="36"/>
          <w:szCs w:val="36"/>
          <w:lang w:val="en-US"/>
        </w:rPr>
        <w:t>“</w:t>
      </w:r>
      <w:r>
        <w:rPr>
          <w:rFonts w:ascii="Arial Rounded MT Bold" w:hAnsi="Arial Rounded MT Bold"/>
          <w:sz w:val="36"/>
          <w:szCs w:val="36"/>
          <w:lang w:val="en-US"/>
        </w:rPr>
        <w:t>had a rare cunning for dolls</w:t>
      </w:r>
      <w:r>
        <w:rPr>
          <w:rFonts w:ascii="Arial Rounded MT Bold" w:hAnsi="Arial Rounded MT Bold" w:hint="default"/>
          <w:sz w:val="36"/>
          <w:szCs w:val="36"/>
          <w:lang w:val="en-US"/>
        </w:rPr>
        <w:t>”</w:t>
      </w:r>
      <w:r>
        <w:rPr>
          <w:rFonts w:ascii="Arial Rounded MT Bold" w:hAnsi="Arial Rounded MT Bold"/>
          <w:sz w:val="36"/>
          <w:szCs w:val="36"/>
          <w:lang w:val="en-US"/>
        </w:rPr>
        <w:t>, as stated in the pamphlet. Supposedly she had applied this talent in her witchcraft by (together with her mother) killing Robert and his father, by means of the creation and subsequent destruction of clay dolls in their image. That the jury may have sympathised with Anne as a victim is potentially evidenced by them acquitting her of the first indictment, that of killing Robert himself. However the hope that this gave her of surviving was subsequently to be demolished the next day, when she was convicted of killing his father. For this she was condemned, in spite of her mother attempting to take the blame for her, and entreating the court for mercy for her. There was no mercy to be had for this family and the only possible solace was that mother and daughter died on the gallows together.</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Jeanette Winterson presenting her near namesake Jennet Device thus, as the victim of sexual abuse and incest, was continuing a trend of her as victim which was established in the earliest texts featuring the character. In earlier texts, she was the victim of neglect and family poverty. This seems to be borne out by the real history. As the youngest in the family, and the only one still very much a child in 1612, she was essentially unable to care for herself. This may have meant she suffered more from their poverty than the rest of the family. She may also have felt it more keenly as a growing child. As she herself narrates it in the novel The Witches of Pendle (1994) </w:t>
      </w:r>
      <w:r>
        <w:rPr>
          <w:rFonts w:ascii="Arial Rounded MT Bold" w:hAnsi="Arial Rounded MT Bold" w:hint="default"/>
          <w:sz w:val="36"/>
          <w:szCs w:val="36"/>
          <w:lang w:val="en-US"/>
        </w:rPr>
        <w:t>“</w:t>
      </w:r>
      <w:r>
        <w:rPr>
          <w:rFonts w:ascii="Arial Rounded MT Bold" w:hAnsi="Arial Rounded MT Bold"/>
          <w:sz w:val="36"/>
          <w:szCs w:val="36"/>
          <w:lang w:val="en-US"/>
        </w:rPr>
        <w:t>I was often ill and I was always cold and hungry.</w:t>
      </w:r>
      <w:r>
        <w:rPr>
          <w:rFonts w:ascii="Arial Rounded MT Bold" w:hAnsi="Arial Rounded MT Bold" w:hint="default"/>
          <w:sz w:val="36"/>
          <w:szCs w:val="36"/>
          <w:lang w:val="en-US"/>
        </w:rPr>
        <w:t xml:space="preserve">” </w:t>
      </w:r>
      <w:r>
        <w:rPr>
          <w:rFonts w:ascii="Arial Rounded MT Bold" w:hAnsi="Arial Rounded MT Bold"/>
          <w:sz w:val="36"/>
          <w:szCs w:val="36"/>
          <w:lang w:val="en-US"/>
        </w:rPr>
        <w:t>Her grandmother, Demdike was similarly unable to care for herself, being blind or nearly so, but she also brought in an income as a cunning woman. This may have led the family to devote more attention and resources to her than to Jennet. Thus, Jennet is established to be a victim and is rendered sympathetic to historical fiction readers. Furthermore, her motivation is established for taking the opportunity to betray her family in exchange for a better life. In some texts, Jennet is additionally the victim of her own nature, sometimes suffering from envy of her sister Alizon. This envy could be based on any number of factors, including Alizon</w:t>
      </w:r>
      <w:r>
        <w:rPr>
          <w:rFonts w:ascii="Arial Rounded MT Bold" w:hAnsi="Arial Rounded MT Bold" w:hint="default"/>
          <w:sz w:val="36"/>
          <w:szCs w:val="36"/>
          <w:lang w:val="en-US"/>
        </w:rPr>
        <w:t>’</w:t>
      </w:r>
      <w:r>
        <w:rPr>
          <w:rFonts w:ascii="Arial Rounded MT Bold" w:hAnsi="Arial Rounded MT Bold"/>
          <w:sz w:val="36"/>
          <w:szCs w:val="36"/>
          <w:lang w:val="en-US"/>
        </w:rPr>
        <w:t>s age, looks, status in the family, or, in the case of Ainsworth</w:t>
      </w:r>
      <w:r>
        <w:rPr>
          <w:rFonts w:ascii="Arial Rounded MT Bold" w:hAnsi="Arial Rounded MT Bold" w:hint="default"/>
          <w:sz w:val="36"/>
          <w:szCs w:val="36"/>
          <w:lang w:val="en-US"/>
        </w:rPr>
        <w:t>’</w:t>
      </w:r>
      <w:r>
        <w:rPr>
          <w:rFonts w:ascii="Arial Rounded MT Bold" w:hAnsi="Arial Rounded MT Bold"/>
          <w:sz w:val="36"/>
          <w:szCs w:val="36"/>
          <w:lang w:val="en-US"/>
        </w:rPr>
        <w:t>s Victorian novel, her birth relationship to Alice Nutter. Stephen Carver refers to this in his article on the book. He additionally notes that Jennet is known for her written regional accent:</w:t>
      </w: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The offers, pacts and general metaphysical horse-trading introduced in the prologue continue throughout the text, as a kind of controlling moral metaphor; every major character is, or has been, tempted in the wilderness. In a desire for advancement that mirrors Paslew</w:t>
      </w:r>
      <w:r>
        <w:rPr>
          <w:rFonts w:ascii="Arial Rounded MT Bold" w:hAnsi="Arial Rounded MT Bold" w:hint="default"/>
          <w:sz w:val="36"/>
          <w:szCs w:val="36"/>
          <w:lang w:val="en-US"/>
        </w:rPr>
        <w:t>’</w:t>
      </w:r>
      <w:r>
        <w:rPr>
          <w:rFonts w:ascii="Arial Rounded MT Bold" w:hAnsi="Arial Rounded MT Bold"/>
          <w:sz w:val="36"/>
          <w:szCs w:val="36"/>
          <w:lang w:val="en-US"/>
        </w:rPr>
        <w:t>s confession, Thomas Potts, the self-styled witch-finder, plays upon Jennet Device</w:t>
      </w:r>
      <w:r>
        <w:rPr>
          <w:rFonts w:ascii="Arial Rounded MT Bold" w:hAnsi="Arial Rounded MT Bold" w:hint="default"/>
          <w:sz w:val="36"/>
          <w:szCs w:val="36"/>
          <w:lang w:val="en-US"/>
        </w:rPr>
        <w:t>’</w:t>
      </w:r>
      <w:r>
        <w:rPr>
          <w:rFonts w:ascii="Arial Rounded MT Bold" w:hAnsi="Arial Rounded MT Bold"/>
          <w:sz w:val="36"/>
          <w:szCs w:val="36"/>
          <w:lang w:val="en-US"/>
        </w:rPr>
        <w:t>s envy of her half-sister Alizon</w:t>
      </w:r>
      <w:r>
        <w:rPr>
          <w:rFonts w:ascii="Arial Rounded MT Bold" w:hAnsi="Arial Rounded MT Bold" w:hint="default"/>
          <w:sz w:val="36"/>
          <w:szCs w:val="36"/>
          <w:lang w:val="en-US"/>
        </w:rPr>
        <w:t>’</w:t>
      </w:r>
      <w:r>
        <w:rPr>
          <w:rFonts w:ascii="Arial Rounded MT Bold" w:hAnsi="Arial Rounded MT Bold"/>
          <w:sz w:val="36"/>
          <w:szCs w:val="36"/>
          <w:lang w:val="en-US"/>
        </w:rPr>
        <w:t>s new relationship with Alice Nutter, and tempts her into making an incriminating statement against his enemy:</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 ‘</w:t>
      </w:r>
      <w:r>
        <w:rPr>
          <w:rFonts w:ascii="Arial Rounded MT Bold" w:hAnsi="Arial Rounded MT Bold"/>
          <w:sz w:val="36"/>
          <w:szCs w:val="36"/>
          <w:lang w:val="en-US"/>
        </w:rPr>
        <w:t>You may have attended a witch</w:t>
      </w:r>
      <w:r>
        <w:rPr>
          <w:rFonts w:ascii="Arial Rounded MT Bold" w:hAnsi="Arial Rounded MT Bold" w:hint="default"/>
          <w:sz w:val="36"/>
          <w:szCs w:val="36"/>
          <w:lang w:val="en-US"/>
        </w:rPr>
        <w:t>’</w:t>
      </w:r>
      <w:r>
        <w:rPr>
          <w:rFonts w:ascii="Arial Rounded MT Bold" w:hAnsi="Arial Rounded MT Bold"/>
          <w:sz w:val="36"/>
          <w:szCs w:val="36"/>
          <w:lang w:val="en-US"/>
        </w:rPr>
        <w:t>s Sabbath... If you have seen this, and can recollect the names and faces of the assembly, it would be highly important... Has it ever occurred to you that Alizon might be addicted to these practices?... I cannot help thinking she has bewitched Mistress Nutter.</w:t>
      </w:r>
      <w:r>
        <w:rPr>
          <w:rFonts w:ascii="Arial Rounded MT Bold" w:hAnsi="Arial Rounded MT Bold" w:hint="default"/>
          <w:sz w:val="36"/>
          <w:szCs w:val="36"/>
          <w:lang w:val="en-US"/>
        </w:rPr>
        <w:t>’</w:t>
      </w: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Licker, Mistress Nutter has bewitched her,</w:t>
      </w:r>
      <w:r>
        <w:rPr>
          <w:rFonts w:ascii="Arial Rounded MT Bold" w:hAnsi="Arial Rounded MT Bold" w:hint="default"/>
          <w:sz w:val="36"/>
          <w:szCs w:val="36"/>
          <w:lang w:val="en-US"/>
        </w:rPr>
        <w:t xml:space="preserve">’ </w:t>
      </w:r>
      <w:r>
        <w:rPr>
          <w:rFonts w:ascii="Arial Rounded MT Bold" w:hAnsi="Arial Rounded MT Bold"/>
          <w:sz w:val="36"/>
          <w:szCs w:val="36"/>
          <w:lang w:val="en-US"/>
        </w:rPr>
        <w:t xml:space="preserve">replied Jennet. </w:t>
      </w: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Then you think Mistress Nutter is a witch, eh?</w:t>
      </w:r>
      <w:r>
        <w:rPr>
          <w:rFonts w:ascii="Arial Rounded MT Bold" w:hAnsi="Arial Rounded MT Bold" w:hint="default"/>
          <w:sz w:val="36"/>
          <w:szCs w:val="36"/>
          <w:lang w:val="en-US"/>
        </w:rPr>
        <w:t xml:space="preserve">’ </w:t>
      </w:r>
      <w:r>
        <w:rPr>
          <w:rFonts w:ascii="Arial Rounded MT Bold" w:hAnsi="Arial Rounded MT Bold"/>
          <w:sz w:val="36"/>
          <w:szCs w:val="36"/>
          <w:lang w:val="en-US"/>
        </w:rPr>
        <w:t>cried Potts eagerly.</w:t>
      </w: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Ey</w:t>
      </w:r>
      <w:r>
        <w:rPr>
          <w:rFonts w:ascii="Arial Rounded MT Bold" w:hAnsi="Arial Rounded MT Bold" w:hint="default"/>
          <w:sz w:val="36"/>
          <w:szCs w:val="36"/>
          <w:lang w:val="en-US"/>
        </w:rPr>
        <w:t>’</w:t>
      </w:r>
      <w:r>
        <w:rPr>
          <w:rFonts w:ascii="Arial Rounded MT Bold" w:hAnsi="Arial Rounded MT Bold"/>
          <w:sz w:val="36"/>
          <w:szCs w:val="36"/>
          <w:lang w:val="en-US"/>
        </w:rPr>
        <w:t>st neaw tell ye what ey think, mon,</w:t>
      </w:r>
      <w:r>
        <w:rPr>
          <w:rFonts w:ascii="Arial Rounded MT Bold" w:hAnsi="Arial Rounded MT Bold" w:hint="default"/>
          <w:sz w:val="36"/>
          <w:szCs w:val="36"/>
          <w:lang w:val="en-US"/>
        </w:rPr>
        <w:t xml:space="preserve">’ </w:t>
      </w:r>
      <w:r>
        <w:rPr>
          <w:rFonts w:ascii="Arial Rounded MT Bold" w:hAnsi="Arial Rounded MT Bold"/>
          <w:sz w:val="36"/>
          <w:szCs w:val="36"/>
          <w:lang w:val="en-US"/>
        </w:rPr>
        <w:t>rejoined Jennet, doggedly.</w:t>
      </w: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But hear me,</w:t>
      </w:r>
      <w:r>
        <w:rPr>
          <w:rFonts w:ascii="Arial Rounded MT Bold" w:hAnsi="Arial Rounded MT Bold" w:hint="default"/>
          <w:sz w:val="36"/>
          <w:szCs w:val="36"/>
          <w:lang w:val="en-US"/>
        </w:rPr>
        <w:t xml:space="preserve">’ </w:t>
      </w:r>
      <w:r>
        <w:rPr>
          <w:rFonts w:ascii="Arial Rounded MT Bold" w:hAnsi="Arial Rounded MT Bold"/>
          <w:sz w:val="36"/>
          <w:szCs w:val="36"/>
          <w:lang w:val="en-US"/>
        </w:rPr>
        <w:t xml:space="preserve">cried Potts, </w:t>
      </w:r>
      <w:r>
        <w:rPr>
          <w:rFonts w:ascii="Arial Rounded MT Bold" w:hAnsi="Arial Rounded MT Bold" w:hint="default"/>
          <w:sz w:val="36"/>
          <w:szCs w:val="36"/>
          <w:lang w:val="en-US"/>
        </w:rPr>
        <w:t>‘</w:t>
      </w:r>
      <w:r>
        <w:rPr>
          <w:rFonts w:ascii="Arial Rounded MT Bold" w:hAnsi="Arial Rounded MT Bold"/>
          <w:sz w:val="36"/>
          <w:szCs w:val="36"/>
          <w:lang w:val="en-US"/>
        </w:rPr>
        <w:t>I have my own suspicions also - nay, more than suspicions.</w:t>
      </w:r>
      <w:r>
        <w:rPr>
          <w:rFonts w:ascii="Arial Rounded MT Bold" w:hAnsi="Arial Rounded MT Bold" w:hint="default"/>
          <w:sz w:val="36"/>
          <w:szCs w:val="36"/>
          <w:lang w:val="en-US"/>
        </w:rPr>
        <w:t>’</w:t>
      </w: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If ye</w:t>
      </w:r>
      <w:r>
        <w:rPr>
          <w:rFonts w:ascii="Arial Rounded MT Bold" w:hAnsi="Arial Rounded MT Bold" w:hint="default"/>
          <w:sz w:val="36"/>
          <w:szCs w:val="36"/>
          <w:lang w:val="en-US"/>
        </w:rPr>
        <w:t>’</w:t>
      </w:r>
      <w:r>
        <w:rPr>
          <w:rFonts w:ascii="Arial Rounded MT Bold" w:hAnsi="Arial Rounded MT Bold"/>
          <w:sz w:val="36"/>
          <w:szCs w:val="36"/>
          <w:lang w:val="en-US"/>
        </w:rPr>
        <w:t>re shure, yo dunno want me,</w:t>
      </w:r>
      <w:r>
        <w:rPr>
          <w:rFonts w:ascii="Arial Rounded MT Bold" w:hAnsi="Arial Rounded MT Bold" w:hint="default"/>
          <w:sz w:val="36"/>
          <w:szCs w:val="36"/>
          <w:lang w:val="en-US"/>
        </w:rPr>
        <w:t xml:space="preserve">’ </w:t>
      </w:r>
      <w:r>
        <w:rPr>
          <w:rFonts w:ascii="Arial Rounded MT Bold" w:hAnsi="Arial Rounded MT Bold"/>
          <w:sz w:val="36"/>
          <w:szCs w:val="36"/>
          <w:lang w:val="en-US"/>
        </w:rPr>
        <w:t>said Jennet.</w:t>
      </w: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But I want a witness,</w:t>
      </w:r>
      <w:r>
        <w:rPr>
          <w:rFonts w:ascii="Arial Rounded MT Bold" w:hAnsi="Arial Rounded MT Bold" w:hint="default"/>
          <w:sz w:val="36"/>
          <w:szCs w:val="36"/>
          <w:lang w:val="en-US"/>
        </w:rPr>
        <w:t xml:space="preserve">’ </w:t>
      </w:r>
      <w:r>
        <w:rPr>
          <w:rFonts w:ascii="Arial Rounded MT Bold" w:hAnsi="Arial Rounded MT Bold"/>
          <w:sz w:val="36"/>
          <w:szCs w:val="36"/>
          <w:lang w:val="en-US"/>
        </w:rPr>
        <w:t xml:space="preserve">pursued Potts, </w:t>
      </w:r>
      <w:r>
        <w:rPr>
          <w:rFonts w:ascii="Arial Rounded MT Bold" w:hAnsi="Arial Rounded MT Bold" w:hint="default"/>
          <w:sz w:val="36"/>
          <w:szCs w:val="36"/>
          <w:lang w:val="en-US"/>
        </w:rPr>
        <w:t>‘</w:t>
      </w:r>
      <w:r>
        <w:rPr>
          <w:rFonts w:ascii="Arial Rounded MT Bold" w:hAnsi="Arial Rounded MT Bold"/>
          <w:sz w:val="36"/>
          <w:szCs w:val="36"/>
          <w:lang w:val="en-US"/>
        </w:rPr>
        <w:t>and if you</w:t>
      </w:r>
      <w:r>
        <w:rPr>
          <w:rFonts w:ascii="Arial Rounded MT Bold" w:hAnsi="Arial Rounded MT Bold" w:hint="default"/>
          <w:sz w:val="36"/>
          <w:szCs w:val="36"/>
          <w:lang w:val="en-US"/>
        </w:rPr>
        <w:t>’</w:t>
      </w:r>
      <w:r>
        <w:rPr>
          <w:rFonts w:ascii="Arial Rounded MT Bold" w:hAnsi="Arial Rounded MT Bold"/>
          <w:sz w:val="36"/>
          <w:szCs w:val="36"/>
          <w:lang w:val="en-US"/>
        </w:rPr>
        <w:t>ll serve as one -</w:t>
      </w:r>
      <w:r>
        <w:rPr>
          <w:rFonts w:ascii="Arial Rounded MT Bold" w:hAnsi="Arial Rounded MT Bold" w:hint="default"/>
          <w:sz w:val="36"/>
          <w:szCs w:val="36"/>
          <w:lang w:val="en-US"/>
        </w:rPr>
        <w:t>’</w:t>
      </w: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Whot</w:t>
      </w:r>
      <w:r>
        <w:rPr>
          <w:rFonts w:ascii="Arial Rounded MT Bold" w:hAnsi="Arial Rounded MT Bold" w:hint="default"/>
          <w:sz w:val="36"/>
          <w:szCs w:val="36"/>
          <w:lang w:val="en-US"/>
        </w:rPr>
        <w:t>’</w:t>
      </w:r>
      <w:r>
        <w:rPr>
          <w:rFonts w:ascii="Arial Rounded MT Bold" w:hAnsi="Arial Rounded MT Bold"/>
          <w:sz w:val="36"/>
          <w:szCs w:val="36"/>
          <w:lang w:val="en-US"/>
        </w:rPr>
        <w:t>ll ye gi me?</w:t>
      </w:r>
      <w:r>
        <w:rPr>
          <w:rFonts w:ascii="Arial Rounded MT Bold" w:hAnsi="Arial Rounded MT Bold" w:hint="default"/>
          <w:sz w:val="36"/>
          <w:szCs w:val="36"/>
          <w:lang w:val="en-US"/>
        </w:rPr>
        <w:t xml:space="preserve">’ </w:t>
      </w:r>
      <w:r>
        <w:rPr>
          <w:rFonts w:ascii="Arial Rounded MT Bold" w:hAnsi="Arial Rounded MT Bold"/>
          <w:sz w:val="36"/>
          <w:szCs w:val="36"/>
          <w:lang w:val="en-US"/>
        </w:rPr>
        <w:t xml:space="preserve">said Jennet. </w:t>
      </w: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hint="default"/>
          <w:sz w:val="36"/>
          <w:szCs w:val="36"/>
          <w:lang w:val="en-US"/>
        </w:rPr>
        <w:t>‘</w:t>
      </w:r>
      <w:r>
        <w:rPr>
          <w:rFonts w:ascii="Arial Rounded MT Bold" w:hAnsi="Arial Rounded MT Bold"/>
          <w:sz w:val="36"/>
          <w:szCs w:val="36"/>
          <w:lang w:val="en-US"/>
        </w:rPr>
        <w:t>Whatever you like,</w:t>
      </w:r>
      <w:r>
        <w:rPr>
          <w:rFonts w:ascii="Arial Rounded MT Bold" w:hAnsi="Arial Rounded MT Bold" w:hint="default"/>
          <w:sz w:val="36"/>
          <w:szCs w:val="36"/>
          <w:lang w:val="en-US"/>
        </w:rPr>
        <w:t xml:space="preserve">’ </w:t>
      </w:r>
      <w:r>
        <w:rPr>
          <w:rFonts w:ascii="Arial Rounded MT Bold" w:hAnsi="Arial Rounded MT Bold"/>
          <w:sz w:val="36"/>
          <w:szCs w:val="36"/>
          <w:lang w:val="en-US"/>
        </w:rPr>
        <w:t>rejoined Potts</w:t>
      </w:r>
      <w:r>
        <w:rPr>
          <w:rFonts w:ascii="Arial Rounded MT Bold" w:hAnsi="Arial Rounded MT Bold" w:hint="default"/>
          <w:sz w:val="36"/>
          <w:szCs w:val="36"/>
          <w:lang w:val="en-US"/>
        </w:rPr>
        <w:t xml:space="preserve">” </w:t>
      </w:r>
      <w:r>
        <w:rPr>
          <w:rFonts w:ascii="Arial Rounded MT Bold" w:hAnsi="Arial Rounded MT Bold"/>
          <w:sz w:val="36"/>
          <w:szCs w:val="36"/>
          <w:lang w:val="en-US"/>
        </w:rPr>
        <w:t>(Ainsworth, 184).</w:t>
      </w: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Discounting the brave but rather painful attempt at the regional dialect, this type of examination is particularly disquieting if read in conjunction with the actual witness testimonies presented in Potts</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original transcripts because, according to the King in his Daemonologie, children, women and even known liars could be witnesses over </w:t>
      </w:r>
      <w:r>
        <w:rPr>
          <w:rFonts w:ascii="Arial Rounded MT Bold" w:hAnsi="Arial Rounded MT Bold" w:hint="default"/>
          <w:sz w:val="36"/>
          <w:szCs w:val="36"/>
          <w:lang w:val="en-US"/>
        </w:rPr>
        <w:t>‘</w:t>
      </w:r>
      <w:r>
        <w:rPr>
          <w:rFonts w:ascii="Arial Rounded MT Bold" w:hAnsi="Arial Rounded MT Bold"/>
          <w:sz w:val="36"/>
          <w:szCs w:val="36"/>
          <w:lang w:val="en-US"/>
        </w:rPr>
        <w:t>high treason against God</w:t>
      </w:r>
      <w:r>
        <w:rPr>
          <w:rFonts w:ascii="Arial Rounded MT Bold" w:hAnsi="Arial Rounded MT Bold" w:hint="default"/>
          <w:sz w:val="36"/>
          <w:szCs w:val="36"/>
          <w:lang w:val="en-US"/>
        </w:rPr>
        <w:t xml:space="preserve">’ </w:t>
      </w:r>
      <w:r>
        <w:rPr>
          <w:rFonts w:ascii="Arial Rounded MT Bold" w:hAnsi="Arial Rounded MT Bold"/>
          <w:sz w:val="36"/>
          <w:szCs w:val="36"/>
          <w:lang w:val="en-US"/>
        </w:rPr>
        <w:t>(Cronin, 2011).</w:t>
      </w:r>
      <w:r>
        <w:rPr>
          <w:rFonts w:ascii="Arial Rounded MT Bold" w:hAnsi="Arial Rounded MT Bold" w:hint="default"/>
          <w:sz w:val="36"/>
          <w:szCs w:val="36"/>
          <w:lang w:val="en-US"/>
        </w:rPr>
        <w:t xml:space="preserve">” </w:t>
      </w:r>
      <w:r>
        <w:rPr>
          <w:rFonts w:ascii="Arial Rounded MT Bold" w:cs="Arial Rounded MT Bold" w:eastAsia="Arial Rounded MT Bold" w:hAnsi="Arial Rounded MT Bold"/>
          <w:sz w:val="36"/>
          <w:szCs w:val="36"/>
          <w:vertAlign w:val="superscript"/>
        </w:rPr>
        <w:footnoteReference w:id="16"/>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Carver here makes reference to the important point that King James's Demonology was being used as a reference text by the prosecutors during the Pendle Witches investigation and trial. This was unusual and led to history being made. Earlier witchcraft trials had more often used Malleus Maleficarum and other comparable European texts. The 1612 trials were noteworthy for instead using the King's own book. This is noted in the Pendle Witch Child documentary. One of the guest speakers Ronald Hutton (academic author and History professor) references a few points in </w:t>
      </w:r>
      <w:r>
        <w:rPr>
          <w:rFonts w:ascii="Arial Rounded MT Bold" w:hAnsi="Arial Rounded MT Bold"/>
          <w:i/>
          <w:iCs/>
          <w:sz w:val="36"/>
          <w:szCs w:val="36"/>
          <w:lang w:val="en-US"/>
        </w:rPr>
        <w:t>Demonology</w:t>
      </w:r>
      <w:r>
        <w:rPr>
          <w:rFonts w:ascii="Arial Rounded MT Bold" w:hAnsi="Arial Rounded MT Bold"/>
          <w:sz w:val="36"/>
          <w:szCs w:val="36"/>
          <w:lang w:val="en-US"/>
        </w:rPr>
        <w:t xml:space="preserve"> that featured in the Pendle Witches investigation, noting that "they're plainly ticking boxes." The manner in which this made history was that it paved the way for the acceptance and credibility of child witnesses. Prior to the Pendle trials, child witnesses under the age of fourteen were not generally permitted to testify in court, either directly, or through previously transcribed witness statements. It was considered that their age rendered them unreliable.</w:t>
      </w:r>
      <w:r>
        <w:rPr>
          <w:rFonts w:ascii="Arial Rounded MT Bold" w:cs="Arial Rounded MT Bold" w:eastAsia="Arial Rounded MT Bold" w:hAnsi="Arial Rounded MT Bold"/>
          <w:sz w:val="36"/>
          <w:szCs w:val="36"/>
          <w:vertAlign w:val="superscript"/>
        </w:rPr>
        <w:footnoteReference w:id="17"/>
      </w:r>
      <w:r>
        <w:rPr>
          <w:rFonts w:ascii="Arial Rounded MT Bold" w:hAnsi="Arial Rounded MT Bold"/>
          <w:sz w:val="36"/>
          <w:szCs w:val="36"/>
          <w:lang w:val="en-US"/>
        </w:rPr>
        <w:t xml:space="preserve"> This was all to change after the 1612 trial, which featured a child star witness as a major component. After all, the King had authorised this procedure in his book, which indicated that he would approve its implementation. Its use in this trial was recorded in the book, Dalton</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Country Justice (1618), which refers to both Roger Nowell and Jennet Device. It was a handbook used by all magistrates in both England and America. It was therefore present in Salem, Massachusetts eighty years later. Its presence there in 1692 was used to justify the testimony of child witnesses in witch trials, including those considered to have been victims of the witchcraft. This type of evidence, alongside the spectral, comprised the bulk of the prosecution's case in the 1692 Salem Witch Trials. Thus, the 1612 Pendle trials were not just loosely equivalent to the Salem case, but contributed to causing it. The 1692 Salem trials resulted in the execution of twenty people; nineteen on the gallows and one by being pressed to death by the effect of accumulative applied weights. The Lancashire trials hanged ten, with the additional three accused dying in the jail before trial, being sentenced to imprisonment and being acquitted respectively. These alternative outcomes will be considered in the next chapter. Incidentally, the fact that the Lancashire accused witches totalled thirteen, came from another point in the </w:t>
      </w:r>
      <w:r>
        <w:rPr>
          <w:rFonts w:ascii="Arial Rounded MT Bold" w:hAnsi="Arial Rounded MT Bold"/>
          <w:i/>
          <w:iCs/>
          <w:sz w:val="36"/>
          <w:szCs w:val="36"/>
          <w:lang w:val="en-US"/>
        </w:rPr>
        <w:t>Demonology</w:t>
      </w:r>
      <w:r>
        <w:rPr>
          <w:rFonts w:ascii="Arial Rounded MT Bold" w:hAnsi="Arial Rounded MT Bold"/>
          <w:sz w:val="36"/>
          <w:szCs w:val="36"/>
          <w:lang w:val="en-US"/>
        </w:rPr>
        <w:t xml:space="preserve">, which stated that witch covens were likely to number thirteen. This bakers' dozen was therefore likely the number of witches expected to be found, and explains the number of arrests made. Thus, another box from the King's book was ticked. It is noteworthy though, that even though the 1612 trials featured the largest number of executed witches in the country to date, they were outnumbered by the witch executions in Salem eighty later. This is another way in which the Salem case came to eclipse completely its prototype, as well as by having a very famous and very extensive play written about it, in Arthur Miller's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Crucible</w:t>
      </w:r>
      <w:r>
        <w:rPr>
          <w:rFonts w:ascii="Arial Rounded MT Bold" w:hAnsi="Arial Rounded MT Bold"/>
          <w:sz w:val="36"/>
          <w:szCs w:val="36"/>
          <w:lang w:val="en-US"/>
        </w:rPr>
        <w:t>.</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Jennet Device's manner of speech, specifically her written regional accent as referred to by Carver above, constitutes a crucial point about the character that recurs across texts featuring her. As it features in historical fiction, prior to the trial taking place, her speech reveals both her region (Northern, Lancashire) and her family's poverty, designating her extreme lower class. Her speech is reminiscent of the servant Joseph's dialogue in Emily Bronte's </w:t>
      </w:r>
      <w:r>
        <w:rPr>
          <w:rFonts w:ascii="Arial Rounded MT Bold" w:hAnsi="Arial Rounded MT Bold"/>
          <w:i/>
          <w:iCs/>
          <w:sz w:val="36"/>
          <w:szCs w:val="36"/>
          <w:lang w:val="en-US"/>
        </w:rPr>
        <w:t>Wuthering</w:t>
      </w:r>
      <w:r>
        <w:rPr>
          <w:rFonts w:ascii="Arial Rounded MT Bold" w:hAnsi="Arial Rounded MT Bold"/>
          <w:sz w:val="36"/>
          <w:szCs w:val="36"/>
          <w:lang w:val="en-US"/>
        </w:rPr>
        <w:t xml:space="preserve"> </w:t>
      </w:r>
      <w:r>
        <w:rPr>
          <w:rFonts w:ascii="Arial Rounded MT Bold" w:hAnsi="Arial Rounded MT Bold"/>
          <w:i/>
          <w:iCs/>
          <w:sz w:val="36"/>
          <w:szCs w:val="36"/>
          <w:lang w:val="en-US"/>
        </w:rPr>
        <w:t>Heights</w:t>
      </w:r>
      <w:r>
        <w:rPr>
          <w:rFonts w:ascii="Arial Rounded MT Bold" w:hAnsi="Arial Rounded MT Bold"/>
          <w:sz w:val="36"/>
          <w:szCs w:val="36"/>
          <w:lang w:val="en-US"/>
        </w:rPr>
        <w:t>. The material point is that it is very different from the speech that Potts attributes to her in the pamphlet. Potts presents a famous direct quotation from Jennet, beginning "My mother is a witch and I know this to be true." Her speech is eloquent, grammatically correct and in the King's English, rather than regional slang. This contrasts with Jennet's earlier dialogue, and implies that she did not speak her own words at the trial, but rather was taught to speak correctly and learned the speech by heart. Historical fiction authors therefore appear to be in general agreement with Simon Armitage; the host of the Pendle Witch Child documentary, who, in reference to Jennet's witness statements at the trial, speculated "I can't help thinking that she was reciting her lines.</w:t>
      </w:r>
      <w:r>
        <w:rPr>
          <w:rFonts w:ascii="Arial Rounded MT Bold" w:hAnsi="Arial Rounded MT Bold" w:hint="default"/>
          <w:sz w:val="36"/>
          <w:szCs w:val="36"/>
          <w:lang w:val="en-US"/>
        </w:rPr>
        <w:t xml:space="preserve">”  </w:t>
      </w:r>
      <w:r>
        <w:rPr>
          <w:rFonts w:ascii="Arial Rounded MT Bold" w:hAnsi="Arial Rounded MT Bold"/>
          <w:sz w:val="36"/>
          <w:szCs w:val="36"/>
          <w:lang w:val="en-US"/>
        </w:rPr>
        <w:t xml:space="preserve">This use of words and phrasing emphasises the theatricality of the courtroom setting and the general similarities between a trial and a play; both containing elements of performance and requiring correct elocution. Above all, the power of words and stories is central to both. It is likely that the documentary was a contributing source to many of the Pendle Witches historical fiction texts published after its initial broadcast in 2012, the anniversary year, as it was hugely influential. This would include plays. One dramatist in particular, Lexi Wolfe, directly cites it as a source in her notes to the published version of her play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Pendle</w:t>
      </w:r>
      <w:r>
        <w:rPr>
          <w:rFonts w:ascii="Arial Rounded MT Bold" w:hAnsi="Arial Rounded MT Bold"/>
          <w:sz w:val="36"/>
          <w:szCs w:val="36"/>
          <w:lang w:val="en-US"/>
        </w:rPr>
        <w:t xml:space="preserve"> </w:t>
      </w:r>
      <w:r>
        <w:rPr>
          <w:rFonts w:ascii="Arial Rounded MT Bold" w:hAnsi="Arial Rounded MT Bold"/>
          <w:i/>
          <w:iCs/>
          <w:sz w:val="36"/>
          <w:szCs w:val="36"/>
          <w:lang w:val="en-US"/>
        </w:rPr>
        <w:t>Witch</w:t>
      </w:r>
      <w:r>
        <w:rPr>
          <w:rFonts w:ascii="Arial Rounded MT Bold" w:hAnsi="Arial Rounded MT Bold"/>
          <w:sz w:val="36"/>
          <w:szCs w:val="36"/>
          <w:lang w:val="en-US"/>
        </w:rPr>
        <w:t>. (2018) This play is one of her one-woman shows, in which she takes on the role of Jennet Device herself. Therefore, in the written version, the entire text is in Jennet's regional accent, with all the variant spelling. It opens in the year 1634, and takes place in the Witches' Tower dungeon of Lancaster Castle. Thus, the play begins towards the end of the story that it relates, and is mostly told in flashback form. Although Jennet Device is the only character that the audience encounters directly, the voices of the others also feature, as Jennet quotes them extensively. As is a common theatrical device used in single performer shows, the audience themselves become characters in the play, thus allowing the performer to address them directly in-story, without breaking the fourth wall. In this case, they represent fellow prisoners, newly arrived at the jail, to whom Jennet tells her story. To do this, she begins by flashing back twenty-two years; to the events surrounding the 1612 trials. This section culminates in the climactic events at the gallows, at which Jennet is a witness to the ten hangings taking place there on the 20th of August 1612. After this point, Jennet continues to retell the events of her life. They comprise a seamless narrative up to and including the events of the later trials; taking place in 1633 and 1634.</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It is now necessary to consider the later witchcraft trials. They took place in the same area just over twenty years after the 1612 trials. Several of the same families were involved in both. They additionally had other elements in common. Both sets of trials were heavily dependent on the evidence given by a child. Part of this testimony given was the claim that a witches' sabbat had taken place, comprising the form of a feast. In the first case, acts of witchcraft were supposedly plotted, alongside further conspiracies, such as the one to blow up Lancaster Castle. In the second case, the witchcraft apparently took place on the same day as the sabbat itself, in the form of animal transformation. The child in question was the ten-year-old Edmund Robinson, who invented a story to explain his late home coming. This story involved his abduction by witches, witches and boys magically transformed into dogs and a magnificent feast held at a building named Hoarstones. Edmund Robinson appears as a character in the contemporary Brome and Heywood play </w:t>
      </w:r>
      <w:r>
        <w:rPr>
          <w:rFonts w:ascii="Arial Rounded MT Bold" w:hAnsi="Arial Rounded MT Bold"/>
          <w:i/>
          <w:iCs/>
          <w:sz w:val="36"/>
          <w:szCs w:val="36"/>
          <w:lang w:val="en-US"/>
        </w:rPr>
        <w:t>The Witches of Lancashire</w:t>
      </w:r>
      <w:r>
        <w:rPr>
          <w:rFonts w:ascii="Arial Rounded MT Bold" w:hAnsi="Arial Rounded MT Bold"/>
          <w:sz w:val="36"/>
          <w:szCs w:val="36"/>
          <w:lang w:val="en-US"/>
        </w:rPr>
        <w:t xml:space="preserve"> (1634). This play was presented at the same time as the events were taking place; specifically during the later stage when a selection of the accused witches were brought to London to be examined by the King himself. By this time, the King was Charles I, the son of King James. King Charles was even more sceptical about witchcraft than his father had become by his later life. He therefore examined the so-called witches himself, with a little help from his Council, as well as his physician William Harvey, of blood circulation fame, due to his medical discoveries. Harvey found the 'witches' marks' previously identified on the women he examined to be "nothing unnatural".</w:t>
      </w:r>
      <w:r>
        <w:rPr>
          <w:rFonts w:ascii="Arial Rounded MT Bold" w:cs="Arial Rounded MT Bold" w:eastAsia="Arial Rounded MT Bold" w:hAnsi="Arial Rounded MT Bold"/>
          <w:sz w:val="36"/>
          <w:szCs w:val="36"/>
          <w:vertAlign w:val="superscript"/>
        </w:rPr>
        <w:footnoteReference w:id="18"/>
      </w:r>
      <w:r>
        <w:rPr>
          <w:rFonts w:ascii="Arial Rounded MT Bold" w:hAnsi="Arial Rounded MT Bold"/>
          <w:sz w:val="36"/>
          <w:szCs w:val="36"/>
          <w:lang w:val="en-US"/>
        </w:rPr>
        <w:t xml:space="preserve"> The remaining case therefore depended entirely upon the testimony of Edmund Robinson and his father. Under close examination, it did not take them long to capitulate, and admit that the story was a fabrication and the identifications they had made were false. The motive was financial gain; as they made money from their accusations. This is sometimes stated to be one of the motives behind the accusations in the Salem case. Thus, the witchcraft case in Lancashire in 1634 essentially collapsed, something unlikely to have happened in 1612, but not before a number of the accused had already died in the jail. The jail was the same place in both cases, at Lancaster Castle. One thing that had not changed in twenty years was the propensity of jail fever. The character representing Edmund Robinson in The Witches of Lancashire is just called 'Boy' in the play. Interestingly, the play neither uses his real name, nor a pseudonym. The character remains unnamed, perhaps so as not to add to the real boy's notoriety. He had indeed become notorious, due to his attending churches with his father, in order to identify the witches he saw at Hoarstones. This was the manner in which many of them were rounded up, including, it appears, one by the name of 'Jennet Davies' or else 'Jennet Device'. Such a name certainly draws the eye, and raises the question of whether or not it is the same Jennet Device who featured in the 1612 trials.</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Barring the emergence of new conclusive evidence, it is likely that it will never be known whether or not the Jennet Device involved in the 1612 trials was the same person listed among the accused in the 1633-34 trials. The idea of them being one and the same is tremendously appealing from the perspective of both history and historical fiction. It would give a satisfying circularity to her story, as well as bringing a sense of closure. Indeed, her ultimate fate could be considered karmic. As Simon Armitage states in the Pendle Witch Child documentary "The story that she had told had been so compelling that it inspired the later story that was used against her."  The fact that the witches were cleared of the charge and escaped execution showed the changing culture of the world in twenty years, in its gradual progression from superstition towards science. However, it would be an exaggeration to claim that the later accused witches had an entirely positive outcome to their trials. Rather their fortunes were ultimately mixed. Instead of immediately being released from the jail after being cleared, they all had to remain there until the bill for board and accommodation for their entire stay there had been settled. It has previously been stated that Jennet Device lived in a state of extreme poverty. This was also the case for many of the remainder of the accused. Settling the bill would have been a tremendous problem that worsened by the day to the point of being impossible. Jennet and the others therefore, effectively transferred from the Witches' Tower to the debtors' prison without moving locations.</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History's last mention of Jennet Device is Lancaster Castle's record of her still being a prisoner there in 1636. As she does not feature in the record of the following year, she is presumed to have died at the castle in 1636. This would make her thirty-three at the time of death, if Potts recorded her age accurately, and closer to thirty-six if she was slightly older as has been speculated. It is often postulated that she likely repeated the fate of her grandmother by dying from the jail fever at Lancaster Castle. Thus, the same cause of death at the same location. If that is the case, then she is likely to have been buried in an unmarked grave within the castle precincts. It would be almost impossible to locate her grave. There is, however, a grave record in the same name, dated the previous year of 1635. It appears in the burial records of Newchurch in the Pendle area. The exact date recorded is December 22nd, 1635. The entry reads "Jennet Seller alias Devis". While 'Devis' derives from 'Device', 'Seller' is an obvious variant spelling of the name 'Sellers', which is connected to Jennet through the evidence in the Potts pamphlet, and may have been her birth father's name, given her illegitimacy. It was also a surname well established in the area. Given that nothing is really known of the young Jennet following the execution of her entire family, in which she had played a role, her subsequent actions are often the subject of speculation. Some reports indicate that her family home of Malkin Tower was demolished shortly after the trials were concluded. Most fictional accounts of her life that continue after the execution of her family indirectly support this by having her live elsewhere after this point. Indeed, among all the fictional narratives encountered by this author, only one features her resuming her residence alone at Malkin Tower, and that is Lexi Wolfe's Pendle Witch play. In other stories she is sometimes taken into the care of Roger Nowell, presumably as a reward for her work for him. This care can be direct, such as her becoming a servant in his household, as happens in</w:t>
      </w:r>
      <w:r>
        <w:rPr>
          <w:rFonts w:ascii="Arial Rounded MT Bold" w:hAnsi="Arial Rounded MT Bold"/>
          <w:i/>
          <w:iCs/>
          <w:sz w:val="36"/>
          <w:szCs w:val="36"/>
          <w:lang w:val="en-US"/>
        </w:rPr>
        <w:t xml:space="preserve"> The Witches of</w:t>
      </w:r>
      <w:r>
        <w:rPr>
          <w:rFonts w:ascii="Arial Rounded MT Bold" w:hAnsi="Arial Rounded MT Bold"/>
          <w:sz w:val="36"/>
          <w:szCs w:val="36"/>
          <w:lang w:val="en-US"/>
        </w:rPr>
        <w:t xml:space="preserve"> </w:t>
      </w:r>
      <w:r>
        <w:rPr>
          <w:rFonts w:ascii="Arial Rounded MT Bold" w:hAnsi="Arial Rounded MT Bold"/>
          <w:i/>
          <w:iCs/>
          <w:sz w:val="36"/>
          <w:szCs w:val="36"/>
          <w:lang w:val="en-US"/>
        </w:rPr>
        <w:t>Pendle</w:t>
      </w:r>
      <w:r>
        <w:rPr>
          <w:rFonts w:ascii="Arial Rounded MT Bold" w:hAnsi="Arial Rounded MT Bold"/>
          <w:sz w:val="36"/>
          <w:szCs w:val="36"/>
          <w:lang w:val="en-US"/>
        </w:rPr>
        <w:t xml:space="preserve"> </w:t>
      </w:r>
      <w:r>
        <w:rPr>
          <w:rFonts w:ascii="Arial Rounded MT Bold" w:hAnsi="Arial Rounded MT Bold"/>
          <w:sz w:val="36"/>
          <w:szCs w:val="36"/>
          <w:lang w:val="en-US"/>
        </w:rPr>
        <w:t xml:space="preserve"> </w:t>
      </w:r>
      <w:r>
        <w:rPr>
          <w:rFonts w:ascii="Arial Rounded MT Bold" w:hAnsi="Arial Rounded MT Bold"/>
          <w:sz w:val="36"/>
          <w:szCs w:val="36"/>
          <w:lang w:val="en-US"/>
        </w:rPr>
        <w:t xml:space="preserve">novel. It can also be indirect, as he sometimes brings her to a third party, in order to be brought up by them. This third party may or may not be connected to her. In Sarah L King's previously mentioned novel trilogy focusing on Jennet, it is Peter Sellers himself, Jennet's own father. Roger personally escorts her to Peter's home and this marks the beginning of her being raised by him and taking his name. This explains the name on the grave record. It is entirely possible that Jennet was raised by her father, as, unlike John Device, he may have still been living in 1612. Roger Nowell played no part in the later witch trials. Fitting with his mature age of sixty-two in 1612, he was no longer alive by 1633. </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A number of inferences can be made from the two apparently incompatible dates. Jennet Device appears to have died in 1635, and yet seemingly still been living at the castle the following year. This might indicate that there were two women with this name, living in the same area at the same time, possibly with some family connection between them. Supporting this theory is the sheer popularity of the name Jennet in this place and time. There appear to have been four different Jennets included among the accused during the 1633-4 trials.</w:t>
      </w:r>
      <w:r>
        <w:rPr>
          <w:rFonts w:ascii="Arial Rounded MT Bold" w:cs="Arial Rounded MT Bold" w:eastAsia="Arial Rounded MT Bold" w:hAnsi="Arial Rounded MT Bold"/>
          <w:sz w:val="36"/>
          <w:szCs w:val="36"/>
          <w:vertAlign w:val="superscript"/>
        </w:rPr>
        <w:footnoteReference w:id="19"/>
      </w:r>
      <w:r>
        <w:rPr>
          <w:rFonts w:ascii="Arial Rounded MT Bold" w:hAnsi="Arial Rounded MT Bold"/>
          <w:sz w:val="36"/>
          <w:szCs w:val="36"/>
          <w:lang w:val="en-US"/>
        </w:rPr>
        <w:t xml:space="preserve"> This matches up with the 1612 trials, which featured two Jennets: Jennet Device, the child star witness, and Jennet Preston, the accused witch from Yorkshire, who was hanged in York in July 1612. Potts indicated that Jennet Device certainly knew her namesake, as in the pamphlet she asked after her during the trial, unaware that she had been hanged in York. This seemed to support the claim of Jennet Preston being present at the Malkin Tower Good Friday meeting.</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Many authors have written about the problem of the apparent two adult Jennet Devices. As there appear to be two, this arguably doubles the chances of the Pendle Witch Child having survived into adulthood. Probably the best analysis of the problem was written by John A. Clayton in his book </w:t>
      </w:r>
      <w:r>
        <w:rPr>
          <w:rFonts w:ascii="Arial Rounded MT Bold" w:hAnsi="Arial Rounded MT Bold"/>
          <w:i/>
          <w:iCs/>
          <w:sz w:val="36"/>
          <w:szCs w:val="36"/>
          <w:lang w:val="en-US"/>
        </w:rPr>
        <w:t>The Other Pendle Witches</w:t>
      </w:r>
      <w:r>
        <w:rPr>
          <w:rFonts w:ascii="Arial Rounded MT Bold" w:hAnsi="Arial Rounded MT Bold"/>
          <w:sz w:val="36"/>
          <w:szCs w:val="36"/>
          <w:lang w:val="en-US"/>
        </w:rPr>
        <w:t xml:space="preserve">, which is his account of the later trials. Clayton has also written other books about the Pendle Witches, and could seemingly be considered an expert on the topic. In </w:t>
      </w:r>
      <w:r>
        <w:rPr>
          <w:rFonts w:ascii="Arial Rounded MT Bold" w:hAnsi="Arial Rounded MT Bold"/>
          <w:i/>
          <w:iCs/>
          <w:sz w:val="36"/>
          <w:szCs w:val="36"/>
          <w:lang w:val="en-US"/>
        </w:rPr>
        <w:t>The Other Pendle Witches</w:t>
      </w:r>
      <w:r>
        <w:rPr>
          <w:rFonts w:ascii="Arial Rounded MT Bold" w:hAnsi="Arial Rounded MT Bold"/>
          <w:sz w:val="36"/>
          <w:szCs w:val="36"/>
          <w:lang w:val="en-US"/>
        </w:rPr>
        <w:t>, he submits the theory that the 1612 Jennet Device was the one buried in the churchyard in 1635, aged around thirty-two, while the one accused in the later trials was perhaps connected to John Device</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family and therefore not a blood relative of the original Jennet, but likely tainted by association with her, due to having the exact same name. He additionally notes that the records further describe Jennet Device as being </w:t>
      </w:r>
      <w:r>
        <w:rPr>
          <w:rFonts w:ascii="Arial Rounded MT Bold" w:hAnsi="Arial Rounded MT Bold" w:hint="default"/>
          <w:sz w:val="36"/>
          <w:szCs w:val="36"/>
          <w:lang w:val="en-US"/>
        </w:rPr>
        <w:t>“</w:t>
      </w:r>
      <w:r>
        <w:rPr>
          <w:rFonts w:ascii="Arial Rounded MT Bold" w:hAnsi="Arial Rounded MT Bold"/>
          <w:sz w:val="36"/>
          <w:szCs w:val="36"/>
          <w:lang w:val="en-US"/>
        </w:rPr>
        <w:t>the wife of William</w:t>
      </w:r>
      <w:r>
        <w:rPr>
          <w:rFonts w:ascii="Arial Rounded MT Bold" w:hAnsi="Arial Rounded MT Bold" w:hint="default"/>
          <w:sz w:val="36"/>
          <w:szCs w:val="36"/>
          <w:lang w:val="en-US"/>
        </w:rPr>
        <w:t>”</w:t>
      </w:r>
      <w:r>
        <w:rPr>
          <w:rFonts w:ascii="Arial Rounded MT Bold" w:hAnsi="Arial Rounded MT Bold"/>
          <w:sz w:val="36"/>
          <w:szCs w:val="36"/>
          <w:lang w:val="en-US"/>
        </w:rPr>
        <w:t xml:space="preserve">. This would seem to imply that she may have married one </w:t>
      </w:r>
      <w:r>
        <w:rPr>
          <w:rFonts w:ascii="Arial Rounded MT Bold" w:hAnsi="Arial Rounded MT Bold" w:hint="default"/>
          <w:sz w:val="36"/>
          <w:szCs w:val="36"/>
          <w:lang w:val="en-US"/>
        </w:rPr>
        <w:t>‘</w:t>
      </w:r>
      <w:r>
        <w:rPr>
          <w:rFonts w:ascii="Arial Rounded MT Bold" w:hAnsi="Arial Rounded MT Bold"/>
          <w:sz w:val="36"/>
          <w:szCs w:val="36"/>
          <w:lang w:val="en-US"/>
        </w:rPr>
        <w:t>William Device</w:t>
      </w:r>
      <w:r>
        <w:rPr>
          <w:rFonts w:ascii="Arial Rounded MT Bold" w:hAnsi="Arial Rounded MT Bold" w:hint="default"/>
          <w:sz w:val="36"/>
          <w:szCs w:val="36"/>
          <w:lang w:val="en-US"/>
        </w:rPr>
        <w:t>’</w:t>
      </w:r>
      <w:r>
        <w:rPr>
          <w:rFonts w:ascii="Arial Rounded MT Bold" w:hAnsi="Arial Rounded MT Bold"/>
          <w:sz w:val="36"/>
          <w:szCs w:val="36"/>
          <w:lang w:val="en-US"/>
        </w:rPr>
        <w:t>, and thus acquired the surname through marriage. This would distinguish her from the 1612 Jennet Device, who was born with the name. Confusingly though, the records list William Device among the suspects as a half brother of Jennet</w:t>
      </w:r>
      <w:r>
        <w:rPr>
          <w:rFonts w:ascii="Arial Rounded MT Bold" w:hAnsi="Arial Rounded MT Bold" w:hint="default"/>
          <w:sz w:val="36"/>
          <w:szCs w:val="36"/>
          <w:lang w:val="en-US"/>
        </w:rPr>
        <w:t>’</w:t>
      </w:r>
      <w:r>
        <w:rPr>
          <w:rFonts w:ascii="Arial Rounded MT Bold" w:hAnsi="Arial Rounded MT Bold"/>
          <w:sz w:val="36"/>
          <w:szCs w:val="36"/>
          <w:lang w:val="en-US"/>
        </w:rPr>
        <w:t>s, rather than a husband.</w:t>
      </w:r>
      <w:r>
        <w:rPr>
          <w:rFonts w:ascii="Arial Rounded MT Bold" w:cs="Arial Rounded MT Bold" w:eastAsia="Arial Rounded MT Bold" w:hAnsi="Arial Rounded MT Bold"/>
          <w:sz w:val="36"/>
          <w:szCs w:val="36"/>
          <w:vertAlign w:val="superscript"/>
        </w:rPr>
        <w:footnoteReference w:id="20"/>
      </w: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r>
        <w:rPr>
          <w:rFonts w:ascii="Arial Rounded MT Bold" w:hAnsi="Arial Rounded MT Bold"/>
          <w:sz w:val="36"/>
          <w:szCs w:val="36"/>
          <w:lang w:val="en-US"/>
        </w:rPr>
        <w:t>Clayton</w:t>
      </w:r>
      <w:r>
        <w:rPr>
          <w:rFonts w:ascii="Arial Rounded MT Bold" w:hAnsi="Arial Rounded MT Bold" w:hint="default"/>
          <w:sz w:val="36"/>
          <w:szCs w:val="36"/>
          <w:lang w:val="en-US"/>
        </w:rPr>
        <w:t>’</w:t>
      </w:r>
      <w:r>
        <w:rPr>
          <w:rFonts w:ascii="Arial Rounded MT Bold" w:hAnsi="Arial Rounded MT Bold"/>
          <w:sz w:val="36"/>
          <w:szCs w:val="36"/>
          <w:lang w:val="en-US"/>
        </w:rPr>
        <w:t>s real breakthrough was finding a solution to the problem that allowed for the two Jennets to be the same person and for that person to be the adult self of the 1612 child. He notes that the church burial record was an interpolation, and thus added at a later date from the date written in it. This leads him to the speculation that the year it refers to could be incorrect, and 1635 could have been written in error for 1636, the correct year. This would reconcile the burial record with the presumed death date of Jennet Device in the castle, and mean that the grave it refers to could be hers. After all, as she had been cleared of the witchcraft charges, a church burial would not have been denied her. Clayton</w:t>
      </w:r>
      <w:r>
        <w:rPr>
          <w:rFonts w:ascii="Arial Rounded MT Bold" w:hAnsi="Arial Rounded MT Bold" w:hint="default"/>
          <w:sz w:val="36"/>
          <w:szCs w:val="36"/>
          <w:lang w:val="en-US"/>
        </w:rPr>
        <w:t>’</w:t>
      </w:r>
      <w:r>
        <w:rPr>
          <w:rFonts w:ascii="Arial Rounded MT Bold" w:hAnsi="Arial Rounded MT Bold"/>
          <w:sz w:val="36"/>
          <w:szCs w:val="36"/>
          <w:lang w:val="en-US"/>
        </w:rPr>
        <w:t>s assessment is certainly very plausible and an efficient manner in which to reconcile the apparently conflicting evidence. I would also add the additional speculation that in handwriting, the figures 5 and 6 can sometimes be mistaken for one another. It is therefore possible that the burial record was misread as 1635, and it may really have been 1636.</w:t>
      </w:r>
    </w:p>
    <w:p>
      <w:pPr>
        <w:pStyle w:val="style4100"/>
        <w:rPr>
          <w:rFonts w:ascii="Arial Rounded MT Bold" w:cs="Arial Rounded MT Bold" w:eastAsia="Arial Rounded MT Bold" w:hAnsi="Arial Rounded MT Bold"/>
          <w:sz w:val="36"/>
          <w:szCs w:val="36"/>
        </w:rPr>
      </w:pPr>
    </w:p>
    <w:p>
      <w:pPr>
        <w:pStyle w:val="style4100"/>
        <w:rPr>
          <w:rFonts w:ascii="Arial Rounded MT Bold" w:cs="Arial Rounded MT Bold" w:eastAsia="Arial Rounded MT Bold" w:hAnsi="Arial Rounded MT Bold"/>
          <w:sz w:val="36"/>
          <w:szCs w:val="36"/>
        </w:rPr>
      </w:pPr>
    </w:p>
    <w:p>
      <w:pPr>
        <w:pStyle w:val="style4100"/>
        <w:rPr>
          <w:rFonts w:ascii="Arial Rounded MT Bold" w:hAnsi="Arial Rounded MT Bold"/>
          <w:sz w:val="36"/>
          <w:szCs w:val="36"/>
          <w:lang w:val="en-US"/>
        </w:rPr>
      </w:pPr>
      <w:r>
        <w:rPr>
          <w:rFonts w:ascii="Arial Rounded MT Bold" w:hAnsi="Arial Rounded MT Bold"/>
          <w:sz w:val="36"/>
          <w:szCs w:val="36"/>
          <w:lang w:val="en-US"/>
        </w:rPr>
        <w:t xml:space="preserve">William Harrison Ainsworth added an epilogue at the end of his novel, stating that Jennet Device was later hanged for witchcraft. As has been considered in this chapter, this idea came from real history, but his ultimate conclusion was inaccurate. This source may have led to the false assumption that Jennet Device came to this karmic end. It is the kind of rumour that arises and spreads because the idea of it being true could be considered satisfying. Comparable in the History of Witchcraft is the story told about Matthew Hopkins, the Witchfinder General himself (who incidentally, invented his own title) stating that he ended up being hanged for witchcraft. While satisfying, this story is probably untrue. Evidence indicates it is more likely that he died from a lung disease. It is possible that Ainsworth was influenced by the previously mentioned play about the later trials, </w:t>
      </w:r>
      <w:r>
        <w:rPr>
          <w:rFonts w:ascii="Arial Rounded MT Bold" w:hAnsi="Arial Rounded MT Bold"/>
          <w:i/>
          <w:iCs/>
          <w:sz w:val="36"/>
          <w:szCs w:val="36"/>
          <w:lang w:val="en-US"/>
        </w:rPr>
        <w:t>The Witches of Lancashire</w:t>
      </w:r>
      <w:r>
        <w:rPr>
          <w:rFonts w:ascii="Arial Rounded MT Bold" w:hAnsi="Arial Rounded MT Bold"/>
          <w:sz w:val="36"/>
          <w:szCs w:val="36"/>
          <w:lang w:val="en-US"/>
        </w:rPr>
        <w:t xml:space="preserve">. This play concludes with the witches being rounded up to be hanged. This is perhaps what Brome and Heywood expected to happen in real life. Remarkably, their play was in production before the real case was concluded. They therefore had to guess the ending. As a concession that their guesswork could be fallible, the playwrights added an epilogue stating that the outcome could be changed by the impending legal proceedings. It is remarkable how contemporary the play was to the real events, to the point of being ahead of them. A measure of the play's success is that it played at the Globe theatre in August 1634 for three consecutive days, which was beyond the typical schedule for the time. Jennet Device herself does not feature as a character in the play, but her grandmother Demdike does, alongside a number of names recognisable from the 1634 accused. Brome and Haywood thus used a combination of witches from the earlier and later Pendle trials to populate their play. Notably, Ainsworth was the author of a number of historical novels. The only one that has never been out of print is his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Witches</w:t>
      </w:r>
      <w:r>
        <w:rPr>
          <w:rFonts w:ascii="Arial Rounded MT Bold" w:hAnsi="Arial Rounded MT Bold"/>
          <w:sz w:val="36"/>
          <w:szCs w:val="36"/>
          <w:lang w:val="en-US"/>
        </w:rPr>
        <w:t xml:space="preserve"> </w:t>
      </w:r>
      <w:r>
        <w:rPr>
          <w:rFonts w:ascii="Arial Rounded MT Bold" w:hAnsi="Arial Rounded MT Bold"/>
          <w:i/>
          <w:iCs/>
          <w:sz w:val="36"/>
          <w:szCs w:val="36"/>
          <w:lang w:val="en-US"/>
        </w:rPr>
        <w:t>of</w:t>
      </w:r>
      <w:r>
        <w:rPr>
          <w:rFonts w:ascii="Arial Rounded MT Bold" w:hAnsi="Arial Rounded MT Bold"/>
          <w:sz w:val="36"/>
          <w:szCs w:val="36"/>
          <w:lang w:val="en-US"/>
        </w:rPr>
        <w:t xml:space="preserve"> </w:t>
      </w:r>
      <w:r>
        <w:rPr>
          <w:rFonts w:ascii="Arial Rounded MT Bold" w:hAnsi="Arial Rounded MT Bold"/>
          <w:i/>
          <w:iCs/>
          <w:sz w:val="36"/>
          <w:szCs w:val="36"/>
          <w:lang w:val="en-US"/>
        </w:rPr>
        <w:t>Lancashire: A Romance of Pendle Forest</w:t>
      </w:r>
      <w:r>
        <w:rPr>
          <w:rFonts w:ascii="Arial Rounded MT Bold" w:hAnsi="Arial Rounded MT Bold"/>
          <w:sz w:val="36"/>
          <w:szCs w:val="36"/>
          <w:lang w:val="en-US"/>
        </w:rPr>
        <w:t>, which is indicative of the novel</w:t>
      </w:r>
      <w:r>
        <w:rPr>
          <w:rFonts w:ascii="Arial Rounded MT Bold" w:hAnsi="Arial Rounded MT Bold" w:hint="default"/>
          <w:sz w:val="36"/>
          <w:szCs w:val="36"/>
          <w:lang w:val="en-US"/>
        </w:rPr>
        <w:t>’</w:t>
      </w:r>
      <w:r>
        <w:rPr>
          <w:rFonts w:ascii="Arial Rounded MT Bold" w:hAnsi="Arial Rounded MT Bold"/>
          <w:sz w:val="36"/>
          <w:szCs w:val="36"/>
          <w:lang w:val="en-US"/>
        </w:rPr>
        <w:t>s success and popularity. Ainsworth is also the first credited author to write a historical novel about the Lancashire witches. Prior to his time, the literary fashion ran more to plays.</w:t>
      </w:r>
    </w:p>
    <w:p>
      <w:pPr>
        <w:pStyle w:val="style4100"/>
        <w:rPr>
          <w:rFonts w:ascii="Arial Rounded MT Bold" w:hAnsi="Arial Rounded MT Bold"/>
          <w:sz w:val="36"/>
          <w:szCs w:val="36"/>
          <w:lang w:val="en-US"/>
        </w:rPr>
      </w:pPr>
    </w:p>
    <w:p>
      <w:pPr>
        <w:pStyle w:val="style410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Chapter Three</w:t>
      </w: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The Survivors: Roger and Mrs Nowell, Margaret Pearson and Alice Grey</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This chapter is about the survivors. It seems to be a logical following point from the previous chapter on Jennet Device. She herself could also be considered a survivor, but such a complex and important character required a chapter to herself. The surviving characters named in this chapter heading are less famous than Jennet Device ; the "Pendle Witch Child" herself, in spite of the worldly prominence of one of them. Roger Nowell has been previously referred to in this dissertation as the local magistrate. Specifically, he was the Justice of the Peace. Additionally, he held the further title of High Sheriff of Lancashire. Thus, from a worldly perspective, Roger Nowell could be considered almost the most important character in the story, as well as the highest authority. He was second only to King James himself on both counts. Considering his role as the authority against the witches; at least up until the trial, he could also be viewed as either a hero or a villain, depending on perspective. There is also a third option to this, which is to alternatively present him as a victim. Some of the more modern treatments of the story have branched out into including Roger Nowell's own viewpoint and presenting him as a sympathetic figure. This is partially accomplished by fleshing out his wife into a major character. Considering the worldly importance of Roger Nowell, which might be expected to logically extend to his wife, the historical record on him is surprisingly sketchy. This is partly due to his family connections. He was both the father and son of a 'Roger Nowell'. Thus, the family tradition of passing on the name can make it a challenge to historically track the correct Roger Nowell, in pursuit of such details as his marriage and birth and death dates. The Roger Nowell in question was the one who held the office of High Sheriff of Lancashire in 1612. In historical fiction and drama, he is usually presented as being of mature years; fairly close to modern retirement age in fact. This is consistent with his age in the secondary sources, which is usually given as sixty-two. Philip C. Almond's book and the Pendle Witches Handbook both agree on this point.</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Regarding the portrayal of Roger Nowell in historical fiction, there has been a decided and noticeable shift between the character's presentation in older and newer texts. In the first two classic historical novels that represent the nineteenth and twentieth centuries respectively, he is certainly a major character, although his level of portrayed sympathy is debatable. In Ainsworth's </w:t>
      </w:r>
      <w:r>
        <w:rPr>
          <w:rFonts w:ascii="Arial Rounded MT Bold" w:hAnsi="Arial Rounded MT Bold"/>
          <w:i/>
          <w:iCs/>
          <w:sz w:val="36"/>
          <w:szCs w:val="36"/>
          <w:lang w:val="en-US"/>
        </w:rPr>
        <w:t>Lancashire Witches: The Romance of Pendle Forest</w:t>
      </w:r>
      <w:r>
        <w:rPr>
          <w:rFonts w:ascii="Arial Rounded MT Bold" w:hAnsi="Arial Rounded MT Bold"/>
          <w:sz w:val="36"/>
          <w:szCs w:val="36"/>
          <w:lang w:val="en-US"/>
        </w:rPr>
        <w:t>, he is characterised with a certain level of self-important officiousness. This might be expected, given his position in the community, but it often fails to command respect, and the character descends to levels of the ridiculous. This is compounded by the treatment he receives from other characters. However, this applies less to him than it does to Thomas Potts, who features here as a lawyer, so he is favoured by the comparison. Differing from most twenty first century Pendle Witch treatments, in this nineteenth century depiction, the witches are definitively portrayed as being guilty and being villains. This is with the exception of Alizon Device, who functions as a heroine in this Victorian novel. She is portrayed as being innocent of witchcraft, in spite of the witches' constant attempts to draw her in. More on this topic features in the chapter on Alice Nutter. Thus, as the witches are evil villains, in spite of Alice Nutter's constant moral and emotional fluctuations, when Roger Nowell is targeted by their threats and mischiefs he becomes more sympathetic. Certainly his frustration is palpable during the scene with Alice Nutter, when her demonic minions literally move the boundaries during his territory dispute with her. The scene also has comic elements, but it certainly aids the readers' empathy and sympathy with Roger Nowell. A similar effect occurs in a later scene, also with Alice Nutter. This features him being demonstrably frightened when she traps him in her home and threatens him with supernatural horrors.</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An interesting recurring component that features across the first two Pendle Witches novels is that Roger Nowell is portrayed as a widower. Thus, his wife is omitted entirely. Or rather, she is technically a character, but a posthumous one, having been dead for an unspecified number of years. This is historically inaccurate, as research indicates that she was destined to live until 1621, some nine years after the trials. There is also very little indication in these early texts of the existence of Roger's ten children with her. It seems that </w:t>
      </w:r>
      <w:r>
        <w:rPr>
          <w:rFonts w:ascii="Arial Rounded MT Bold" w:hAnsi="Arial Rounded MT Bold"/>
          <w:i/>
          <w:iCs/>
          <w:sz w:val="36"/>
          <w:szCs w:val="36"/>
          <w:lang w:val="en-US"/>
        </w:rPr>
        <w:t>Romance</w:t>
      </w:r>
      <w:r>
        <w:rPr>
          <w:rFonts w:ascii="Arial Rounded MT Bold" w:hAnsi="Arial Rounded MT Bold"/>
          <w:sz w:val="36"/>
          <w:szCs w:val="36"/>
          <w:lang w:val="en-US"/>
        </w:rPr>
        <w:t xml:space="preserve"> </w:t>
      </w:r>
      <w:r>
        <w:rPr>
          <w:rFonts w:ascii="Arial Rounded MT Bold" w:hAnsi="Arial Rounded MT Bold"/>
          <w:i/>
          <w:iCs/>
          <w:sz w:val="36"/>
          <w:szCs w:val="36"/>
          <w:lang w:val="en-US"/>
        </w:rPr>
        <w:t>of</w:t>
      </w:r>
      <w:r>
        <w:rPr>
          <w:rFonts w:ascii="Arial Rounded MT Bold" w:hAnsi="Arial Rounded MT Bold"/>
          <w:sz w:val="36"/>
          <w:szCs w:val="36"/>
          <w:lang w:val="en-US"/>
        </w:rPr>
        <w:t xml:space="preserve"> </w:t>
      </w:r>
      <w:r>
        <w:rPr>
          <w:rFonts w:ascii="Arial Rounded MT Bold" w:hAnsi="Arial Rounded MT Bold"/>
          <w:i/>
          <w:iCs/>
          <w:sz w:val="36"/>
          <w:szCs w:val="36"/>
          <w:lang w:val="en-US"/>
        </w:rPr>
        <w:t>Pendle</w:t>
      </w:r>
      <w:r>
        <w:rPr>
          <w:rFonts w:ascii="Arial Rounded MT Bold" w:hAnsi="Arial Rounded MT Bold"/>
          <w:sz w:val="36"/>
          <w:szCs w:val="36"/>
          <w:lang w:val="en-US"/>
        </w:rPr>
        <w:t xml:space="preserve"> </w:t>
      </w:r>
      <w:r>
        <w:rPr>
          <w:rFonts w:ascii="Arial Rounded MT Bold" w:hAnsi="Arial Rounded MT Bold"/>
          <w:i/>
          <w:iCs/>
          <w:sz w:val="36"/>
          <w:szCs w:val="36"/>
          <w:lang w:val="en-US"/>
        </w:rPr>
        <w:t>Forest</w:t>
      </w:r>
      <w:r>
        <w:rPr>
          <w:rFonts w:ascii="Arial Rounded MT Bold" w:hAnsi="Arial Rounded MT Bold"/>
          <w:sz w:val="36"/>
          <w:szCs w:val="36"/>
          <w:lang w:val="en-US"/>
        </w:rPr>
        <w:t xml:space="preserve"> and</w:t>
      </w:r>
      <w:r>
        <w:rPr>
          <w:rFonts w:ascii="Arial Rounded MT Bold" w:hAnsi="Arial Rounded MT Bold"/>
          <w:i/>
          <w:iCs/>
          <w:sz w:val="36"/>
          <w:szCs w:val="36"/>
          <w:lang w:val="en-US"/>
        </w:rPr>
        <w:t xml:space="preserve"> Mist over Pendle</w:t>
      </w:r>
      <w:r>
        <w:rPr>
          <w:rFonts w:ascii="Arial Rounded MT Bold" w:hAnsi="Arial Rounded MT Bold"/>
          <w:sz w:val="36"/>
          <w:szCs w:val="36"/>
          <w:lang w:val="en-US"/>
        </w:rPr>
        <w:t xml:space="preserve"> had more to gain from presenting Roger as a solitary widower than from historical accuracy. This was due to dramatic reasons, in terms of how they utilised his character. It should be additionally noted that every single historical fiction text on the topic encountered by this author contains historical inaccuracies. They are by no means all connected to Mrs Nowell, who constitutes only one example. The inaccuracies can confidently be presumed to be deliberate for effect, as it is evident that all the authors have done their research.</w:t>
      </w:r>
    </w:p>
    <w:p>
      <w:pPr>
        <w:pStyle w:val="style0"/>
        <w:rPr>
          <w:rFonts w:ascii="Arial Rounded MT Bold" w:cs="Arial Rounded MT Bold" w:eastAsia="Arial Rounded MT Bold" w:hAnsi="Arial Rounded MT Bold"/>
          <w:i/>
          <w:iCs/>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i/>
          <w:iCs/>
          <w:sz w:val="36"/>
          <w:szCs w:val="36"/>
          <w:lang w:val="en-US"/>
        </w:rPr>
        <w:t>Mist Over Pendle</w:t>
      </w:r>
      <w:r>
        <w:rPr>
          <w:rFonts w:ascii="Arial Rounded MT Bold" w:hAnsi="Arial Rounded MT Bold"/>
          <w:sz w:val="36"/>
          <w:szCs w:val="36"/>
          <w:lang w:val="en-US"/>
        </w:rPr>
        <w:t xml:space="preserve"> is notably different in tone from </w:t>
      </w:r>
      <w:r>
        <w:rPr>
          <w:rFonts w:ascii="Arial Rounded MT Bold" w:hAnsi="Arial Rounded MT Bold"/>
          <w:i/>
          <w:iCs/>
          <w:sz w:val="36"/>
          <w:szCs w:val="36"/>
          <w:lang w:val="en-US"/>
        </w:rPr>
        <w:t>Romance</w:t>
      </w:r>
      <w:r>
        <w:rPr>
          <w:rFonts w:ascii="Arial Rounded MT Bold" w:hAnsi="Arial Rounded MT Bold"/>
          <w:sz w:val="36"/>
          <w:szCs w:val="36"/>
          <w:lang w:val="en-US"/>
        </w:rPr>
        <w:t xml:space="preserve"> </w:t>
      </w:r>
      <w:r>
        <w:rPr>
          <w:rFonts w:ascii="Arial Rounded MT Bold" w:hAnsi="Arial Rounded MT Bold"/>
          <w:i/>
          <w:iCs/>
          <w:sz w:val="36"/>
          <w:szCs w:val="36"/>
          <w:lang w:val="en-US"/>
        </w:rPr>
        <w:t>of</w:t>
      </w:r>
      <w:r>
        <w:rPr>
          <w:rFonts w:ascii="Arial Rounded MT Bold" w:hAnsi="Arial Rounded MT Bold"/>
          <w:sz w:val="36"/>
          <w:szCs w:val="36"/>
          <w:lang w:val="en-US"/>
        </w:rPr>
        <w:t xml:space="preserve"> </w:t>
      </w:r>
      <w:r>
        <w:rPr>
          <w:rFonts w:ascii="Arial Rounded MT Bold" w:hAnsi="Arial Rounded MT Bold"/>
          <w:i/>
          <w:iCs/>
          <w:sz w:val="36"/>
          <w:szCs w:val="36"/>
          <w:lang w:val="en-US"/>
        </w:rPr>
        <w:t>Pendle</w:t>
      </w:r>
      <w:r>
        <w:rPr>
          <w:rFonts w:ascii="Arial Rounded MT Bold" w:hAnsi="Arial Rounded MT Bold"/>
          <w:sz w:val="36"/>
          <w:szCs w:val="36"/>
          <w:lang w:val="en-US"/>
        </w:rPr>
        <w:t xml:space="preserve"> </w:t>
      </w:r>
      <w:r>
        <w:rPr>
          <w:rFonts w:ascii="Arial Rounded MT Bold" w:hAnsi="Arial Rounded MT Bold"/>
          <w:i/>
          <w:iCs/>
          <w:sz w:val="36"/>
          <w:szCs w:val="36"/>
          <w:lang w:val="en-US"/>
        </w:rPr>
        <w:t>Forest</w:t>
      </w:r>
      <w:r>
        <w:rPr>
          <w:rFonts w:ascii="Arial Rounded MT Bold" w:hAnsi="Arial Rounded MT Bold"/>
          <w:sz w:val="36"/>
          <w:szCs w:val="36"/>
          <w:lang w:val="en-US"/>
        </w:rPr>
        <w:t>. Being a twentieth century novel, it contains fewer of the ostentatiously Victorian elements of Melodrama and Tragedy. It presents a more appealing version of Roger Nowell than that featured in Ainsworth's book. The character is portrayed with more dignity and charisma. The main protagonist is his (presumably fictitious) cousin Margery who resides with him. Margery seems to be a Mary Sue type character before her time. I name her as such because everything in the story seems to centre around her. She takes on the Thomas Potts role; acting as Roger's clerk, and making record of all the witchcraft proceedings. Thus, passages from the original pamphlet find their way into the book. Margery assisting Roger as his clerk is emblematic of their close relationship as friends and allies, as well as family. Margery is so deeply involved in the investigation and the legal proceedings that it can be difficult for the reader to remember her absence from the real historical events. The book even goes so far as to have her musing to herself close to the conclusion that the whole investigation might not have happened but for her presence in Pendle. It is known from history of course, that it both could and did happen without her, but in the world of the book she is deeply enmeshed in the events and inherently a part of them. Hence Mary Sue. I would argue that although this was not yet a recognised literary term, in the 1950's, when the book was published, the author uses the Mary Sue here before her time. As to why he did this, it is a matter for speculation. I would postulate that his intention was to present the story through a female viewpoint, but not through the eyes of the witches themselves. As with the Victorian novel, the witches are still presented as being guilty at this point in history. If not of the witchcraft itself, which covers a lot of the accused, then their guilt is of some sundry petty offences in the case of Alizon Device, and full on multiple murders in the case of Alice Nutter. The latter was considered in her Chapter. Retelling the story through the perspectives of one or more of the witches themselves, goes hand in hand with casting doubt on the idea of their guilt, and did not reach the height of popularity until the twenty first century. There was a veritable explosion in publishing on the topic, and it was connected to the four hundredth anniversary of the trials, commemorated in 2012 and marked with many events.</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 As to the elusive Mrs Nowell, she is, like her husband, also rather difficult to track through history. After extensive genealogical research, this author was eventually able to locate her on a family tree. ("An History of the Original Parish of Whalley and Honor of Clitheroe, Thomas Dunham Whitaker, 4th ed, vol.2, pub. George Routledge and Sons 1876, main Nowell pedigree between pages 40 and 41.") Her birth and death dates are listed as about 1560-1621. Her maiden name was Katherine Morton and she features on the tree with her husband and their ten children, the oldest of which followed the family tradition by being named Roger Nowell. Interestingly, the 1818 Jane Austen novel </w:t>
      </w:r>
      <w:r>
        <w:rPr>
          <w:rFonts w:ascii="Arial Rounded MT Bold" w:hAnsi="Arial Rounded MT Bold"/>
          <w:i/>
          <w:iCs/>
          <w:sz w:val="36"/>
          <w:szCs w:val="36"/>
          <w:lang w:val="en-US"/>
        </w:rPr>
        <w:t>Northangar</w:t>
      </w:r>
      <w:r>
        <w:rPr>
          <w:rFonts w:ascii="Arial Rounded MT Bold" w:hAnsi="Arial Rounded MT Bold"/>
          <w:sz w:val="36"/>
          <w:szCs w:val="36"/>
          <w:lang w:val="en-US"/>
        </w:rPr>
        <w:t xml:space="preserve"> </w:t>
      </w:r>
      <w:r>
        <w:rPr>
          <w:rFonts w:ascii="Arial Rounded MT Bold" w:hAnsi="Arial Rounded MT Bold"/>
          <w:i/>
          <w:iCs/>
          <w:sz w:val="36"/>
          <w:szCs w:val="36"/>
          <w:lang w:val="en-US"/>
        </w:rPr>
        <w:t>Abbey</w:t>
      </w:r>
      <w:r>
        <w:rPr>
          <w:rFonts w:ascii="Arial Rounded MT Bold" w:hAnsi="Arial Rounded MT Bold"/>
          <w:sz w:val="36"/>
          <w:szCs w:val="36"/>
          <w:lang w:val="en-US"/>
        </w:rPr>
        <w:t xml:space="preserve"> </w:t>
      </w:r>
      <w:r>
        <w:rPr>
          <w:rFonts w:ascii="Arial Rounded MT Bold" w:hAnsi="Arial Rounded MT Bold"/>
          <w:sz w:val="36"/>
          <w:szCs w:val="36"/>
          <w:lang w:val="en-US"/>
        </w:rPr>
        <w:t xml:space="preserve"> </w:t>
      </w:r>
      <w:r>
        <w:rPr>
          <w:rFonts w:ascii="Arial Rounded MT Bold" w:hAnsi="Arial Rounded MT Bold"/>
          <w:sz w:val="36"/>
          <w:szCs w:val="36"/>
          <w:lang w:val="en-US"/>
        </w:rPr>
        <w:t xml:space="preserve">features a heroine named Catherine Morland (same first name, similar surname) who comes from a family of ten children. This is either an appealing coincidence, or evidence of historical research and interest on Austen's part. Between the variant spelling and the fact that neither the name Catherine, nor surnames with the prefix 'Mor', nor the family size were especially uncommon, it is best written off as a coincidence, although it makes for a charming connection. As to the connection between the historical character and her historical fiction counterparts, Stacey Halls in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Familiars</w:t>
      </w:r>
      <w:r>
        <w:rPr>
          <w:rFonts w:ascii="Arial Rounded MT Bold" w:hAnsi="Arial Rounded MT Bold"/>
          <w:sz w:val="36"/>
          <w:szCs w:val="36"/>
          <w:lang w:val="en-US"/>
        </w:rPr>
        <w:t xml:space="preserve"> (201</w:t>
      </w:r>
      <w:r>
        <w:rPr>
          <w:sz w:val="36"/>
          <w:szCs w:val="36"/>
          <w:lang w:val="en-US"/>
        </w:rPr>
        <w:t>9</w:t>
      </w:r>
      <w:r>
        <w:rPr>
          <w:rFonts w:ascii="Arial Rounded MT Bold" w:hAnsi="Arial Rounded MT Bold"/>
          <w:sz w:val="36"/>
          <w:szCs w:val="36"/>
          <w:lang w:val="en-US"/>
        </w:rPr>
        <w:t>) seems to have researched and presented her as she was historically, as far as the limited record will allow. That is to say, she names her Katherine and presents her with multiple children, although the number is unspecified. It would be an exaggeration to refer to Katherine Nowell as a major character in this particular novel. She is, however, a strong supporting character, functioning as both a friend and a foil to the main character and narrator, Fleetwood Shuttleworth. Indeed, she is probably her closest friend and contemporary, prior to the heroine forming a closer connection to the novel's other female lead and fellow survivor, Alice Grey. It is almost unbelievable that it took until 201</w:t>
      </w:r>
      <w:r>
        <w:rPr>
          <w:sz w:val="36"/>
          <w:szCs w:val="36"/>
          <w:lang w:val="en-US"/>
        </w:rPr>
        <w:t>9</w:t>
      </w:r>
      <w:r>
        <w:rPr>
          <w:rFonts w:ascii="Arial Rounded MT Bold" w:hAnsi="Arial Rounded MT Bold"/>
          <w:sz w:val="36"/>
          <w:szCs w:val="36"/>
          <w:lang w:val="en-US"/>
        </w:rPr>
        <w:t xml:space="preserve"> (over four hundred years from the historical events and after almost two centuries of historical fiction on the topic) for a novel to be published on Alice Grey, the only defendant to receive an acquittal.</w:t>
      </w:r>
      <w:r>
        <w:rPr>
          <w:sz w:val="36"/>
          <w:szCs w:val="36"/>
          <w:lang w:val="en-US"/>
        </w:rPr>
        <w:t xml:space="preserve"> </w:t>
      </w:r>
      <w:r>
        <w:rPr>
          <w:rFonts w:ascii="Arial Rounded MT Bold" w:hAnsi="Arial Rounded MT Bold"/>
          <w:sz w:val="36"/>
          <w:szCs w:val="36"/>
          <w:lang w:val="en-US"/>
        </w:rPr>
        <w:t>This is not including the Salmesbury Witches, who comprise a separate category. They were all acquitted, due to the veracity of the testimony given by the child witness against them being called into question. This did not happen in the case of Jennet Device, therefore all the Pendle Witches who survived long enough to be tried were convicted, save Alice Grey. The question of why the convictions happened has been explored for centuries in both fiction and history. The question of why the acquittal occurred seems to have remained unexplored until 201</w:t>
      </w:r>
      <w:r>
        <w:rPr>
          <w:sz w:val="36"/>
          <w:szCs w:val="36"/>
          <w:lang w:val="en-US"/>
        </w:rPr>
        <w:t>9</w:t>
      </w:r>
      <w:r>
        <w:rPr>
          <w:rFonts w:ascii="Arial Rounded MT Bold" w:hAnsi="Arial Rounded MT Bold"/>
          <w:sz w:val="36"/>
          <w:szCs w:val="36"/>
          <w:lang w:val="en-US"/>
        </w:rPr>
        <w:t>. This question in fact, essentially cannot be answered historically, due to Potts neglecting to include a record of Grey's trial in the pamphlet, either by accident or by design. It can only be vaguely ascertained that Katherine Hewitt ("Mould Heels") was ruled by the court as being solely responsible for the crime that she and Alice Grey had been jointly charged with; the murder by witchcraft of the child Anne Foulds. Both women were residents of Colne and seem to have known one another. This is about all that history can inform us on the matter. Stacey Halls uses historical fiction to explore the question of the acquittal, and gives as plausible an account as any, given how little comparative material is available.</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In contrast to the fairly historically accurate portrayal of Mrs Nowell featured in Stacey Halls' book, Richard Shannon in his 2012 play </w:t>
      </w:r>
      <w:r>
        <w:rPr>
          <w:rFonts w:ascii="Arial Rounded MT Bold" w:hAnsi="Arial Rounded MT Bold"/>
          <w:i/>
          <w:iCs/>
          <w:sz w:val="36"/>
          <w:szCs w:val="36"/>
          <w:lang w:val="en-US"/>
        </w:rPr>
        <w:t>Sabbat</w:t>
      </w:r>
      <w:r>
        <w:rPr>
          <w:rFonts w:ascii="Arial Rounded MT Bold" w:hAnsi="Arial Rounded MT Bold"/>
          <w:sz w:val="36"/>
          <w:szCs w:val="36"/>
          <w:lang w:val="en-US"/>
        </w:rPr>
        <w:t xml:space="preserve">, utilises a version of the character who is an almost entirely fictional construct. Instead of being named Katherine and having multiple living children, she is named Judith, and experiences reproductive issues that drive the entire story. Shannon even states in his Introduction to the Third Edition that he calls her Judith, indicating that his version of the character is fictional. In this play, Judith Nowell has a close connection and friendship with Alice Nutter that is entirely absent from the historical record. Besides being friends, Alice Nutter attends Judith Nowell as her midwife. Judith spends part of the play being pregnant. This pregnancy does not have a successful outcome, due to ending in a miscarriage. This proves to be a contributing factor to the downfall of Alice Nutter and her being drawn into the Witch Trials. The friendship between Alice Nutter and Judith Nowell is comparable to that of Alice Grey and Fleetwood Shuttleworth in </w:t>
      </w:r>
      <w:r>
        <w:rPr>
          <w:rFonts w:ascii="Arial Rounded MT Bold" w:hAnsi="Arial Rounded MT Bold"/>
          <w:i/>
          <w:iCs/>
          <w:sz w:val="36"/>
          <w:szCs w:val="36"/>
          <w:lang w:val="en-US"/>
        </w:rPr>
        <w:t>The Familiars</w:t>
      </w:r>
      <w:r>
        <w:rPr>
          <w:rFonts w:ascii="Arial Rounded MT Bold" w:hAnsi="Arial Rounded MT Bold"/>
          <w:sz w:val="36"/>
          <w:szCs w:val="36"/>
          <w:lang w:val="en-US"/>
        </w:rPr>
        <w:t xml:space="preserve">. Besides sharing the same first name, the two Alices partake in significant friendships with those they attend as midwives; Judith Nowell and Fleetwood Shuttleworth respectively. In both cases, the friendship in question has a major drive factor on the story. Shannon's play is also comparable to Jeanette Winterson's novella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Daylight</w:t>
      </w:r>
      <w:r>
        <w:rPr>
          <w:rFonts w:ascii="Arial Rounded MT Bold" w:hAnsi="Arial Rounded MT Bold"/>
          <w:sz w:val="36"/>
          <w:szCs w:val="36"/>
          <w:lang w:val="en-US"/>
        </w:rPr>
        <w:t xml:space="preserve"> </w:t>
      </w:r>
      <w:r>
        <w:rPr>
          <w:rFonts w:ascii="Arial Rounded MT Bold" w:hAnsi="Arial Rounded MT Bold"/>
          <w:i/>
          <w:iCs/>
          <w:sz w:val="36"/>
          <w:szCs w:val="36"/>
          <w:lang w:val="en-US"/>
        </w:rPr>
        <w:t>Gate</w:t>
      </w:r>
      <w:r>
        <w:rPr>
          <w:rFonts w:ascii="Arial Rounded MT Bold" w:hAnsi="Arial Rounded MT Bold"/>
          <w:sz w:val="36"/>
          <w:szCs w:val="36"/>
          <w:lang w:val="en-US"/>
        </w:rPr>
        <w:t>. Both stories feature an Alice Nutter who differs significantly from her historical counterpart, and who is involved in some kind of relationship with another character which is absent from the historical record. Some of this material is explored in the chapter focusing on Alice Nutter.</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In contrast to the midwifery relationship causing trouble for the Alice character, and bringing her into the Witch Trials, as happens in </w:t>
      </w:r>
      <w:r>
        <w:rPr>
          <w:rFonts w:ascii="Arial Rounded MT Bold" w:hAnsi="Arial Rounded MT Bold"/>
          <w:i/>
          <w:iCs/>
          <w:sz w:val="36"/>
          <w:szCs w:val="36"/>
          <w:lang w:val="en-US"/>
        </w:rPr>
        <w:t>Sabbat</w:t>
      </w:r>
      <w:r>
        <w:rPr>
          <w:rFonts w:ascii="Arial Rounded MT Bold" w:hAnsi="Arial Rounded MT Bold"/>
          <w:sz w:val="36"/>
          <w:szCs w:val="36"/>
          <w:lang w:val="en-US"/>
        </w:rPr>
        <w:t xml:space="preserve">, in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Familiars</w:t>
      </w:r>
      <w:r>
        <w:rPr>
          <w:rFonts w:ascii="Arial Rounded MT Bold" w:hAnsi="Arial Rounded MT Bold"/>
          <w:sz w:val="36"/>
          <w:szCs w:val="36"/>
          <w:lang w:val="en-US"/>
        </w:rPr>
        <w:t xml:space="preserve"> it is that relationship with a higher status character that saves Alice Grey. This proves to be an immense task, as might be expected, given the overall conviction rate in the trials. It takes almost the entire length of the novel to accomplish. No less arduous a task is that of saving the life of the narrator herself, Fleetwood Shuttleworth. A central pressing concern that runs through most of the novel is that Fleetwood is in serious danger of dying in childbirth. She spends most of the story heavily pregnant. It is her fourth pregnancy, following three others with unsuccessful outcomes, that ended in miscarriages and stillbirths. She is seventeen years old and in the fourth year of her marriage to Richard Shuttleworth. The Shuttleworths are high status characters who are on friendly terms with the Nowells. As regards to her age, her marriage and her reproductive history, the portrayal of Fleetwood Shuttleworth is consistent with the historical records. Stacey Halls has researched the character, just as she did with Katherine Nowell. The lack of historical information on Alice Grey, due to her obscurity, low status and missing trial record gave her less material to work with. It was therefore necessary for her to invent more in her case, and make use of her imagination. What it provided for Alice Grey though, is perfectly plausible. </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Realistically for a poor woman of her time period, Alice does not know her exact age. Her estimation of it is twenty, making her fairly contemporaneous with Fleetwood, and partially accounting for the affinity between them. Interestingly, Fleetwood is also affiliated with at least two other 'witches'. Alizon Device is also close to her in age:</w:t>
      </w: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"She does not know." Roger said. "But she thinks she has about seventeen years."</w:t>
      </w:r>
    </w:p>
    <w:p>
      <w:pPr>
        <w:pStyle w:val="style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 " My age! " </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Roger also describes Alizon as having black hair, before referencing some negative superstitions about people with black hair, indicating his willingness to believe the worst about Alizon. Fleetwood is mildly offended, and responds ' "I have black hair" ', only to be chided like a child for her interruption. This is the first indication of the possibility that Fleetwood herself could be drawn into the Witch Trials. The grim idea returns in a more serious manner further on, when Roger Nowell directly threatens her with it. He affirms the plausibility of the suggestion that Fleetwood could join the accused witches, by comparing her to Alice Nutter. Like Fleetwood, Alice Nutter is wealthier and higher status then the majority of the accused witches and does not fit in with them. This makes Roger's threat to Fleetwood very real. She is undeterred though, in her task of saving Alice Grey, Nutter's namesake, from condemnation in the trials. She accomplishes this by riding around the countryside in order to see the relevant sites for herself as well as interviewing many people involved. She eventually locates a man connected to the specific case against Alice Grey; the child murder, and bribes him with a lifetime supply of alcohol to write out a statement clearing Alice of culpability. Such are the ways of the wealthy and the privileged to lubricate the mechanisms of justice. Sadly</w:t>
      </w:r>
      <w:r>
        <w:rPr>
          <w:sz w:val="36"/>
          <w:szCs w:val="36"/>
          <w:lang w:val="en-US"/>
        </w:rPr>
        <w:t>,</w:t>
      </w:r>
      <w:r>
        <w:rPr>
          <w:rFonts w:ascii="Arial Rounded MT Bold" w:hAnsi="Arial Rounded MT Bold"/>
          <w:sz w:val="36"/>
          <w:szCs w:val="36"/>
          <w:lang w:val="en-US"/>
        </w:rPr>
        <w:t xml:space="preserve"> they also have their limitations. This is demonstrated by Fleetwood's failure to additionally save Katherine Hewitt ("Mould Heels"). This had been a high priority for her, secondary only to saving Alice, due to Alice's friendship with Hewitt. The statement that the man in question writes concerning Hewitt, written immediately after Alice's, proves to be illegible. It therefore fails to save Hewitt when Richard Shuttleworth, Fleetwood's husband delivers it to the courtroom. Alice's statement though, was a resounding success, and assured her acquittal. Nothing short of a miracle could have saved a suspected Pendle Witch from condemnation and execution. Such a close friendship between two women from different classes in this time period and under these circumstances could indeed be considered miraculous. Strengthening the friendship was the fact that the two of them were in the position to save one another's lives, from the respective dangers of childbirth and execution. Alice does indeed attend Fleetwood's child bed as midwife, and sees her safely through it. With the usual dramatic timing, the two climactic events of the novel, Alice's trial and Fleetwood's labour, take place almost simultaneously. Fleetwood is prevented by her labour from attending Alice's trial in person, which is why she has to send Richard with the statement. Alice attends her directly after her acquittal, and proceeds to save her life and that of her child, a boy. Thus, the novel has a happy ending, which is very unusual for a Pendle Witches story, and makes a refreshing change. Incidentally, this is also the reason why I have chosen to focus this last chapter on the survivors; in order to end on a note of optimism. Margaret Pearson, another survivor, is also referenced towards the end of the novel. Learning her fate further contributes to the sense of optimism that pervades the ending.</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Mary Sharratt's </w:t>
      </w:r>
      <w:r>
        <w:rPr>
          <w:rFonts w:ascii="Arial Rounded MT Bold" w:hAnsi="Arial Rounded MT Bold"/>
          <w:i/>
          <w:iCs/>
          <w:sz w:val="36"/>
          <w:szCs w:val="36"/>
          <w:lang w:val="en-US"/>
        </w:rPr>
        <w:t>Daughters of the Witching Hill</w:t>
      </w:r>
      <w:r>
        <w:rPr>
          <w:rFonts w:ascii="Arial Rounded MT Bold" w:hAnsi="Arial Rounded MT Bold"/>
          <w:sz w:val="36"/>
          <w:szCs w:val="36"/>
          <w:lang w:val="en-US"/>
        </w:rPr>
        <w:t xml:space="preserve"> (2010) is a rare example of a twenty first century Pendle Witches novel published before the 2012 four hundredth anniversary. It is also one of the only three historical fiction texts located by this author, to contain any reference to Margaret Pearson. Of these, only two give her story any kind of coherence and closure. None of these books give her a leading role; she remains a peripheral character at best. It is perhaps a novel about her that is the missing piece from the Pendle Witches historical fiction canon. It could be argued that she deserves one; as, like Alice Grey, she is a long neglected survivor among the Pendle Witches. However, it took until 2010 for her to be mentioned in these texts, so progress is being made. </w:t>
      </w:r>
      <w:r>
        <w:rPr>
          <w:rFonts w:ascii="Arial Rounded MT Bold" w:hAnsi="Arial Rounded MT Bold"/>
          <w:i/>
          <w:iCs/>
          <w:sz w:val="36"/>
          <w:szCs w:val="36"/>
          <w:lang w:val="en-US"/>
        </w:rPr>
        <w:t>Daughters of the Witching Hill</w:t>
      </w:r>
      <w:r>
        <w:rPr>
          <w:rFonts w:ascii="Arial Rounded MT Bold" w:hAnsi="Arial Rounded MT Bold"/>
          <w:sz w:val="36"/>
          <w:szCs w:val="36"/>
          <w:lang w:val="en-US"/>
        </w:rPr>
        <w:t xml:space="preserve"> is chronologically the earliest found text to feature Margaret Pearson as a character. She is invariably called 'Meg' in this book; one of the classic diminutives for Margaret. Interestingly, this book also features Alice Grey and her story. Comparable to 'Meg' Pearson, she too is a peripheral character and therefore lacks focus, but her fate is revealed. It would</w:t>
      </w:r>
      <w:r>
        <w:rPr>
          <w:sz w:val="36"/>
          <w:szCs w:val="36"/>
          <w:lang w:val="en-US"/>
        </w:rPr>
        <w:t xml:space="preserve"> be another nine</w:t>
      </w:r>
      <w:r>
        <w:rPr>
          <w:rFonts w:ascii="Arial Rounded MT Bold" w:hAnsi="Arial Rounded MT Bold"/>
          <w:sz w:val="36"/>
          <w:szCs w:val="36"/>
          <w:lang w:val="en-US"/>
        </w:rPr>
        <w:t xml:space="preserve"> years before she was cast in a leading role in Stacey Halls'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Familiars</w:t>
      </w:r>
      <w:r>
        <w:rPr>
          <w:rFonts w:ascii="Arial Rounded MT Bold" w:hAnsi="Arial Rounded MT Bold"/>
          <w:sz w:val="36"/>
          <w:szCs w:val="36"/>
          <w:lang w:val="en-US"/>
        </w:rPr>
        <w:t>. The emerging pattern indicated by the presence of Alice Grey and Margaret Pearson in these later texts suggest that by the twenty first century, historical fiction writers were more concerned with historical accuracy and with retelling the story more completely than had been their focus in the nineteenth and twentieth centuries. It certainly makes for a refreshing change to come across these two surviving characters in fictional treatments. It might be speculated that they were omitted from the earlier texts due to their survival undercutting the tension and drama of the story and perhaps interfering with the pacing.</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i/>
          <w:iCs/>
          <w:sz w:val="36"/>
          <w:szCs w:val="36"/>
        </w:rPr>
      </w:pPr>
      <w:r>
        <w:rPr>
          <w:rFonts w:ascii="Arial Rounded MT Bold" w:hAnsi="Arial Rounded MT Bold"/>
          <w:sz w:val="36"/>
          <w:szCs w:val="36"/>
          <w:lang w:val="en-US"/>
        </w:rPr>
        <w:t xml:space="preserve">Historically speaking, the real Margaret Pearson could be considered as more fortunate than her associates who had been condemned and hanged but less fortunate than Alice Grey. Alice Grey after all, had been acquitted and set free, and was the only defendant among the Pendle Witches to receive this result. Margaret Pearson was an interesting case, as she was convicted of witchcraft, but not condemned to hang. Instead, she was sentenced to the pillory, on four successive market days in the surrounding towns, in addition to a year's jail sentence. This was because the court ruled that unlike the rest of the convicted, Margaret's witchcraft had done no harm to a human, but only to an animal. She was found guilty of bewitching a horse. Specifically, the charge was that she had literally slipped through a loophole in a stable door, and ridden the mare all night until she had died from exhaustion. Thus, the literal loophole that she had supposedly slipped through, led to a legal loophole, allowing her to slip through the cracks and be convicted as a witch but escape death for it. This is rather fascinating and compounds the strange lack of a novel starring this character. Interestingly, her case anticipated several elements of the later 1633 Lancashire Witch Trials. Most obviously was the idea of the witch or witches being imprisoned instead of executed (in the same place; Lancaster Castle) and narrowly escaping a hanging. There was also the presence of horses in both cases. Margaret Pearson was said to have bewitched a horse to death, while the 1633 witches were said to have transformed people into horses, in order to ride them to their Sabbats. Their skill at animal transformation also extended to themselves, as they were said to have changed into such creatures as dogs and cats. These are all features of the story that made it to the 1634 Brome and Heywood play about the later witches; </w:t>
      </w:r>
      <w:r>
        <w:rPr>
          <w:rFonts w:ascii="Arial Rounded MT Bold" w:hAnsi="Arial Rounded MT Bold"/>
          <w:i/>
          <w:iCs/>
          <w:sz w:val="36"/>
          <w:szCs w:val="36"/>
          <w:lang w:val="en-US"/>
        </w:rPr>
        <w:t>The Witches of Lancashire.</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Precious little of Margaret Pearson is known to history. Besides the details of her conviction and sentence, it is additionally known that part of the so-called evidence against her is her apparently having a toad for a familiar. This might explain her inclusion in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Familiars</w:t>
      </w:r>
      <w:r>
        <w:rPr>
          <w:rFonts w:ascii="Arial Rounded MT Bold" w:hAnsi="Arial Rounded MT Bold"/>
          <w:sz w:val="36"/>
          <w:szCs w:val="36"/>
          <w:lang w:val="en-US"/>
        </w:rPr>
        <w:t xml:space="preserve">. As the title indicates, this book is deeply concerned with the witches' animal companions and the ambivalent relationship between witch and familiar. The account in Potts's pamphlet of a toad crawling from Margaret's fireplace and being carried outside by her with a pair of tongs features in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Familiars</w:t>
      </w:r>
      <w:r>
        <w:rPr>
          <w:rFonts w:ascii="Arial Rounded MT Bold" w:hAnsi="Arial Rounded MT Bold"/>
          <w:sz w:val="36"/>
          <w:szCs w:val="36"/>
          <w:lang w:val="en-US"/>
        </w:rPr>
        <w:t>. The only difference is the witness being Margaret's servant in the book, instead of a neighbour, as in the real history. This might indicate that she is depicted as higher class in the book. It might therefore be implied that this is why she escapes hanging. It is not acknowledged directly. Instead, her being spared is vaguely accounted for with the speculation ' "Perhaps a shred of sense prevailed?" ' However, given how helpful having friends in high places was to Alice Grey, it might be implied that being higher class was helpful to Margaret, even though it failed to save Alice Nutter.</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One thing history does know of Margaret Pearson is that she was married. Potts mentions that Pearson is her married name, and the pamphlet makes reference to her husband. Interestingly, none of the fictional treatments acknowledge her marriage. It might simply be that she is such a minor character that her marital status has no relevance to the story and therefore remains unstated. Something unknown about her is her age. This varies across the fictional versions that feature her. Jeanette Winterson's </w:t>
      </w:r>
      <w:r>
        <w:rPr>
          <w:rFonts w:ascii="Arial Rounded MT Bold" w:hAnsi="Arial Rounded MT Bold"/>
          <w:i/>
          <w:iCs/>
          <w:sz w:val="36"/>
          <w:szCs w:val="36"/>
          <w:lang w:val="en-US"/>
        </w:rPr>
        <w:t>The Daylight Gate</w:t>
      </w:r>
      <w:r>
        <w:rPr>
          <w:rFonts w:ascii="Arial Rounded MT Bold" w:hAnsi="Arial Rounded MT Bold"/>
          <w:sz w:val="36"/>
          <w:szCs w:val="36"/>
          <w:lang w:val="en-US"/>
        </w:rPr>
        <w:t xml:space="preserve"> portrays her as young, while </w:t>
      </w:r>
      <w:r>
        <w:rPr>
          <w:rFonts w:ascii="Arial Rounded MT Bold" w:hAnsi="Arial Rounded MT Bold"/>
          <w:i/>
          <w:iCs/>
          <w:sz w:val="36"/>
          <w:szCs w:val="36"/>
          <w:lang w:val="en-US"/>
        </w:rPr>
        <w:t>Daughters of</w:t>
      </w:r>
      <w:r>
        <w:rPr>
          <w:rFonts w:ascii="Arial Rounded MT Bold" w:hAnsi="Arial Rounded MT Bold"/>
          <w:sz w:val="36"/>
          <w:szCs w:val="36"/>
          <w:lang w:val="en-US"/>
        </w:rPr>
        <w:t xml:space="preserve"> </w:t>
      </w:r>
      <w:r>
        <w:rPr>
          <w:rFonts w:ascii="Arial Rounded MT Bold" w:hAnsi="Arial Rounded MT Bold"/>
          <w:i/>
          <w:iCs/>
          <w:sz w:val="36"/>
          <w:szCs w:val="36"/>
          <w:lang w:val="en-US"/>
        </w:rPr>
        <w:t xml:space="preserve">the Witching Hill </w:t>
      </w:r>
      <w:r>
        <w:rPr>
          <w:rFonts w:ascii="Arial Rounded MT Bold" w:hAnsi="Arial Rounded MT Bold"/>
          <w:sz w:val="36"/>
          <w:szCs w:val="36"/>
          <w:lang w:val="en-US"/>
        </w:rPr>
        <w:t xml:space="preserve">depicts her in her mature years by the time of the trials; a contemporary of the octogenarians Demdike and Chattox. Incidentally, Alice Grey is also represented as old like these characters in this book. This contrasts with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Familiars</w:t>
      </w:r>
      <w:r>
        <w:rPr>
          <w:rFonts w:ascii="Arial Rounded MT Bold" w:hAnsi="Arial Rounded MT Bold"/>
          <w:sz w:val="36"/>
          <w:szCs w:val="36"/>
          <w:lang w:val="en-US"/>
        </w:rPr>
        <w:t xml:space="preserve">, which features Alice as a young woman, and contemporary of the teenage narrator.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Familiars</w:t>
      </w:r>
      <w:r>
        <w:rPr>
          <w:rFonts w:ascii="Arial Rounded MT Bold" w:hAnsi="Arial Rounded MT Bold"/>
          <w:sz w:val="36"/>
          <w:szCs w:val="36"/>
          <w:lang w:val="en-US"/>
        </w:rPr>
        <w:t xml:space="preserve"> does not specify Margaret's age at all, but merely refers to her as a woman, with no indication of her level of maturity. This makes sense, as the narrator, Fleetwood, never encounters her in person. </w:t>
      </w:r>
      <w:r>
        <w:rPr>
          <w:rFonts w:ascii="Arial Rounded MT Bold" w:hAnsi="Arial Rounded MT Bold"/>
          <w:sz w:val="36"/>
          <w:szCs w:val="36"/>
          <w:lang w:val="en-US"/>
        </w:rPr>
        <w:t>In</w:t>
      </w:r>
      <w:r>
        <w:rPr>
          <w:rFonts w:ascii="Arial Rounded MT Bold" w:hAnsi="Arial Rounded MT Bold"/>
          <w:sz w:val="36"/>
          <w:szCs w:val="36"/>
          <w:lang w:val="en-US"/>
        </w:rPr>
        <w:t xml:space="preserve">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Familiars</w:t>
      </w:r>
      <w:r>
        <w:rPr>
          <w:rFonts w:ascii="Arial Rounded MT Bold" w:hAnsi="Arial Rounded MT Bold"/>
          <w:sz w:val="36"/>
          <w:szCs w:val="36"/>
          <w:lang w:val="en-US"/>
        </w:rPr>
        <w:t xml:space="preserve">, Margaret Pearson is a character who is only referred to; never appearing 'onstage' directly. </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hAnsi="Arial Rounded MT Bold"/>
          <w:sz w:val="36"/>
          <w:szCs w:val="36"/>
          <w:lang w:val="en-US"/>
        </w:rPr>
      </w:pPr>
      <w:r>
        <w:rPr>
          <w:rFonts w:ascii="Arial Rounded MT Bold" w:hAnsi="Arial Rounded MT Bold"/>
          <w:sz w:val="36"/>
          <w:szCs w:val="36"/>
          <w:lang w:val="en-US"/>
        </w:rPr>
        <w:t xml:space="preserve">An additional important relationship featured in </w:t>
      </w:r>
      <w:r>
        <w:rPr>
          <w:rFonts w:ascii="Arial Rounded MT Bold" w:hAnsi="Arial Rounded MT Bold"/>
          <w:i/>
          <w:iCs/>
          <w:sz w:val="36"/>
          <w:szCs w:val="36"/>
          <w:lang w:val="en-US"/>
        </w:rPr>
        <w:t>Sabbat</w:t>
      </w:r>
      <w:r>
        <w:rPr>
          <w:rFonts w:ascii="Arial Rounded MT Bold" w:hAnsi="Arial Rounded MT Bold"/>
          <w:sz w:val="36"/>
          <w:szCs w:val="36"/>
          <w:lang w:val="en-US"/>
        </w:rPr>
        <w:t xml:space="preserve"> is that between the two Nowells; husband and wife. Indeed, the play features the deepest and most detailed depiction of their marriage in any work of historical fiction. This claim might be less noteworthy than it seems to be, as it is only in the works featured in this chapter that Mrs Nowell functions as any kind of significant character. Besides both being very sympathetically portrayed, the two Nowells are also both leading roles in the play. This is another statement that requires clarification and context. All the roles in the play could be considered leading roles. They all have a lot of lines and stage time and there are only four of them in number. Indeed, in earlier drafts of the play, there were only three; the Nowells and Alice Nutter. During the preparation of the Third Edition, the author was specifically asked to add a role for a fourth actor, due to staging requirements. He refers to this in the Introduction. The fourth character added was "Jennet Device". The use of the quotation marks is to distinguish this version of Jennet from her historical counterpart. This is more necessary in this text than in others. Shannon</w:t>
      </w:r>
      <w:r>
        <w:rPr>
          <w:rFonts w:ascii="Arial Rounded MT Bold" w:hAnsi="Arial Rounded MT Bold" w:hint="default"/>
          <w:sz w:val="36"/>
          <w:szCs w:val="36"/>
          <w:lang w:val="en-US"/>
        </w:rPr>
        <w:t>’</w:t>
      </w:r>
      <w:r>
        <w:rPr>
          <w:rFonts w:ascii="Arial Rounded MT Bold" w:hAnsi="Arial Rounded MT Bold"/>
          <w:sz w:val="36"/>
          <w:szCs w:val="36"/>
          <w:lang w:val="en-US"/>
        </w:rPr>
        <w:t>s version of Jennet Device represents both herself and her sister Alizon. He merges the two sisters into a single character; thus creating a composite. It makes for an interesting approach to the Device sisters, as they are usually portrayed as being in diametric opposition to one another. This aligns with the real history, with one of them being a defendant, indeed, the central one, whose case catalysed the entire mass witch hunt, while the other was the chief prosecution witness and presumed informant against all the accused witches. As it transpires in the play, this unconventional approach is surprisingly successful. Portrayed as rather mentally feeble, "Jennet" is shown as being traumatised by her arrest, incarceration and interrogation. She is also threatened and intimidated by Roger Nowell, and essentially broken under his questioning, leading to her both confessing herself like Alizon did, and accusing others like Jennet did. Indeed, the character's feeble mental state as demonstrated by herself and referenced by other characters (such as Alice Nutter's "Jennet's head is so muddled that she cannot tell a lie from the truth in broad daylight") would seem to represent her brother James, and thus add him to the Device sibling composite that she embodies. He is also featured in the name given to "Jennet's" familiar, 'Dandy'; a large, dark dog. Besides understandably wanting to include the presence of James Device when he lacked the space to feature him as an actual character, it makes sense for Shannon to use the name Dandy; that of his dog. Alizon's familiar, the notorious black dog, who had supposedly lamed John Law had not yet been named. According to Potts's pamphlet, one of the intended purposes of the Malkin Tower Good Friday meeting was to name the dog (be he physical or spectral) ceremonially. As Clayton states in The Pendle Witch Handbook, this indicates that the meeting was planned even before the arrest of the first four witch suspects. Thus, Shannon's "Jennet Device" represents all three of the Device siblings to varying degrees of composition in the resulting character. She is therefore simultaneously a historical character and a literary device. This constitutes a rather clever pun, that "Jennet Device" besides being herself, is also a device. This adds yet another layer to her</w:t>
      </w:r>
      <w:r>
        <w:rPr>
          <w:rFonts w:hAnsi="Arial Rounded MT Bold"/>
          <w:sz w:val="36"/>
          <w:szCs w:val="36"/>
          <w:lang w:val="en-GB"/>
        </w:rPr>
        <w:t>.</w:t>
      </w:r>
    </w:p>
    <w:p>
      <w:pPr>
        <w:pStyle w:val="style0"/>
        <w:rPr>
          <w:rFonts w:ascii="Arial Rounded MT Bold" w:hAnsi="Arial Rounded MT Bold"/>
          <w:sz w:val="36"/>
          <w:szCs w:val="36"/>
          <w:lang w:val="en-US"/>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Conclusion</w:t>
      </w:r>
    </w:p>
    <w:p>
      <w:pPr>
        <w:pStyle w:val="style0"/>
        <w:jc w:val="center"/>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In conclusion, the true story of the Pendle Witches has traced a substantial journey through the world of historical fiction. It began as a fairly standard Victorian novel, with this period's familiar (pun intended, considering the demonic familiars) elements of melodrama and tragedy, in addition to its archetypal stock characters as heroine and arch villianess. Admittedly, the juxtapositional pairing of them as mother and daughter made for an unusual technique of storytelling. By the twentieth century, the tale had become a very early example of a Mary Sue vehicle, anticipating an imminent literary trend. By the time of the twenty first century, Pendle Witches historical fiction had much more widespread use of historical and artistic license. Multiple works</w:t>
      </w:r>
      <w:r>
        <w:rPr>
          <w:rFonts w:hAnsi="Arial Rounded MT Bold"/>
          <w:sz w:val="36"/>
          <w:szCs w:val="36"/>
          <w:lang w:val="en-GB"/>
        </w:rPr>
        <w:t xml:space="preserve"> </w:t>
      </w:r>
      <w:r>
        <w:rPr>
          <w:rFonts w:ascii="Arial Rounded MT Bold" w:hAnsi="Arial Rounded MT Bold"/>
          <w:sz w:val="36"/>
          <w:szCs w:val="36"/>
          <w:lang w:val="en-US"/>
        </w:rPr>
        <w:t xml:space="preserve">have been produced, far more than can be covered here, where a few pertinent examples will have to suffice. The multiplicity of works were catalysed by the four hundredth anniversary celebrations in 2012. Two new novellas were commissioned, one focused on Jennet Device and one on Alice Nutter. Many other authors and dramatists followed the example of Levi Michael and Jeanette Winterson, and produced new versions of their own. Another influence was the Pendle Witch Child documentary (2012), which was extremely instrumental in bringing the case into the modern public consciousness. It perhaps played an equivalent role to Ainsworth's book in its time. </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Pendle Witches historical fiction seems to have become a genre or sub-genre all of its own, with near infinite capacity for production. With so many different characters, narrative forms and perspectives, it seems that this story can go on retelling itself unto infinity.</w:t>
      </w:r>
      <w:r>
        <w:rPr>
          <w:sz w:val="36"/>
          <w:szCs w:val="36"/>
          <w:lang w:val="en-US"/>
        </w:rPr>
        <w:t xml:space="preserve"> There appears to be a general trend towards increased historical accuracy and coherence. More and more characters are stepping forwards into the limelight to retell the story through their own perspectives. Margaret Pearson may yet have her day. Modern authors are granting the Pendle Witches what they were denied in their own time; their own voices and stories.</w:t>
      </w:r>
      <w:r>
        <w:rPr>
          <w:rFonts w:ascii="Arial Rounded MT Bold" w:hAnsi="Arial Rounded MT Bold"/>
          <w:sz w:val="36"/>
          <w:szCs w:val="36"/>
          <w:lang w:val="en-US"/>
        </w:rPr>
        <w:t xml:space="preserve"> One might speculate that Thomas Potts</w:t>
      </w:r>
      <w:r>
        <w:rPr>
          <w:rFonts w:hAnsi="Arial Rounded MT Bold"/>
          <w:sz w:val="36"/>
          <w:szCs w:val="36"/>
          <w:lang w:val="en-GB"/>
        </w:rPr>
        <w:t xml:space="preserve"> </w:t>
      </w:r>
      <w:r>
        <w:rPr>
          <w:rFonts w:ascii="Arial Rounded MT Bold" w:hAnsi="Arial Rounded MT Bold"/>
          <w:sz w:val="36"/>
          <w:szCs w:val="36"/>
          <w:lang w:val="en-US"/>
        </w:rPr>
        <w:t>imagined that his would be the only voice</w:t>
      </w:r>
      <w:r>
        <w:rPr>
          <w:rFonts w:hAnsi="Arial Rounded MT Bold"/>
          <w:sz w:val="36"/>
          <w:szCs w:val="36"/>
          <w:lang w:val="en-GB"/>
        </w:rPr>
        <w:t xml:space="preserve"> </w:t>
      </w:r>
      <w:r>
        <w:rPr>
          <w:rFonts w:hAnsi="Arial Rounded MT Bold"/>
          <w:sz w:val="36"/>
          <w:szCs w:val="36"/>
          <w:lang w:val="en-GB"/>
        </w:rPr>
        <w:t>to</w:t>
      </w:r>
      <w:r>
        <w:rPr>
          <w:rFonts w:ascii="Arial Rounded MT Bold" w:hAnsi="Arial Rounded MT Bold"/>
          <w:sz w:val="36"/>
          <w:szCs w:val="36"/>
          <w:lang w:val="en-US"/>
        </w:rPr>
        <w:t xml:space="preserve"> that would tell the story, and he would have the last word on the subject. Little could he have known that he would be the forefather of so many retellings in multiple voices, all of which could not have existed without his pamphlet. Even if it was not his intention, we can learn from him about the importance of storytelling to achieve a kind of immortality. It brings to mind the words of the fictionalised version of Jennet Device in Levi Michael's book, as she emphatically insists "This is my story." So it is, in this version, and in several others. In other retellings, it might belong to another character. Above all, it belongs to history and to literature and the shadowy realm between the two, known as historical fiction. Long may it remain there.</w:t>
      </w: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 </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Bibliography</w:t>
      </w: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Primary Sources</w:t>
      </w:r>
    </w:p>
    <w:p>
      <w:pPr>
        <w:pStyle w:val="style0"/>
        <w:jc w:val="center"/>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Ainsworth, W.H., </w:t>
      </w:r>
      <w:r>
        <w:rPr>
          <w:rFonts w:ascii="Arial Rounded MT Bold" w:hAnsi="Arial Rounded MT Bold"/>
          <w:i/>
          <w:iCs/>
          <w:sz w:val="36"/>
          <w:szCs w:val="36"/>
          <w:lang w:val="en-US"/>
        </w:rPr>
        <w:t>The Lancashire Witches: A Romance of</w:t>
      </w:r>
      <w:r>
        <w:rPr>
          <w:rFonts w:ascii="Arial Rounded MT Bold" w:hAnsi="Arial Rounded MT Bold"/>
          <w:sz w:val="36"/>
          <w:szCs w:val="36"/>
          <w:lang w:val="en-US"/>
        </w:rPr>
        <w:t xml:space="preserve"> </w:t>
      </w:r>
      <w:r>
        <w:rPr>
          <w:rFonts w:ascii="Arial Rounded MT Bold" w:hAnsi="Arial Rounded MT Bold"/>
          <w:i/>
          <w:iCs/>
          <w:sz w:val="36"/>
          <w:szCs w:val="36"/>
          <w:lang w:val="en-US"/>
        </w:rPr>
        <w:t>Pendle Forest</w:t>
      </w:r>
      <w:r>
        <w:rPr>
          <w:rFonts w:ascii="Arial Rounded MT Bold" w:hAnsi="Arial Rounded MT Bold"/>
          <w:sz w:val="36"/>
          <w:szCs w:val="36"/>
          <w:lang w:val="en-US"/>
        </w:rPr>
        <w:t xml:space="preserve"> (London: Routledge, 1854,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Akinyemi, R., </w:t>
      </w:r>
      <w:r>
        <w:rPr>
          <w:rFonts w:ascii="Arial Rounded MT Bold" w:hAnsi="Arial Rounded MT Bold"/>
          <w:i/>
          <w:iCs/>
          <w:sz w:val="36"/>
          <w:szCs w:val="36"/>
          <w:lang w:val="en-US"/>
        </w:rPr>
        <w:t>The Witches of Pendle</w:t>
      </w:r>
      <w:r>
        <w:rPr>
          <w:rFonts w:ascii="Arial Rounded MT Bold" w:hAnsi="Arial Rounded MT Bold"/>
          <w:sz w:val="36"/>
          <w:szCs w:val="36"/>
          <w:lang w:val="en-US"/>
        </w:rPr>
        <w:t xml:space="preserve"> (Oxford: Oxford University Press, 2008, Kobo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Culpeper, N., </w:t>
      </w:r>
      <w:r>
        <w:rPr>
          <w:rFonts w:ascii="Arial Rounded MT Bold" w:hAnsi="Arial Rounded MT Bold"/>
          <w:i/>
          <w:iCs/>
          <w:sz w:val="36"/>
          <w:szCs w:val="36"/>
          <w:lang w:val="en-US"/>
        </w:rPr>
        <w:t>Complete Herbal</w:t>
      </w:r>
      <w:r>
        <w:rPr>
          <w:rFonts w:ascii="Arial Rounded MT Bold" w:hAnsi="Arial Rounded MT Bold"/>
          <w:sz w:val="36"/>
          <w:szCs w:val="36"/>
          <w:lang w:val="en-US"/>
        </w:rPr>
        <w:t xml:space="preserve"> (London, Richard Evans, 1814,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Halls, S., </w:t>
      </w:r>
      <w:r>
        <w:rPr>
          <w:rFonts w:ascii="Arial Rounded MT Bold" w:hAnsi="Arial Rounded MT Bold"/>
          <w:i/>
          <w:iCs/>
          <w:sz w:val="36"/>
          <w:szCs w:val="36"/>
          <w:lang w:val="en-US"/>
        </w:rPr>
        <w:t>The</w:t>
      </w:r>
      <w:r>
        <w:rPr>
          <w:rFonts w:ascii="Arial Rounded MT Bold" w:hAnsi="Arial Rounded MT Bold"/>
          <w:i w:val="false"/>
          <w:iCs w:val="false"/>
          <w:sz w:val="36"/>
          <w:szCs w:val="36"/>
          <w:lang w:val="en-US"/>
        </w:rPr>
        <w:t xml:space="preserve"> </w:t>
      </w:r>
      <w:r>
        <w:rPr>
          <w:rFonts w:ascii="Arial Rounded MT Bold" w:hAnsi="Arial Rounded MT Bold"/>
          <w:i/>
          <w:iCs/>
          <w:sz w:val="36"/>
          <w:szCs w:val="36"/>
          <w:lang w:val="en-US"/>
        </w:rPr>
        <w:t>Familiars</w:t>
      </w:r>
      <w:r>
        <w:rPr>
          <w:rFonts w:ascii="Arial Rounded MT Bold" w:hAnsi="Arial Rounded MT Bold"/>
          <w:sz w:val="36"/>
          <w:szCs w:val="36"/>
          <w:lang w:val="en-US"/>
        </w:rPr>
        <w:t xml:space="preserve"> (London, Zaffre, 2019,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King James VI of Scotland, I of England, </w:t>
      </w:r>
      <w:r>
        <w:rPr>
          <w:rFonts w:ascii="Arial Rounded MT Bold" w:hAnsi="Arial Rounded MT Bold"/>
          <w:i/>
          <w:iCs/>
          <w:sz w:val="36"/>
          <w:szCs w:val="36"/>
          <w:lang w:val="en-US"/>
        </w:rPr>
        <w:t>Demonology</w:t>
      </w:r>
      <w:r>
        <w:rPr>
          <w:rFonts w:ascii="Arial Rounded MT Bold" w:hAnsi="Arial Rounded MT Bold"/>
          <w:sz w:val="36"/>
          <w:szCs w:val="36"/>
          <w:lang w:val="en-US"/>
        </w:rPr>
        <w:t>, (Edinburgh, 1597,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King James Bible (Green World Classics, 2017,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King, S. L., </w:t>
      </w:r>
      <w:r>
        <w:rPr>
          <w:rFonts w:ascii="Arial Rounded MT Bold" w:hAnsi="Arial Rounded MT Bold"/>
          <w:i/>
          <w:iCs/>
          <w:sz w:val="36"/>
          <w:szCs w:val="36"/>
          <w:lang w:val="en-US"/>
        </w:rPr>
        <w:t>A</w:t>
      </w:r>
      <w:r>
        <w:rPr>
          <w:rFonts w:ascii="Arial Rounded MT Bold" w:hAnsi="Arial Rounded MT Bold"/>
          <w:sz w:val="36"/>
          <w:szCs w:val="36"/>
          <w:lang w:val="en-US"/>
        </w:rPr>
        <w:t xml:space="preserve"> </w:t>
      </w:r>
      <w:r>
        <w:rPr>
          <w:rFonts w:ascii="Arial Rounded MT Bold" w:hAnsi="Arial Rounded MT Bold"/>
          <w:i/>
          <w:iCs/>
          <w:sz w:val="36"/>
          <w:szCs w:val="36"/>
          <w:lang w:val="en-US"/>
        </w:rPr>
        <w:t>Woman</w:t>
      </w:r>
      <w:r>
        <w:rPr>
          <w:rFonts w:ascii="Arial Rounded MT Bold" w:hAnsi="Arial Rounded MT Bold"/>
          <w:sz w:val="36"/>
          <w:szCs w:val="36"/>
          <w:lang w:val="en-US"/>
        </w:rPr>
        <w:t xml:space="preserve"> </w:t>
      </w:r>
      <w:r>
        <w:rPr>
          <w:rFonts w:ascii="Arial Rounded MT Bold" w:hAnsi="Arial Rounded MT Bold"/>
          <w:i/>
          <w:iCs/>
          <w:sz w:val="36"/>
          <w:szCs w:val="36"/>
          <w:lang w:val="en-US"/>
        </w:rPr>
        <w:t>Named</w:t>
      </w:r>
      <w:r>
        <w:rPr>
          <w:rFonts w:ascii="Arial Rounded MT Bold" w:hAnsi="Arial Rounded MT Bold"/>
          <w:sz w:val="36"/>
          <w:szCs w:val="36"/>
          <w:lang w:val="en-US"/>
        </w:rPr>
        <w:t xml:space="preserve"> </w:t>
      </w:r>
      <w:r>
        <w:rPr>
          <w:rFonts w:ascii="Arial Rounded MT Bold" w:hAnsi="Arial Rounded MT Bold"/>
          <w:i/>
          <w:iCs/>
          <w:sz w:val="36"/>
          <w:szCs w:val="36"/>
          <w:lang w:val="en-US"/>
        </w:rPr>
        <w:t>Sellers</w:t>
      </w:r>
      <w:r>
        <w:rPr>
          <w:rFonts w:ascii="Arial Rounded MT Bold" w:hAnsi="Arial Rounded MT Bold"/>
          <w:sz w:val="36"/>
          <w:szCs w:val="36"/>
          <w:lang w:val="en-US"/>
        </w:rPr>
        <w:t>, (Ethersay Publishing, 2016, Kobo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                  -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Gisburn</w:t>
      </w:r>
      <w:r>
        <w:rPr>
          <w:rFonts w:ascii="Arial Rounded MT Bold" w:hAnsi="Arial Rounded MT Bold"/>
          <w:sz w:val="36"/>
          <w:szCs w:val="36"/>
          <w:lang w:val="en-US"/>
        </w:rPr>
        <w:t xml:space="preserve"> </w:t>
      </w:r>
      <w:r>
        <w:rPr>
          <w:rFonts w:ascii="Arial Rounded MT Bold" w:hAnsi="Arial Rounded MT Bold"/>
          <w:i/>
          <w:iCs/>
          <w:sz w:val="36"/>
          <w:szCs w:val="36"/>
          <w:lang w:val="en-US"/>
        </w:rPr>
        <w:t>Witch</w:t>
      </w:r>
      <w:r>
        <w:rPr>
          <w:rFonts w:ascii="Arial Rounded MT Bold" w:hAnsi="Arial Rounded MT Bold"/>
          <w:sz w:val="36"/>
          <w:szCs w:val="36"/>
          <w:lang w:val="en-US"/>
        </w:rPr>
        <w:t>, (Ethersay Publishing, 2015, Kobo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                 -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Pendle</w:t>
      </w:r>
      <w:r>
        <w:rPr>
          <w:rFonts w:ascii="Arial Rounded MT Bold" w:hAnsi="Arial Rounded MT Bold"/>
          <w:sz w:val="36"/>
          <w:szCs w:val="36"/>
          <w:lang w:val="en-US"/>
        </w:rPr>
        <w:t xml:space="preserve"> </w:t>
      </w:r>
      <w:r>
        <w:rPr>
          <w:rFonts w:ascii="Arial Rounded MT Bold" w:hAnsi="Arial Rounded MT Bold"/>
          <w:i/>
          <w:iCs/>
          <w:sz w:val="36"/>
          <w:szCs w:val="36"/>
          <w:lang w:val="en-US"/>
        </w:rPr>
        <w:t>Witch</w:t>
      </w:r>
      <w:r>
        <w:rPr>
          <w:rFonts w:ascii="Arial Rounded MT Bold" w:hAnsi="Arial Rounded MT Bold"/>
          <w:sz w:val="36"/>
          <w:szCs w:val="36"/>
          <w:lang w:val="en-US"/>
        </w:rPr>
        <w:t xml:space="preserve"> </w:t>
      </w:r>
      <w:r>
        <w:rPr>
          <w:rFonts w:ascii="Arial Rounded MT Bold" w:hAnsi="Arial Rounded MT Bold"/>
          <w:i/>
          <w:iCs/>
          <w:sz w:val="36"/>
          <w:szCs w:val="36"/>
          <w:lang w:val="en-US"/>
        </w:rPr>
        <w:t>Girl</w:t>
      </w:r>
      <w:r>
        <w:rPr>
          <w:rFonts w:ascii="Arial Rounded MT Bold" w:hAnsi="Arial Rounded MT Bold"/>
          <w:sz w:val="36"/>
          <w:szCs w:val="36"/>
          <w:lang w:val="en-US"/>
        </w:rPr>
        <w:t>, (Ethersay Publishing, 2018, Kobo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Kramer, H., </w:t>
      </w:r>
      <w:r>
        <w:rPr>
          <w:rFonts w:ascii="Arial Rounded MT Bold" w:hAnsi="Arial Rounded MT Bold"/>
          <w:i/>
          <w:iCs/>
          <w:sz w:val="36"/>
          <w:szCs w:val="36"/>
          <w:lang w:val="en-US"/>
        </w:rPr>
        <w:t>The Hammer of the Witches: Malleus</w:t>
      </w:r>
      <w:r>
        <w:rPr>
          <w:rFonts w:ascii="Arial Rounded MT Bold" w:hAnsi="Arial Rounded MT Bold"/>
          <w:sz w:val="36"/>
          <w:szCs w:val="36"/>
          <w:lang w:val="en-US"/>
        </w:rPr>
        <w:t xml:space="preserve"> </w:t>
      </w:r>
      <w:r>
        <w:rPr>
          <w:rFonts w:ascii="Arial Rounded MT Bold" w:hAnsi="Arial Rounded MT Bold"/>
          <w:i/>
          <w:iCs/>
          <w:sz w:val="36"/>
          <w:szCs w:val="36"/>
          <w:lang w:val="en-US"/>
        </w:rPr>
        <w:t>Maleficarum</w:t>
      </w:r>
      <w:r>
        <w:rPr>
          <w:rFonts w:ascii="Arial Rounded MT Bold" w:hAnsi="Arial Rounded MT Bold"/>
          <w:sz w:val="36"/>
          <w:szCs w:val="36"/>
          <w:lang w:val="en-US"/>
        </w:rPr>
        <w:t>, (e-artnow, 2017,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Livi, M., </w:t>
      </w:r>
      <w:r>
        <w:rPr>
          <w:rFonts w:ascii="Arial Rounded MT Bold" w:hAnsi="Arial Rounded MT Bold"/>
          <w:i/>
          <w:iCs/>
          <w:sz w:val="36"/>
          <w:szCs w:val="36"/>
          <w:lang w:val="en-US"/>
        </w:rPr>
        <w:t>Malkin Child: A Story of Pendle</w:t>
      </w:r>
      <w:r>
        <w:rPr>
          <w:rFonts w:ascii="Arial Rounded MT Bold" w:hAnsi="Arial Rounded MT Bold" w:hint="default"/>
          <w:i/>
          <w:iCs/>
          <w:sz w:val="36"/>
          <w:szCs w:val="36"/>
          <w:lang w:val="en-US"/>
        </w:rPr>
        <w:t>’</w:t>
      </w:r>
      <w:r>
        <w:rPr>
          <w:rFonts w:ascii="Arial Rounded MT Bold" w:hAnsi="Arial Rounded MT Bold"/>
          <w:i/>
          <w:iCs/>
          <w:sz w:val="36"/>
          <w:szCs w:val="36"/>
          <w:lang w:val="en-US"/>
        </w:rPr>
        <w:t xml:space="preserve">s Witches </w:t>
      </w:r>
      <w:r>
        <w:rPr>
          <w:rFonts w:ascii="Arial Rounded MT Bold" w:hAnsi="Arial Rounded MT Bold"/>
          <w:sz w:val="36"/>
          <w:szCs w:val="36"/>
          <w:lang w:val="en-US"/>
        </w:rPr>
        <w:t>(2012,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Miller, A.,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Crucible</w:t>
      </w:r>
      <w:r>
        <w:rPr>
          <w:rFonts w:ascii="Arial Rounded MT Bold" w:hAnsi="Arial Rounded MT Bold"/>
          <w:sz w:val="36"/>
          <w:szCs w:val="36"/>
          <w:lang w:val="en-US"/>
        </w:rPr>
        <w:t xml:space="preserve"> (1953,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Neill, R., </w:t>
      </w:r>
      <w:r>
        <w:rPr>
          <w:rFonts w:ascii="Arial Rounded MT Bold" w:hAnsi="Arial Rounded MT Bold"/>
          <w:i/>
          <w:iCs/>
          <w:sz w:val="36"/>
          <w:szCs w:val="36"/>
          <w:lang w:val="en-US"/>
        </w:rPr>
        <w:t>Mist Over Pendle</w:t>
      </w:r>
      <w:r>
        <w:rPr>
          <w:rFonts w:ascii="Arial Rounded MT Bold" w:hAnsi="Arial Rounded MT Bold"/>
          <w:sz w:val="36"/>
          <w:szCs w:val="36"/>
          <w:lang w:val="en-US"/>
        </w:rPr>
        <w:t xml:space="preserve"> (Hutchinson, 1951,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Shannon, R., </w:t>
      </w:r>
      <w:r>
        <w:rPr>
          <w:rFonts w:ascii="Arial Rounded MT Bold" w:hAnsi="Arial Rounded MT Bold"/>
          <w:i/>
          <w:iCs/>
          <w:sz w:val="36"/>
          <w:szCs w:val="36"/>
          <w:lang w:val="en-US"/>
        </w:rPr>
        <w:t>Sabbat</w:t>
      </w:r>
      <w:r>
        <w:rPr>
          <w:rFonts w:ascii="Arial Rounded MT Bold" w:hAnsi="Arial Rounded MT Bold"/>
          <w:sz w:val="36"/>
          <w:szCs w:val="36"/>
          <w:lang w:val="en-US"/>
        </w:rPr>
        <w:t xml:space="preserve"> (London: Oberon Books, 2012, Third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Scot, R.,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Discoverie</w:t>
      </w:r>
      <w:r>
        <w:rPr>
          <w:rFonts w:ascii="Arial Rounded MT Bold" w:hAnsi="Arial Rounded MT Bold"/>
          <w:sz w:val="36"/>
          <w:szCs w:val="36"/>
          <w:lang w:val="en-US"/>
        </w:rPr>
        <w:t xml:space="preserve"> </w:t>
      </w:r>
      <w:r>
        <w:rPr>
          <w:rFonts w:ascii="Arial Rounded MT Bold" w:hAnsi="Arial Rounded MT Bold"/>
          <w:i/>
          <w:iCs/>
          <w:sz w:val="36"/>
          <w:szCs w:val="36"/>
          <w:lang w:val="en-US"/>
        </w:rPr>
        <w:t>of</w:t>
      </w:r>
      <w:r>
        <w:rPr>
          <w:rFonts w:ascii="Arial Rounded MT Bold" w:hAnsi="Arial Rounded MT Bold"/>
          <w:sz w:val="36"/>
          <w:szCs w:val="36"/>
          <w:lang w:val="en-US"/>
        </w:rPr>
        <w:t xml:space="preserve"> </w:t>
      </w:r>
      <w:r>
        <w:rPr>
          <w:rFonts w:ascii="Arial Rounded MT Bold" w:hAnsi="Arial Rounded MT Bold"/>
          <w:i/>
          <w:iCs/>
          <w:sz w:val="36"/>
          <w:szCs w:val="36"/>
          <w:lang w:val="en-US"/>
        </w:rPr>
        <w:t>Witchcraft</w:t>
      </w:r>
      <w:r>
        <w:rPr>
          <w:rFonts w:ascii="Arial Rounded MT Bold" w:hAnsi="Arial Rounded MT Bold"/>
          <w:sz w:val="36"/>
          <w:szCs w:val="36"/>
          <w:lang w:val="en-US"/>
        </w:rPr>
        <w:t>, (1584,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Sherratt, M., </w:t>
      </w:r>
      <w:r>
        <w:rPr>
          <w:rFonts w:ascii="Arial Rounded MT Bold" w:hAnsi="Arial Rounded MT Bold"/>
          <w:i/>
          <w:iCs/>
          <w:sz w:val="36"/>
          <w:szCs w:val="36"/>
          <w:lang w:val="en-US"/>
        </w:rPr>
        <w:t>Daughters</w:t>
      </w:r>
      <w:r>
        <w:rPr>
          <w:rFonts w:ascii="Arial Rounded MT Bold" w:hAnsi="Arial Rounded MT Bold"/>
          <w:sz w:val="36"/>
          <w:szCs w:val="36"/>
          <w:lang w:val="en-US"/>
        </w:rPr>
        <w:t xml:space="preserve"> </w:t>
      </w:r>
      <w:r>
        <w:rPr>
          <w:rFonts w:ascii="Arial Rounded MT Bold" w:hAnsi="Arial Rounded MT Bold"/>
          <w:i/>
          <w:iCs/>
          <w:sz w:val="36"/>
          <w:szCs w:val="36"/>
          <w:lang w:val="en-US"/>
        </w:rPr>
        <w:t>of</w:t>
      </w:r>
      <w:r>
        <w:rPr>
          <w:rFonts w:ascii="Arial Rounded MT Bold" w:hAnsi="Arial Rounded MT Bold"/>
          <w:sz w:val="36"/>
          <w:szCs w:val="36"/>
          <w:lang w:val="en-US"/>
        </w:rPr>
        <w:t xml:space="preserve">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Witching</w:t>
      </w:r>
      <w:r>
        <w:rPr>
          <w:rFonts w:ascii="Arial Rounded MT Bold" w:hAnsi="Arial Rounded MT Bold"/>
          <w:sz w:val="36"/>
          <w:szCs w:val="36"/>
          <w:lang w:val="en-US"/>
        </w:rPr>
        <w:t xml:space="preserve"> </w:t>
      </w:r>
      <w:r>
        <w:rPr>
          <w:rFonts w:ascii="Arial Rounded MT Bold" w:hAnsi="Arial Rounded MT Bold"/>
          <w:i/>
          <w:iCs/>
          <w:sz w:val="36"/>
          <w:szCs w:val="36"/>
          <w:lang w:val="en-US"/>
        </w:rPr>
        <w:t>Hill</w:t>
      </w:r>
      <w:r>
        <w:rPr>
          <w:rFonts w:ascii="Arial Rounded MT Bold" w:hAnsi="Arial Rounded MT Bold"/>
          <w:sz w:val="36"/>
          <w:szCs w:val="36"/>
          <w:lang w:val="en-US"/>
        </w:rPr>
        <w:t>, (New York: Houghton Mifflin Harcourt, 2010, Kobo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Norton-Smith, D., </w:t>
      </w:r>
      <w:r>
        <w:rPr>
          <w:rFonts w:ascii="Arial Rounded MT Bold" w:hAnsi="Arial Rounded MT Bold"/>
          <w:i/>
          <w:iCs/>
          <w:sz w:val="36"/>
          <w:szCs w:val="36"/>
          <w:lang w:val="en-US"/>
        </w:rPr>
        <w:t>Blood</w:t>
      </w:r>
      <w:r>
        <w:rPr>
          <w:rFonts w:ascii="Arial Rounded MT Bold" w:hAnsi="Arial Rounded MT Bold"/>
          <w:sz w:val="36"/>
          <w:szCs w:val="36"/>
          <w:lang w:val="en-US"/>
        </w:rPr>
        <w:t xml:space="preserve"> </w:t>
      </w:r>
      <w:r>
        <w:rPr>
          <w:rFonts w:ascii="Arial Rounded MT Bold" w:hAnsi="Arial Rounded MT Bold"/>
          <w:i/>
          <w:iCs/>
          <w:sz w:val="36"/>
          <w:szCs w:val="36"/>
          <w:lang w:val="en-US"/>
        </w:rPr>
        <w:t>and</w:t>
      </w:r>
      <w:r>
        <w:rPr>
          <w:rFonts w:ascii="Arial Rounded MT Bold" w:hAnsi="Arial Rounded MT Bold"/>
          <w:sz w:val="36"/>
          <w:szCs w:val="36"/>
          <w:lang w:val="en-US"/>
        </w:rPr>
        <w:t xml:space="preserve"> </w:t>
      </w:r>
      <w:r>
        <w:rPr>
          <w:rFonts w:ascii="Arial Rounded MT Bold" w:hAnsi="Arial Rounded MT Bold"/>
          <w:i/>
          <w:iCs/>
          <w:sz w:val="36"/>
          <w:szCs w:val="36"/>
          <w:lang w:val="en-US"/>
        </w:rPr>
        <w:t>Clay</w:t>
      </w:r>
      <w:r>
        <w:rPr>
          <w:rFonts w:ascii="Arial Rounded MT Bold" w:hAnsi="Arial Rounded MT Bold"/>
          <w:sz w:val="36"/>
          <w:szCs w:val="36"/>
          <w:lang w:val="en-US"/>
        </w:rPr>
        <w:t>, (2012,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Potts, T., </w:t>
      </w:r>
      <w:r>
        <w:rPr>
          <w:rFonts w:ascii="Arial Rounded MT Bold" w:hAnsi="Arial Rounded MT Bold"/>
          <w:i/>
          <w:iCs/>
          <w:sz w:val="36"/>
          <w:szCs w:val="36"/>
          <w:lang w:val="en-US"/>
        </w:rPr>
        <w:t>The Wonderfull Discoverie of Witches in the</w:t>
      </w:r>
      <w:r>
        <w:rPr>
          <w:rFonts w:ascii="Arial Rounded MT Bold" w:hAnsi="Arial Rounded MT Bold"/>
          <w:sz w:val="36"/>
          <w:szCs w:val="36"/>
          <w:lang w:val="en-US"/>
        </w:rPr>
        <w:t xml:space="preserve"> </w:t>
      </w:r>
      <w:r>
        <w:rPr>
          <w:rFonts w:ascii="Arial Rounded MT Bold" w:hAnsi="Arial Rounded MT Bold"/>
          <w:i/>
          <w:iCs/>
          <w:sz w:val="36"/>
          <w:szCs w:val="36"/>
          <w:lang w:val="en-US"/>
        </w:rPr>
        <w:t>Countie</w:t>
      </w:r>
      <w:r>
        <w:rPr>
          <w:rFonts w:ascii="Arial Rounded MT Bold" w:hAnsi="Arial Rounded MT Bold"/>
          <w:sz w:val="36"/>
          <w:szCs w:val="36"/>
          <w:lang w:val="en-US"/>
        </w:rPr>
        <w:t xml:space="preserve"> </w:t>
      </w:r>
      <w:r>
        <w:rPr>
          <w:rFonts w:ascii="Arial Rounded MT Bold" w:hAnsi="Arial Rounded MT Bold"/>
          <w:i/>
          <w:iCs/>
          <w:sz w:val="36"/>
          <w:szCs w:val="36"/>
          <w:lang w:val="en-US"/>
        </w:rPr>
        <w:t>of</w:t>
      </w:r>
      <w:r>
        <w:rPr>
          <w:rFonts w:ascii="Arial Rounded MT Bold" w:hAnsi="Arial Rounded MT Bold"/>
          <w:sz w:val="36"/>
          <w:szCs w:val="36"/>
          <w:lang w:val="en-US"/>
        </w:rPr>
        <w:t xml:space="preserve"> </w:t>
      </w:r>
      <w:r>
        <w:rPr>
          <w:rFonts w:ascii="Arial Rounded MT Bold" w:hAnsi="Arial Rounded MT Bold"/>
          <w:i/>
          <w:iCs/>
          <w:sz w:val="36"/>
          <w:szCs w:val="36"/>
          <w:lang w:val="en-US"/>
        </w:rPr>
        <w:t>Lancaster</w:t>
      </w:r>
      <w:r>
        <w:rPr>
          <w:rFonts w:ascii="Arial Rounded MT Bold" w:hAnsi="Arial Rounded MT Bold"/>
          <w:sz w:val="36"/>
          <w:szCs w:val="36"/>
          <w:lang w:val="en-US"/>
        </w:rPr>
        <w:t>, (1613,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Ralph</w:t>
      </w:r>
      <w:r>
        <w:rPr>
          <w:rFonts w:ascii="Arial Rounded MT Bold" w:hAnsi="Arial Rounded MT Bold" w:hint="default"/>
          <w:sz w:val="36"/>
          <w:szCs w:val="36"/>
          <w:lang w:val="en-US"/>
        </w:rPr>
        <w:t>’</w:t>
      </w:r>
      <w:r>
        <w:rPr>
          <w:rFonts w:ascii="Arial Rounded MT Bold" w:hAnsi="Arial Rounded MT Bold"/>
          <w:sz w:val="36"/>
          <w:szCs w:val="36"/>
          <w:lang w:val="en-US"/>
        </w:rPr>
        <w:t xml:space="preserve">s, C., </w:t>
      </w:r>
      <w:r>
        <w:rPr>
          <w:rFonts w:ascii="Arial Rounded MT Bold" w:hAnsi="Arial Rounded MT Bold"/>
          <w:i/>
          <w:iCs/>
          <w:sz w:val="36"/>
          <w:szCs w:val="36"/>
          <w:lang w:val="en-US"/>
        </w:rPr>
        <w:t>Malkin</w:t>
      </w:r>
      <w:r>
        <w:rPr>
          <w:rFonts w:ascii="Arial Rounded MT Bold" w:hAnsi="Arial Rounded MT Bold"/>
          <w:sz w:val="36"/>
          <w:szCs w:val="36"/>
          <w:lang w:val="en-US"/>
        </w:rPr>
        <w:t xml:space="preserve">: </w:t>
      </w:r>
      <w:r>
        <w:rPr>
          <w:rFonts w:ascii="Arial Rounded MT Bold" w:hAnsi="Arial Rounded MT Bold"/>
          <w:i/>
          <w:iCs/>
          <w:sz w:val="36"/>
          <w:szCs w:val="36"/>
          <w:lang w:val="en-US"/>
        </w:rPr>
        <w:t>An</w:t>
      </w:r>
      <w:r>
        <w:rPr>
          <w:rFonts w:ascii="Arial Rounded MT Bold" w:hAnsi="Arial Rounded MT Bold"/>
          <w:sz w:val="36"/>
          <w:szCs w:val="36"/>
          <w:lang w:val="en-US"/>
        </w:rPr>
        <w:t xml:space="preserve"> </w:t>
      </w:r>
      <w:r>
        <w:rPr>
          <w:rFonts w:ascii="Arial Rounded MT Bold" w:hAnsi="Arial Rounded MT Bold"/>
          <w:i/>
          <w:iCs/>
          <w:sz w:val="36"/>
          <w:szCs w:val="36"/>
          <w:lang w:val="en-US"/>
        </w:rPr>
        <w:t>Ellegy</w:t>
      </w:r>
      <w:r>
        <w:rPr>
          <w:rFonts w:ascii="Arial Rounded MT Bold" w:hAnsi="Arial Rounded MT Bold"/>
          <w:sz w:val="36"/>
          <w:szCs w:val="36"/>
          <w:lang w:val="en-US"/>
        </w:rPr>
        <w:t xml:space="preserve"> </w:t>
      </w:r>
      <w:r>
        <w:rPr>
          <w:rFonts w:ascii="Arial Rounded MT Bold" w:hAnsi="Arial Rounded MT Bold"/>
          <w:i/>
          <w:iCs/>
          <w:sz w:val="36"/>
          <w:szCs w:val="36"/>
          <w:lang w:val="en-US"/>
        </w:rPr>
        <w:t>in</w:t>
      </w:r>
      <w:r>
        <w:rPr>
          <w:rFonts w:ascii="Arial Rounded MT Bold" w:hAnsi="Arial Rounded MT Bold"/>
          <w:sz w:val="36"/>
          <w:szCs w:val="36"/>
          <w:lang w:val="en-US"/>
        </w:rPr>
        <w:t xml:space="preserve"> </w:t>
      </w:r>
      <w:r>
        <w:rPr>
          <w:rFonts w:ascii="Arial Rounded MT Bold" w:hAnsi="Arial Rounded MT Bold"/>
          <w:i/>
          <w:iCs/>
          <w:sz w:val="36"/>
          <w:szCs w:val="36"/>
          <w:lang w:val="en-US"/>
        </w:rPr>
        <w:t>14</w:t>
      </w:r>
      <w:r>
        <w:rPr>
          <w:rFonts w:ascii="Arial Rounded MT Bold" w:hAnsi="Arial Rounded MT Bold"/>
          <w:sz w:val="36"/>
          <w:szCs w:val="36"/>
          <w:lang w:val="en-US"/>
        </w:rPr>
        <w:t xml:space="preserve"> </w:t>
      </w:r>
      <w:r>
        <w:rPr>
          <w:rFonts w:ascii="Arial Rounded MT Bold" w:hAnsi="Arial Rounded MT Bold"/>
          <w:i/>
          <w:iCs/>
          <w:sz w:val="36"/>
          <w:szCs w:val="36"/>
          <w:lang w:val="en-US"/>
        </w:rPr>
        <w:t>Spels</w:t>
      </w:r>
      <w:r>
        <w:rPr>
          <w:rFonts w:ascii="Arial Rounded MT Bold" w:hAnsi="Arial Rounded MT Bold"/>
          <w:sz w:val="36"/>
          <w:szCs w:val="36"/>
          <w:lang w:val="en-US"/>
        </w:rPr>
        <w:t>, (Birmingham, Emma Press, 2015,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Scot-Ryder, R., </w:t>
      </w:r>
      <w:r>
        <w:rPr>
          <w:rFonts w:ascii="Arial Rounded MT Bold" w:hAnsi="Arial Rounded MT Bold"/>
          <w:i/>
          <w:iCs/>
          <w:sz w:val="36"/>
          <w:szCs w:val="36"/>
          <w:lang w:val="en-US"/>
        </w:rPr>
        <w:t>Daughter</w:t>
      </w:r>
      <w:r>
        <w:rPr>
          <w:rFonts w:ascii="Arial Rounded MT Bold" w:hAnsi="Arial Rounded MT Bold"/>
          <w:sz w:val="36"/>
          <w:szCs w:val="36"/>
          <w:lang w:val="en-US"/>
        </w:rPr>
        <w:t xml:space="preserve"> </w:t>
      </w:r>
      <w:r>
        <w:rPr>
          <w:rFonts w:ascii="Arial Rounded MT Bold" w:hAnsi="Arial Rounded MT Bold"/>
          <w:i/>
          <w:iCs/>
          <w:sz w:val="36"/>
          <w:szCs w:val="36"/>
          <w:lang w:val="en-US"/>
        </w:rPr>
        <w:t>of</w:t>
      </w:r>
      <w:r>
        <w:rPr>
          <w:rFonts w:ascii="Arial Rounded MT Bold" w:hAnsi="Arial Rounded MT Bold"/>
          <w:sz w:val="36"/>
          <w:szCs w:val="36"/>
          <w:lang w:val="en-US"/>
        </w:rPr>
        <w:t xml:space="preserve"> </w:t>
      </w:r>
      <w:r>
        <w:rPr>
          <w:rFonts w:ascii="Arial Rounded MT Bold" w:hAnsi="Arial Rounded MT Bold"/>
          <w:i/>
          <w:iCs/>
          <w:sz w:val="36"/>
          <w:szCs w:val="36"/>
          <w:lang w:val="en-US"/>
        </w:rPr>
        <w:t>Pendle</w:t>
      </w:r>
      <w:r>
        <w:rPr>
          <w:rFonts w:ascii="Arial Rounded MT Bold" w:hAnsi="Arial Rounded MT Bold"/>
          <w:sz w:val="36"/>
          <w:szCs w:val="36"/>
          <w:lang w:val="en-US"/>
        </w:rPr>
        <w:t>, (Gatekeeper Books, 2016,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Stanton, E.C.,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Woman</w:t>
      </w:r>
      <w:r>
        <w:rPr>
          <w:rFonts w:ascii="Arial Rounded MT Bold" w:hAnsi="Arial Rounded MT Bold" w:hint="default"/>
          <w:sz w:val="36"/>
          <w:szCs w:val="36"/>
          <w:lang w:val="en-US"/>
        </w:rPr>
        <w:t>’</w:t>
      </w:r>
      <w:r>
        <w:rPr>
          <w:rFonts w:ascii="Arial Rounded MT Bold" w:hAnsi="Arial Rounded MT Bold"/>
          <w:i/>
          <w:iCs/>
          <w:sz w:val="36"/>
          <w:szCs w:val="36"/>
          <w:lang w:val="en-US"/>
        </w:rPr>
        <w:t>s</w:t>
      </w:r>
      <w:r>
        <w:rPr>
          <w:rFonts w:ascii="Arial Rounded MT Bold" w:hAnsi="Arial Rounded MT Bold"/>
          <w:sz w:val="36"/>
          <w:szCs w:val="36"/>
          <w:lang w:val="en-US"/>
        </w:rPr>
        <w:t xml:space="preserve"> </w:t>
      </w:r>
      <w:r>
        <w:rPr>
          <w:rFonts w:ascii="Arial Rounded MT Bold" w:hAnsi="Arial Rounded MT Bold"/>
          <w:i/>
          <w:iCs/>
          <w:sz w:val="36"/>
          <w:szCs w:val="36"/>
          <w:lang w:val="en-US"/>
        </w:rPr>
        <w:t>Bible</w:t>
      </w:r>
      <w:r>
        <w:rPr>
          <w:rFonts w:ascii="Arial Rounded MT Bold" w:hAnsi="Arial Rounded MT Bold"/>
          <w:sz w:val="36"/>
          <w:szCs w:val="36"/>
          <w:lang w:val="en-US"/>
        </w:rPr>
        <w:t>, (1896,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Winterson, J.,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Daylight</w:t>
      </w:r>
      <w:r>
        <w:rPr>
          <w:rFonts w:ascii="Arial Rounded MT Bold" w:hAnsi="Arial Rounded MT Bold"/>
          <w:sz w:val="36"/>
          <w:szCs w:val="36"/>
          <w:lang w:val="en-US"/>
        </w:rPr>
        <w:t xml:space="preserve"> </w:t>
      </w:r>
      <w:r>
        <w:rPr>
          <w:rFonts w:ascii="Arial Rounded MT Bold" w:hAnsi="Arial Rounded MT Bold"/>
          <w:i/>
          <w:iCs/>
          <w:sz w:val="36"/>
          <w:szCs w:val="36"/>
          <w:lang w:val="en-US"/>
        </w:rPr>
        <w:t>Gate</w:t>
      </w:r>
      <w:r>
        <w:rPr>
          <w:rFonts w:ascii="Arial Rounded MT Bold" w:hAnsi="Arial Rounded MT Bold"/>
          <w:sz w:val="36"/>
          <w:szCs w:val="36"/>
          <w:lang w:val="en-US"/>
        </w:rPr>
        <w:t>, (London: Random House, 2012)</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Wolfe, L., </w:t>
      </w:r>
      <w:r>
        <w:rPr>
          <w:rFonts w:ascii="Arial Rounded MT Bold" w:hAnsi="Arial Rounded MT Bold"/>
          <w:i/>
          <w:iCs/>
          <w:sz w:val="36"/>
          <w:szCs w:val="36"/>
          <w:lang w:val="en-US"/>
        </w:rPr>
        <w:t>Women</w:t>
      </w:r>
      <w:r>
        <w:rPr>
          <w:rFonts w:ascii="Arial Rounded MT Bold" w:hAnsi="Arial Rounded MT Bold"/>
          <w:sz w:val="36"/>
          <w:szCs w:val="36"/>
          <w:lang w:val="en-US"/>
        </w:rPr>
        <w:t xml:space="preserve"> </w:t>
      </w:r>
      <w:r>
        <w:rPr>
          <w:rFonts w:ascii="Arial Rounded MT Bold" w:hAnsi="Arial Rounded MT Bold"/>
          <w:i/>
          <w:iCs/>
          <w:sz w:val="36"/>
          <w:szCs w:val="36"/>
          <w:lang w:val="en-US"/>
        </w:rPr>
        <w:t>of</w:t>
      </w:r>
      <w:r>
        <w:rPr>
          <w:rFonts w:ascii="Arial Rounded MT Bold" w:hAnsi="Arial Rounded MT Bold"/>
          <w:sz w:val="36"/>
          <w:szCs w:val="36"/>
          <w:lang w:val="en-US"/>
        </w:rPr>
        <w:t xml:space="preserve"> </w:t>
      </w:r>
      <w:r>
        <w:rPr>
          <w:rFonts w:ascii="Arial Rounded MT Bold" w:hAnsi="Arial Rounded MT Bold"/>
          <w:i/>
          <w:iCs/>
          <w:sz w:val="36"/>
          <w:szCs w:val="36"/>
          <w:lang w:val="en-US"/>
        </w:rPr>
        <w:t>Forgotten</w:t>
      </w:r>
      <w:r>
        <w:rPr>
          <w:rFonts w:ascii="Arial Rounded MT Bold" w:hAnsi="Arial Rounded MT Bold"/>
          <w:sz w:val="36"/>
          <w:szCs w:val="36"/>
          <w:lang w:val="en-US"/>
        </w:rPr>
        <w:t xml:space="preserve"> </w:t>
      </w:r>
      <w:r>
        <w:rPr>
          <w:rFonts w:ascii="Arial Rounded MT Bold" w:hAnsi="Arial Rounded MT Bold"/>
          <w:i/>
          <w:iCs/>
          <w:sz w:val="36"/>
          <w:szCs w:val="36"/>
          <w:lang w:val="en-US"/>
        </w:rPr>
        <w:t>Importance</w:t>
      </w:r>
      <w:r>
        <w:rPr>
          <w:rFonts w:ascii="Arial Rounded MT Bold" w:hAnsi="Arial Rounded MT Bold"/>
          <w:sz w:val="36"/>
          <w:szCs w:val="36"/>
          <w:lang w:val="en-US"/>
        </w:rPr>
        <w:t xml:space="preserve">: </w:t>
      </w:r>
      <w:r>
        <w:rPr>
          <w:rFonts w:ascii="Arial Rounded MT Bold" w:hAnsi="Arial Rounded MT Bold"/>
          <w:i/>
          <w:iCs/>
          <w:sz w:val="36"/>
          <w:szCs w:val="36"/>
          <w:lang w:val="en-US"/>
        </w:rPr>
        <w:t>Three</w:t>
      </w:r>
      <w:r>
        <w:rPr>
          <w:rFonts w:ascii="Arial Rounded MT Bold" w:hAnsi="Arial Rounded MT Bold"/>
          <w:sz w:val="36"/>
          <w:szCs w:val="36"/>
          <w:lang w:val="en-US"/>
        </w:rPr>
        <w:t xml:space="preserve"> </w:t>
      </w:r>
      <w:r>
        <w:rPr>
          <w:rFonts w:ascii="Arial Rounded MT Bold" w:hAnsi="Arial Rounded MT Bold"/>
          <w:i/>
          <w:iCs/>
          <w:sz w:val="36"/>
          <w:szCs w:val="36"/>
          <w:lang w:val="en-US"/>
        </w:rPr>
        <w:t>Stories</w:t>
      </w:r>
      <w:r>
        <w:rPr>
          <w:rFonts w:ascii="Arial Rounded MT Bold" w:hAnsi="Arial Rounded MT Bold"/>
          <w:sz w:val="36"/>
          <w:szCs w:val="36"/>
          <w:lang w:val="en-US"/>
        </w:rPr>
        <w:t>, (2018, Kindle Edition)</w:t>
      </w: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Secondary Sources </w:t>
      </w:r>
    </w:p>
    <w:p>
      <w:pPr>
        <w:pStyle w:val="style0"/>
        <w:jc w:val="center"/>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Almond, P.C.,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Lancashire</w:t>
      </w:r>
      <w:r>
        <w:rPr>
          <w:rFonts w:ascii="Arial Rounded MT Bold" w:hAnsi="Arial Rounded MT Bold"/>
          <w:sz w:val="36"/>
          <w:szCs w:val="36"/>
          <w:lang w:val="en-US"/>
        </w:rPr>
        <w:t xml:space="preserve"> </w:t>
      </w:r>
      <w:r>
        <w:rPr>
          <w:rFonts w:ascii="Arial Rounded MT Bold" w:hAnsi="Arial Rounded MT Bold"/>
          <w:i/>
          <w:iCs/>
          <w:sz w:val="36"/>
          <w:szCs w:val="36"/>
          <w:lang w:val="en-US"/>
        </w:rPr>
        <w:t>Witches</w:t>
      </w:r>
      <w:r>
        <w:rPr>
          <w:rFonts w:ascii="Arial Rounded MT Bold" w:hAnsi="Arial Rounded MT Bold"/>
          <w:sz w:val="36"/>
          <w:szCs w:val="36"/>
          <w:lang w:val="en-US"/>
        </w:rPr>
        <w:t xml:space="preserve">: </w:t>
      </w:r>
      <w:r>
        <w:rPr>
          <w:rFonts w:ascii="Arial Rounded MT Bold" w:hAnsi="Arial Rounded MT Bold"/>
          <w:i/>
          <w:iCs/>
          <w:sz w:val="36"/>
          <w:szCs w:val="36"/>
          <w:lang w:val="en-US"/>
        </w:rPr>
        <w:t>A</w:t>
      </w:r>
      <w:r>
        <w:rPr>
          <w:rFonts w:ascii="Arial Rounded MT Bold" w:hAnsi="Arial Rounded MT Bold"/>
          <w:sz w:val="36"/>
          <w:szCs w:val="36"/>
          <w:lang w:val="en-US"/>
        </w:rPr>
        <w:t xml:space="preserve"> </w:t>
      </w:r>
      <w:r>
        <w:rPr>
          <w:rFonts w:ascii="Arial Rounded MT Bold" w:hAnsi="Arial Rounded MT Bold"/>
          <w:i/>
          <w:iCs/>
          <w:sz w:val="36"/>
          <w:szCs w:val="36"/>
          <w:lang w:val="en-US"/>
        </w:rPr>
        <w:t>Chronicle</w:t>
      </w:r>
      <w:r>
        <w:rPr>
          <w:rFonts w:ascii="Arial Rounded MT Bold" w:hAnsi="Arial Rounded MT Bold"/>
          <w:sz w:val="36"/>
          <w:szCs w:val="36"/>
          <w:lang w:val="en-US"/>
        </w:rPr>
        <w:t xml:space="preserve"> </w:t>
      </w:r>
      <w:r>
        <w:rPr>
          <w:rFonts w:ascii="Arial Rounded MT Bold" w:hAnsi="Arial Rounded MT Bold"/>
          <w:i/>
          <w:iCs/>
          <w:sz w:val="36"/>
          <w:szCs w:val="36"/>
          <w:lang w:val="en-US"/>
        </w:rPr>
        <w:t>of</w:t>
      </w:r>
      <w:r>
        <w:rPr>
          <w:rFonts w:ascii="Arial Rounded MT Bold" w:hAnsi="Arial Rounded MT Bold"/>
          <w:sz w:val="36"/>
          <w:szCs w:val="36"/>
          <w:lang w:val="en-US"/>
        </w:rPr>
        <w:t xml:space="preserve"> </w:t>
      </w:r>
      <w:r>
        <w:rPr>
          <w:rFonts w:ascii="Arial Rounded MT Bold" w:hAnsi="Arial Rounded MT Bold"/>
          <w:i/>
          <w:iCs/>
          <w:sz w:val="36"/>
          <w:szCs w:val="36"/>
          <w:lang w:val="en-US"/>
        </w:rPr>
        <w:t>Sorcery</w:t>
      </w:r>
      <w:r>
        <w:rPr>
          <w:rFonts w:ascii="Arial Rounded MT Bold" w:hAnsi="Arial Rounded MT Bold"/>
          <w:sz w:val="36"/>
          <w:szCs w:val="36"/>
          <w:lang w:val="en-US"/>
        </w:rPr>
        <w:t xml:space="preserve"> </w:t>
      </w:r>
      <w:r>
        <w:rPr>
          <w:rFonts w:ascii="Arial Rounded MT Bold" w:hAnsi="Arial Rounded MT Bold"/>
          <w:i/>
          <w:iCs/>
          <w:sz w:val="36"/>
          <w:szCs w:val="36"/>
          <w:lang w:val="en-US"/>
        </w:rPr>
        <w:t>and</w:t>
      </w:r>
      <w:r>
        <w:rPr>
          <w:rFonts w:ascii="Arial Rounded MT Bold" w:hAnsi="Arial Rounded MT Bold"/>
          <w:sz w:val="36"/>
          <w:szCs w:val="36"/>
          <w:lang w:val="en-US"/>
        </w:rPr>
        <w:t xml:space="preserve"> </w:t>
      </w:r>
      <w:r>
        <w:rPr>
          <w:rFonts w:ascii="Arial Rounded MT Bold" w:hAnsi="Arial Rounded MT Bold"/>
          <w:i/>
          <w:iCs/>
          <w:sz w:val="36"/>
          <w:szCs w:val="36"/>
          <w:lang w:val="en-US"/>
        </w:rPr>
        <w:t>Death</w:t>
      </w:r>
      <w:r>
        <w:rPr>
          <w:rFonts w:ascii="Arial Rounded MT Bold" w:hAnsi="Arial Rounded MT Bold"/>
          <w:sz w:val="36"/>
          <w:szCs w:val="36"/>
          <w:lang w:val="en-US"/>
        </w:rPr>
        <w:t xml:space="preserve"> </w:t>
      </w:r>
      <w:r>
        <w:rPr>
          <w:rFonts w:ascii="Arial Rounded MT Bold" w:hAnsi="Arial Rounded MT Bold"/>
          <w:i/>
          <w:iCs/>
          <w:sz w:val="36"/>
          <w:szCs w:val="36"/>
          <w:lang w:val="en-US"/>
        </w:rPr>
        <w:t>on</w:t>
      </w:r>
      <w:r>
        <w:rPr>
          <w:rFonts w:ascii="Arial Rounded MT Bold" w:hAnsi="Arial Rounded MT Bold"/>
          <w:sz w:val="36"/>
          <w:szCs w:val="36"/>
          <w:lang w:val="en-US"/>
        </w:rPr>
        <w:t xml:space="preserve"> </w:t>
      </w:r>
      <w:r>
        <w:rPr>
          <w:rFonts w:ascii="Arial Rounded MT Bold" w:hAnsi="Arial Rounded MT Bold"/>
          <w:i/>
          <w:iCs/>
          <w:sz w:val="36"/>
          <w:szCs w:val="36"/>
          <w:lang w:val="en-US"/>
        </w:rPr>
        <w:t>Pendle</w:t>
      </w:r>
      <w:r>
        <w:rPr>
          <w:rFonts w:ascii="Arial Rounded MT Bold" w:hAnsi="Arial Rounded MT Bold"/>
          <w:sz w:val="36"/>
          <w:szCs w:val="36"/>
          <w:lang w:val="en-US"/>
        </w:rPr>
        <w:t xml:space="preserve"> </w:t>
      </w:r>
      <w:r>
        <w:rPr>
          <w:rFonts w:ascii="Arial Rounded MT Bold" w:hAnsi="Arial Rounded MT Bold"/>
          <w:i/>
          <w:iCs/>
          <w:sz w:val="40"/>
          <w:szCs w:val="40"/>
          <w:lang w:val="en-US"/>
        </w:rPr>
        <w:t>Hill</w:t>
      </w:r>
      <w:r>
        <w:rPr>
          <w:rFonts w:ascii="Arial Rounded MT Bold" w:hAnsi="Arial Rounded MT Bold"/>
          <w:sz w:val="36"/>
          <w:szCs w:val="36"/>
          <w:lang w:val="en-US"/>
        </w:rPr>
        <w:t xml:space="preserve"> (London: Tauris &amp; Co., 2012, Kobo Edition)</w:t>
      </w:r>
    </w:p>
    <w:p>
      <w:pPr>
        <w:pStyle w:val="style0"/>
        <w:rPr>
          <w:rFonts w:ascii="Arial Rounded MT Bold" w:cs="Arial Rounded MT Bold" w:eastAsia="Arial Rounded MT Bold" w:hAnsi="Arial Rounded MT Bold"/>
          <w:sz w:val="36"/>
          <w:szCs w:val="36"/>
        </w:rPr>
      </w:pPr>
    </w:p>
    <w:p>
      <w:pPr>
        <w:pStyle w:val="style0"/>
        <w:jc w:val="right"/>
        <w:rPr>
          <w:rFonts w:ascii="Arial Rounded MT Bold" w:cs="Arial Rounded MT Bold" w:eastAsia="Arial Rounded MT Bold" w:hAnsi="Arial Rounded MT Bold"/>
          <w:sz w:val="36"/>
          <w:szCs w:val="36"/>
        </w:rPr>
      </w:pPr>
      <w:r>
        <w:rPr>
          <w:rFonts w:ascii="Arial Rounded MT Bold" w:hAnsi="Arial Rounded MT Bold"/>
          <w:sz w:val="36"/>
          <w:szCs w:val="36"/>
          <w:lang w:val="en-US"/>
        </w:rPr>
        <w:t>-</w:t>
      </w:r>
      <w:r>
        <w:rPr>
          <w:rFonts w:ascii="Arial Rounded MT Bold" w:hAnsi="Arial Rounded MT Bold"/>
          <w:i/>
          <w:iCs/>
          <w:sz w:val="36"/>
          <w:szCs w:val="36"/>
          <w:lang w:val="en-US"/>
        </w:rPr>
        <w:t>England</w:t>
      </w:r>
      <w:r>
        <w:rPr>
          <w:rFonts w:ascii="Arial Rounded MT Bold" w:hAnsi="Arial Rounded MT Bold" w:hint="default"/>
          <w:sz w:val="36"/>
          <w:szCs w:val="36"/>
          <w:lang w:val="en-US"/>
        </w:rPr>
        <w:t>’</w:t>
      </w:r>
      <w:r>
        <w:rPr>
          <w:rFonts w:ascii="Arial Rounded MT Bold" w:hAnsi="Arial Rounded MT Bold"/>
          <w:i/>
          <w:iCs/>
          <w:sz w:val="36"/>
          <w:szCs w:val="36"/>
          <w:lang w:val="en-US"/>
        </w:rPr>
        <w:t>s</w:t>
      </w:r>
      <w:r>
        <w:rPr>
          <w:rFonts w:ascii="Arial Rounded MT Bold" w:hAnsi="Arial Rounded MT Bold"/>
          <w:sz w:val="36"/>
          <w:szCs w:val="36"/>
          <w:lang w:val="en-US"/>
        </w:rPr>
        <w:t xml:space="preserve"> </w:t>
      </w:r>
      <w:r>
        <w:rPr>
          <w:rFonts w:ascii="Arial Rounded MT Bold" w:hAnsi="Arial Rounded MT Bold"/>
          <w:i/>
          <w:iCs/>
          <w:sz w:val="36"/>
          <w:szCs w:val="36"/>
          <w:lang w:val="en-US"/>
        </w:rPr>
        <w:t xml:space="preserve">First Demonologist: Reginald Scot &amp; </w:t>
      </w:r>
      <w:r>
        <w:rPr>
          <w:rFonts w:ascii="Arial Rounded MT Bold" w:hAnsi="Arial Rounded MT Bold" w:hint="default"/>
          <w:i/>
          <w:iCs/>
          <w:sz w:val="36"/>
          <w:szCs w:val="36"/>
          <w:lang w:val="en-US"/>
        </w:rPr>
        <w:t>‘</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Discoverie of Witchcraft</w:t>
      </w:r>
      <w:r>
        <w:rPr>
          <w:rFonts w:ascii="Arial Rounded MT Bold" w:hAnsi="Arial Rounded MT Bold" w:hint="default"/>
          <w:i/>
          <w:iCs/>
          <w:sz w:val="36"/>
          <w:szCs w:val="36"/>
          <w:lang w:val="en-US"/>
        </w:rPr>
        <w:t>’</w:t>
      </w:r>
      <w:r>
        <w:rPr>
          <w:rFonts w:ascii="Arial Rounded MT Bold" w:hAnsi="Arial Rounded MT Bold" w:hint="default"/>
          <w:sz w:val="36"/>
          <w:szCs w:val="36"/>
          <w:lang w:val="en-US"/>
        </w:rPr>
        <w:t xml:space="preserve">   </w:t>
      </w:r>
      <w:r>
        <w:rPr>
          <w:rFonts w:ascii="Arial Rounded MT Bold" w:hAnsi="Arial Rounded MT Bold"/>
          <w:sz w:val="36"/>
          <w:szCs w:val="36"/>
          <w:lang w:val="en-US"/>
        </w:rPr>
        <w:t>(I. B. Tauris &amp; Co. Ltd, 2011, Kindle Edition)</w:t>
      </w:r>
    </w:p>
    <w:p>
      <w:pPr>
        <w:pStyle w:val="style0"/>
        <w:jc w:val="right"/>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lang w:val="en-US"/>
        </w:rPr>
      </w:pPr>
      <w:r>
        <w:rPr>
          <w:sz w:val="36"/>
          <w:szCs w:val="36"/>
          <w:lang w:val="en-US"/>
        </w:rPr>
        <w:t>Antosa, S., In a Queer Gothic Space and Time: Love Triangles in Jeanette Winterson's The Daylight Gate (Off the Record N.13 - 05/2015</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Arnold, J. H., </w:t>
      </w:r>
      <w:r>
        <w:rPr>
          <w:rFonts w:ascii="Arial Rounded MT Bold" w:hAnsi="Arial Rounded MT Bold"/>
          <w:i/>
          <w:iCs/>
          <w:sz w:val="36"/>
          <w:szCs w:val="36"/>
          <w:lang w:val="en-US"/>
        </w:rPr>
        <w:t>History: A Very Short Introduction</w:t>
      </w:r>
      <w:r>
        <w:rPr>
          <w:rFonts w:ascii="Arial Rounded MT Bold" w:hAnsi="Arial Rounded MT Bold"/>
          <w:sz w:val="36"/>
          <w:szCs w:val="36"/>
          <w:lang w:val="en-US"/>
        </w:rPr>
        <w:t xml:space="preserve"> (Oxford: Oxford University Press, 2000,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Borman, T., </w:t>
      </w:r>
      <w:r>
        <w:rPr>
          <w:rFonts w:ascii="Arial Rounded MT Bold" w:hAnsi="Arial Rounded MT Bold"/>
          <w:i/>
          <w:iCs/>
          <w:sz w:val="36"/>
          <w:szCs w:val="36"/>
          <w:lang w:val="en-US"/>
        </w:rPr>
        <w:t>Witches: James I and the English Witch Hunts</w:t>
      </w:r>
      <w:r>
        <w:rPr>
          <w:rFonts w:ascii="Arial Rounded MT Bold" w:hAnsi="Arial Rounded MT Bold"/>
          <w:sz w:val="36"/>
          <w:szCs w:val="36"/>
          <w:lang w:val="en-US"/>
        </w:rPr>
        <w:t xml:space="preserve"> (London: Vintage Books)</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Campbell, J. G., </w:t>
      </w:r>
      <w:r>
        <w:rPr>
          <w:rFonts w:ascii="Arial Rounded MT Bold" w:hAnsi="Arial Rounded MT Bold"/>
          <w:i/>
          <w:iCs/>
          <w:sz w:val="36"/>
          <w:szCs w:val="36"/>
          <w:lang w:val="en-US"/>
        </w:rPr>
        <w:t>Witchcraft and Second Sight in the</w:t>
      </w:r>
      <w:r>
        <w:rPr>
          <w:rFonts w:ascii="Arial Rounded MT Bold" w:hAnsi="Arial Rounded MT Bold"/>
          <w:sz w:val="36"/>
          <w:szCs w:val="36"/>
          <w:lang w:val="en-US"/>
        </w:rPr>
        <w:t xml:space="preserve"> </w:t>
      </w:r>
      <w:r>
        <w:rPr>
          <w:rFonts w:ascii="Arial Rounded MT Bold" w:hAnsi="Arial Rounded MT Bold"/>
          <w:i/>
          <w:iCs/>
          <w:sz w:val="36"/>
          <w:szCs w:val="36"/>
          <w:lang w:val="en-US"/>
        </w:rPr>
        <w:t>Highlands and Islands of Scotland</w:t>
      </w:r>
      <w:r>
        <w:rPr>
          <w:rFonts w:ascii="Arial Rounded MT Bold" w:hAnsi="Arial Rounded MT Bold"/>
          <w:sz w:val="36"/>
          <w:szCs w:val="36"/>
          <w:lang w:val="en-US"/>
        </w:rPr>
        <w:t xml:space="preserve"> (AlbaCraft Publishing, 2012,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lang w:val="en-US"/>
        </w:rPr>
      </w:pPr>
      <w:r>
        <w:rPr>
          <w:sz w:val="36"/>
          <w:szCs w:val="36"/>
          <w:lang w:val="en-US"/>
        </w:rPr>
        <w:t>Carver, S., The Life and Works of the Lancashire Novelist, William Harrison Ainsworth, 1805-1882 (New York: EMP, 2003)</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Cawthorne, N., </w:t>
      </w:r>
      <w:r>
        <w:rPr>
          <w:rFonts w:ascii="Arial Rounded MT Bold" w:hAnsi="Arial Rounded MT Bold"/>
          <w:i/>
          <w:iCs/>
          <w:sz w:val="36"/>
          <w:szCs w:val="36"/>
          <w:lang w:val="en-US"/>
        </w:rPr>
        <w:t>Witch Hunt: History of a Persecution</w:t>
      </w:r>
      <w:r>
        <w:rPr>
          <w:rFonts w:ascii="Arial Rounded MT Bold" w:hAnsi="Arial Rounded MT Bold"/>
          <w:sz w:val="36"/>
          <w:szCs w:val="36"/>
          <w:lang w:val="en-US"/>
        </w:rPr>
        <w:t xml:space="preserve"> (London: Arcturus Publishing Limited, 2003,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Clayton, J.A., </w:t>
      </w:r>
      <w:r>
        <w:rPr>
          <w:rFonts w:ascii="Arial Rounded MT Bold" w:hAnsi="Arial Rounded MT Bold"/>
          <w:i/>
          <w:iCs/>
          <w:sz w:val="36"/>
          <w:szCs w:val="36"/>
          <w:lang w:val="en-US"/>
        </w:rPr>
        <w:t xml:space="preserve">The Pendle Witch Fourth Centenary Handbook: 1612 - 2012:  History and Archaeology, Fact and Fiction </w:t>
      </w:r>
      <w:r>
        <w:rPr>
          <w:rFonts w:ascii="Arial Rounded MT Bold" w:hAnsi="Arial Rounded MT Bold"/>
          <w:sz w:val="36"/>
          <w:szCs w:val="36"/>
          <w:lang w:val="en-US"/>
        </w:rPr>
        <w:t>(Barrowford Press, 2012,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                          - </w:t>
      </w:r>
      <w:r>
        <w:rPr>
          <w:rFonts w:ascii="Arial Rounded MT Bold" w:hAnsi="Arial Rounded MT Bold"/>
          <w:i/>
          <w:iCs/>
          <w:sz w:val="36"/>
          <w:szCs w:val="36"/>
          <w:lang w:val="en-US"/>
        </w:rPr>
        <w:t>The Other Pendle Witches:</w:t>
      </w:r>
      <w:r>
        <w:rPr>
          <w:rFonts w:ascii="Arial Rounded MT Bold" w:hAnsi="Arial Rounded MT Bold"/>
          <w:sz w:val="36"/>
          <w:szCs w:val="36"/>
          <w:lang w:val="en-US"/>
        </w:rPr>
        <w:t xml:space="preserve">   </w:t>
      </w:r>
    </w:p>
    <w:p>
      <w:pPr>
        <w:pStyle w:val="style0"/>
        <w:jc w:val="center"/>
        <w:rPr>
          <w:rFonts w:ascii="Arial Rounded MT Bold" w:cs="Arial Rounded MT Bold" w:eastAsia="Arial Rounded MT Bold" w:hAnsi="Arial Rounded MT Bold"/>
          <w:sz w:val="36"/>
          <w:szCs w:val="36"/>
        </w:rPr>
      </w:pPr>
      <w:r>
        <w:rPr>
          <w:rFonts w:ascii="Arial Rounded MT Bold" w:hAnsi="Arial Rounded MT Bold"/>
          <w:i/>
          <w:iCs/>
          <w:sz w:val="36"/>
          <w:szCs w:val="36"/>
          <w:lang w:val="en-US"/>
        </w:rPr>
        <w:t>The Witch Trials of 1634</w:t>
      </w:r>
      <w:r>
        <w:rPr>
          <w:rFonts w:ascii="Arial Rounded MT Bold" w:hAnsi="Arial Rounded MT Bold"/>
          <w:sz w:val="36"/>
          <w:szCs w:val="36"/>
          <w:lang w:val="en-US"/>
        </w:rPr>
        <w:t xml:space="preserve"> (Barrowford Press, 2012, Kindle Edition)  </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Davenport, W.H., </w:t>
      </w:r>
      <w:r>
        <w:rPr>
          <w:rFonts w:ascii="Arial Rounded MT Bold" w:hAnsi="Arial Rounded MT Bold"/>
          <w:i/>
          <w:iCs/>
          <w:sz w:val="36"/>
          <w:szCs w:val="36"/>
          <w:lang w:val="en-US"/>
        </w:rPr>
        <w:t xml:space="preserve">Witch, Warlock and Magician: Historical Sketches of Magic and Witchcraft in England and Scotland </w:t>
      </w:r>
      <w:r>
        <w:rPr>
          <w:rFonts w:ascii="Arial Rounded MT Bold" w:hAnsi="Arial Rounded MT Bold"/>
          <w:sz w:val="36"/>
          <w:szCs w:val="36"/>
          <w:lang w:val="en-US"/>
        </w:rPr>
        <w:t>(New York: J. W. Bouton, 1889,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Davies, O., </w:t>
      </w:r>
      <w:r>
        <w:rPr>
          <w:rFonts w:ascii="Arial Rounded MT Bold" w:hAnsi="Arial Rounded MT Bold"/>
          <w:i/>
          <w:iCs/>
          <w:sz w:val="36"/>
          <w:szCs w:val="36"/>
          <w:lang w:val="en-US"/>
        </w:rPr>
        <w:t>The Oxford Illustrated History of Witchcraft and</w:t>
      </w:r>
      <w:r>
        <w:rPr>
          <w:rFonts w:ascii="Arial Rounded MT Bold" w:hAnsi="Arial Rounded MT Bold"/>
          <w:sz w:val="36"/>
          <w:szCs w:val="36"/>
          <w:lang w:val="en-US"/>
        </w:rPr>
        <w:t xml:space="preserve"> </w:t>
      </w:r>
      <w:r>
        <w:rPr>
          <w:rFonts w:ascii="Arial Rounded MT Bold" w:hAnsi="Arial Rounded MT Bold"/>
          <w:i/>
          <w:iCs/>
          <w:sz w:val="36"/>
          <w:szCs w:val="36"/>
          <w:lang w:val="en-US"/>
        </w:rPr>
        <w:t>Magic</w:t>
      </w:r>
      <w:r>
        <w:rPr>
          <w:rFonts w:ascii="Arial Rounded MT Bold" w:hAnsi="Arial Rounded MT Bold"/>
          <w:sz w:val="36"/>
          <w:szCs w:val="36"/>
          <w:lang w:val="en-US"/>
        </w:rPr>
        <w:t xml:space="preserve"> (Oxford: Oxford University Press, 2017,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Gaskill, M., </w:t>
      </w:r>
      <w:r>
        <w:rPr>
          <w:rFonts w:ascii="Arial Rounded MT Bold" w:hAnsi="Arial Rounded MT Bold"/>
          <w:i/>
          <w:iCs/>
          <w:sz w:val="36"/>
          <w:szCs w:val="36"/>
          <w:lang w:val="en-US"/>
        </w:rPr>
        <w:t>Witchcraft: A Very Short Introduction</w:t>
      </w:r>
      <w:r>
        <w:rPr>
          <w:rFonts w:ascii="Arial Rounded MT Bold" w:hAnsi="Arial Rounded MT Bold"/>
          <w:sz w:val="36"/>
          <w:szCs w:val="36"/>
          <w:lang w:val="en-US"/>
        </w:rPr>
        <w:t xml:space="preserve"> (Oxford: Oxford University Press, 2010,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Greenblatt, S.,</w:t>
      </w:r>
      <w:r>
        <w:rPr>
          <w:rFonts w:ascii="Arial Rounded MT Bold" w:hAnsi="Arial Rounded MT Bold"/>
          <w:i/>
          <w:iCs/>
          <w:sz w:val="36"/>
          <w:szCs w:val="36"/>
          <w:lang w:val="en-US"/>
        </w:rPr>
        <w:t xml:space="preserve"> Renaissance Self-Fashioning From More to</w:t>
      </w:r>
      <w:r>
        <w:rPr>
          <w:rFonts w:ascii="Arial Rounded MT Bold" w:hAnsi="Arial Rounded MT Bold"/>
          <w:sz w:val="36"/>
          <w:szCs w:val="36"/>
          <w:lang w:val="en-US"/>
        </w:rPr>
        <w:t xml:space="preserve"> </w:t>
      </w:r>
      <w:r>
        <w:rPr>
          <w:rFonts w:ascii="Arial Rounded MT Bold" w:hAnsi="Arial Rounded MT Bold"/>
          <w:i/>
          <w:iCs/>
          <w:sz w:val="36"/>
          <w:szCs w:val="36"/>
          <w:lang w:val="en-US"/>
        </w:rPr>
        <w:t>Shakespeare</w:t>
      </w:r>
      <w:r>
        <w:rPr>
          <w:rFonts w:ascii="Arial Rounded MT Bold" w:hAnsi="Arial Rounded MT Bold"/>
          <w:sz w:val="36"/>
          <w:szCs w:val="36"/>
          <w:lang w:val="en-US"/>
        </w:rPr>
        <w:t>, (Chicago: University of Chicago Press, 1980,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Herman, E., </w:t>
      </w:r>
      <w:r>
        <w:rPr>
          <w:rFonts w:ascii="Arial Rounded MT Bold" w:hAnsi="Arial Rounded MT Bold"/>
          <w:i/>
          <w:iCs/>
          <w:sz w:val="36"/>
          <w:szCs w:val="36"/>
          <w:lang w:val="en-US"/>
        </w:rPr>
        <w:t>The Royal Art of Poison: Fatal Cosmetics</w:t>
      </w:r>
      <w:r>
        <w:rPr>
          <w:rFonts w:ascii="Arial Rounded MT Bold" w:hAnsi="Arial Rounded MT Bold"/>
          <w:sz w:val="36"/>
          <w:szCs w:val="36"/>
          <w:lang w:val="en-US"/>
        </w:rPr>
        <w:t xml:space="preserve">, </w:t>
      </w:r>
      <w:r>
        <w:rPr>
          <w:rFonts w:ascii="Arial Rounded MT Bold" w:hAnsi="Arial Rounded MT Bold"/>
          <w:i/>
          <w:iCs/>
          <w:sz w:val="36"/>
          <w:szCs w:val="36"/>
          <w:lang w:val="en-US"/>
        </w:rPr>
        <w:t>Deadly Medicines and Murder Most Foul</w:t>
      </w:r>
      <w:r>
        <w:rPr>
          <w:rFonts w:ascii="Arial Rounded MT Bold" w:hAnsi="Arial Rounded MT Bold"/>
          <w:sz w:val="36"/>
          <w:szCs w:val="36"/>
          <w:lang w:val="en-US"/>
        </w:rPr>
        <w:t xml:space="preserve"> (Duckworth,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Hourly History, Mary Queen of Scots: A Life From Beginning to End (2016,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Hopkins, L. and H. Ostovich eds., </w:t>
      </w:r>
      <w:r>
        <w:rPr>
          <w:rFonts w:ascii="Arial Rounded MT Bold" w:hAnsi="Arial Rounded MT Bold"/>
          <w:i/>
          <w:iCs/>
          <w:sz w:val="36"/>
          <w:szCs w:val="36"/>
          <w:lang w:val="en-US"/>
        </w:rPr>
        <w:t>Magical Transformations</w:t>
      </w:r>
      <w:r>
        <w:rPr>
          <w:rFonts w:ascii="Arial Rounded MT Bold" w:hAnsi="Arial Rounded MT Bold"/>
          <w:sz w:val="36"/>
          <w:szCs w:val="36"/>
          <w:lang w:val="en-US"/>
        </w:rPr>
        <w:t xml:space="preserve"> </w:t>
      </w:r>
      <w:r>
        <w:rPr>
          <w:rFonts w:ascii="Arial Rounded MT Bold" w:hAnsi="Arial Rounded MT Bold"/>
          <w:i/>
          <w:iCs/>
          <w:sz w:val="36"/>
          <w:szCs w:val="36"/>
          <w:lang w:val="en-US"/>
        </w:rPr>
        <w:t>on</w:t>
      </w:r>
      <w:r>
        <w:rPr>
          <w:rFonts w:ascii="Arial Rounded MT Bold" w:hAnsi="Arial Rounded MT Bold"/>
          <w:sz w:val="36"/>
          <w:szCs w:val="36"/>
          <w:lang w:val="en-US"/>
        </w:rPr>
        <w:t xml:space="preserve"> </w:t>
      </w:r>
      <w:r>
        <w:rPr>
          <w:rFonts w:ascii="Arial Rounded MT Bold" w:hAnsi="Arial Rounded MT Bold"/>
          <w:i/>
          <w:iCs/>
          <w:sz w:val="36"/>
          <w:szCs w:val="36"/>
          <w:lang w:val="en-US"/>
        </w:rPr>
        <w:t>the</w:t>
      </w:r>
      <w:r>
        <w:rPr>
          <w:rFonts w:ascii="Arial Rounded MT Bold" w:hAnsi="Arial Rounded MT Bold"/>
          <w:sz w:val="36"/>
          <w:szCs w:val="36"/>
          <w:lang w:val="en-US"/>
        </w:rPr>
        <w:t xml:space="preserve"> </w:t>
      </w:r>
      <w:r>
        <w:rPr>
          <w:rFonts w:ascii="Arial Rounded MT Bold" w:hAnsi="Arial Rounded MT Bold"/>
          <w:i/>
          <w:iCs/>
          <w:sz w:val="36"/>
          <w:szCs w:val="36"/>
          <w:lang w:val="en-US"/>
        </w:rPr>
        <w:t>Early Modern English Stage</w:t>
      </w:r>
      <w:r>
        <w:rPr>
          <w:rFonts w:ascii="Arial Rounded MT Bold" w:hAnsi="Arial Rounded MT Bold"/>
          <w:sz w:val="36"/>
          <w:szCs w:val="36"/>
          <w:lang w:val="en-US"/>
        </w:rPr>
        <w:t xml:space="preserve"> (Routledge, 2014,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Howe, K. ed.,</w:t>
      </w:r>
      <w:r>
        <w:rPr>
          <w:rFonts w:ascii="Arial Rounded MT Bold" w:hAnsi="Arial Rounded MT Bold"/>
          <w:i/>
          <w:iCs/>
          <w:sz w:val="36"/>
          <w:szCs w:val="36"/>
          <w:lang w:val="en-US"/>
        </w:rPr>
        <w:t xml:space="preserve"> The Penguin Book of Witches</w:t>
      </w:r>
      <w:r>
        <w:rPr>
          <w:rFonts w:ascii="Arial Rounded MT Bold" w:hAnsi="Arial Rounded MT Bold"/>
          <w:sz w:val="36"/>
          <w:szCs w:val="36"/>
          <w:lang w:val="en-US"/>
        </w:rPr>
        <w:t xml:space="preserve"> (Penguin Books, 2014,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Hutton, R., </w:t>
      </w:r>
      <w:r>
        <w:rPr>
          <w:rFonts w:ascii="Arial Rounded MT Bold" w:hAnsi="Arial Rounded MT Bold"/>
          <w:i/>
          <w:iCs/>
          <w:sz w:val="36"/>
          <w:szCs w:val="36"/>
          <w:lang w:val="en-US"/>
        </w:rPr>
        <w:t>The Witch: A History of Fear, from Ancient Times</w:t>
      </w:r>
      <w:r>
        <w:rPr>
          <w:rFonts w:ascii="Arial Rounded MT Bold" w:hAnsi="Arial Rounded MT Bold"/>
          <w:sz w:val="36"/>
          <w:szCs w:val="36"/>
          <w:lang w:val="en-US"/>
        </w:rPr>
        <w:t xml:space="preserve"> </w:t>
      </w:r>
      <w:r>
        <w:rPr>
          <w:rFonts w:ascii="Arial Rounded MT Bold" w:hAnsi="Arial Rounded MT Bold"/>
          <w:i/>
          <w:iCs/>
          <w:sz w:val="36"/>
          <w:szCs w:val="36"/>
          <w:lang w:val="en-US"/>
        </w:rPr>
        <w:t>to the Present</w:t>
      </w:r>
      <w:r>
        <w:rPr>
          <w:rFonts w:ascii="Arial Rounded MT Bold" w:hAnsi="Arial Rounded MT Bold"/>
          <w:sz w:val="36"/>
          <w:szCs w:val="36"/>
          <w:lang w:val="en-US"/>
        </w:rPr>
        <w:t xml:space="preserve"> (Yale University Press, 2017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Pennick, N., </w:t>
      </w:r>
      <w:r>
        <w:rPr>
          <w:rFonts w:ascii="Arial Rounded MT Bold" w:hAnsi="Arial Rounded MT Bold"/>
          <w:i/>
          <w:iCs/>
          <w:sz w:val="36"/>
          <w:szCs w:val="36"/>
          <w:lang w:val="en-US"/>
        </w:rPr>
        <w:t>Witchcraft &amp; Secret Societies of Rural England:</w:t>
      </w:r>
      <w:r>
        <w:rPr>
          <w:rFonts w:ascii="Arial Rounded MT Bold" w:hAnsi="Arial Rounded MT Bold"/>
          <w:sz w:val="36"/>
          <w:szCs w:val="36"/>
          <w:lang w:val="en-US"/>
        </w:rPr>
        <w:t xml:space="preserve"> </w:t>
      </w:r>
      <w:r>
        <w:rPr>
          <w:rFonts w:ascii="Arial Rounded MT Bold" w:hAnsi="Arial Rounded MT Bold"/>
          <w:i/>
          <w:iCs/>
          <w:sz w:val="36"/>
          <w:szCs w:val="36"/>
          <w:lang w:val="en-US"/>
        </w:rPr>
        <w:t>The Magic of Toadmen, Plough Witches, Mummers, and</w:t>
      </w:r>
      <w:r>
        <w:rPr>
          <w:rFonts w:ascii="Arial Rounded MT Bold" w:hAnsi="Arial Rounded MT Bold"/>
          <w:sz w:val="36"/>
          <w:szCs w:val="36"/>
          <w:lang w:val="en-US"/>
        </w:rPr>
        <w:t xml:space="preserve"> </w:t>
      </w:r>
      <w:r>
        <w:rPr>
          <w:rFonts w:ascii="Arial Rounded MT Bold" w:hAnsi="Arial Rounded MT Bold"/>
          <w:i/>
          <w:iCs/>
          <w:sz w:val="36"/>
          <w:szCs w:val="36"/>
          <w:lang w:val="en-US"/>
        </w:rPr>
        <w:t>Bonesmen</w:t>
      </w:r>
      <w:r>
        <w:rPr>
          <w:rFonts w:ascii="Arial Rounded MT Bold" w:hAnsi="Arial Rounded MT Bold"/>
          <w:sz w:val="36"/>
          <w:szCs w:val="36"/>
          <w:lang w:val="en-US"/>
        </w:rPr>
        <w:t xml:space="preserve"> (Destiny Books,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Thomas, K., </w:t>
      </w:r>
      <w:r>
        <w:rPr>
          <w:rFonts w:ascii="Arial Rounded MT Bold" w:hAnsi="Arial Rounded MT Bold"/>
          <w:i/>
          <w:iCs/>
          <w:sz w:val="36"/>
          <w:szCs w:val="36"/>
          <w:lang w:val="en-US"/>
        </w:rPr>
        <w:t>Religion and the Decline of Magic</w:t>
      </w:r>
      <w:r>
        <w:rPr>
          <w:rFonts w:ascii="Arial Rounded MT Bold" w:hAnsi="Arial Rounded MT Bold"/>
          <w:sz w:val="36"/>
          <w:szCs w:val="36"/>
          <w:lang w:val="en-US"/>
        </w:rPr>
        <w:t xml:space="preserve">, (London: Penguin Books, 1971, Kindle Edition) </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Poole, R. ed. </w:t>
      </w:r>
      <w:r>
        <w:rPr>
          <w:rFonts w:ascii="Arial Rounded MT Bold" w:hAnsi="Arial Rounded MT Bold"/>
          <w:i/>
          <w:iCs/>
          <w:sz w:val="36"/>
          <w:szCs w:val="36"/>
          <w:lang w:val="en-US"/>
        </w:rPr>
        <w:t>The Lancashire Witches: Histories and Stories</w:t>
      </w:r>
      <w:r>
        <w:rPr>
          <w:rFonts w:ascii="Arial Rounded MT Bold" w:hAnsi="Arial Rounded MT Bold"/>
          <w:sz w:val="36"/>
          <w:szCs w:val="36"/>
          <w:lang w:val="en-US"/>
        </w:rPr>
        <w:t xml:space="preserve"> (Manchester: Manchester University Press, 2002,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Porter, L., </w:t>
      </w:r>
      <w:r>
        <w:rPr>
          <w:rFonts w:ascii="Arial Rounded MT Bold" w:hAnsi="Arial Rounded MT Bold"/>
          <w:i/>
          <w:iCs/>
          <w:sz w:val="36"/>
          <w:szCs w:val="36"/>
          <w:lang w:val="en-US"/>
        </w:rPr>
        <w:t>Crown of Thistles: The Fatal Inheritance of Mary</w:t>
      </w:r>
      <w:r>
        <w:rPr>
          <w:rFonts w:ascii="Arial Rounded MT Bold" w:hAnsi="Arial Rounded MT Bold"/>
          <w:sz w:val="36"/>
          <w:szCs w:val="36"/>
          <w:lang w:val="en-US"/>
        </w:rPr>
        <w:t xml:space="preserve"> </w:t>
      </w:r>
      <w:r>
        <w:rPr>
          <w:rFonts w:ascii="Arial Rounded MT Bold" w:hAnsi="Arial Rounded MT Bold"/>
          <w:i/>
          <w:iCs/>
          <w:sz w:val="36"/>
          <w:szCs w:val="36"/>
          <w:lang w:val="en-US"/>
        </w:rPr>
        <w:t>Queen of Scots</w:t>
      </w:r>
      <w:r>
        <w:rPr>
          <w:rFonts w:ascii="Arial Rounded MT Bold" w:hAnsi="Arial Rounded MT Bold"/>
          <w:sz w:val="36"/>
          <w:szCs w:val="36"/>
          <w:lang w:val="en-US"/>
        </w:rPr>
        <w:t xml:space="preserve"> (Macmillan, 2013,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Sharpe, J., </w:t>
      </w:r>
      <w:r>
        <w:rPr>
          <w:rFonts w:ascii="Arial Rounded MT Bold" w:hAnsi="Arial Rounded MT Bold"/>
          <w:i/>
          <w:iCs/>
          <w:sz w:val="36"/>
          <w:szCs w:val="36"/>
          <w:lang w:val="en-US"/>
        </w:rPr>
        <w:t>The Bewitching of Anne Gunter</w:t>
      </w:r>
      <w:r>
        <w:rPr>
          <w:rFonts w:ascii="Arial Rounded MT Bold" w:hAnsi="Arial Rounded MT Bold"/>
          <w:sz w:val="36"/>
          <w:szCs w:val="36"/>
          <w:lang w:val="en-US"/>
        </w:rPr>
        <w:t xml:space="preserve"> (Routledge, 2000,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Spearing, S.,</w:t>
      </w:r>
      <w:r>
        <w:rPr>
          <w:rFonts w:ascii="Arial Rounded MT Bold" w:hAnsi="Arial Rounded MT Bold"/>
          <w:i/>
          <w:iCs/>
          <w:sz w:val="36"/>
          <w:szCs w:val="36"/>
          <w:lang w:val="en-US"/>
        </w:rPr>
        <w:t xml:space="preserve"> A History of Women in Medicine: Cunning</w:t>
      </w:r>
      <w:r>
        <w:rPr>
          <w:rFonts w:ascii="Arial Rounded MT Bold" w:hAnsi="Arial Rounded MT Bold"/>
          <w:sz w:val="36"/>
          <w:szCs w:val="36"/>
          <w:lang w:val="en-US"/>
        </w:rPr>
        <w:t xml:space="preserve"> </w:t>
      </w:r>
      <w:r>
        <w:rPr>
          <w:rFonts w:ascii="Arial Rounded MT Bold" w:hAnsi="Arial Rounded MT Bold"/>
          <w:i/>
          <w:iCs/>
          <w:sz w:val="36"/>
          <w:szCs w:val="36"/>
          <w:lang w:val="en-US"/>
        </w:rPr>
        <w:t>Women, Physicians, Witches</w:t>
      </w:r>
      <w:r>
        <w:rPr>
          <w:rFonts w:ascii="Arial Rounded MT Bold" w:hAnsi="Arial Rounded MT Bold"/>
          <w:sz w:val="36"/>
          <w:szCs w:val="36"/>
          <w:lang w:val="en-US"/>
        </w:rPr>
        <w:t xml:space="preserve"> (Pen &amp; Sword Books Ltd., 2019,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Thomas, K., </w:t>
      </w:r>
      <w:r>
        <w:rPr>
          <w:rFonts w:ascii="Arial Rounded MT Bold" w:hAnsi="Arial Rounded MT Bold"/>
          <w:i/>
          <w:iCs/>
          <w:sz w:val="36"/>
          <w:szCs w:val="36"/>
          <w:lang w:val="en-US"/>
        </w:rPr>
        <w:t>Religion and the Decline of Magic</w:t>
      </w:r>
      <w:r>
        <w:rPr>
          <w:rFonts w:ascii="Arial Rounded MT Bold" w:hAnsi="Arial Rounded MT Bold"/>
          <w:sz w:val="36"/>
          <w:szCs w:val="36"/>
          <w:lang w:val="en-US"/>
        </w:rPr>
        <w:t xml:space="preserve"> (Penguin Books, 1971,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Veeser, H. A., </w:t>
      </w:r>
      <w:r>
        <w:rPr>
          <w:rFonts w:ascii="Arial Rounded MT Bold" w:hAnsi="Arial Rounded MT Bold"/>
          <w:i/>
          <w:iCs/>
          <w:sz w:val="36"/>
          <w:szCs w:val="36"/>
          <w:lang w:val="en-US"/>
        </w:rPr>
        <w:t>The New Historicism</w:t>
      </w:r>
      <w:r>
        <w:rPr>
          <w:rFonts w:ascii="Arial Rounded MT Bold" w:hAnsi="Arial Rounded MT Bold"/>
          <w:sz w:val="36"/>
          <w:szCs w:val="36"/>
          <w:lang w:val="en-US"/>
        </w:rPr>
        <w:t>, (Routledge, 1989,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Williams, H., </w:t>
      </w:r>
      <w:r>
        <w:rPr>
          <w:rFonts w:ascii="Arial Rounded MT Bold" w:hAnsi="Arial Rounded MT Bold"/>
          <w:i/>
          <w:iCs/>
          <w:sz w:val="36"/>
          <w:szCs w:val="36"/>
          <w:lang w:val="en-US"/>
        </w:rPr>
        <w:t>The Superstitions of Witchcraft</w:t>
      </w:r>
      <w:r>
        <w:rPr>
          <w:rFonts w:ascii="Arial Rounded MT Bold" w:hAnsi="Arial Rounded MT Bold"/>
          <w:sz w:val="36"/>
          <w:szCs w:val="36"/>
          <w:lang w:val="en-US"/>
        </w:rPr>
        <w:t xml:space="preserve"> (London, Green, 1865,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Winsham, W., </w:t>
      </w:r>
      <w:r>
        <w:rPr>
          <w:rFonts w:ascii="Arial Rounded MT Bold" w:hAnsi="Arial Rounded MT Bold"/>
          <w:i/>
          <w:iCs/>
          <w:sz w:val="36"/>
          <w:szCs w:val="36"/>
          <w:lang w:val="en-US"/>
        </w:rPr>
        <w:t xml:space="preserve">Accused: British Witches Throughout History </w:t>
      </w:r>
      <w:r>
        <w:rPr>
          <w:rFonts w:ascii="Arial Rounded MT Bold" w:hAnsi="Arial Rounded MT Bold"/>
          <w:sz w:val="36"/>
          <w:szCs w:val="36"/>
          <w:lang w:val="en-US"/>
        </w:rPr>
        <w:t>(Barnsley: Pen &amp; Sword, 2016,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 </w:t>
      </w:r>
      <w:r>
        <w:rPr>
          <w:rFonts w:ascii="Arial Rounded MT Bold" w:hAnsi="Arial Rounded MT Bold"/>
          <w:i/>
          <w:iCs/>
          <w:sz w:val="36"/>
          <w:szCs w:val="36"/>
          <w:lang w:val="en-US"/>
        </w:rPr>
        <w:t>England</w:t>
      </w:r>
      <w:r>
        <w:rPr>
          <w:rFonts w:ascii="Arial Rounded MT Bold" w:hAnsi="Arial Rounded MT Bold" w:hint="default"/>
          <w:i/>
          <w:iCs/>
          <w:sz w:val="36"/>
          <w:szCs w:val="36"/>
          <w:lang w:val="en-US"/>
        </w:rPr>
        <w:t>’</w:t>
      </w:r>
      <w:r>
        <w:rPr>
          <w:rFonts w:ascii="Arial Rounded MT Bold" w:hAnsi="Arial Rounded MT Bold"/>
          <w:i/>
          <w:iCs/>
          <w:sz w:val="36"/>
          <w:szCs w:val="36"/>
          <w:lang w:val="en-US"/>
        </w:rPr>
        <w:t>s Witchcraft Trials</w:t>
      </w:r>
      <w:r>
        <w:rPr>
          <w:rFonts w:ascii="Arial Rounded MT Bold" w:hAnsi="Arial Rounded MT Bold"/>
          <w:sz w:val="36"/>
          <w:szCs w:val="36"/>
          <w:lang w:val="en-US"/>
        </w:rPr>
        <w:t xml:space="preserve"> (Barnsley: Pen &amp; Sword, 2018, Kindle Edition)</w:t>
      </w:r>
    </w:p>
    <w:p>
      <w:pPr>
        <w:pStyle w:val="style0"/>
        <w:rPr>
          <w:rFonts w:ascii="Arial Rounded MT Bold" w:cs="Arial Rounded MT Bold" w:eastAsia="Arial Rounded MT Bold" w:hAnsi="Arial Rounded MT Bold"/>
          <w:sz w:val="36"/>
          <w:szCs w:val="36"/>
        </w:rPr>
      </w:pPr>
    </w:p>
    <w:p>
      <w:pPr>
        <w:pStyle w:val="style0"/>
        <w:jc w:val="right"/>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Winter, W., </w:t>
      </w:r>
      <w:r>
        <w:rPr>
          <w:rFonts w:ascii="Arial Rounded MT Bold" w:hAnsi="Arial Rounded MT Bold"/>
          <w:i/>
          <w:iCs/>
          <w:sz w:val="36"/>
          <w:szCs w:val="36"/>
          <w:lang w:val="en-US"/>
        </w:rPr>
        <w:t>Shakespeare</w:t>
      </w:r>
      <w:r>
        <w:rPr>
          <w:rFonts w:ascii="Arial Rounded MT Bold" w:hAnsi="Arial Rounded MT Bold" w:hint="default"/>
          <w:i/>
          <w:iCs/>
          <w:sz w:val="36"/>
          <w:szCs w:val="36"/>
          <w:lang w:val="en-US"/>
        </w:rPr>
        <w:t>’</w:t>
      </w:r>
      <w:r>
        <w:rPr>
          <w:rFonts w:ascii="Arial Rounded MT Bold" w:hAnsi="Arial Rounded MT Bold"/>
          <w:i/>
          <w:iCs/>
          <w:sz w:val="36"/>
          <w:szCs w:val="36"/>
          <w:lang w:val="en-US"/>
        </w:rPr>
        <w:t>s England</w:t>
      </w:r>
      <w:r>
        <w:rPr>
          <w:rFonts w:ascii="Arial Rounded MT Bold" w:hAnsi="Arial Rounded MT Bold"/>
          <w:sz w:val="36"/>
          <w:szCs w:val="36"/>
          <w:lang w:val="en-US"/>
        </w:rPr>
        <w:t>, (Macmillan and Co, 1892,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r>
        <w:rPr>
          <w:rFonts w:ascii="Arial Rounded MT Bold" w:hAnsi="Arial Rounded MT Bold"/>
          <w:sz w:val="36"/>
          <w:szCs w:val="36"/>
          <w:lang w:val="en-US"/>
        </w:rPr>
        <w:t xml:space="preserve">Woolley, B., </w:t>
      </w:r>
      <w:r>
        <w:rPr>
          <w:rFonts w:ascii="Arial Rounded MT Bold" w:hAnsi="Arial Rounded MT Bold"/>
          <w:i/>
          <w:iCs/>
          <w:sz w:val="36"/>
          <w:szCs w:val="36"/>
          <w:lang w:val="en-US"/>
        </w:rPr>
        <w:t>The Queen</w:t>
      </w:r>
      <w:r>
        <w:rPr>
          <w:rFonts w:ascii="Arial Rounded MT Bold" w:hAnsi="Arial Rounded MT Bold" w:hint="default"/>
          <w:i/>
          <w:iCs/>
          <w:sz w:val="36"/>
          <w:szCs w:val="36"/>
          <w:lang w:val="en-US"/>
        </w:rPr>
        <w:t>’</w:t>
      </w:r>
      <w:r>
        <w:rPr>
          <w:rFonts w:ascii="Arial Rounded MT Bold" w:hAnsi="Arial Rounded MT Bold"/>
          <w:i/>
          <w:iCs/>
          <w:sz w:val="36"/>
          <w:szCs w:val="36"/>
          <w:lang w:val="en-US"/>
        </w:rPr>
        <w:t>s Conjuror: The Life and Magic of Dr.</w:t>
      </w:r>
      <w:r>
        <w:rPr>
          <w:rFonts w:ascii="Arial Rounded MT Bold" w:hAnsi="Arial Rounded MT Bold"/>
          <w:sz w:val="36"/>
          <w:szCs w:val="36"/>
          <w:lang w:val="en-US"/>
        </w:rPr>
        <w:t xml:space="preserve"> </w:t>
      </w:r>
      <w:r>
        <w:rPr>
          <w:rFonts w:ascii="Arial Rounded MT Bold" w:hAnsi="Arial Rounded MT Bold"/>
          <w:i/>
          <w:iCs/>
          <w:sz w:val="36"/>
          <w:szCs w:val="36"/>
          <w:lang w:val="en-US"/>
        </w:rPr>
        <w:t>Dee</w:t>
      </w:r>
      <w:r>
        <w:rPr>
          <w:rFonts w:ascii="Arial Rounded MT Bold" w:hAnsi="Arial Rounded MT Bold"/>
          <w:sz w:val="36"/>
          <w:szCs w:val="36"/>
          <w:lang w:val="en-US"/>
        </w:rPr>
        <w:t>, (London: HarperCollins, 2001, Kindle Edition)</w:t>
      </w: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jc w:val="center"/>
        <w:rPr>
          <w:rFonts w:ascii="Arial Rounded MT Bold" w:cs="Arial Rounded MT Bold" w:eastAsia="Arial Rounded MT Bold" w:hAnsi="Arial Rounded MT Bold"/>
          <w:sz w:val="36"/>
          <w:szCs w:val="36"/>
        </w:rPr>
      </w:pPr>
    </w:p>
    <w:p>
      <w:pPr>
        <w:pStyle w:val="style0"/>
        <w:jc w:val="center"/>
        <w:rPr>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0"/>
        <w:rPr>
          <w:rFonts w:ascii="Arial Rounded MT Bold" w:cs="Arial Rounded MT Bold" w:eastAsia="Arial Rounded MT Bold" w:hAnsi="Arial Rounded MT Bold"/>
          <w:sz w:val="36"/>
          <w:szCs w:val="36"/>
        </w:rPr>
      </w:pPr>
    </w:p>
    <w:p>
      <w:pPr>
        <w:pStyle w:val="style4100"/>
        <w:rPr/>
      </w:pPr>
      <w:r>
        <w:rPr>
          <w:rFonts w:ascii="Arial Rounded MT Bold" w:hAnsi="Arial Rounded MT Bold"/>
          <w:sz w:val="36"/>
          <w:szCs w:val="36"/>
          <w:lang w:val="en-US"/>
        </w:rPr>
        <w:t xml:space="preserve"> </w:t>
      </w:r>
    </w:p>
    <w:sectPr>
      <w:headerReference w:type="default" r:id="rId3"/>
      <w:footerReference w:type="default" r:id="rId4"/>
      <w:pgSz w:w="11900" w:h="16840" w:orient="portrait"/>
      <w:pgMar w:top="1134" w:right="1134" w:bottom="1134" w:left="1134" w:header="709" w:footer="850" w:gutter="0"/>
      <w:bidi w:val="fals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4099"/>
      <w:tabs>
        <w:tab w:val="clear" w:pos="9020"/>
      </w:tabs>
      <w:rPr/>
    </w:pPr>
    <w:r>
      <w:tab/>
    </w:r>
    <w:r>
      <w:rPr/>
      <w:fldChar w:fldCharType="begin"/>
    </w:r>
    <w:r>
      <w:instrText xml:space="preserve"> PAGE </w:instrText>
    </w:r>
    <w:r>
      <w:rPr/>
      <w:fldChar w:fldCharType="separate"/>
    </w:r>
    <w:r>
      <w:rPr/>
      <w:fldChar w:fldCharType="end"/>
    </w:r>
  </w:p>
</w:ftr>
</file>

<file path=word/footnotes.xml><?xml version="1.0" encoding="utf-8"?>
<w:footnotes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footnote w:id="1">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sz w:val="26"/>
          <w:szCs w:val="26"/>
          <w:lang w:val="en-US"/>
        </w:rPr>
        <w:t xml:space="preserve">Thomas, K., </w:t>
      </w:r>
      <w:r>
        <w:rPr>
          <w:rFonts w:cs="Arial Unicode MS" w:eastAsia="Arial Unicode MS"/>
          <w:i/>
          <w:iCs/>
          <w:sz w:val="26"/>
          <w:szCs w:val="26"/>
          <w:lang w:val="en-US"/>
        </w:rPr>
        <w:t>Religion and the Decline of Magic</w:t>
      </w:r>
      <w:r>
        <w:rPr>
          <w:rFonts w:cs="Arial Unicode MS" w:eastAsia="Arial Unicode MS"/>
          <w:sz w:val="26"/>
          <w:szCs w:val="26"/>
          <w:lang w:val="en-US"/>
        </w:rPr>
        <w:t xml:space="preserve"> (London: Weidenfeld &amp; Nicholson, 1971)</w:t>
      </w:r>
    </w:p>
  </w:footnote>
  <w:footnote w:id="2">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Pendle Witch Child Documentary (2012)</w:t>
      </w:r>
    </w:p>
  </w:footnote>
  <w:footnote w:id="3">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Sir Anthony Weldon, The Court and Character of King James, 1650, pp. 177ff (Cambridge: Cambridge University Press, accessed online 5/10/2022)</w:t>
      </w:r>
    </w:p>
  </w:footnote>
  <w:footnote w:id="4">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 xml:space="preserve"> The Pendle Witch Child Documentary, 2012</w:t>
      </w:r>
    </w:p>
  </w:footnote>
  <w:footnote w:id="5">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Potts, T., Discovery of Witches: The Wonderfull Discoverie of Witches in the Countie of Lancaster (1613, Kindle Edition)</w:t>
      </w:r>
    </w:p>
  </w:footnote>
  <w:footnote w:id="6">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 xml:space="preserve">Winsham, W., </w:t>
      </w:r>
      <w:r>
        <w:rPr>
          <w:rFonts w:cs="Arial Unicode MS" w:eastAsia="Arial Unicode MS"/>
          <w:i/>
          <w:iCs/>
          <w:lang w:val="en-US"/>
        </w:rPr>
        <w:t>England</w:t>
      </w:r>
      <w:r>
        <w:rPr>
          <w:rFonts w:cs="Arial Unicode MS" w:eastAsia="Arial Unicode MS" w:hint="default"/>
          <w:i/>
          <w:iCs/>
          <w:lang w:val="en-US"/>
        </w:rPr>
        <w:t>’</w:t>
      </w:r>
      <w:r>
        <w:rPr>
          <w:rFonts w:cs="Arial Unicode MS" w:eastAsia="Arial Unicode MS"/>
          <w:i/>
          <w:iCs/>
          <w:lang w:val="en-US"/>
        </w:rPr>
        <w:t>s Witchcraft Trials</w:t>
      </w:r>
      <w:r>
        <w:rPr>
          <w:rFonts w:cs="Arial Unicode MS" w:eastAsia="Arial Unicode MS"/>
          <w:lang w:val="en-US"/>
        </w:rPr>
        <w:t xml:space="preserve"> (Barnsley: Pen and Sword Books Ltd., 2018)</w:t>
      </w:r>
    </w:p>
  </w:footnote>
  <w:footnote w:id="7">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Pendle Witch Child Documentary</w:t>
      </w:r>
    </w:p>
  </w:footnote>
  <w:footnote w:id="8">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 xml:space="preserve">Quotations from Shannon, R., </w:t>
      </w:r>
      <w:r>
        <w:rPr>
          <w:rFonts w:cs="Arial Unicode MS" w:eastAsia="Arial Unicode MS"/>
          <w:i/>
          <w:iCs/>
          <w:lang w:val="en-GB"/>
        </w:rPr>
        <w:t>Sabbat</w:t>
      </w:r>
      <w:r>
        <w:rPr>
          <w:rFonts w:cs="Arial Unicode MS" w:eastAsia="Arial Unicode MS"/>
          <w:lang w:val="en-US"/>
        </w:rPr>
        <w:t xml:space="preserve"> (London: Oberon Books Ltd., 2012, Third Edition)</w:t>
      </w:r>
    </w:p>
  </w:footnote>
  <w:footnote w:id="9">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Possibly referenced by Terry Pratchett, who uses this as a character name in his later Witches Discworld books. The reference to the Pendle Witches was certainly intentional, the one to Ainsworth might be coincidental, but it still adds another layer.</w:t>
      </w:r>
    </w:p>
  </w:footnote>
  <w:footnote w:id="10">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 xml:space="preserve">Quotations from Antosa, S., </w:t>
      </w:r>
      <w:r>
        <w:rPr>
          <w:rFonts w:cs="Arial Unicode MS" w:eastAsia="Arial Unicode MS"/>
          <w:i/>
          <w:iCs/>
          <w:lang w:val="en-GB"/>
        </w:rPr>
        <w:t>In</w:t>
      </w:r>
      <w:r>
        <w:rPr>
          <w:rFonts w:cs="Arial Unicode MS" w:eastAsia="Arial Unicode MS"/>
          <w:i/>
          <w:iCs/>
          <w:lang w:val="en-US"/>
        </w:rPr>
        <w:t xml:space="preserve"> a Queer Gothic Space and Time: Love Triangles in Jeanette Winterson</w:t>
      </w:r>
      <w:r>
        <w:rPr>
          <w:rFonts w:cs="Arial Unicode MS" w:eastAsia="Arial Unicode MS" w:hint="default"/>
          <w:i/>
          <w:iCs/>
          <w:lang w:val="en-US"/>
        </w:rPr>
        <w:t>’</w:t>
      </w:r>
      <w:r>
        <w:rPr>
          <w:rFonts w:cs="Arial Unicode MS" w:eastAsia="Arial Unicode MS"/>
          <w:i/>
          <w:iCs/>
          <w:lang w:val="en-US"/>
        </w:rPr>
        <w:t>s The Daylight Gate,</w:t>
      </w:r>
      <w:r>
        <w:rPr>
          <w:rFonts w:cs="Arial Unicode MS" w:eastAsia="Arial Unicode MS"/>
          <w:lang w:val="en-US"/>
        </w:rPr>
        <w:t xml:space="preserve"> (Off the Record N.13 - 05/2015, accessed online 5/10/2022)</w:t>
      </w:r>
    </w:p>
  </w:footnote>
  <w:footnote w:id="11">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 xml:space="preserve">Willson, D. H., </w:t>
      </w:r>
      <w:r>
        <w:rPr>
          <w:rFonts w:cs="Arial Unicode MS" w:eastAsia="Arial Unicode MS"/>
          <w:i/>
          <w:iCs/>
          <w:lang w:val="en-US"/>
        </w:rPr>
        <w:t>King James VI and I</w:t>
      </w:r>
      <w:r>
        <w:rPr>
          <w:rFonts w:cs="Arial Unicode MS" w:eastAsia="Arial Unicode MS"/>
          <w:lang w:val="en-US"/>
        </w:rPr>
        <w:t xml:space="preserve"> (1956)</w:t>
      </w:r>
    </w:p>
  </w:footnote>
  <w:footnote w:id="12">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MacPherson, M., The Story Behind Scotland</w:t>
      </w:r>
      <w:r>
        <w:rPr>
          <w:rFonts w:cs="Arial Unicode MS" w:eastAsia="Arial Unicode MS" w:hint="default"/>
          <w:lang w:val="en-US"/>
        </w:rPr>
        <w:t>’</w:t>
      </w:r>
      <w:r>
        <w:rPr>
          <w:rFonts w:cs="Arial Unicode MS" w:eastAsia="Arial Unicode MS"/>
          <w:lang w:val="en-US"/>
        </w:rPr>
        <w:t>s Witch Hunt and Trials (The National, accessed online, 5/10/2022)</w:t>
      </w:r>
    </w:p>
  </w:footnote>
  <w:footnote w:id="13">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Newes From Scotland pamphlet, 1591, quoted ibid.</w:t>
      </w:r>
    </w:p>
  </w:footnote>
  <w:footnote w:id="14">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Carver, S. The Life &amp; Works of the Lancashire Novelist William Harrison Ainsworth, 1805-1882 (New York: EMP, 2003)</w:t>
      </w:r>
    </w:p>
  </w:footnote>
  <w:footnote w:id="15">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 xml:space="preserve">Sharpe, J., </w:t>
      </w:r>
      <w:r>
        <w:rPr>
          <w:rFonts w:cs="Arial Unicode MS" w:eastAsia="Arial Unicode MS"/>
          <w:i/>
          <w:iCs/>
          <w:lang w:val="en-US"/>
        </w:rPr>
        <w:t>The Bewitching of Anne Gunter</w:t>
      </w:r>
      <w:r>
        <w:rPr>
          <w:rFonts w:cs="Arial Unicode MS" w:eastAsia="Arial Unicode MS"/>
          <w:lang w:val="en-US"/>
        </w:rPr>
        <w:t xml:space="preserve"> (Routledge, 2000)</w:t>
      </w:r>
    </w:p>
  </w:footnote>
  <w:footnote w:id="16">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Carver, 2003</w:t>
      </w:r>
    </w:p>
  </w:footnote>
  <w:footnote w:id="17">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 xml:space="preserve">Almond, P. C., </w:t>
      </w:r>
      <w:r>
        <w:rPr>
          <w:rFonts w:cs="Arial Unicode MS" w:eastAsia="Arial Unicode MS"/>
          <w:i/>
          <w:iCs/>
          <w:lang w:val="en-US"/>
        </w:rPr>
        <w:t>The</w:t>
      </w:r>
      <w:r>
        <w:rPr>
          <w:rFonts w:cs="Arial Unicode MS" w:eastAsia="Arial Unicode MS"/>
          <w:lang w:val="en-US"/>
        </w:rPr>
        <w:t xml:space="preserve"> </w:t>
      </w:r>
      <w:r>
        <w:rPr>
          <w:rFonts w:cs="Arial Unicode MS" w:eastAsia="Arial Unicode MS"/>
          <w:i/>
          <w:iCs/>
          <w:lang w:val="en-US"/>
        </w:rPr>
        <w:t>Lancashire</w:t>
      </w:r>
      <w:r>
        <w:rPr>
          <w:rFonts w:cs="Arial Unicode MS" w:eastAsia="Arial Unicode MS"/>
          <w:lang w:val="en-US"/>
        </w:rPr>
        <w:t xml:space="preserve"> </w:t>
      </w:r>
      <w:r>
        <w:rPr>
          <w:rFonts w:cs="Arial Unicode MS" w:eastAsia="Arial Unicode MS"/>
          <w:i/>
          <w:iCs/>
          <w:lang w:val="en-US"/>
        </w:rPr>
        <w:t>Witches</w:t>
      </w:r>
      <w:r>
        <w:rPr>
          <w:rFonts w:cs="Arial Unicode MS" w:eastAsia="Arial Unicode MS"/>
          <w:lang w:val="en-US"/>
        </w:rPr>
        <w:t xml:space="preserve">: </w:t>
      </w:r>
      <w:r>
        <w:rPr>
          <w:rFonts w:cs="Arial Unicode MS" w:eastAsia="Arial Unicode MS"/>
          <w:i/>
          <w:iCs/>
          <w:lang w:val="en-US"/>
        </w:rPr>
        <w:t>A</w:t>
      </w:r>
      <w:r>
        <w:rPr>
          <w:rFonts w:cs="Arial Unicode MS" w:eastAsia="Arial Unicode MS"/>
          <w:lang w:val="en-US"/>
        </w:rPr>
        <w:t xml:space="preserve"> </w:t>
      </w:r>
      <w:r>
        <w:rPr>
          <w:rFonts w:cs="Arial Unicode MS" w:eastAsia="Arial Unicode MS"/>
          <w:i/>
          <w:iCs/>
          <w:lang w:val="en-US"/>
        </w:rPr>
        <w:t>Chronicle</w:t>
      </w:r>
      <w:r>
        <w:rPr>
          <w:rFonts w:cs="Arial Unicode MS" w:eastAsia="Arial Unicode MS"/>
          <w:lang w:val="en-US"/>
        </w:rPr>
        <w:t xml:space="preserve"> </w:t>
      </w:r>
      <w:r>
        <w:rPr>
          <w:rFonts w:cs="Arial Unicode MS" w:eastAsia="Arial Unicode MS"/>
          <w:i/>
          <w:iCs/>
          <w:lang w:val="en-US"/>
        </w:rPr>
        <w:t>of</w:t>
      </w:r>
      <w:r>
        <w:rPr>
          <w:rFonts w:cs="Arial Unicode MS" w:eastAsia="Arial Unicode MS"/>
          <w:lang w:val="en-US"/>
        </w:rPr>
        <w:t xml:space="preserve"> </w:t>
      </w:r>
      <w:r>
        <w:rPr>
          <w:rFonts w:cs="Arial Unicode MS" w:eastAsia="Arial Unicode MS"/>
          <w:i/>
          <w:iCs/>
          <w:lang w:val="en-US"/>
        </w:rPr>
        <w:t>Sorcery</w:t>
      </w:r>
      <w:r>
        <w:rPr>
          <w:rFonts w:cs="Arial Unicode MS" w:eastAsia="Arial Unicode MS"/>
          <w:lang w:val="en-US"/>
        </w:rPr>
        <w:t xml:space="preserve"> </w:t>
      </w:r>
      <w:r>
        <w:rPr>
          <w:rFonts w:cs="Arial Unicode MS" w:eastAsia="Arial Unicode MS"/>
          <w:i/>
          <w:iCs/>
          <w:lang w:val="en-US"/>
        </w:rPr>
        <w:t>and</w:t>
      </w:r>
      <w:r>
        <w:rPr>
          <w:rFonts w:cs="Arial Unicode MS" w:eastAsia="Arial Unicode MS"/>
          <w:lang w:val="en-US"/>
        </w:rPr>
        <w:t xml:space="preserve"> </w:t>
      </w:r>
      <w:r>
        <w:rPr>
          <w:rFonts w:cs="Arial Unicode MS" w:eastAsia="Arial Unicode MS"/>
          <w:i/>
          <w:iCs/>
          <w:lang w:val="en-US"/>
        </w:rPr>
        <w:t>Death</w:t>
      </w:r>
      <w:r>
        <w:rPr>
          <w:rFonts w:cs="Arial Unicode MS" w:eastAsia="Arial Unicode MS"/>
          <w:lang w:val="en-US"/>
        </w:rPr>
        <w:t xml:space="preserve"> </w:t>
      </w:r>
      <w:r>
        <w:rPr>
          <w:rFonts w:cs="Arial Unicode MS" w:eastAsia="Arial Unicode MS"/>
          <w:i/>
          <w:iCs/>
          <w:lang w:val="en-US"/>
        </w:rPr>
        <w:t>on</w:t>
      </w:r>
      <w:r>
        <w:rPr>
          <w:rFonts w:cs="Arial Unicode MS" w:eastAsia="Arial Unicode MS"/>
          <w:lang w:val="en-US"/>
        </w:rPr>
        <w:t xml:space="preserve"> </w:t>
      </w:r>
      <w:r>
        <w:rPr>
          <w:rFonts w:cs="Arial Unicode MS" w:eastAsia="Arial Unicode MS"/>
          <w:i/>
          <w:iCs/>
          <w:lang w:val="en-US"/>
        </w:rPr>
        <w:t>Pendle</w:t>
      </w:r>
      <w:r>
        <w:rPr>
          <w:rFonts w:cs="Arial Unicode MS" w:eastAsia="Arial Unicode MS"/>
          <w:i/>
          <w:iCs/>
          <w:lang w:val="en-GB"/>
        </w:rPr>
        <w:t xml:space="preserve"> </w:t>
      </w:r>
      <w:r>
        <w:rPr>
          <w:rFonts w:cs="Arial Unicode MS" w:eastAsia="Arial Unicode MS"/>
          <w:i/>
          <w:iCs/>
          <w:lang w:val="en-GB"/>
        </w:rPr>
        <w:t>Hill</w:t>
      </w:r>
      <w:r>
        <w:rPr>
          <w:rFonts w:cs="Arial Unicode MS" w:eastAsia="Arial Unicode MS"/>
          <w:lang w:val="en-US"/>
        </w:rPr>
        <w:t xml:space="preserve"> (I. B. Tauris &amp; Co., 2012)</w:t>
      </w:r>
    </w:p>
  </w:footnote>
  <w:footnote w:id="18">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 xml:space="preserve">As quoted in The Pendle Witch Child Documentary </w:t>
      </w:r>
    </w:p>
  </w:footnote>
  <w:footnote w:id="19">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 xml:space="preserve">Clayton, J. A., </w:t>
      </w:r>
      <w:r>
        <w:rPr>
          <w:rFonts w:cs="Arial Unicode MS" w:eastAsia="Arial Unicode MS"/>
          <w:i/>
          <w:iCs/>
          <w:lang w:val="en-US"/>
        </w:rPr>
        <w:t>The Other Pendle Witches: The Pendle Witch Trials of 1634</w:t>
      </w:r>
      <w:r>
        <w:rPr>
          <w:rFonts w:cs="Arial Unicode MS" w:eastAsia="Arial Unicode MS"/>
          <w:lang w:val="en-US"/>
        </w:rPr>
        <w:t xml:space="preserve"> (Barrowford Press, 2012, Kindle Edition)</w:t>
      </w:r>
    </w:p>
  </w:footnote>
  <w:footnote w:id="20">
    <w:p>
      <w:pPr>
        <w:pStyle w:val="style4101"/>
        <w:rPr/>
      </w:pPr>
      <w:r>
        <w:rPr>
          <w:rFonts w:ascii="Arial Rounded MT Bold" w:cs="Arial Rounded MT Bold" w:eastAsia="Arial Rounded MT Bold" w:hAnsi="Arial Rounded MT Bold"/>
          <w:sz w:val="36"/>
          <w:szCs w:val="36"/>
          <w:vertAlign w:val="superscript"/>
        </w:rPr>
        <w:footnoteRef/>
      </w:r>
      <w:r>
        <w:rPr>
          <w:rFonts w:cs="Arial Unicode MS" w:eastAsia="Arial Unicode MS"/>
        </w:rPr>
        <w:t xml:space="preserve"> </w:t>
      </w:r>
      <w:r>
        <w:rPr>
          <w:rFonts w:cs="Arial Unicode MS" w:eastAsia="Arial Unicode MS"/>
          <w:lang w:val="en-US"/>
        </w:rPr>
        <w:t>Ibid</w:t>
      </w:r>
    </w:p>
  </w:footnote>
</w:footnote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4098"/>
      <w:bidi w:val="fals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view w:val="print"/>
  <w:displayBackgroundShape/>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revisionView w:markup="t" w:comments="t" w:insDel="t" w:formatting="f"/>
  <w:documentProtection w:edit="none" w:enforcement="0"/>
  <w:defaultTabStop w:val="720"/>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Arial Unicode MS" w:hAnsi="Times New Roman"/>
        <w:b w:val="false"/>
        <w:bCs w:val="false"/>
        <w:i w:val="false"/>
        <w:iCs w:val="false"/>
        <w:caps w:val="false"/>
        <w:smallCaps w:val="false"/>
        <w:outline w:val="false"/>
        <w:emboss w:val="false"/>
        <w:imprint w:val="false"/>
        <w:vanish w:val="false"/>
        <w:color w:val="auto"/>
        <w:spacing w:val="0"/>
        <w:w w:val="100"/>
        <w:kern w:val="0"/>
        <w:position w:val="0"/>
        <w:sz w:val="20"/>
        <w:szCs w:val="20"/>
        <w:u w:val="none" w:color="auto"/>
        <w:bdr w:val="nil"/>
        <w:vertAlign w:val="baseline"/>
      </w:rPr>
    </w:rPrDefault>
    <w:pPrDefault>
      <w:pPr>
        <w:keepNext w:val="false"/>
        <w:keepLines w:val="false"/>
        <w:pageBreakBefore w:val="false"/>
        <w:framePr w:h="0" w:hRule="exact" w:w="0" w:hSpace="0" w:vSpace="0" w:vAnchor="margin" w:xAlign="left" w:yAlign="inline" w:anchorLock="false"/>
        <w:widowControl/>
        <w:numPr>
          <w:ilvl w:val="0"/>
          <w:numId w:val="0"/>
        </w:numPr>
        <w:suppressLineNumbers w:val="false"/>
        <w:pBdr>
          <w:left w:val="nil"/>
          <w:right w:val="nil"/>
          <w:top w:val="nil"/>
          <w:bottom w:val="nil"/>
          <w:bar w:val="nil"/>
          <w:between w:val="nil"/>
        </w:pBdr>
        <w:shd w:val="clear" w:color="auto" w:fill="auto"/>
        <w:suppressAutoHyphens w:val="false"/>
        <w:spacing w:before="0" w:beforeAutospacing="false" w:after="0" w:afterAutospacing="false" w:lineRule="auto" w:line="240"/>
        <w:ind w:left="0" w:right="0" w:firstLine="0"/>
        <w:jc w:val="left"/>
        <w:outlineLvl w:val="9"/>
      </w:pPr>
    </w:pPrDefault>
  </w:docDefaults>
  <w:style w:type="paragraph" w:default="1" w:styleId="style0">
    <w:name w:val="Normal"/>
    <w:next w:val="style0"/>
    <w:pPr>
      <w:keepNext w:val="false"/>
      <w:keepLines w:val="false"/>
      <w:pageBreakBefore w:val="false"/>
      <w:widowControl/>
      <w:shd w:val="clear" w:color="auto" w:fill="auto"/>
      <w:suppressAutoHyphens w:val="false"/>
      <w:bidi w:val="false"/>
      <w:spacing w:before="0" w:after="0" w:lineRule="auto" w:line="240"/>
      <w:ind w:left="0" w:right="0" w:firstLine="0"/>
      <w:jc w:val="left"/>
      <w:outlineLvl w:val="9"/>
    </w:pPr>
    <w:rPr>
      <w:rFonts w:ascii="Times New Roman" w:cs="Times New Roman" w:eastAsia="Times New Roman" w:hAnsi="Times New Roman"/>
      <w:b w:val="false"/>
      <w:bCs w:val="false"/>
      <w:i w:val="false"/>
      <w:iCs w:val="false"/>
      <w:caps w:val="false"/>
      <w:smallCaps w:val="false"/>
      <w:outline w:val="false"/>
      <w:color w:val="000000"/>
      <w:spacing w:val="0"/>
      <w:kern w:val="0"/>
      <w:position w:val="0"/>
      <w:sz w:val="24"/>
      <w:szCs w:val="24"/>
      <w:u w:val="none" w:color="000000"/>
      <w:shd w:val="nil" w:color="auto" w:fill="auto"/>
      <w:vertAlign w:val="baseline"/>
      <w:lang w:val="en-US"/>
    </w:rPr>
  </w:style>
  <w:style w:type="character" w:default="1" w:styleId="style65">
    <w:name w:val="Default Paragraph Font"/>
    <w:next w:val="style65"/>
  </w:style>
  <w:style w:type="character" w:styleId="style85">
    <w:name w:val="Hyperlink"/>
    <w:next w:val="style85"/>
    <w:rPr>
      <w:u w:val="single"/>
    </w:rPr>
  </w:style>
  <w:style w:type="table" w:customStyle="1" w:styleId="style4097">
    <w:name w:val="Table Normal"/>
    <w:next w:val="style4097"/>
    <w:pPr/>
    <w:rPr/>
    <w:tblPr>
      <w:tblInd w:w="0" w:type="dxa"/>
    </w:tblPr>
    <w:tblStylePr w:type="firstRow">
      <w:pPr/>
      <w:tcPr>
        <w:tcBorders/>
      </w:tcPr>
    </w:tblStylePr>
    <w:tblStylePr w:type="lastRow">
      <w:pPr/>
      <w:tcPr>
        <w:tcBorders/>
      </w:tcPr>
    </w:tblStylePr>
    <w:tblStylePr w:type="band1Horz">
      <w:pPr/>
      <w:tcPr>
        <w:tcBorders/>
      </w:tcPr>
    </w:tblStylePr>
    <w:tblStylePr w:type="band2Horz">
      <w:pPr/>
      <w:tcPr>
        <w:tcBorders/>
      </w:tcPr>
    </w:tblStylePr>
    <w:tblStylePr w:type="firstCol">
      <w:pPr/>
      <w:tcPr>
        <w:tcBorders/>
      </w:tcPr>
    </w:tblStylePr>
    <w:tblStylePr w:type="lastCol">
      <w:pPr/>
      <w:tcPr>
        <w:tcBorders/>
      </w:tcPr>
    </w:tblStylePr>
    <w:tblStylePr w:type="band1Vert">
      <w:pPr/>
      <w:tcPr>
        <w:tcBorders/>
      </w:tcPr>
    </w:tblStylePr>
    <w:tblStylePr w:type="band2Vert">
      <w:pPr/>
      <w:tcPr>
        <w:tcBorders/>
      </w:tcPr>
    </w:tblStylePr>
    <w:tblStylePr w:type="neCell">
      <w:pPr/>
      <w:tcPr>
        <w:tcBorders/>
      </w:tcPr>
    </w:tblStylePr>
    <w:tblStylePr w:type="nwCell">
      <w:pPr/>
      <w:tcPr>
        <w:tcBorders/>
      </w:tcPr>
    </w:tblStylePr>
    <w:tblStylePr w:type="seCell">
      <w:pPr/>
      <w:tcPr>
        <w:tcBorders/>
      </w:tcPr>
    </w:tblStylePr>
    <w:tblStylePr w:type="swCell">
      <w:pPr/>
      <w:tcPr>
        <w:tcBorders/>
      </w:tcPr>
    </w:tblStylePr>
    <w:tcPr>
      <w:tcBorders/>
    </w:tcPr>
  </w:style>
  <w:style w:type="numbering" w:default="1" w:styleId="style107">
    <w:name w:val="No List"/>
    <w:next w:val="style107"/>
    <w:pPr/>
  </w:style>
  <w:style w:type="paragraph" w:customStyle="1" w:styleId="style4098">
    <w:name w:val="Header &amp; Footer"/>
    <w:next w:val="style4098"/>
    <w:pPr>
      <w:keepNext w:val="false"/>
      <w:keepLines w:val="false"/>
      <w:pageBreakBefore w:val="false"/>
      <w:widowControl/>
      <w:shd w:val="clear" w:color="auto" w:fill="auto"/>
      <w:tabs>
        <w:tab w:val="right" w:leader="none" w:pos="9020"/>
      </w:tabs>
      <w:suppressAutoHyphens w:val="false"/>
      <w:bidi w:val="false"/>
      <w:spacing w:before="0" w:after="0" w:lineRule="auto" w:line="240"/>
      <w:ind w:left="0" w:right="0" w:firstLine="0"/>
      <w:jc w:val="left"/>
      <w:outlineLvl w:val="9"/>
    </w:pPr>
    <w:rPr>
      <w:rFonts w:ascii="Arial Rounded MT Bold" w:cs="Arial Unicode MS" w:eastAsia="Arial Unicode MS" w:hAnsi="Arial Rounded MT Bold"/>
      <w:b w:val="false"/>
      <w:bCs w:val="false"/>
      <w:i w:val="false"/>
      <w:iCs w:val="false"/>
      <w:caps w:val="false"/>
      <w:smallCaps w:val="false"/>
      <w:outline w:val="false"/>
      <w:color w:val="000000"/>
      <w:spacing w:val="0"/>
      <w:kern w:val="0"/>
      <w:position w:val="0"/>
      <w:sz w:val="24"/>
      <w:szCs w:val="24"/>
      <w:u w:val="none"/>
      <w:shd w:val="nil" w:color="auto" w:fill="auto"/>
      <w:vertAlign w:val="baseline"/>
      <w14:textOutline>
        <w14:noFill/>
      </w14:textOutline>
    </w:rPr>
  </w:style>
  <w:style w:type="paragraph" w:customStyle="1" w:styleId="style4099">
    <w:name w:val="Header &amp; Footer A"/>
    <w:next w:val="style4099"/>
    <w:pPr>
      <w:keepNext w:val="false"/>
      <w:keepLines w:val="false"/>
      <w:pageBreakBefore w:val="false"/>
      <w:widowControl/>
      <w:shd w:val="clear" w:color="auto" w:fill="auto"/>
      <w:tabs>
        <w:tab w:val="right" w:leader="none" w:pos="9020"/>
      </w:tabs>
      <w:suppressAutoHyphens w:val="false"/>
      <w:bidi w:val="false"/>
      <w:spacing w:before="0" w:after="0" w:lineRule="auto" w:line="240"/>
      <w:ind w:left="0" w:right="0" w:firstLine="0"/>
      <w:jc w:val="left"/>
      <w:outlineLvl w:val="9"/>
    </w:pPr>
    <w:rPr>
      <w:rFonts w:ascii="Helvetica Neue" w:cs="Arial Unicode MS" w:eastAsia="Arial Unicode MS" w:hAnsi="Helvetica Neue"/>
      <w:b w:val="false"/>
      <w:bCs w:val="false"/>
      <w:i w:val="false"/>
      <w:iCs w:val="false"/>
      <w:caps w:val="false"/>
      <w:smallCaps w:val="false"/>
      <w:outline w:val="false"/>
      <w:color w:val="000000"/>
      <w:spacing w:val="0"/>
      <w:kern w:val="0"/>
      <w:position w:val="0"/>
      <w:sz w:val="24"/>
      <w:szCs w:val="24"/>
      <w:u w:val="none" w:color="000000"/>
      <w:shd w:val="nil" w:color="auto" w:fill="auto"/>
      <w:vertAlign w:val="baseline"/>
    </w:rPr>
  </w:style>
  <w:style w:type="paragraph" w:customStyle="1" w:styleId="style4100">
    <w:name w:val="Body A"/>
    <w:next w:val="style4100"/>
    <w:pPr>
      <w:keepNext w:val="false"/>
      <w:keepLines w:val="false"/>
      <w:pageBreakBefore w:val="false"/>
      <w:widowControl/>
      <w:shd w:val="clear" w:color="auto" w:fill="auto"/>
      <w:suppressAutoHyphens w:val="false"/>
      <w:bidi w:val="false"/>
      <w:spacing w:before="0" w:after="0" w:lineRule="auto" w:line="240"/>
      <w:ind w:left="0" w:right="0" w:firstLine="0"/>
      <w:jc w:val="left"/>
      <w:outlineLvl w:val="9"/>
    </w:pPr>
    <w:rPr>
      <w:rFonts w:ascii="Helvetica Neue" w:cs="Arial Unicode MS" w:eastAsia="Arial Unicode MS" w:hAnsi="Helvetica Neue"/>
      <w:b w:val="false"/>
      <w:bCs w:val="false"/>
      <w:i w:val="false"/>
      <w:iCs w:val="false"/>
      <w:caps w:val="false"/>
      <w:smallCaps w:val="false"/>
      <w:outline w:val="false"/>
      <w:color w:val="000000"/>
      <w:spacing w:val="0"/>
      <w:kern w:val="0"/>
      <w:position w:val="0"/>
      <w:sz w:val="22"/>
      <w:szCs w:val="22"/>
      <w:u w:val="none" w:color="000000"/>
      <w:shd w:val="nil" w:color="auto" w:fill="auto"/>
      <w:vertAlign w:val="baseline"/>
      <w:lang w:val="en-US"/>
    </w:rPr>
  </w:style>
  <w:style w:type="paragraph" w:customStyle="1" w:styleId="style4101">
    <w:name w:val="Footnote A"/>
    <w:next w:val="style4101"/>
    <w:pPr>
      <w:keepNext w:val="false"/>
      <w:keepLines w:val="false"/>
      <w:pageBreakBefore w:val="false"/>
      <w:widowControl/>
      <w:shd w:val="clear" w:color="auto" w:fill="auto"/>
      <w:suppressAutoHyphens w:val="false"/>
      <w:bidi w:val="false"/>
      <w:spacing w:before="0" w:after="0" w:lineRule="auto" w:line="240"/>
      <w:ind w:left="0" w:right="0" w:firstLine="0"/>
      <w:jc w:val="left"/>
      <w:outlineLvl w:val="9"/>
    </w:pPr>
    <w:rPr>
      <w:rFonts w:ascii="Helvetica Neue" w:cs="Helvetica Neue" w:eastAsia="Helvetica Neue" w:hAnsi="Helvetica Neue"/>
      <w:b w:val="false"/>
      <w:bCs w:val="false"/>
      <w:i w:val="false"/>
      <w:iCs w:val="false"/>
      <w:caps w:val="false"/>
      <w:smallCaps w:val="false"/>
      <w:outline w:val="false"/>
      <w:color w:val="000000"/>
      <w:spacing w:val="0"/>
      <w:kern w:val="0"/>
      <w:position w:val="0"/>
      <w:sz w:val="22"/>
      <w:szCs w:val="22"/>
      <w:u w:val="none" w:color="000000"/>
      <w:shd w:val="nil" w:color="auto" w:fill="auto"/>
      <w:vertAlign w:val="baseline"/>
    </w:rPr>
  </w:style>
</w:styles>
</file>

<file path=word/_rels/document.xml.rels><?xml version="1.0" encoding="UTF-8"?>
<Relationships xmlns="http://schemas.openxmlformats.org/package/2006/relationships"><Relationship Id="rId2" Type="http://schemas.openxmlformats.org/officeDocument/2006/relationships/image" Target="media/image1.png"/><Relationship Id="rId5" Type="http://schemas.openxmlformats.org/officeDocument/2006/relationships/footnotes" Target="footnotes.xml"/><Relationship Id="rId8" Type="http://schemas.openxmlformats.org/officeDocument/2006/relationships/settings" Target="settings.xml"/><Relationship Id="rId4" Type="http://schemas.openxmlformats.org/officeDocument/2006/relationships/footer" Target="footer2.xml"/><Relationship Id="rId3" Type="http://schemas.openxmlformats.org/officeDocument/2006/relationships/header" Target="header1.xml"/><Relationship Id="rId9" Type="http://schemas.openxmlformats.org/officeDocument/2006/relationships/theme" Target="theme/theme1.xml"/><Relationship Id="rId6" Type="http://schemas.openxmlformats.org/officeDocument/2006/relationships/styles" Target="styles.xml"/><Relationship Id="rId1" Type="http://schemas.openxmlformats.org/officeDocument/2006/relationships/numbering" Target="numbering.xml"/><Relationship Id="rId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Words>19992</Words>
  <Characters>101389</Characters>
  <Application>WPS Office</Application>
  <Paragraphs>548</Paragraphs>
  <CharactersWithSpaces>121317</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2022-10-07T17:41:37Z</dcterms:created>
  <dc:creator>WPS Office</dc:creator>
  <lastModifiedBy>KFDOWI</lastModifiedBy>
  <dcterms:modified xsi:type="dcterms:W3CDTF">2022-10-07T17:41:40Z</dcterms:modified>
</coreProperties>
</file>

<file path=docProps/custom.xml><?xml version="1.0" encoding="utf-8"?>
<Properties xmlns="http://schemas.openxmlformats.org/officeDocument/2006/custom-properties" xmlns:vt="http://schemas.openxmlformats.org/officeDocument/2006/docPropsVTypes"/>
</file>