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BFB7F9A" wp14:paraId="5B00B2BF" wp14:textId="1DD9E64F">
      <w:pPr>
        <w:jc w:val="center"/>
      </w:pPr>
      <w:r w:rsidRPr="3BFB7F9A" w:rsidR="38D767C6">
        <w:rPr>
          <w:rFonts w:ascii="Calibri" w:hAnsi="Calibri" w:eastAsia="Calibri" w:cs="Calibri"/>
          <w:b w:val="1"/>
          <w:bCs w:val="1"/>
          <w:noProof w:val="0"/>
          <w:sz w:val="32"/>
          <w:szCs w:val="32"/>
          <w:lang w:val="en-US"/>
        </w:rPr>
        <w:t>EVIDENCE-BASED POLICING AND DECISION MAKING:</w:t>
      </w:r>
      <w:r w:rsidRPr="3BFB7F9A" w:rsidR="38D767C6">
        <w:rPr>
          <w:rFonts w:ascii="Calibri" w:hAnsi="Calibri" w:eastAsia="Calibri" w:cs="Calibri"/>
          <w:noProof w:val="0"/>
          <w:sz w:val="22"/>
          <w:szCs w:val="22"/>
          <w:lang w:val="en-US"/>
        </w:rPr>
        <w:t xml:space="preserve"> </w:t>
      </w:r>
    </w:p>
    <w:p xmlns:wp14="http://schemas.microsoft.com/office/word/2010/wordml" w:rsidP="3BFB7F9A" wp14:paraId="28B38DD9" wp14:textId="161F99AE">
      <w:pPr>
        <w:jc w:val="center"/>
      </w:pPr>
      <w:r>
        <w:br/>
      </w:r>
    </w:p>
    <w:p xmlns:wp14="http://schemas.microsoft.com/office/word/2010/wordml" w:rsidP="3BFB7F9A" wp14:paraId="6EC9D5B5" wp14:textId="74E6542B">
      <w:pPr>
        <w:jc w:val="center"/>
      </w:pPr>
    </w:p>
    <w:p xmlns:wp14="http://schemas.microsoft.com/office/word/2010/wordml" w:rsidP="3BFB7F9A" wp14:paraId="251B659B" wp14:textId="3A1E614D">
      <w:pPr>
        <w:jc w:val="center"/>
      </w:pPr>
    </w:p>
    <w:p xmlns:wp14="http://schemas.microsoft.com/office/word/2010/wordml" w:rsidP="3BFB7F9A" wp14:paraId="7339E9C7" wp14:textId="26F2978F">
      <w:pPr>
        <w:jc w:val="center"/>
      </w:pPr>
      <w:r>
        <w:br/>
      </w:r>
    </w:p>
    <w:p w:rsidR="182C7FF8" w:rsidP="182C7FF8" w:rsidRDefault="182C7FF8" w14:paraId="52CE76EE" w14:textId="2DA095F2">
      <w:pPr>
        <w:pStyle w:val="Normal"/>
        <w:jc w:val="center"/>
      </w:pPr>
    </w:p>
    <w:p w:rsidR="182C7FF8" w:rsidP="182C7FF8" w:rsidRDefault="182C7FF8" w14:paraId="141BE9C2" w14:textId="622449A3">
      <w:pPr>
        <w:pStyle w:val="Normal"/>
        <w:jc w:val="center"/>
      </w:pPr>
    </w:p>
    <w:p xmlns:wp14="http://schemas.microsoft.com/office/word/2010/wordml" w:rsidP="3BFB7F9A" wp14:paraId="57A1A87B" wp14:textId="23BCC331">
      <w:pPr>
        <w:jc w:val="center"/>
      </w:pPr>
      <w:r>
        <w:br/>
      </w:r>
    </w:p>
    <w:p xmlns:wp14="http://schemas.microsoft.com/office/word/2010/wordml" w:rsidP="565E94E5" wp14:paraId="72A15233" wp14:textId="7D14CB09">
      <w:pPr>
        <w:jc w:val="center"/>
        <w:rPr>
          <w:rFonts w:ascii="Calibri" w:hAnsi="Calibri" w:eastAsia="Calibri" w:cs="Calibri"/>
          <w:b w:val="1"/>
          <w:bCs w:val="1"/>
          <w:noProof w:val="0"/>
          <w:sz w:val="28"/>
          <w:szCs w:val="28"/>
          <w:lang w:val="en-US"/>
        </w:rPr>
      </w:pPr>
      <w:r w:rsidRPr="565E94E5" w:rsidR="38D767C6">
        <w:rPr>
          <w:rFonts w:ascii="Calibri" w:hAnsi="Calibri" w:eastAsia="Calibri" w:cs="Calibri"/>
          <w:b w:val="1"/>
          <w:bCs w:val="1"/>
          <w:noProof w:val="0"/>
          <w:sz w:val="28"/>
          <w:szCs w:val="28"/>
          <w:lang w:val="en-US"/>
        </w:rPr>
        <w:t>STUDENT NAME:</w:t>
      </w:r>
      <w:r w:rsidRPr="565E94E5" w:rsidR="38D767C6">
        <w:rPr>
          <w:rFonts w:ascii="Calibri" w:hAnsi="Calibri" w:eastAsia="Calibri" w:cs="Calibri"/>
          <w:b w:val="1"/>
          <w:bCs w:val="1"/>
          <w:noProof w:val="0"/>
          <w:sz w:val="28"/>
          <w:szCs w:val="28"/>
          <w:lang w:val="en-US"/>
        </w:rPr>
        <w:t xml:space="preserve"> Ramona Maria Avram</w:t>
      </w:r>
      <w:r w:rsidRPr="565E94E5" w:rsidR="38D767C6">
        <w:rPr>
          <w:rFonts w:ascii="Calibri" w:hAnsi="Calibri" w:eastAsia="Calibri" w:cs="Calibri"/>
          <w:b w:val="1"/>
          <w:bCs w:val="1"/>
          <w:noProof w:val="0"/>
          <w:sz w:val="28"/>
          <w:szCs w:val="28"/>
          <w:lang w:val="en-US"/>
        </w:rPr>
        <w:t xml:space="preserve"> </w:t>
      </w:r>
    </w:p>
    <w:p xmlns:wp14="http://schemas.microsoft.com/office/word/2010/wordml" w:rsidP="565E94E5" wp14:paraId="672C809A" wp14:textId="41797C5B">
      <w:pPr>
        <w:jc w:val="center"/>
        <w:rPr>
          <w:rFonts w:ascii="Calibri" w:hAnsi="Calibri" w:eastAsia="Calibri" w:cs="Calibri"/>
          <w:b w:val="1"/>
          <w:bCs w:val="1"/>
          <w:noProof w:val="0"/>
          <w:sz w:val="28"/>
          <w:szCs w:val="28"/>
          <w:lang w:val="en-US"/>
        </w:rPr>
      </w:pPr>
      <w:r w:rsidRPr="565E94E5" w:rsidR="38D767C6">
        <w:rPr>
          <w:rFonts w:ascii="Calibri" w:hAnsi="Calibri" w:eastAsia="Calibri" w:cs="Calibri"/>
          <w:b w:val="1"/>
          <w:bCs w:val="1"/>
          <w:noProof w:val="0"/>
          <w:sz w:val="28"/>
          <w:szCs w:val="28"/>
          <w:lang w:val="en-US"/>
        </w:rPr>
        <w:t>STUDENT ID:</w:t>
      </w:r>
      <w:r w:rsidRPr="565E94E5" w:rsidR="38D767C6">
        <w:rPr>
          <w:rFonts w:ascii="Calibri" w:hAnsi="Calibri" w:eastAsia="Calibri" w:cs="Calibri"/>
          <w:b w:val="1"/>
          <w:bCs w:val="1"/>
          <w:noProof w:val="0"/>
          <w:sz w:val="28"/>
          <w:szCs w:val="28"/>
          <w:lang w:val="en-US"/>
        </w:rPr>
        <w:t xml:space="preserve"> 2234752</w:t>
      </w:r>
    </w:p>
    <w:p w:rsidR="1A3A5F62" w:rsidP="565E94E5" w:rsidRDefault="1A3A5F62" w14:paraId="356C12A4" w14:textId="59FDF0DD">
      <w:pPr>
        <w:pStyle w:val="Normal"/>
        <w:jc w:val="center"/>
        <w:rPr>
          <w:rFonts w:ascii="Arial" w:hAnsi="Arial" w:eastAsia="Arial" w:cs="Arial"/>
          <w:b w:val="1"/>
          <w:bCs w:val="1"/>
          <w:noProof w:val="0"/>
          <w:sz w:val="28"/>
          <w:szCs w:val="28"/>
          <w:lang w:val="en-US"/>
        </w:rPr>
      </w:pPr>
      <w:r w:rsidRPr="565E94E5" w:rsidR="1A3A5F62">
        <w:rPr>
          <w:rFonts w:ascii="Calibri" w:hAnsi="Calibri" w:eastAsia="Calibri" w:cs="Calibri"/>
          <w:b w:val="1"/>
          <w:bCs w:val="1"/>
          <w:noProof w:val="0"/>
          <w:sz w:val="28"/>
          <w:szCs w:val="28"/>
          <w:lang w:val="en-US"/>
        </w:rPr>
        <w:t>Lecturer:</w:t>
      </w:r>
      <w:r w:rsidRPr="565E94E5" w:rsidR="1A3A5F62">
        <w:rPr>
          <w:rFonts w:ascii="Arial" w:hAnsi="Arial" w:eastAsia="Arial" w:cs="Arial"/>
          <w:b w:val="1"/>
          <w:bCs w:val="1"/>
          <w:noProof w:val="0"/>
          <w:sz w:val="28"/>
          <w:szCs w:val="28"/>
          <w:lang w:val="en-US"/>
        </w:rPr>
        <w:t xml:space="preserve"> Laura Humphries</w:t>
      </w:r>
    </w:p>
    <w:p xmlns:wp14="http://schemas.microsoft.com/office/word/2010/wordml" w:rsidP="565E94E5" wp14:paraId="09A8AF2F" wp14:textId="1C13FF62">
      <w:pPr>
        <w:jc w:val="center"/>
      </w:pPr>
      <w:r>
        <w:br w:type="page"/>
      </w:r>
    </w:p>
    <w:p xmlns:wp14="http://schemas.microsoft.com/office/word/2010/wordml" w:rsidP="565E94E5" wp14:paraId="56C240EE" wp14:textId="0EDE5F8E">
      <w:pPr>
        <w:rPr>
          <w:rFonts w:ascii="Calibri" w:hAnsi="Calibri" w:eastAsia="Calibri" w:cs="Calibri" w:asciiTheme="minorAscii" w:hAnsiTheme="minorAscii" w:eastAsiaTheme="minorAscii" w:cstheme="minorAscii"/>
          <w:b w:val="1"/>
          <w:bCs w:val="1"/>
          <w:noProof w:val="0"/>
          <w:sz w:val="22"/>
          <w:szCs w:val="22"/>
          <w:lang w:val="en-US"/>
        </w:rPr>
      </w:pPr>
      <w:r w:rsidRPr="565E94E5" w:rsidR="0D0110F2">
        <w:rPr>
          <w:rFonts w:ascii="Calibri" w:hAnsi="Calibri" w:eastAsia="Calibri" w:cs="Calibri" w:asciiTheme="minorAscii" w:hAnsiTheme="minorAscii" w:eastAsiaTheme="minorAscii" w:cstheme="minorAscii"/>
          <w:b w:val="1"/>
          <w:bCs w:val="1"/>
          <w:noProof w:val="0"/>
          <w:sz w:val="22"/>
          <w:szCs w:val="22"/>
          <w:lang w:val="en-US"/>
        </w:rPr>
        <w:t>Introduction</w:t>
      </w:r>
      <w:r w:rsidRPr="565E94E5" w:rsidR="0D0110F2">
        <w:rPr>
          <w:rFonts w:ascii="Calibri" w:hAnsi="Calibri" w:eastAsia="Calibri" w:cs="Calibri" w:asciiTheme="minorAscii" w:hAnsiTheme="minorAscii" w:eastAsiaTheme="minorAscii" w:cstheme="minorAscii"/>
          <w:b w:val="1"/>
          <w:bCs w:val="1"/>
          <w:noProof w:val="0"/>
          <w:sz w:val="22"/>
          <w:szCs w:val="22"/>
          <w:lang w:val="en-US"/>
        </w:rPr>
        <w:t xml:space="preserve"> </w:t>
      </w:r>
    </w:p>
    <w:p xmlns:wp14="http://schemas.microsoft.com/office/word/2010/wordml" w:rsidP="565E94E5" wp14:paraId="36275C8E" wp14:textId="53062A26">
      <w:pPr>
        <w:pStyle w:val="Normal"/>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br/>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Evidence-oriented policing (EOP) and evidence-based policing (EBP) are terms that refer to the same </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concept</w:t>
      </w:r>
      <w:r w:rsidRPr="565E94E5" w:rsidR="2B9DA7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refers </w:t>
      </w:r>
      <w:r w:rsidRPr="565E94E5" w:rsidR="2B9DA7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to a procedure whereby data generated from a particular data creation process and evidence are used to help create ongoing activities, such as those using professional segments.</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They both emphasize the use of empirical evidence to guide policing practices and decision-making. Evidence-oriented policing or evidence-based policing involves integrating research findings, data analysis, evaluation, and practical knowledge to inform and improve policing strategies and interventions.</w:t>
      </w:r>
    </w:p>
    <w:p xmlns:wp14="http://schemas.microsoft.com/office/word/2010/wordml" w:rsidP="565E94E5" wp14:paraId="3FA7A1E1" wp14:textId="34488A8C">
      <w:pPr>
        <w:spacing w:before="400" w:beforeAutospacing="off" w:after="40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aim of evidence-oriented policing or evidence-based policing is to ensure that law enforcement agencies rely on the best available evidence when developing policies, implementing interventions, and making operational decisions. This evidence can come from various sources, including scientific research studies, evaluations of specific programs or practices, local data analysis, community input, and professional </w:t>
      </w:r>
      <w:r w:rsidRPr="565E94E5" w:rsidR="457945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ability</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565E94E5" w:rsidR="549153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By adopting an evidence-oriented approach, law enforcement agencies strive to enhance the effectiveness, efficiency, and legitimacy of their practices. They prioritize data-driven decision-making, </w:t>
      </w:r>
      <w:r w:rsidRPr="565E94E5" w:rsidR="104BAF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give</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resources based on evidence of effectiveness, and continuously evaluate and adapt their strategies to align with the most robust evidence.</w:t>
      </w:r>
    </w:p>
    <w:p xmlns:wp14="http://schemas.microsoft.com/office/word/2010/wordml" w:rsidP="182C7FF8" wp14:paraId="1C30DD7B" wp14:textId="41356D2E">
      <w:pPr>
        <w:spacing w:before="400" w:beforeAutospacing="off" w:after="40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82C7FF8" w:rsidR="1C869D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Future difficulties for the police and its criminal justice system partners include more complicated demands for </w:t>
      </w:r>
      <w:bookmarkStart w:name="_Int_2n8lk2Nb" w:id="1398062955"/>
      <w:r w:rsidRPr="182C7FF8" w:rsidR="1C869D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assistance</w:t>
      </w:r>
      <w:bookmarkEnd w:id="1398062955"/>
      <w:r w:rsidRPr="182C7FF8" w:rsidR="1C869D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a result, a more adaptive and knowledgeable approach capable of combining strong technical talents with interpersonal traits such as empathy, creativity, and teamwork will be </w:t>
      </w:r>
      <w:r w:rsidRPr="182C7FF8" w:rsidR="1C869D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needed</w:t>
      </w:r>
      <w:r w:rsidRPr="182C7FF8" w:rsidR="1C869D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Current policing systems are based after the early industrial age, with vertical, hierarchical, fragmented, and bureaucratic problem-solving approaches (College of Policing 2020). </w:t>
      </w:r>
      <w:r w:rsidRPr="182C7FF8"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These tend to hinder the way in which dealing with emerging threats and challenges are dealt with. In part, this has been </w:t>
      </w:r>
      <w:r w:rsidRPr="182C7FF8" w:rsidR="7C1F12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recognized</w:t>
      </w:r>
      <w:r w:rsidRPr="182C7FF8"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being problematic for the future (Association of Police and Crime Commissioners</w:t>
      </w:r>
      <w:r w:rsidRPr="182C7FF8"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hyperlink w:anchor="CR1" r:id="Rd5ebb333b9094f8d">
        <w:r w:rsidRPr="182C7FF8" w:rsidR="206F8D7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2015</w:t>
        </w:r>
      </w:hyperlink>
      <w:r w:rsidRPr="182C7FF8"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College of Policing</w:t>
      </w:r>
      <w:r w:rsidRPr="182C7FF8"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hyperlink w:anchor="CR6" r:id="R31e48c161c324f0f">
        <w:r w:rsidRPr="182C7FF8" w:rsidR="206F8D7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2020</w:t>
        </w:r>
      </w:hyperlink>
      <w:r w:rsidRPr="182C7FF8"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Both </w:t>
      </w:r>
      <w:r w:rsidRPr="182C7FF8" w:rsidR="22AA63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organizations</w:t>
      </w:r>
      <w:r w:rsidRPr="182C7FF8"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appear to appreciate that there is a need to add critical skills to the police workforce, along with a change in culture and leadership if policing is to meet future challenges.</w:t>
      </w:r>
    </w:p>
    <w:p xmlns:wp14="http://schemas.microsoft.com/office/word/2010/wordml" w:rsidP="565E94E5" wp14:paraId="2C078E63" wp14:textId="37015EF3">
      <w:pPr>
        <w:pStyle w:val="Normal"/>
        <w:rPr>
          <w:rFonts w:ascii="Calibri" w:hAnsi="Calibri" w:eastAsia="Calibri" w:cs="Calibri" w:asciiTheme="minorAscii" w:hAnsiTheme="minorAscii" w:eastAsiaTheme="minorAscii" w:cstheme="minorAscii"/>
          <w:b w:val="1"/>
          <w:bCs w:val="1"/>
          <w:noProof w:val="0"/>
          <w:color w:val="auto"/>
          <w:sz w:val="22"/>
          <w:szCs w:val="22"/>
          <w:lang w:val="en-US"/>
        </w:rPr>
      </w:pPr>
      <w:r w:rsidRPr="182C7FF8" w:rsidR="41EF84B9">
        <w:rPr>
          <w:rFonts w:ascii="Calibri" w:hAnsi="Calibri" w:eastAsia="Calibri" w:cs="Calibri" w:asciiTheme="minorAscii" w:hAnsiTheme="minorAscii" w:eastAsiaTheme="minorAscii" w:cstheme="minorAscii"/>
          <w:b w:val="1"/>
          <w:bCs w:val="1"/>
          <w:noProof w:val="0"/>
          <w:color w:val="auto"/>
          <w:sz w:val="22"/>
          <w:szCs w:val="22"/>
          <w:lang w:val="en-US"/>
        </w:rPr>
        <w:t xml:space="preserve">How evidence is </w:t>
      </w:r>
      <w:r w:rsidRPr="182C7FF8" w:rsidR="3439879F">
        <w:rPr>
          <w:rFonts w:ascii="Calibri" w:hAnsi="Calibri" w:eastAsia="Calibri" w:cs="Calibri" w:asciiTheme="minorAscii" w:hAnsiTheme="minorAscii" w:eastAsiaTheme="minorAscii" w:cstheme="minorAscii"/>
          <w:b w:val="1"/>
          <w:bCs w:val="1"/>
          <w:noProof w:val="0"/>
          <w:color w:val="auto"/>
          <w:sz w:val="22"/>
          <w:szCs w:val="22"/>
          <w:lang w:val="en-US"/>
        </w:rPr>
        <w:t>used</w:t>
      </w:r>
      <w:r w:rsidRPr="182C7FF8" w:rsidR="41EF84B9">
        <w:rPr>
          <w:rFonts w:ascii="Calibri" w:hAnsi="Calibri" w:eastAsia="Calibri" w:cs="Calibri" w:asciiTheme="minorAscii" w:hAnsiTheme="minorAscii" w:eastAsiaTheme="minorAscii" w:cstheme="minorAscii"/>
          <w:b w:val="1"/>
          <w:bCs w:val="1"/>
          <w:noProof w:val="0"/>
          <w:color w:val="auto"/>
          <w:sz w:val="22"/>
          <w:szCs w:val="22"/>
          <w:lang w:val="en-US"/>
        </w:rPr>
        <w:t xml:space="preserve"> to underpin and develop policing practice</w:t>
      </w:r>
    </w:p>
    <w:p w:rsidR="29354200" w:rsidP="182C7FF8" w:rsidRDefault="29354200" w14:paraId="053C553A" w14:textId="4EAE455D">
      <w:pPr>
        <w:pStyle w:val="Normal"/>
        <w:rPr>
          <w:rFonts w:ascii="Calibri" w:hAnsi="Calibri" w:eastAsia="Calibri" w:cs="Calibri" w:asciiTheme="minorAscii" w:hAnsiTheme="minorAscii" w:eastAsiaTheme="minorAscii" w:cstheme="minorAscii"/>
          <w:b w:val="0"/>
          <w:bCs w:val="0"/>
          <w:noProof w:val="0"/>
          <w:color w:val="auto"/>
          <w:sz w:val="22"/>
          <w:szCs w:val="22"/>
          <w:lang w:val="en-US"/>
        </w:rPr>
      </w:pPr>
      <w:r w:rsidRPr="182C7FF8" w:rsidR="3E507ECA">
        <w:rPr>
          <w:rFonts w:ascii="Calibri" w:hAnsi="Calibri" w:eastAsia="Calibri" w:cs="Calibri" w:asciiTheme="minorAscii" w:hAnsiTheme="minorAscii" w:eastAsiaTheme="minorAscii" w:cstheme="minorAscii"/>
          <w:b w:val="0"/>
          <w:bCs w:val="0"/>
          <w:noProof w:val="0"/>
          <w:color w:val="auto"/>
          <w:sz w:val="22"/>
          <w:szCs w:val="22"/>
          <w:lang w:val="en-US"/>
        </w:rPr>
        <w:t>Sherman's Police Foundation lecture highlights that the concept of evidence-based policing (EBP) was formally articulated in 1998.</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Sherman (year) introduced the concept of evidence-based policing, which involves the integration of experimental research to </w:t>
      </w:r>
      <w:r w:rsidRPr="182C7FF8" w:rsidR="1DA2F163">
        <w:rPr>
          <w:rFonts w:ascii="Calibri" w:hAnsi="Calibri" w:eastAsia="Calibri" w:cs="Calibri" w:asciiTheme="minorAscii" w:hAnsiTheme="minorAscii" w:eastAsiaTheme="minorAscii" w:cstheme="minorAscii"/>
          <w:b w:val="0"/>
          <w:bCs w:val="0"/>
          <w:noProof w:val="0"/>
          <w:color w:val="auto"/>
          <w:sz w:val="22"/>
          <w:szCs w:val="22"/>
          <w:lang w:val="en-US"/>
        </w:rPr>
        <w:t>show</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effective strategies, along with ongoing outcome evaluations to assess the achievements of interventions. The author argued that evidence-based policing (EBP) should not be considered a novel concept, but rather a development that stems from and expands upon prior efforts to </w:t>
      </w:r>
      <w:r w:rsidRPr="182C7FF8" w:rsidR="5EFE0C31">
        <w:rPr>
          <w:rFonts w:ascii="Calibri" w:hAnsi="Calibri" w:eastAsia="Calibri" w:cs="Calibri" w:asciiTheme="minorAscii" w:hAnsiTheme="minorAscii" w:eastAsiaTheme="minorAscii" w:cstheme="minorAscii"/>
          <w:b w:val="0"/>
          <w:bCs w:val="0"/>
          <w:noProof w:val="0"/>
          <w:color w:val="auto"/>
          <w:sz w:val="22"/>
          <w:szCs w:val="22"/>
          <w:lang w:val="en-US"/>
        </w:rPr>
        <w:t>professionalize</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the field. These earlier </w:t>
      </w:r>
      <w:r w:rsidRPr="182C7FF8" w:rsidR="266A857B">
        <w:rPr>
          <w:rFonts w:ascii="Calibri" w:hAnsi="Calibri" w:eastAsia="Calibri" w:cs="Calibri" w:asciiTheme="minorAscii" w:hAnsiTheme="minorAscii" w:eastAsiaTheme="minorAscii" w:cstheme="minorAscii"/>
          <w:b w:val="0"/>
          <w:bCs w:val="0"/>
          <w:noProof w:val="0"/>
          <w:color w:val="auto"/>
          <w:sz w:val="22"/>
          <w:szCs w:val="22"/>
          <w:lang w:val="en-US"/>
        </w:rPr>
        <w:t>endeavors</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include the New York Police Department's implementation of the Compustat data-driven performance approach, the adoption of community policing models, and the application of Goldstein's problem-oriented policing. The distinguishing feature of EBP is its emphasis on the </w:t>
      </w:r>
      <w:r w:rsidRPr="182C7FF8" w:rsidR="2B70476A">
        <w:rPr>
          <w:rFonts w:ascii="Calibri" w:hAnsi="Calibri" w:eastAsia="Calibri" w:cs="Calibri" w:asciiTheme="minorAscii" w:hAnsiTheme="minorAscii" w:eastAsiaTheme="minorAscii" w:cstheme="minorAscii"/>
          <w:b w:val="0"/>
          <w:bCs w:val="0"/>
          <w:noProof w:val="0"/>
          <w:color w:val="auto"/>
          <w:sz w:val="22"/>
          <w:szCs w:val="22"/>
          <w:lang w:val="en-US"/>
        </w:rPr>
        <w:t>use</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Sherman's </w:t>
      </w:r>
      <w:r w:rsidRPr="182C7FF8" w:rsidR="28AAA91A">
        <w:rPr>
          <w:rFonts w:ascii="Calibri" w:hAnsi="Calibri" w:eastAsia="Calibri" w:cs="Calibri" w:asciiTheme="minorAscii" w:hAnsiTheme="minorAscii" w:eastAsiaTheme="minorAscii" w:cstheme="minorAscii"/>
          <w:b w:val="0"/>
          <w:bCs w:val="0"/>
          <w:noProof w:val="0"/>
          <w:color w:val="auto"/>
          <w:sz w:val="22"/>
          <w:szCs w:val="22"/>
          <w:lang w:val="en-US"/>
        </w:rPr>
        <w:t>use</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of medicine as an illustrative instance of a vocation </w:t>
      </w:r>
      <w:r w:rsidRPr="182C7FF8" w:rsidR="69309303">
        <w:rPr>
          <w:rFonts w:ascii="Calibri" w:hAnsi="Calibri" w:eastAsia="Calibri" w:cs="Calibri" w:asciiTheme="minorAscii" w:hAnsiTheme="minorAscii" w:eastAsiaTheme="minorAscii" w:cstheme="minorAscii"/>
          <w:b w:val="0"/>
          <w:bCs w:val="0"/>
          <w:noProof w:val="0"/>
          <w:color w:val="auto"/>
          <w:sz w:val="22"/>
          <w:szCs w:val="22"/>
          <w:lang w:val="en-US"/>
        </w:rPr>
        <w:t>proven</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upon robust scientific substantiation, employing </w:t>
      </w:r>
      <w:r w:rsidRPr="182C7FF8" w:rsidR="0786C503">
        <w:rPr>
          <w:rFonts w:ascii="Calibri" w:hAnsi="Calibri" w:eastAsia="Calibri" w:cs="Calibri" w:asciiTheme="minorAscii" w:hAnsiTheme="minorAscii" w:eastAsiaTheme="minorAscii" w:cstheme="minorAscii"/>
          <w:b w:val="0"/>
          <w:bCs w:val="0"/>
          <w:noProof w:val="0"/>
          <w:color w:val="auto"/>
          <w:sz w:val="22"/>
          <w:szCs w:val="22"/>
          <w:lang w:val="en-US"/>
        </w:rPr>
        <w:t>randomized</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controlled trials (RCTs) as a meticulous </w:t>
      </w:r>
      <w:r w:rsidRPr="182C7FF8" w:rsidR="71111E9A">
        <w:rPr>
          <w:rFonts w:ascii="Calibri" w:hAnsi="Calibri" w:eastAsia="Calibri" w:cs="Calibri" w:asciiTheme="minorAscii" w:hAnsiTheme="minorAscii" w:eastAsiaTheme="minorAscii" w:cstheme="minorAscii"/>
          <w:b w:val="0"/>
          <w:bCs w:val="0"/>
          <w:noProof w:val="0"/>
          <w:color w:val="auto"/>
          <w:sz w:val="22"/>
          <w:szCs w:val="22"/>
          <w:lang w:val="en-US"/>
        </w:rPr>
        <w:t>method</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to inform both practical implementation and systemic transformations in policing, was innovative. Sherman (2009) has </w:t>
      </w:r>
      <w:r w:rsidRPr="182C7FF8" w:rsidR="1453E387">
        <w:rPr>
          <w:rFonts w:ascii="Calibri" w:hAnsi="Calibri" w:eastAsia="Calibri" w:cs="Calibri" w:asciiTheme="minorAscii" w:hAnsiTheme="minorAscii" w:eastAsiaTheme="minorAscii" w:cstheme="minorAscii"/>
          <w:b w:val="0"/>
          <w:bCs w:val="0"/>
          <w:noProof w:val="0"/>
          <w:color w:val="auto"/>
          <w:sz w:val="22"/>
          <w:szCs w:val="22"/>
          <w:lang w:val="en-US"/>
        </w:rPr>
        <w:t>supplied</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an expanded definition of evidence-based </w:t>
      </w:r>
      <w:r w:rsidRPr="182C7FF8" w:rsidR="4FBE9002">
        <w:rPr>
          <w:rFonts w:ascii="Calibri" w:hAnsi="Calibri" w:eastAsia="Calibri" w:cs="Calibri" w:asciiTheme="minorAscii" w:hAnsiTheme="minorAscii" w:eastAsiaTheme="minorAscii" w:cstheme="minorAscii"/>
          <w:b w:val="0"/>
          <w:bCs w:val="0"/>
          <w:noProof w:val="0"/>
          <w:color w:val="auto"/>
          <w:sz w:val="22"/>
          <w:szCs w:val="22"/>
          <w:lang w:val="en-US"/>
        </w:rPr>
        <w:t>practice</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(EBP) that encompasses a decision-making process guided by reliable and unbiased quantitative evidence. This process serves as the primary criterion for various aspects, including goal setting, priority determination, policy formulation, decision-making, compliance management, result assessment, and policy improvement (Sherman, 2009:21). Various scholars (Knutsson and Tompson 2017; Lumsden and Goode 2016; Greene 2014; Sparrow 2011; Bullock and Tilley 2009; Hope 2004; Pawson and Tilley 1994) contend that the stringent adherence to the 'gold standard' criteria in research design, particularly </w:t>
      </w:r>
      <w:r w:rsidRPr="182C7FF8" w:rsidR="51B71164">
        <w:rPr>
          <w:rFonts w:ascii="Calibri" w:hAnsi="Calibri" w:eastAsia="Calibri" w:cs="Calibri" w:asciiTheme="minorAscii" w:hAnsiTheme="minorAscii" w:eastAsiaTheme="minorAscii" w:cstheme="minorAscii"/>
          <w:b w:val="0"/>
          <w:bCs w:val="0"/>
          <w:noProof w:val="0"/>
          <w:color w:val="auto"/>
          <w:sz w:val="22"/>
          <w:szCs w:val="22"/>
          <w:lang w:val="en-US"/>
        </w:rPr>
        <w:t>randomized</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controlled trials (RCTs), leads to the exclusion of valuable research evidence that could contribute to the development of policing and criminal justice policies. Bullock and Tilley (2009) posit that the examination of recurrent burglary </w:t>
      </w:r>
      <w:r w:rsidRPr="182C7FF8" w:rsidR="22BE141B">
        <w:rPr>
          <w:rFonts w:ascii="Calibri" w:hAnsi="Calibri" w:eastAsia="Calibri" w:cs="Calibri" w:asciiTheme="minorAscii" w:hAnsiTheme="minorAscii" w:eastAsiaTheme="minorAscii" w:cstheme="minorAscii"/>
          <w:b w:val="0"/>
          <w:bCs w:val="0"/>
          <w:noProof w:val="0"/>
          <w:color w:val="auto"/>
          <w:sz w:val="22"/>
          <w:szCs w:val="22"/>
          <w:lang w:val="en-US"/>
        </w:rPr>
        <w:t>victimization</w:t>
      </w:r>
      <w:r w:rsidRPr="182C7FF8" w:rsidR="08EA289C">
        <w:rPr>
          <w:rFonts w:ascii="Calibri" w:hAnsi="Calibri" w:eastAsia="Calibri" w:cs="Calibri" w:asciiTheme="minorAscii" w:hAnsiTheme="minorAscii" w:eastAsiaTheme="minorAscii" w:cstheme="minorAscii"/>
          <w:b w:val="0"/>
          <w:bCs w:val="0"/>
          <w:noProof w:val="0"/>
          <w:color w:val="auto"/>
          <w:sz w:val="22"/>
          <w:szCs w:val="22"/>
          <w:lang w:val="en-US"/>
        </w:rPr>
        <w:t xml:space="preserve"> (Farrell and Pease, 1993) might have been overlooked had the stringent reliability threshold criteria of the Maryland Scale been applied. However, Laycock (2000) regards this study as one of the Home Office's most effective initiatives.  </w:t>
      </w:r>
      <w:r w:rsidRPr="182C7FF8" w:rsidR="7D82B08B">
        <w:rPr>
          <w:rFonts w:ascii="Calibri" w:hAnsi="Calibri" w:eastAsia="Calibri" w:cs="Calibri" w:asciiTheme="minorAscii" w:hAnsiTheme="minorAscii" w:eastAsiaTheme="minorAscii" w:cstheme="minorAscii"/>
          <w:b w:val="0"/>
          <w:bCs w:val="0"/>
          <w:noProof w:val="0"/>
          <w:color w:val="auto"/>
          <w:sz w:val="22"/>
          <w:szCs w:val="22"/>
          <w:lang w:val="en-US"/>
        </w:rPr>
        <w:t>E</w:t>
      </w:r>
      <w:r w:rsidRPr="182C7FF8" w:rsidR="2EB23869">
        <w:rPr>
          <w:rFonts w:ascii="Calibri" w:hAnsi="Calibri" w:eastAsia="Calibri" w:cs="Calibri" w:asciiTheme="minorAscii" w:hAnsiTheme="minorAscii" w:eastAsiaTheme="minorAscii" w:cstheme="minorAscii"/>
          <w:b w:val="0"/>
          <w:bCs w:val="0"/>
          <w:noProof w:val="0"/>
          <w:color w:val="auto"/>
          <w:sz w:val="22"/>
          <w:szCs w:val="22"/>
          <w:lang w:val="en-US"/>
        </w:rPr>
        <w:t>vidence is used by evidence-oriented policing for definition of effectiveness criteria of the ongoing practice</w:t>
      </w:r>
      <w:r w:rsidRPr="182C7FF8" w:rsidR="2E57235D">
        <w:rPr>
          <w:rFonts w:ascii="Calibri" w:hAnsi="Calibri" w:eastAsia="Calibri" w:cs="Calibri" w:asciiTheme="minorAscii" w:hAnsiTheme="minorAscii" w:eastAsiaTheme="minorAscii" w:cstheme="minorAscii"/>
          <w:b w:val="0"/>
          <w:bCs w:val="0"/>
          <w:noProof w:val="0"/>
          <w:color w:val="auto"/>
          <w:sz w:val="22"/>
          <w:szCs w:val="22"/>
          <w:lang w:val="en-US"/>
        </w:rPr>
        <w:t>.</w:t>
      </w:r>
    </w:p>
    <w:p w:rsidR="3521F04D" w:rsidP="182C7FF8" w:rsidRDefault="3521F04D" w14:paraId="1B94F155" w14:textId="22CAFDD7">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82C7FF8" w:rsidR="4E52F4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Building connections and trust inside and externally in our </w:t>
      </w:r>
      <w:r w:rsidRPr="182C7FF8" w:rsidR="55FAC4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organizations</w:t>
      </w:r>
      <w:r w:rsidRPr="182C7FF8" w:rsidR="4E52F4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is important to effective everyday policing - emotive ideas that are sometimes difficult to quantify. Obtaining a confession from a subject, connecting with a shop owner or community member, or a patrol officer using natural, keen instincts to read cues that a subject requires further investigation are all examples of successful policing that are often considered the "art and craft" of law enforcement. This does not </w:t>
      </w:r>
      <w:r w:rsidRPr="182C7FF8" w:rsidR="31FFFB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prevent</w:t>
      </w:r>
      <w:r w:rsidRPr="182C7FF8" w:rsidR="4E52F4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us from using contextual data, technology, and the best available empirical research to educate and warn our officers about their </w:t>
      </w:r>
      <w:r w:rsidRPr="182C7FF8" w:rsidR="3DED96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behavior</w:t>
      </w:r>
      <w:r w:rsidRPr="182C7FF8" w:rsidR="4E52F4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182C7FF8"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7FE4A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Evidence-based policing is a decision-making perspective that suggests policies and </w:t>
      </w:r>
      <w:r w:rsidRPr="182C7FF8" w:rsidR="5765D7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practices</w:t>
      </w:r>
      <w:r w:rsidRPr="182C7FF8" w:rsidR="7FE4A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be supported by assessing and </w:t>
      </w:r>
      <w:r w:rsidRPr="182C7FF8" w:rsidR="3EA7A9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analyzing</w:t>
      </w:r>
      <w:r w:rsidRPr="182C7FF8" w:rsidR="7FE4A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data, rigorous scientific evidence about what works and what does not and acknowledging that research should be part of the conversation about police operations.</w:t>
      </w:r>
    </w:p>
    <w:p w:rsidR="3B04548F" w:rsidP="182C7FF8" w:rsidRDefault="3B04548F" w14:paraId="2B9A0450" w14:textId="3A674954">
      <w:pPr>
        <w:spacing w:before="0" w:beforeAutospacing="off" w:after="4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7FE4ACB3">
        <w:rPr/>
        <w:t xml:space="preserve">There is still a strong emphasis on the skill or art of policing, as there should be. </w:t>
      </w:r>
      <w:r w:rsidR="7FE4ACB3">
        <w:rPr/>
        <w:t>Almost every</w:t>
      </w:r>
      <w:r w:rsidR="7FE4ACB3">
        <w:rPr/>
        <w:t xml:space="preserve"> police station has a </w:t>
      </w:r>
      <w:r w:rsidR="68ED6672">
        <w:rPr/>
        <w:t>police officer</w:t>
      </w:r>
      <w:r w:rsidR="7FE4ACB3">
        <w:rPr/>
        <w:t xml:space="preserve"> who is drawn to weapons, stolen cars, wanted people, and those carrying </w:t>
      </w:r>
      <w:r w:rsidR="3B9A492D">
        <w:rPr/>
        <w:t>enormous amounts</w:t>
      </w:r>
      <w:r w:rsidR="7FE4ACB3">
        <w:rPr/>
        <w:t xml:space="preserve"> of illegal drugs. Still, relying on policing and random patrol can only bring us so far. Evidence suggests that proactive police that </w:t>
      </w:r>
      <w:r w:rsidR="6C91AC48">
        <w:rPr/>
        <w:t>target</w:t>
      </w:r>
      <w:r w:rsidR="7FE4ACB3">
        <w:rPr/>
        <w:t xml:space="preserve"> hot spots, persons, and times based on information collected from crime analysts is a successful crime-reduction method. If we can combine intuitive proactive policing with targeting hot locations and limiting criminal possibilities through deterrent, the police may be able to exercise real effect.</w:t>
      </w:r>
      <w:r>
        <w:br/>
      </w:r>
      <w:r w:rsidRPr="182C7FF8" w:rsidR="3AC2FD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Key to navigating such impediments is the design of research projects that stand to directly </w:t>
      </w:r>
      <w:r w:rsidRPr="182C7FF8" w:rsidR="5342F2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help</w:t>
      </w:r>
      <w:r w:rsidRPr="182C7FF8" w:rsidR="3AC2FD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police agencies. This process could be further </w:t>
      </w:r>
      <w:r w:rsidRPr="182C7FF8" w:rsidR="1B066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helped</w:t>
      </w:r>
      <w:r w:rsidRPr="182C7FF8" w:rsidR="3AC2FD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involving police practitioners directly in the interpretation of findings and discussion of their implications for policy and practice</w:t>
      </w:r>
      <w:r w:rsidRPr="182C7FF8" w:rsidR="246B17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793A2923" w:rsidP="182C7FF8" w:rsidRDefault="793A2923" w14:paraId="3956EA2E" w14:textId="770F4F3F">
      <w:pPr>
        <w:spacing w:before="0" w:beforeAutospacing="off" w:after="400" w:afterAutospacing="off"/>
        <w:rPr>
          <w:rFonts w:ascii="Calibri" w:hAnsi="Calibri" w:eastAsia="Calibri" w:cs="Calibri" w:asciiTheme="minorAscii" w:hAnsiTheme="minorAscii" w:eastAsiaTheme="minorAscii" w:cstheme="minorAscii"/>
          <w:b w:val="0"/>
          <w:bCs w:val="0"/>
          <w:noProof w:val="0"/>
          <w:color w:val="auto"/>
          <w:sz w:val="22"/>
          <w:szCs w:val="22"/>
          <w:lang w:val="en-US"/>
        </w:rPr>
      </w:pPr>
      <w:r w:rsidRPr="182C7FF8" w:rsidR="25695AD8">
        <w:rPr>
          <w:rFonts w:ascii="Calibri" w:hAnsi="Calibri" w:eastAsia="Calibri" w:cs="Calibri" w:asciiTheme="minorAscii" w:hAnsiTheme="minorAscii" w:eastAsiaTheme="minorAscii" w:cstheme="minorAscii"/>
          <w:b w:val="0"/>
          <w:bCs w:val="0"/>
          <w:noProof w:val="0"/>
          <w:color w:val="auto"/>
          <w:sz w:val="22"/>
          <w:szCs w:val="22"/>
          <w:lang w:val="en-US"/>
        </w:rPr>
        <w:t xml:space="preserve">Ratcliffe's (2022) evidence concentrates on the development and deployment of an EBP training programmer for mid-level command staff. According to Ratcliffe, although police departments </w:t>
      </w:r>
      <w:r w:rsidRPr="182C7FF8" w:rsidR="4DC13644">
        <w:rPr>
          <w:rFonts w:ascii="Calibri" w:hAnsi="Calibri" w:eastAsia="Calibri" w:cs="Calibri" w:asciiTheme="minorAscii" w:hAnsiTheme="minorAscii" w:eastAsiaTheme="minorAscii" w:cstheme="minorAscii"/>
          <w:b w:val="0"/>
          <w:bCs w:val="0"/>
          <w:noProof w:val="0"/>
          <w:color w:val="auto"/>
          <w:sz w:val="22"/>
          <w:szCs w:val="22"/>
          <w:lang w:val="en-US"/>
        </w:rPr>
        <w:t>often</w:t>
      </w:r>
      <w:r w:rsidRPr="182C7FF8" w:rsidR="25695AD8">
        <w:rPr>
          <w:rFonts w:ascii="Calibri" w:hAnsi="Calibri" w:eastAsia="Calibri" w:cs="Calibri" w:asciiTheme="minorAscii" w:hAnsiTheme="minorAscii" w:eastAsiaTheme="minorAscii" w:cstheme="minorAscii"/>
          <w:b w:val="0"/>
          <w:bCs w:val="0"/>
          <w:noProof w:val="0"/>
          <w:color w:val="auto"/>
          <w:sz w:val="22"/>
          <w:szCs w:val="22"/>
          <w:lang w:val="en-US"/>
        </w:rPr>
        <w:t xml:space="preserve"> perceive tactical operations as hard skills that require continual training, developing crime reduction strategy and policy is often viewed as a talent that can be learned "on the job." Ratcliffe's police commander crime reduction training expands on the SARA (Scanning, Analysis, Response, and Assessment) model </w:t>
      </w:r>
      <w:r w:rsidRPr="182C7FF8" w:rsidR="5942F6AA">
        <w:rPr>
          <w:rFonts w:ascii="Calibri" w:hAnsi="Calibri" w:eastAsia="Calibri" w:cs="Calibri" w:asciiTheme="minorAscii" w:hAnsiTheme="minorAscii" w:eastAsiaTheme="minorAscii" w:cstheme="minorAscii"/>
          <w:b w:val="0"/>
          <w:bCs w:val="0"/>
          <w:noProof w:val="0"/>
          <w:color w:val="auto"/>
          <w:sz w:val="22"/>
          <w:szCs w:val="22"/>
          <w:lang w:val="en-US"/>
        </w:rPr>
        <w:t>popularized</w:t>
      </w:r>
      <w:r w:rsidRPr="182C7FF8" w:rsidR="25695AD8">
        <w:rPr>
          <w:rFonts w:ascii="Calibri" w:hAnsi="Calibri" w:eastAsia="Calibri" w:cs="Calibri" w:asciiTheme="minorAscii" w:hAnsiTheme="minorAscii" w:eastAsiaTheme="minorAscii" w:cstheme="minorAscii"/>
          <w:b w:val="0"/>
          <w:bCs w:val="0"/>
          <w:noProof w:val="0"/>
          <w:color w:val="auto"/>
          <w:sz w:val="22"/>
          <w:szCs w:val="22"/>
          <w:lang w:val="en-US"/>
        </w:rPr>
        <w:t xml:space="preserve"> by problem-oriented policing by introducing more </w:t>
      </w:r>
      <w:r w:rsidRPr="182C7FF8" w:rsidR="6628C11E">
        <w:rPr>
          <w:rFonts w:ascii="Calibri" w:hAnsi="Calibri" w:eastAsia="Calibri" w:cs="Calibri" w:asciiTheme="minorAscii" w:hAnsiTheme="minorAscii" w:eastAsiaTheme="minorAscii" w:cstheme="minorAscii"/>
          <w:b w:val="0"/>
          <w:bCs w:val="0"/>
          <w:noProof w:val="0"/>
          <w:color w:val="auto"/>
          <w:sz w:val="22"/>
          <w:szCs w:val="22"/>
          <w:lang w:val="en-US"/>
        </w:rPr>
        <w:t>organized</w:t>
      </w:r>
      <w:r w:rsidRPr="182C7FF8" w:rsidR="25695AD8">
        <w:rPr>
          <w:rFonts w:ascii="Calibri" w:hAnsi="Calibri" w:eastAsia="Calibri" w:cs="Calibri" w:asciiTheme="minorAscii" w:hAnsiTheme="minorAscii" w:eastAsiaTheme="minorAscii" w:cstheme="minorAscii"/>
          <w:b w:val="0"/>
          <w:bCs w:val="0"/>
          <w:noProof w:val="0"/>
          <w:color w:val="auto"/>
          <w:sz w:val="22"/>
          <w:szCs w:val="22"/>
          <w:lang w:val="en-US"/>
        </w:rPr>
        <w:t xml:space="preserve"> working </w:t>
      </w:r>
      <w:r w:rsidRPr="182C7FF8" w:rsidR="5D39279D">
        <w:rPr>
          <w:rFonts w:ascii="Calibri" w:hAnsi="Calibri" w:eastAsia="Calibri" w:cs="Calibri" w:asciiTheme="minorAscii" w:hAnsiTheme="minorAscii" w:eastAsiaTheme="minorAscii" w:cstheme="minorAscii"/>
          <w:b w:val="0"/>
          <w:bCs w:val="0"/>
          <w:noProof w:val="0"/>
          <w:color w:val="auto"/>
          <w:sz w:val="22"/>
          <w:szCs w:val="22"/>
          <w:lang w:val="en-US"/>
        </w:rPr>
        <w:t>practices</w:t>
      </w:r>
      <w:r w:rsidRPr="182C7FF8" w:rsidR="25695AD8">
        <w:rPr>
          <w:rFonts w:ascii="Calibri" w:hAnsi="Calibri" w:eastAsia="Calibri" w:cs="Calibri" w:asciiTheme="minorAscii" w:hAnsiTheme="minorAscii" w:eastAsiaTheme="minorAscii" w:cstheme="minorAscii"/>
          <w:b w:val="0"/>
          <w:bCs w:val="0"/>
          <w:noProof w:val="0"/>
          <w:color w:val="auto"/>
          <w:sz w:val="22"/>
          <w:szCs w:val="22"/>
          <w:lang w:val="en-US"/>
        </w:rPr>
        <w:t xml:space="preserve"> into command job functions via </w:t>
      </w:r>
      <w:r w:rsidRPr="182C7FF8" w:rsidR="4CDCAF00">
        <w:rPr>
          <w:rFonts w:ascii="Calibri" w:hAnsi="Calibri" w:eastAsia="Calibri" w:cs="Calibri" w:asciiTheme="minorAscii" w:hAnsiTheme="minorAscii" w:eastAsiaTheme="minorAscii" w:cstheme="minorAscii"/>
          <w:b w:val="0"/>
          <w:bCs w:val="0"/>
          <w:noProof w:val="0"/>
          <w:color w:val="auto"/>
          <w:sz w:val="22"/>
          <w:szCs w:val="22"/>
          <w:lang w:val="en-US"/>
        </w:rPr>
        <w:t>practices</w:t>
      </w:r>
      <w:r w:rsidRPr="182C7FF8" w:rsidR="25695AD8">
        <w:rPr>
          <w:rFonts w:ascii="Calibri" w:hAnsi="Calibri" w:eastAsia="Calibri" w:cs="Calibri" w:asciiTheme="minorAscii" w:hAnsiTheme="minorAscii" w:eastAsiaTheme="minorAscii" w:cstheme="minorAscii"/>
          <w:b w:val="0"/>
          <w:bCs w:val="0"/>
          <w:noProof w:val="0"/>
          <w:color w:val="auto"/>
          <w:sz w:val="22"/>
          <w:szCs w:val="22"/>
          <w:lang w:val="en-US"/>
        </w:rPr>
        <w:t xml:space="preserve"> and checklists. Based on SARA, the PANDA model was created: issue scan, problem analysis, strategy nomination, strategy deployment, and results assessment</w:t>
      </w:r>
      <w:r w:rsidRPr="182C7FF8" w:rsidR="47FD0D54">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p>
    <w:p w:rsidR="793A2923" w:rsidP="182C7FF8" w:rsidRDefault="793A2923" w14:paraId="6AD44F37" w14:textId="55BBCE5C">
      <w:pPr>
        <w:spacing w:before="0" w:beforeAutospacing="off" w:after="400" w:afterAutospacing="off"/>
        <w:rPr>
          <w:rFonts w:ascii="Calibri" w:hAnsi="Calibri" w:eastAsia="Calibri" w:cs="Calibri" w:asciiTheme="minorAscii" w:hAnsiTheme="minorAscii" w:eastAsiaTheme="minorAscii" w:cstheme="minorAscii"/>
          <w:b w:val="1"/>
          <w:bCs w:val="1"/>
          <w:noProof w:val="0"/>
          <w:color w:val="auto"/>
          <w:sz w:val="22"/>
          <w:szCs w:val="22"/>
          <w:lang w:val="en-US"/>
        </w:rPr>
      </w:pPr>
      <w:r w:rsidRPr="182C7FF8" w:rsidR="02D08658">
        <w:rPr>
          <w:rFonts w:ascii="Calibri" w:hAnsi="Calibri" w:eastAsia="Calibri" w:cs="Calibri" w:asciiTheme="minorAscii" w:hAnsiTheme="minorAscii" w:eastAsiaTheme="minorAscii" w:cstheme="minorAscii"/>
          <w:b w:val="1"/>
          <w:bCs w:val="1"/>
          <w:noProof w:val="0"/>
          <w:color w:val="auto"/>
          <w:sz w:val="22"/>
          <w:szCs w:val="22"/>
          <w:lang w:val="en-US"/>
        </w:rPr>
        <w:t>Significance of use of evidence for supporting of decision-making-based process</w:t>
      </w:r>
    </w:p>
    <w:p w:rsidR="767D0B1B" w:rsidP="3BFB7F9A" w:rsidRDefault="767D0B1B" w14:paraId="445383CF" w14:textId="1623FBC1">
      <w:pPr>
        <w:pStyle w:val="Normal"/>
        <w:spacing w:after="0" w:afterAutospacing="off"/>
      </w:pPr>
      <w:r w:rsidRPr="3BFB7F9A" w:rsidR="767D0B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767D0B1B" w:rsidP="182C7FF8" w:rsidRDefault="767D0B1B" w14:paraId="5BFEC9F1" w14:textId="01DF7A9C">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82C7FF8" w:rsidR="4D11C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Evidence-based police research is the application of proven scientific procedures to collect evidence on the efficacy of a policing </w:t>
      </w:r>
      <w:r w:rsidRPr="182C7FF8" w:rsidR="1602A5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programmer</w:t>
      </w:r>
      <w:r w:rsidRPr="182C7FF8" w:rsidR="4D11C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40D5C5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w:t>
      </w:r>
      <w:r w:rsidRPr="182C7FF8" w:rsidR="4D11C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policy </w:t>
      </w:r>
      <w:r w:rsidRPr="182C7FF8" w:rsidR="4C4E7B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endeavors</w:t>
      </w:r>
      <w:r w:rsidRPr="182C7FF8" w:rsidR="4D11C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It entails </w:t>
      </w:r>
      <w:r w:rsidRPr="182C7FF8" w:rsidR="61382B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finding</w:t>
      </w:r>
      <w:r w:rsidRPr="182C7FF8" w:rsidR="4D11C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if an intervention is having the desired impact, as well as whether that effect is observable by others and is founded on facts. Integrating evidence-based </w:t>
      </w:r>
      <w:r w:rsidRPr="182C7FF8" w:rsidR="25D910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programmers</w:t>
      </w:r>
      <w:r w:rsidRPr="182C7FF8" w:rsidR="4D11C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policies into police </w:t>
      </w:r>
      <w:r w:rsidRPr="182C7FF8" w:rsidR="7B7142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w:t>
      </w:r>
      <w:r w:rsidRPr="182C7FF8" w:rsidR="4D11C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is increasingly expected in criminal justice operations. Law enforcement authorities have been urged to promote expanded policing research that assesses the efficacy of their policing techniques. As a result, police departments require a variety of techniques to evaluate new policies, put long-standing </w:t>
      </w:r>
      <w:r w:rsidRPr="182C7FF8" w:rsidR="615FD3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practices</w:t>
      </w:r>
      <w:r w:rsidRPr="182C7FF8" w:rsidR="4D11C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to the test, and chart the best road for change. It is not enough to simply execute an evidence-based </w:t>
      </w:r>
      <w:r w:rsidRPr="182C7FF8" w:rsidR="04DF58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programmer</w:t>
      </w:r>
      <w:r w:rsidRPr="182C7FF8" w:rsidR="4D11C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w:t>
      </w:r>
      <w:r w:rsidRPr="182C7FF8" w:rsidR="3233BF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policy.</w:t>
      </w:r>
      <w:r w:rsidRPr="182C7FF8" w:rsidR="089EBC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Evaluation of the intervention is necessary to </w:t>
      </w:r>
      <w:r w:rsidRPr="182C7FF8" w:rsidR="4F3F52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decide</w:t>
      </w:r>
      <w:r w:rsidRPr="182C7FF8" w:rsidR="089EBC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whether desired outcomes are being produced and how those outcomes affect the agency, officers, and communities.</w:t>
      </w:r>
    </w:p>
    <w:p w:rsidR="565E94E5" w:rsidP="565E94E5" w:rsidRDefault="565E94E5" w14:paraId="0C5D6547" w14:textId="75A9D0FD">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3BFB7F9A" w:rsidP="565E94E5" w:rsidRDefault="3BFB7F9A" w14:paraId="6AB39180" w14:textId="10A23AD6">
      <w:pPr>
        <w:pStyle w:val="Normal"/>
        <w:spacing w:after="0" w:afterAutospacing="off"/>
        <w:rPr>
          <w:rFonts w:ascii="Calibri" w:hAnsi="Calibri" w:eastAsia="Calibri" w:cs="Calibri" w:asciiTheme="minorAscii" w:hAnsiTheme="minorAscii" w:eastAsiaTheme="minorAscii" w:cstheme="minorAscii"/>
          <w:b w:val="1"/>
          <w:bCs w:val="1"/>
          <w:noProof w:val="0"/>
          <w:color w:val="auto"/>
          <w:sz w:val="22"/>
          <w:szCs w:val="22"/>
          <w:lang w:val="en-US"/>
        </w:rPr>
      </w:pPr>
      <w:r w:rsidRPr="182C7FF8" w:rsidR="54E71506">
        <w:rPr>
          <w:rFonts w:ascii="Calibri" w:hAnsi="Calibri" w:eastAsia="Calibri" w:cs="Calibri" w:asciiTheme="minorAscii" w:hAnsiTheme="minorAscii" w:eastAsiaTheme="minorAscii" w:cstheme="minorAscii"/>
          <w:b w:val="1"/>
          <w:bCs w:val="1"/>
          <w:noProof w:val="0"/>
          <w:color w:val="auto"/>
          <w:sz w:val="22"/>
          <w:szCs w:val="22"/>
          <w:lang w:val="en-US"/>
        </w:rPr>
        <w:t>Discussion of models related with evidence-oriented policing</w:t>
      </w:r>
    </w:p>
    <w:p w:rsidR="23A37204" w:rsidP="182C7FF8" w:rsidRDefault="23A37204" w14:paraId="1D0E8C3B" w14:textId="0807BAE3">
      <w:pPr>
        <w:pStyle w:val="Normal"/>
        <w:spacing w:before="0" w:beforeAutospacing="off" w:after="36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primary models associated with evidence-based policing are as follows: According to Cowen and Cartwright (2019, p.2), evidence-based policing is a crucial </w:t>
      </w:r>
      <w:r w:rsidRPr="182C7FF8" w:rsidR="7688C1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method</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has a significant impact on criminal justice systems rooted in jurisprudence. The model of Evidence-Based </w:t>
      </w:r>
      <w:r w:rsidRPr="182C7FF8" w:rsidR="512F12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(EBP) known as the Promoting Action on Research Implementation in Health Services (</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PARiHS</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framework is widely </w:t>
      </w:r>
      <w:r w:rsidRPr="182C7FF8" w:rsidR="5E56B1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recognized</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a highly influential and essential approach. The </w:t>
      </w:r>
      <w:r w:rsidRPr="182C7FF8" w:rsidR="6B5103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use</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advancement of evidence </w:t>
      </w:r>
      <w:r w:rsidRPr="182C7FF8" w:rsidR="497F61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by</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model are interconnected with the implementation of more sophisticated policing concepts, particularly in relation to </w:t>
      </w:r>
      <w:r w:rsidRPr="182C7FF8" w:rsidR="63562F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practices</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such as criminal investigation-based </w:t>
      </w:r>
      <w:r w:rsidRPr="182C7FF8" w:rsidR="1FA348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practices</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2286B8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seen</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the United Kingdom. Moreover, the establishment of </w:t>
      </w:r>
      <w:r w:rsidRPr="182C7FF8" w:rsidR="2ECD1C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proper </w:t>
      </w:r>
      <w:r w:rsidRPr="182C7FF8" w:rsidR="15682E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goals</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is intricately connected to the advancement and </w:t>
      </w:r>
      <w:r w:rsidRPr="182C7FF8" w:rsidR="1D0130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use</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the model. </w:t>
      </w:r>
      <w:r w:rsidRPr="182C7FF8" w:rsidR="7C4BF1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efficiency criteria associated with policymaking based on the Policy, Organization, and Politics (POP) framework may be interconnected with this aspect.</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cultivation of </w:t>
      </w:r>
      <w:r w:rsidRPr="182C7FF8" w:rsidR="6EBBC5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proper values</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such as the efficacy of strategy formulation or policy development, is heavily contingent upon the </w:t>
      </w:r>
      <w:r w:rsidRPr="182C7FF8" w:rsidR="597682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use</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elements associated with the model of evidence-based </w:t>
      </w:r>
      <w:r w:rsidRPr="182C7FF8" w:rsidR="2E323C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(EBP). The </w:t>
      </w:r>
      <w:r w:rsidRPr="182C7FF8" w:rsidR="61528F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use</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evidence plays a significant role in shaping discussions surrounding the national origin of individuals (Caplan et al., 2021, p. 439). The POP model places a greater emphasis on the ultimate outcomes associated with policy making. </w:t>
      </w:r>
      <w:r w:rsidRPr="182C7FF8" w:rsidR="720939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This principle of policymaking in the context of population-oriented policies is considered among the most rudimentary.</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SARA Model is an extension of Herman Goldstein's Problem-Oriented Policing approach, which was further developed and introduced by John Eck and William Spelman in their publication titled "Problem solving: Problem-oriented policing in Newport News" in 1987. </w:t>
      </w:r>
      <w:r w:rsidRPr="182C7FF8" w:rsidR="01DB86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Police Executive Research Forum is in Washington, DC.</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S.A.R.A. Model of crime prevention is a </w:t>
      </w:r>
      <w:r w:rsidRPr="182C7FF8" w:rsidR="61DC0D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part</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the broader concept known as "Problem-Oriented Policing," which was originally introduced by Herman Goldstein in 1979. Problem-Oriented Policing (POP) </w:t>
      </w:r>
      <w:r w:rsidRPr="182C7FF8" w:rsidR="690AAA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appeared</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a strategic approach in response to the limitations of reactive, incident-driven policing, which proved to be ineffective in sustaining long-term solutions to community problems</w:t>
      </w:r>
      <w:r w:rsidRPr="182C7FF8" w:rsidR="46674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23A37204" w:rsidP="182C7FF8" w:rsidRDefault="23A37204" w14:paraId="4AE86CFD" w14:textId="3AB47F49">
      <w:pPr>
        <w:pStyle w:val="Normal"/>
        <w:spacing w:before="0" w:beforeAutospacing="off" w:after="36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82C7FF8" w:rsidR="347DFA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SARA model is often used to </w:t>
      </w:r>
      <w:r w:rsidRPr="182C7FF8" w:rsidR="6A9315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182C7FF8" w:rsidR="347DFA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problems addressed in materials crime analysts produce.</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SARA is a </w:t>
      </w:r>
      <w:r w:rsidRPr="182C7FF8" w:rsidR="2D3C15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step-by-step</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process which also allows one to revisit </w:t>
      </w:r>
      <w:r w:rsidRPr="182C7FF8" w:rsidR="37C28C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earlier</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steps and adjust based on </w:t>
      </w:r>
      <w:r w:rsidRPr="182C7FF8" w:rsidR="1C730A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current information</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outcomes.</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4663FC7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Scanning</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1AAA1B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shows</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what, where, how often, and the priority of the problem. Then, the context of the problem is</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4663FC7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analyzed</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may include information about what is </w:t>
      </w:r>
      <w:r w:rsidRPr="182C7FF8" w:rsidR="5DC209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helping</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problem, </w:t>
      </w:r>
      <w:r w:rsidRPr="182C7FF8" w:rsidR="1972C1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showing</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stakeholders, and gaining a more qualitative understanding. Next, the</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4663FC7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response</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step uses the information obtained in the analysis to develop interventions, </w:t>
      </w:r>
      <w:r w:rsidRPr="182C7FF8" w:rsidR="1DED2E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intended outcomes, and make plans for assessment. Finally,</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4663FC7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assessment</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4663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is concerned with both outcomes and implementation. If the intervention has not received the intended outcomes, the analysis, or response steps could be revisited. If there were implementation issues, one can return to the response step (POP Center, 2018).</w:t>
      </w:r>
    </w:p>
    <w:p w:rsidR="1DF6BCD2" w:rsidP="3BFB7F9A" w:rsidRDefault="1DF6BCD2" w14:paraId="14930584" w14:textId="51C7F67F">
      <w:pPr>
        <w:pStyle w:val="Normal"/>
        <w:spacing w:before="30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Problem-Solving Policing (PSP): Problem-Solving Policing is another model that emphasizes </w:t>
      </w:r>
      <w:r w:rsidRPr="3BFB7F9A" w:rsidR="1CCB86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showing</w:t>
      </w: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addressing the root causes of crime and disorder. PSP involves a problem-solving process that incorporates data analysis, community engagement, and partnerships with other stakeholders. It emphasizes the collaboration between police and the community to jointly </w:t>
      </w:r>
      <w:r w:rsidRPr="3BFB7F9A" w:rsidR="02DC0B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solve problems. The model encourages officers to analyze specific problems, develop tailored responses, and evaluate the outcomes of their interventions.</w:t>
      </w:r>
      <w:r w:rsidRPr="3BFB7F9A" w:rsidR="22EAE1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adopting PSP principles, law enforcement agencies can work in collaboration with communities to </w:t>
      </w:r>
      <w:r w:rsidRPr="3BFB7F9A" w:rsidR="75F09B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3BFB7F9A" w:rsidR="22EAE1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address the underlying factors contributing to crime and disorder. PSP promotes evidence-based decision-making, tailoring responses to specific problems, and fostering partnerships that can lead to long-term solutions. The focus on evaluation and continuous learning ensures that responses are refined and improved based on evidence of their effectiveness.</w:t>
      </w:r>
    </w:p>
    <w:p w:rsidR="1DF6BCD2" w:rsidP="3BFB7F9A" w:rsidRDefault="1DF6BCD2" w14:paraId="79F7D023" w14:textId="0F7BE52D">
      <w:pPr>
        <w:pStyle w:val="Normal"/>
        <w:spacing w:before="30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Intelligence-Led Policing (ILP): Intelligence-Led Policing focuses on the strategic use of intelligence and information to guide policing efforts. It involves the collection, analysis, and dissemination of intelligence to </w:t>
      </w:r>
      <w:r w:rsidRPr="3BFB7F9A" w:rsidR="57D452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target high-priority crime threats and offenders. ILP aims to enhance the effectiveness and efficiency of policing by focusing resources on areas of highest risk and employing intelligence to inform operational decision-making.</w:t>
      </w:r>
      <w:r w:rsidRPr="3BFB7F9A" w:rsidR="6AAC92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adopting ILP principles, law enforcement agencies aim to make more informed and evidence-based decisions, </w:t>
      </w:r>
      <w:r w:rsidRPr="3BFB7F9A" w:rsidR="727864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perfect</w:t>
      </w:r>
      <w:r w:rsidRPr="3BFB7F9A" w:rsidR="6AAC92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resource allocation, and enhance their ability to prevent, disrupt, and respond to crime effectively. The model promotes a proactive and targeted approach to policing, where intelligence analysis guides operational strategies and resource deployment to maximize the impact on crime reduction and public safety.</w:t>
      </w:r>
    </w:p>
    <w:p w:rsidR="2B2983DB" w:rsidP="565E94E5" w:rsidRDefault="2B2983DB" w14:paraId="0A740691" w14:textId="324899A6">
      <w:pPr>
        <w:pStyle w:val="Normal"/>
        <w:spacing w:before="0" w:beforeAutospacing="off" w:after="360" w:afterAutospacing="off"/>
        <w:jc w:val="left"/>
        <w:rPr>
          <w:rFonts w:ascii="Calibri" w:hAnsi="Calibri" w:eastAsia="Calibri" w:cs="Calibri" w:asciiTheme="minorAscii" w:hAnsiTheme="minorAscii" w:eastAsiaTheme="minorAscii" w:cstheme="minorAscii"/>
          <w:b w:val="1"/>
          <w:bCs w:val="1"/>
          <w:noProof w:val="0"/>
          <w:sz w:val="22"/>
          <w:szCs w:val="22"/>
          <w:lang w:val="en-US"/>
        </w:rPr>
      </w:pPr>
      <w:r w:rsidRPr="182C7FF8" w:rsidR="783FA52F">
        <w:rPr>
          <w:rFonts w:ascii="Calibri" w:hAnsi="Calibri" w:eastAsia="Calibri" w:cs="Calibri" w:asciiTheme="minorAscii" w:hAnsiTheme="minorAscii" w:eastAsiaTheme="minorAscii" w:cstheme="minorAscii"/>
          <w:color w:val="auto"/>
          <w:sz w:val="22"/>
          <w:szCs w:val="22"/>
        </w:rPr>
        <w:t xml:space="preserve">The benefits and drawbacks of the POP-based model of EBP- The benefits of the POP-based model of EBP may be related to crime prevention and better decision-making. As taking police in the modern world, evidence-based policing can be related with the trend of </w:t>
      </w:r>
      <w:r w:rsidRPr="182C7FF8" w:rsidR="5B9977ED">
        <w:rPr>
          <w:rFonts w:ascii="Calibri" w:hAnsi="Calibri" w:eastAsia="Calibri" w:cs="Calibri" w:asciiTheme="minorAscii" w:hAnsiTheme="minorAscii" w:eastAsiaTheme="minorAscii" w:cstheme="minorAscii"/>
          <w:color w:val="auto"/>
          <w:sz w:val="22"/>
          <w:szCs w:val="22"/>
        </w:rPr>
        <w:t>globalization</w:t>
      </w:r>
      <w:r w:rsidRPr="182C7FF8" w:rsidR="783FA52F">
        <w:rPr>
          <w:rFonts w:ascii="Calibri" w:hAnsi="Calibri" w:eastAsia="Calibri" w:cs="Calibri" w:asciiTheme="minorAscii" w:hAnsiTheme="minorAscii" w:eastAsiaTheme="minorAscii" w:cstheme="minorAscii"/>
          <w:color w:val="auto"/>
          <w:sz w:val="22"/>
          <w:szCs w:val="22"/>
        </w:rPr>
        <w:t xml:space="preserve"> (</w:t>
      </w:r>
      <w:r w:rsidRPr="182C7FF8" w:rsidR="783FA52F">
        <w:rPr>
          <w:rFonts w:ascii="Calibri" w:hAnsi="Calibri" w:eastAsia="Calibri" w:cs="Calibri" w:asciiTheme="minorAscii" w:hAnsiTheme="minorAscii" w:eastAsiaTheme="minorAscii" w:cstheme="minorAscii"/>
          <w:color w:val="auto"/>
          <w:sz w:val="22"/>
          <w:szCs w:val="22"/>
        </w:rPr>
        <w:t>Neyroud</w:t>
      </w:r>
      <w:r w:rsidRPr="182C7FF8" w:rsidR="783FA52F">
        <w:rPr>
          <w:rFonts w:ascii="Calibri" w:hAnsi="Calibri" w:eastAsia="Calibri" w:cs="Calibri" w:asciiTheme="minorAscii" w:hAnsiTheme="minorAscii" w:eastAsiaTheme="minorAscii" w:cstheme="minorAscii"/>
          <w:color w:val="auto"/>
          <w:sz w:val="22"/>
          <w:szCs w:val="22"/>
        </w:rPr>
        <w:t xml:space="preserve">, 2021, p.2). In terms of the target-based method of using evidence via the model to aid in fighting crime incidences or scenarios, the smarter model can aid in improved prospects of crime prevention as in the </w:t>
      </w:r>
      <w:r w:rsidRPr="182C7FF8" w:rsidR="5A3B2BAE">
        <w:rPr>
          <w:rFonts w:ascii="Calibri" w:hAnsi="Calibri" w:eastAsia="Calibri" w:cs="Calibri" w:asciiTheme="minorAscii" w:hAnsiTheme="minorAscii" w:eastAsiaTheme="minorAscii" w:cstheme="minorAscii"/>
          <w:color w:val="auto"/>
          <w:sz w:val="22"/>
          <w:szCs w:val="22"/>
        </w:rPr>
        <w:t>UK (United Kingdom)</w:t>
      </w:r>
      <w:r w:rsidRPr="182C7FF8" w:rsidR="783FA52F">
        <w:rPr>
          <w:rFonts w:ascii="Calibri" w:hAnsi="Calibri" w:eastAsia="Calibri" w:cs="Calibri" w:asciiTheme="minorAscii" w:hAnsiTheme="minorAscii" w:eastAsiaTheme="minorAscii" w:cstheme="minorAscii"/>
          <w:color w:val="auto"/>
          <w:sz w:val="22"/>
          <w:szCs w:val="22"/>
        </w:rPr>
        <w:t xml:space="preserve">. Evidence can be related </w:t>
      </w:r>
      <w:r w:rsidRPr="182C7FF8" w:rsidR="215B6DC0">
        <w:rPr>
          <w:rFonts w:ascii="Calibri" w:hAnsi="Calibri" w:eastAsia="Calibri" w:cs="Calibri" w:asciiTheme="minorAscii" w:hAnsiTheme="minorAscii" w:eastAsiaTheme="minorAscii" w:cstheme="minorAscii"/>
          <w:color w:val="auto"/>
          <w:sz w:val="22"/>
          <w:szCs w:val="22"/>
        </w:rPr>
        <w:t>to</w:t>
      </w:r>
      <w:r w:rsidRPr="182C7FF8" w:rsidR="783FA52F">
        <w:rPr>
          <w:rFonts w:ascii="Calibri" w:hAnsi="Calibri" w:eastAsia="Calibri" w:cs="Calibri" w:asciiTheme="minorAscii" w:hAnsiTheme="minorAscii" w:eastAsiaTheme="minorAscii" w:cstheme="minorAscii"/>
          <w:color w:val="auto"/>
          <w:sz w:val="22"/>
          <w:szCs w:val="22"/>
        </w:rPr>
        <w:t xml:space="preserve"> fidelity-based ideas (Elliott et al., 2020, p.1306).</w:t>
      </w:r>
      <w:r w:rsidRPr="182C7FF8" w:rsidR="441385A2">
        <w:rPr>
          <w:rFonts w:ascii="Calibri" w:hAnsi="Calibri" w:eastAsia="Calibri" w:cs="Calibri" w:asciiTheme="minorAscii" w:hAnsiTheme="minorAscii" w:eastAsiaTheme="minorAscii" w:cstheme="minorAscii"/>
          <w:color w:val="auto"/>
          <w:sz w:val="22"/>
          <w:szCs w:val="22"/>
        </w:rPr>
        <w:t xml:space="preserve"> This element is related to the benefits of the EBP-based POP model. On the other hand, the drawbacks of POP might be linked to the rise of privacy-related concerns and shortages related to the creation of accuracy standards in terms of the model's application, such as in the criminal justice-based infrastructure in the United Kingdom.</w:t>
      </w:r>
    </w:p>
    <w:p w:rsidR="61544908" w:rsidP="565E94E5" w:rsidRDefault="61544908" w14:paraId="7DA6DC41" w14:textId="384ED25C">
      <w:pPr>
        <w:pStyle w:val="Normal"/>
        <w:spacing w:before="0" w:beforeAutospacing="off" w:after="360" w:afterAutospacing="off"/>
        <w:jc w:val="left"/>
        <w:rPr>
          <w:rFonts w:ascii="Calibri" w:hAnsi="Calibri" w:eastAsia="Calibri" w:cs="Calibri" w:asciiTheme="minorAscii" w:hAnsiTheme="minorAscii" w:eastAsiaTheme="minorAscii" w:cstheme="minorAscii"/>
          <w:b w:val="1"/>
          <w:bCs w:val="1"/>
          <w:noProof w:val="0"/>
          <w:sz w:val="22"/>
          <w:szCs w:val="22"/>
          <w:lang w:val="en-US"/>
        </w:rPr>
      </w:pPr>
      <w:r w:rsidRPr="182C7FF8" w:rsidR="0DA995F6">
        <w:rPr>
          <w:rFonts w:ascii="Calibri" w:hAnsi="Calibri" w:eastAsia="Calibri" w:cs="Calibri" w:asciiTheme="minorAscii" w:hAnsiTheme="minorAscii" w:eastAsiaTheme="minorAscii" w:cstheme="minorAscii"/>
          <w:b w:val="1"/>
          <w:bCs w:val="1"/>
          <w:noProof w:val="0"/>
          <w:sz w:val="22"/>
          <w:szCs w:val="22"/>
          <w:lang w:val="en-US"/>
        </w:rPr>
        <w:t xml:space="preserve">Evaluate the strengths and limitations of your chosen policing models Evidence Based Policing (POP, SARA, PSP </w:t>
      </w:r>
    </w:p>
    <w:p w:rsidR="20D34ED9" w:rsidP="182C7FF8" w:rsidRDefault="20D34ED9" w14:paraId="21CAE55F" w14:textId="06BADE32">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r w:rsidRPr="182C7FF8" w:rsidR="20D34ED9">
        <w:rPr>
          <w:rFonts w:ascii="Calibri" w:hAnsi="Calibri" w:eastAsia="Calibri" w:cs="Calibri" w:asciiTheme="minorAscii" w:hAnsiTheme="minorAscii" w:eastAsiaTheme="minorAscii" w:cstheme="minorAscii"/>
          <w:color w:val="auto"/>
          <w:sz w:val="22"/>
          <w:szCs w:val="22"/>
        </w:rPr>
        <w:t xml:space="preserve">The SARA-based model of evidence-based practice (EBP) exhibits both strengths and limitations that can be attributed to its potential to enhance the criminal justice system and </w:t>
      </w:r>
      <w:r w:rsidRPr="182C7FF8" w:rsidR="1E01243D">
        <w:rPr>
          <w:rFonts w:ascii="Calibri" w:hAnsi="Calibri" w:eastAsia="Calibri" w:cs="Calibri" w:asciiTheme="minorAscii" w:hAnsiTheme="minorAscii" w:eastAsiaTheme="minorAscii" w:cstheme="minorAscii"/>
          <w:color w:val="auto"/>
          <w:sz w:val="22"/>
          <w:szCs w:val="22"/>
        </w:rPr>
        <w:t>help</w:t>
      </w:r>
      <w:r w:rsidRPr="182C7FF8" w:rsidR="20D34ED9">
        <w:rPr>
          <w:rFonts w:ascii="Calibri" w:hAnsi="Calibri" w:eastAsia="Calibri" w:cs="Calibri" w:asciiTheme="minorAscii" w:hAnsiTheme="minorAscii" w:eastAsiaTheme="minorAscii" w:cstheme="minorAscii"/>
          <w:color w:val="auto"/>
          <w:sz w:val="22"/>
          <w:szCs w:val="22"/>
        </w:rPr>
        <w:t xml:space="preserve"> informed decision-making. The element potentially </w:t>
      </w:r>
      <w:r w:rsidRPr="182C7FF8" w:rsidR="4D3E6C35">
        <w:rPr>
          <w:rFonts w:ascii="Calibri" w:hAnsi="Calibri" w:eastAsia="Calibri" w:cs="Calibri" w:asciiTheme="minorAscii" w:hAnsiTheme="minorAscii" w:eastAsiaTheme="minorAscii" w:cstheme="minorAscii"/>
          <w:color w:val="auto"/>
          <w:sz w:val="22"/>
          <w:szCs w:val="22"/>
        </w:rPr>
        <w:t>shows</w:t>
      </w:r>
      <w:r w:rsidRPr="182C7FF8" w:rsidR="20D34ED9">
        <w:rPr>
          <w:rFonts w:ascii="Calibri" w:hAnsi="Calibri" w:eastAsia="Calibri" w:cs="Calibri" w:asciiTheme="minorAscii" w:hAnsiTheme="minorAscii" w:eastAsiaTheme="minorAscii" w:cstheme="minorAscii"/>
          <w:color w:val="auto"/>
          <w:sz w:val="22"/>
          <w:szCs w:val="22"/>
        </w:rPr>
        <w:t xml:space="preserve"> associations with infrastructure procedures within the criminal justice system </w:t>
      </w:r>
      <w:r w:rsidRPr="182C7FF8" w:rsidR="5C7C49A0">
        <w:rPr>
          <w:rFonts w:ascii="Calibri" w:hAnsi="Calibri" w:eastAsia="Calibri" w:cs="Calibri" w:asciiTheme="minorAscii" w:hAnsiTheme="minorAscii" w:eastAsiaTheme="minorAscii" w:cstheme="minorAscii"/>
          <w:color w:val="auto"/>
          <w:sz w:val="22"/>
          <w:szCs w:val="22"/>
        </w:rPr>
        <w:t>working</w:t>
      </w:r>
      <w:r w:rsidRPr="182C7FF8" w:rsidR="20D34ED9">
        <w:rPr>
          <w:rFonts w:ascii="Calibri" w:hAnsi="Calibri" w:eastAsia="Calibri" w:cs="Calibri" w:asciiTheme="minorAscii" w:hAnsiTheme="minorAscii" w:eastAsiaTheme="minorAscii" w:cstheme="minorAscii"/>
          <w:color w:val="auto"/>
          <w:sz w:val="22"/>
          <w:szCs w:val="22"/>
        </w:rPr>
        <w:t xml:space="preserve"> in the United Kingdom region. The </w:t>
      </w:r>
      <w:r w:rsidRPr="182C7FF8" w:rsidR="331507D2">
        <w:rPr>
          <w:rFonts w:ascii="Calibri" w:hAnsi="Calibri" w:eastAsia="Calibri" w:cs="Calibri" w:asciiTheme="minorAscii" w:hAnsiTheme="minorAscii" w:eastAsiaTheme="minorAscii" w:cstheme="minorAscii"/>
          <w:color w:val="auto"/>
          <w:sz w:val="22"/>
          <w:szCs w:val="22"/>
        </w:rPr>
        <w:t>use</w:t>
      </w:r>
      <w:r w:rsidRPr="182C7FF8" w:rsidR="20D34ED9">
        <w:rPr>
          <w:rFonts w:ascii="Calibri" w:hAnsi="Calibri" w:eastAsia="Calibri" w:cs="Calibri" w:asciiTheme="minorAscii" w:hAnsiTheme="minorAscii" w:eastAsiaTheme="minorAscii" w:cstheme="minorAscii"/>
          <w:color w:val="auto"/>
          <w:sz w:val="22"/>
          <w:szCs w:val="22"/>
        </w:rPr>
        <w:t xml:space="preserve"> of evidence-based practice (EBP) is </w:t>
      </w:r>
      <w:r w:rsidRPr="182C7FF8" w:rsidR="73CEC7D1">
        <w:rPr>
          <w:rFonts w:ascii="Calibri" w:hAnsi="Calibri" w:eastAsia="Calibri" w:cs="Calibri" w:asciiTheme="minorAscii" w:hAnsiTheme="minorAscii" w:eastAsiaTheme="minorAscii" w:cstheme="minorAscii"/>
          <w:color w:val="auto"/>
          <w:sz w:val="22"/>
          <w:szCs w:val="22"/>
        </w:rPr>
        <w:t>linked</w:t>
      </w:r>
      <w:r w:rsidRPr="182C7FF8" w:rsidR="20D34ED9">
        <w:rPr>
          <w:rFonts w:ascii="Calibri" w:hAnsi="Calibri" w:eastAsia="Calibri" w:cs="Calibri" w:asciiTheme="minorAscii" w:hAnsiTheme="minorAscii" w:eastAsiaTheme="minorAscii" w:cstheme="minorAscii"/>
          <w:color w:val="auto"/>
          <w:sz w:val="22"/>
          <w:szCs w:val="22"/>
        </w:rPr>
        <w:t xml:space="preserve"> to the proper usage of evidence, particularly in relation to globalized corpora or collections of data. </w:t>
      </w:r>
      <w:r w:rsidRPr="182C7FF8" w:rsidR="078C3253">
        <w:rPr>
          <w:rFonts w:ascii="Calibri" w:hAnsi="Calibri" w:eastAsia="Calibri" w:cs="Calibri" w:asciiTheme="minorAscii" w:hAnsiTheme="minorAscii" w:eastAsiaTheme="minorAscii" w:cstheme="minorAscii"/>
          <w:color w:val="auto"/>
          <w:sz w:val="22"/>
          <w:szCs w:val="22"/>
        </w:rPr>
        <w:t>These corpora are associated with efficacy criteria, as shown by Jiang et al. (2021, p. 287).</w:t>
      </w:r>
      <w:r w:rsidRPr="182C7FF8" w:rsidR="20D34ED9">
        <w:rPr>
          <w:rFonts w:ascii="Calibri" w:hAnsi="Calibri" w:eastAsia="Calibri" w:cs="Calibri" w:asciiTheme="minorAscii" w:hAnsiTheme="minorAscii" w:eastAsiaTheme="minorAscii" w:cstheme="minorAscii"/>
          <w:color w:val="auto"/>
          <w:sz w:val="22"/>
          <w:szCs w:val="22"/>
        </w:rPr>
        <w:t xml:space="preserve"> </w:t>
      </w:r>
      <w:r w:rsidRPr="182C7FF8" w:rsidR="4936CDC9">
        <w:rPr>
          <w:rFonts w:ascii="Calibri" w:hAnsi="Calibri" w:eastAsia="Calibri" w:cs="Calibri" w:asciiTheme="minorAscii" w:hAnsiTheme="minorAscii" w:eastAsiaTheme="minorAscii" w:cstheme="minorAscii"/>
          <w:color w:val="auto"/>
          <w:sz w:val="22"/>
          <w:szCs w:val="22"/>
        </w:rPr>
        <w:t>The advantages of SARA can be associated with this factor.</w:t>
      </w:r>
      <w:r w:rsidRPr="182C7FF8" w:rsidR="20D34ED9">
        <w:rPr>
          <w:rFonts w:ascii="Calibri" w:hAnsi="Calibri" w:eastAsia="Calibri" w:cs="Calibri" w:asciiTheme="minorAscii" w:hAnsiTheme="minorAscii" w:eastAsiaTheme="minorAscii" w:cstheme="minorAscii"/>
          <w:color w:val="auto"/>
          <w:sz w:val="22"/>
          <w:szCs w:val="22"/>
        </w:rPr>
        <w:t xml:space="preserve"> However, there are certain limitations associated with the SARA-based evidence-based practice (EBP) model. These limitations primarily revolve around concerns </w:t>
      </w:r>
      <w:r w:rsidRPr="182C7FF8" w:rsidR="4EB7EC6C">
        <w:rPr>
          <w:rFonts w:ascii="Calibri" w:hAnsi="Calibri" w:eastAsia="Calibri" w:cs="Calibri" w:asciiTheme="minorAscii" w:hAnsiTheme="minorAscii" w:eastAsiaTheme="minorAscii" w:cstheme="minorAscii"/>
          <w:color w:val="auto"/>
          <w:sz w:val="22"/>
          <w:szCs w:val="22"/>
        </w:rPr>
        <w:t>about</w:t>
      </w:r>
      <w:r w:rsidRPr="182C7FF8" w:rsidR="20D34ED9">
        <w:rPr>
          <w:rFonts w:ascii="Calibri" w:hAnsi="Calibri" w:eastAsia="Calibri" w:cs="Calibri" w:asciiTheme="minorAscii" w:hAnsiTheme="minorAscii" w:eastAsiaTheme="minorAscii" w:cstheme="minorAscii"/>
          <w:color w:val="auto"/>
          <w:sz w:val="22"/>
          <w:szCs w:val="22"/>
        </w:rPr>
        <w:t xml:space="preserve"> the accountability criterion and potential issues related to discrimination when implementing the EBP model. This </w:t>
      </w:r>
      <w:r w:rsidRPr="182C7FF8" w:rsidR="5125F1B3">
        <w:rPr>
          <w:rFonts w:ascii="Calibri" w:hAnsi="Calibri" w:eastAsia="Calibri" w:cs="Calibri" w:asciiTheme="minorAscii" w:hAnsiTheme="minorAscii" w:eastAsiaTheme="minorAscii" w:cstheme="minorAscii"/>
          <w:color w:val="auto"/>
          <w:sz w:val="22"/>
          <w:szCs w:val="22"/>
        </w:rPr>
        <w:t>element</w:t>
      </w:r>
      <w:r w:rsidRPr="182C7FF8" w:rsidR="20D34ED9">
        <w:rPr>
          <w:rFonts w:ascii="Calibri" w:hAnsi="Calibri" w:eastAsia="Calibri" w:cs="Calibri" w:asciiTheme="minorAscii" w:hAnsiTheme="minorAscii" w:eastAsiaTheme="minorAscii" w:cstheme="minorAscii"/>
          <w:color w:val="auto"/>
          <w:sz w:val="22"/>
          <w:szCs w:val="22"/>
        </w:rPr>
        <w:t xml:space="preserve"> </w:t>
      </w:r>
      <w:r w:rsidRPr="182C7FF8" w:rsidR="10786ED8">
        <w:rPr>
          <w:rFonts w:ascii="Calibri" w:hAnsi="Calibri" w:eastAsia="Calibri" w:cs="Calibri" w:asciiTheme="minorAscii" w:hAnsiTheme="minorAscii" w:eastAsiaTheme="minorAscii" w:cstheme="minorAscii"/>
          <w:color w:val="auto"/>
          <w:sz w:val="22"/>
          <w:szCs w:val="22"/>
        </w:rPr>
        <w:t>shows</w:t>
      </w:r>
      <w:r w:rsidRPr="182C7FF8" w:rsidR="20D34ED9">
        <w:rPr>
          <w:rFonts w:ascii="Calibri" w:hAnsi="Calibri" w:eastAsia="Calibri" w:cs="Calibri" w:asciiTheme="minorAscii" w:hAnsiTheme="minorAscii" w:eastAsiaTheme="minorAscii" w:cstheme="minorAscii"/>
          <w:color w:val="auto"/>
          <w:sz w:val="22"/>
          <w:szCs w:val="22"/>
        </w:rPr>
        <w:t xml:space="preserve"> potential associations with the criminal justice infrastructure within the well-developed region of the United Kingdom.</w:t>
      </w:r>
    </w:p>
    <w:p w:rsidR="182C7FF8" w:rsidP="182C7FF8" w:rsidRDefault="182C7FF8" w14:paraId="34BE12D2" w14:textId="2F383CFC">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182C7FF8" w:rsidP="182C7FF8" w:rsidRDefault="182C7FF8" w14:paraId="745B28CC" w14:textId="4D1299C1">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182C7FF8" w:rsidP="182C7FF8" w:rsidRDefault="182C7FF8" w14:paraId="3E53E22B" w14:textId="4D55D966">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182C7FF8" w:rsidP="182C7FF8" w:rsidRDefault="182C7FF8" w14:paraId="0CE3B972" w14:textId="4B53E9C1">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182C7FF8" w:rsidP="182C7FF8" w:rsidRDefault="182C7FF8" w14:paraId="102578F5" w14:textId="58D013AD">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182C7FF8" w:rsidP="182C7FF8" w:rsidRDefault="182C7FF8" w14:paraId="2B01A81D" w14:textId="5EBE7D70">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063E1770" w:rsidP="182C7FF8" w:rsidRDefault="063E1770" w14:paraId="107432D2" w14:textId="50D814DF">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8"/>
          <w:szCs w:val="28"/>
        </w:rPr>
      </w:pPr>
      <w:r w:rsidRPr="182C7FF8" w:rsidR="7C040C21">
        <w:rPr>
          <w:rFonts w:ascii="Calibri" w:hAnsi="Calibri" w:eastAsia="Calibri" w:cs="Calibri" w:asciiTheme="minorAscii" w:hAnsiTheme="minorAscii" w:eastAsiaTheme="minorAscii" w:cstheme="minorAscii"/>
          <w:color w:val="auto"/>
          <w:sz w:val="28"/>
          <w:szCs w:val="28"/>
        </w:rPr>
        <w:t>References:</w:t>
      </w:r>
    </w:p>
    <w:p w:rsidR="5742EE42" w:rsidP="182C7FF8" w:rsidRDefault="5742EE42" w14:paraId="44CC2712" w14:textId="411FA66C">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82C7FF8" w:rsidR="7C040C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Association of Police and Crime Commissioners</w:t>
      </w:r>
      <w:r w:rsidRPr="182C7FF8" w:rsidR="7C040C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82C7FF8" w:rsidR="440989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hyperlink w:anchor="CR1" r:id="R832997ca911545f0">
        <w:r w:rsidRPr="182C7FF8" w:rsidR="7C040C2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2015</w:t>
        </w:r>
      </w:hyperlink>
      <w:r w:rsidRPr="182C7FF8" w:rsidR="7C040C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College of Policing </w:t>
      </w:r>
      <w:hyperlink w:anchor="CR6" r:id="R990b8b9940e342af">
        <w:r w:rsidRPr="182C7FF8" w:rsidR="7C040C2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2020</w:t>
        </w:r>
      </w:hyperlink>
      <w:r w:rsidRPr="182C7FF8" w:rsidR="7C040C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182C7FF8" w:rsidP="182C7FF8" w:rsidRDefault="182C7FF8" w14:paraId="52B9C2B9" w14:textId="28F2BA36">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753FDBC" w:rsidP="182C7FF8" w:rsidRDefault="1753FDBC" w14:paraId="19769966" w14:textId="5B36D2EC">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182C7FF8" w:rsidR="1753FDBC">
        <w:rPr>
          <w:rFonts w:ascii="Calibri" w:hAnsi="Calibri" w:eastAsia="Calibri" w:cs="Calibri" w:asciiTheme="minorAscii" w:hAnsiTheme="minorAscii" w:eastAsiaTheme="minorAscii" w:cstheme="minorAscii"/>
          <w:noProof w:val="0"/>
          <w:color w:val="222222"/>
          <w:sz w:val="22"/>
          <w:szCs w:val="22"/>
          <w:lang w:val="en-US"/>
        </w:rPr>
        <w:t xml:space="preserve">Caplan, J.M., Kennedy, L.W., Drawve, G. and Baughman, J.H., 2021. Data-informed and place-based violent crime prevention: the Kansas City, Missouri risk-based policing initiative. </w:t>
      </w:r>
      <w:r w:rsidRPr="182C7FF8" w:rsidR="1753FDBC">
        <w:rPr>
          <w:rFonts w:ascii="Calibri" w:hAnsi="Calibri" w:eastAsia="Calibri" w:cs="Calibri" w:asciiTheme="minorAscii" w:hAnsiTheme="minorAscii" w:eastAsiaTheme="minorAscii" w:cstheme="minorAscii"/>
          <w:i w:val="1"/>
          <w:iCs w:val="1"/>
          <w:noProof w:val="0"/>
          <w:color w:val="222222"/>
          <w:sz w:val="22"/>
          <w:szCs w:val="22"/>
          <w:lang w:val="en-US"/>
        </w:rPr>
        <w:t>Police quarterly</w:t>
      </w:r>
      <w:r w:rsidRPr="182C7FF8" w:rsidR="1753FDBC">
        <w:rPr>
          <w:rFonts w:ascii="Calibri" w:hAnsi="Calibri" w:eastAsia="Calibri" w:cs="Calibri" w:asciiTheme="minorAscii" w:hAnsiTheme="minorAscii" w:eastAsiaTheme="minorAscii" w:cstheme="minorAscii"/>
          <w:noProof w:val="0"/>
          <w:color w:val="222222"/>
          <w:sz w:val="22"/>
          <w:szCs w:val="22"/>
          <w:lang w:val="en-US"/>
        </w:rPr>
        <w:t xml:space="preserve">, </w:t>
      </w:r>
      <w:r w:rsidRPr="182C7FF8" w:rsidR="1753FDBC">
        <w:rPr>
          <w:rFonts w:ascii="Calibri" w:hAnsi="Calibri" w:eastAsia="Calibri" w:cs="Calibri" w:asciiTheme="minorAscii" w:hAnsiTheme="minorAscii" w:eastAsiaTheme="minorAscii" w:cstheme="minorAscii"/>
          <w:i w:val="1"/>
          <w:iCs w:val="1"/>
          <w:noProof w:val="0"/>
          <w:color w:val="222222"/>
          <w:sz w:val="22"/>
          <w:szCs w:val="22"/>
          <w:lang w:val="en-US"/>
        </w:rPr>
        <w:t>24</w:t>
      </w:r>
      <w:r w:rsidRPr="182C7FF8" w:rsidR="1753FDBC">
        <w:rPr>
          <w:rFonts w:ascii="Calibri" w:hAnsi="Calibri" w:eastAsia="Calibri" w:cs="Calibri" w:asciiTheme="minorAscii" w:hAnsiTheme="minorAscii" w:eastAsiaTheme="minorAscii" w:cstheme="minorAscii"/>
          <w:noProof w:val="0"/>
          <w:color w:val="222222"/>
          <w:sz w:val="22"/>
          <w:szCs w:val="22"/>
          <w:lang w:val="en-US"/>
        </w:rPr>
        <w:t>(4), pp.438-464.</w:t>
      </w:r>
    </w:p>
    <w:p w:rsidR="182C7FF8" w:rsidP="182C7FF8" w:rsidRDefault="182C7FF8" w14:paraId="69FAD900" w14:textId="2EDEEEE4">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82C7FF8" w:rsidP="182C7FF8" w:rsidRDefault="182C7FF8" w14:paraId="7FEB6AAA" w14:textId="4E0AE26E">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753FDBC" w:rsidP="182C7FF8" w:rsidRDefault="1753FDBC" w14:paraId="1CC7406C" w14:textId="351C08E0">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182C7FF8" w:rsidR="1753FDBC">
        <w:rPr>
          <w:rFonts w:ascii="Calibri" w:hAnsi="Calibri" w:eastAsia="Calibri" w:cs="Calibri" w:asciiTheme="minorAscii" w:hAnsiTheme="minorAscii" w:eastAsiaTheme="minorAscii" w:cstheme="minorAscii"/>
          <w:noProof w:val="0"/>
          <w:color w:val="222222"/>
          <w:sz w:val="22"/>
          <w:szCs w:val="22"/>
          <w:lang w:val="en-US"/>
        </w:rPr>
        <w:t xml:space="preserve">Cowen, N. and Cartwright, N., 2019. Street-level theories of change: Adapting the Medical model of evidence-based practice for policing. </w:t>
      </w:r>
      <w:r w:rsidRPr="182C7FF8" w:rsidR="1753FDBC">
        <w:rPr>
          <w:rFonts w:ascii="Calibri" w:hAnsi="Calibri" w:eastAsia="Calibri" w:cs="Calibri" w:asciiTheme="minorAscii" w:hAnsiTheme="minorAscii" w:eastAsiaTheme="minorAscii" w:cstheme="minorAscii"/>
          <w:i w:val="1"/>
          <w:iCs w:val="1"/>
          <w:noProof w:val="0"/>
          <w:color w:val="222222"/>
          <w:sz w:val="22"/>
          <w:szCs w:val="22"/>
          <w:lang w:val="en-US"/>
        </w:rPr>
        <w:t>Available at SSRN 3324778</w:t>
      </w:r>
      <w:r w:rsidRPr="182C7FF8" w:rsidR="1753FDBC">
        <w:rPr>
          <w:rFonts w:ascii="Calibri" w:hAnsi="Calibri" w:eastAsia="Calibri" w:cs="Calibri" w:asciiTheme="minorAscii" w:hAnsiTheme="minorAscii" w:eastAsiaTheme="minorAscii" w:cstheme="minorAscii"/>
          <w:noProof w:val="0"/>
          <w:color w:val="222222"/>
          <w:sz w:val="22"/>
          <w:szCs w:val="22"/>
          <w:lang w:val="en-US"/>
        </w:rPr>
        <w:t>.</w:t>
      </w:r>
    </w:p>
    <w:p w:rsidR="182C7FF8" w:rsidP="182C7FF8" w:rsidRDefault="182C7FF8" w14:paraId="16BF84E3" w14:textId="748B7BA9">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p w:rsidR="1753FDBC" w:rsidP="182C7FF8" w:rsidRDefault="1753FDBC" w14:paraId="6493DD9C" w14:textId="7E383865">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auto"/>
          <w:sz w:val="22"/>
          <w:szCs w:val="22"/>
          <w:lang w:val="en-US"/>
        </w:rPr>
      </w:pPr>
      <w:r w:rsidRPr="182C7FF8" w:rsidR="1753FDBC">
        <w:rPr>
          <w:rFonts w:ascii="Calibri" w:hAnsi="Calibri" w:eastAsia="Calibri" w:cs="Calibri" w:asciiTheme="minorAscii" w:hAnsiTheme="minorAscii" w:eastAsiaTheme="minorAscii" w:cstheme="minorAscii"/>
          <w:noProof w:val="0"/>
          <w:color w:val="auto"/>
          <w:sz w:val="22"/>
          <w:szCs w:val="22"/>
          <w:lang w:val="en-US"/>
        </w:rPr>
        <w:t>Critics (e.g., Knutsson and Tompson 2017; Lumsden and Goode, 2016; Greene, 2014; Sparrow, 2011; Bullock, and Tilley, 2009; Hope, 2004; Pawson and Tilley, 1994)</w:t>
      </w:r>
    </w:p>
    <w:p w:rsidR="182C7FF8" w:rsidP="182C7FF8" w:rsidRDefault="182C7FF8" w14:paraId="2469BBA8" w14:textId="4697D23D">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753FDBC" w:rsidP="182C7FF8" w:rsidRDefault="1753FDBC" w14:paraId="4F39390D" w14:textId="73F24200">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182C7FF8" w:rsidR="1753FDBC">
        <w:rPr>
          <w:rFonts w:ascii="Calibri" w:hAnsi="Calibri" w:eastAsia="Calibri" w:cs="Calibri" w:asciiTheme="minorAscii" w:hAnsiTheme="minorAscii" w:eastAsiaTheme="minorAscii" w:cstheme="minorAscii"/>
          <w:noProof w:val="0"/>
          <w:color w:val="222222"/>
          <w:sz w:val="22"/>
          <w:szCs w:val="22"/>
          <w:lang w:val="en-US"/>
        </w:rPr>
        <w:t xml:space="preserve">Elliott, D.S., Buckley, P.R., Gottfredson, D.C., Hawkins, </w:t>
      </w:r>
      <w:r w:rsidRPr="182C7FF8" w:rsidR="1753FDBC">
        <w:rPr>
          <w:rFonts w:ascii="Calibri" w:hAnsi="Calibri" w:eastAsia="Calibri" w:cs="Calibri" w:asciiTheme="minorAscii" w:hAnsiTheme="minorAscii" w:eastAsiaTheme="minorAscii" w:cstheme="minorAscii"/>
          <w:noProof w:val="0"/>
          <w:color w:val="222222"/>
          <w:sz w:val="22"/>
          <w:szCs w:val="22"/>
          <w:lang w:val="en-US"/>
        </w:rPr>
        <w:t>J.D.</w:t>
      </w:r>
      <w:r w:rsidRPr="182C7FF8" w:rsidR="1753FDBC">
        <w:rPr>
          <w:rFonts w:ascii="Calibri" w:hAnsi="Calibri" w:eastAsia="Calibri" w:cs="Calibri" w:asciiTheme="minorAscii" w:hAnsiTheme="minorAscii" w:eastAsiaTheme="minorAscii" w:cstheme="minorAscii"/>
          <w:noProof w:val="0"/>
          <w:color w:val="222222"/>
          <w:sz w:val="22"/>
          <w:szCs w:val="22"/>
          <w:lang w:val="en-US"/>
        </w:rPr>
        <w:t xml:space="preserve"> and Tolan, P.H., 2020. Evidence‐based juvenile justice programs and practices: A critical review. </w:t>
      </w:r>
      <w:r w:rsidRPr="182C7FF8" w:rsidR="1753FDBC">
        <w:rPr>
          <w:rFonts w:ascii="Calibri" w:hAnsi="Calibri" w:eastAsia="Calibri" w:cs="Calibri" w:asciiTheme="minorAscii" w:hAnsiTheme="minorAscii" w:eastAsiaTheme="minorAscii" w:cstheme="minorAscii"/>
          <w:i w:val="1"/>
          <w:iCs w:val="1"/>
          <w:noProof w:val="0"/>
          <w:color w:val="222222"/>
          <w:sz w:val="22"/>
          <w:szCs w:val="22"/>
          <w:lang w:val="en-US"/>
        </w:rPr>
        <w:t>Criminology &amp; Public Policy</w:t>
      </w:r>
      <w:r w:rsidRPr="182C7FF8" w:rsidR="1753FDBC">
        <w:rPr>
          <w:rFonts w:ascii="Calibri" w:hAnsi="Calibri" w:eastAsia="Calibri" w:cs="Calibri" w:asciiTheme="minorAscii" w:hAnsiTheme="minorAscii" w:eastAsiaTheme="minorAscii" w:cstheme="minorAscii"/>
          <w:noProof w:val="0"/>
          <w:color w:val="222222"/>
          <w:sz w:val="22"/>
          <w:szCs w:val="22"/>
          <w:lang w:val="en-US"/>
        </w:rPr>
        <w:t xml:space="preserve">, </w:t>
      </w:r>
      <w:r w:rsidRPr="182C7FF8" w:rsidR="1753FDBC">
        <w:rPr>
          <w:rFonts w:ascii="Calibri" w:hAnsi="Calibri" w:eastAsia="Calibri" w:cs="Calibri" w:asciiTheme="minorAscii" w:hAnsiTheme="minorAscii" w:eastAsiaTheme="minorAscii" w:cstheme="minorAscii"/>
          <w:i w:val="1"/>
          <w:iCs w:val="1"/>
          <w:noProof w:val="0"/>
          <w:color w:val="222222"/>
          <w:sz w:val="22"/>
          <w:szCs w:val="22"/>
          <w:lang w:val="en-US"/>
        </w:rPr>
        <w:t>19</w:t>
      </w:r>
      <w:r w:rsidRPr="182C7FF8" w:rsidR="1753FDBC">
        <w:rPr>
          <w:rFonts w:ascii="Calibri" w:hAnsi="Calibri" w:eastAsia="Calibri" w:cs="Calibri" w:asciiTheme="minorAscii" w:hAnsiTheme="minorAscii" w:eastAsiaTheme="minorAscii" w:cstheme="minorAscii"/>
          <w:noProof w:val="0"/>
          <w:color w:val="222222"/>
          <w:sz w:val="22"/>
          <w:szCs w:val="22"/>
          <w:lang w:val="en-US"/>
        </w:rPr>
        <w:t>(4), pp.1305-1328.</w:t>
      </w:r>
    </w:p>
    <w:p w:rsidR="182C7FF8" w:rsidP="182C7FF8" w:rsidRDefault="182C7FF8" w14:paraId="7F6681B2" w14:textId="5EAF5CAC">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p w:rsidR="1753FDBC" w:rsidP="182C7FF8" w:rsidRDefault="1753FDBC" w14:paraId="3815BA24" w14:textId="1B0BB2FE">
      <w:pPr>
        <w:pStyle w:val="Normal"/>
        <w:spacing w:before="0" w:beforeAutospacing="off" w:after="0" w:afterAutospacing="off" w:line="240" w:lineRule="auto"/>
        <w:ind w:left="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82C7FF8" w:rsidR="1753FDBC">
        <w:rPr>
          <w:rFonts w:ascii="Calibri" w:hAnsi="Calibri" w:eastAsia="Calibri" w:cs="Calibri" w:asciiTheme="minorAscii" w:hAnsiTheme="minorAscii" w:eastAsiaTheme="minorAscii" w:cstheme="minorAscii"/>
          <w:b w:val="0"/>
          <w:bCs w:val="0"/>
          <w:i w:val="0"/>
          <w:iCs w:val="0"/>
          <w:caps w:val="0"/>
          <w:smallCaps w:val="0"/>
          <w:noProof w:val="0"/>
          <w:color w:val="202122"/>
          <w:sz w:val="22"/>
          <w:szCs w:val="22"/>
          <w:lang w:val="en-US"/>
        </w:rPr>
        <w:t xml:space="preserve">Herman Goldstein, </w:t>
      </w:r>
      <w:hyperlink r:id="Rd84dce7583f04791">
        <w:r w:rsidRPr="182C7FF8" w:rsidR="1753FDB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Improving Policing: A Problem-Oriented Approach</w:t>
        </w:r>
      </w:hyperlink>
      <w:r w:rsidRPr="182C7FF8" w:rsidR="1753FDBC">
        <w:rPr>
          <w:rFonts w:ascii="Calibri" w:hAnsi="Calibri" w:eastAsia="Calibri" w:cs="Calibri" w:asciiTheme="minorAscii" w:hAnsiTheme="minorAscii" w:eastAsiaTheme="minorAscii" w:cstheme="minorAscii"/>
          <w:b w:val="0"/>
          <w:bCs w:val="0"/>
          <w:i w:val="0"/>
          <w:iCs w:val="0"/>
          <w:caps w:val="0"/>
          <w:smallCaps w:val="0"/>
          <w:noProof w:val="0"/>
          <w:color w:val="202122"/>
          <w:sz w:val="22"/>
          <w:szCs w:val="22"/>
          <w:lang w:val="en-US"/>
        </w:rPr>
        <w:t xml:space="preserve">, </w:t>
      </w:r>
      <w:r w:rsidRPr="182C7FF8" w:rsidR="1753FDBC">
        <w:rPr>
          <w:rFonts w:ascii="Calibri" w:hAnsi="Calibri" w:eastAsia="Calibri" w:cs="Calibri" w:asciiTheme="minorAscii" w:hAnsiTheme="minorAscii" w:eastAsiaTheme="minorAscii" w:cstheme="minorAscii"/>
          <w:b w:val="0"/>
          <w:bCs w:val="0"/>
          <w:i w:val="1"/>
          <w:iCs w:val="1"/>
          <w:caps w:val="0"/>
          <w:smallCaps w:val="0"/>
          <w:noProof w:val="0"/>
          <w:color w:val="202122"/>
          <w:sz w:val="22"/>
          <w:szCs w:val="22"/>
          <w:lang w:val="en-US"/>
        </w:rPr>
        <w:t>Crime &amp; Delinquency</w:t>
      </w:r>
      <w:r w:rsidRPr="182C7FF8" w:rsidR="1753FDBC">
        <w:rPr>
          <w:rFonts w:ascii="Calibri" w:hAnsi="Calibri" w:eastAsia="Calibri" w:cs="Calibri" w:asciiTheme="minorAscii" w:hAnsiTheme="minorAscii" w:eastAsiaTheme="minorAscii" w:cstheme="minorAscii"/>
          <w:b w:val="0"/>
          <w:bCs w:val="0"/>
          <w:i w:val="0"/>
          <w:iCs w:val="0"/>
          <w:caps w:val="0"/>
          <w:smallCaps w:val="0"/>
          <w:noProof w:val="0"/>
          <w:color w:val="202122"/>
          <w:sz w:val="22"/>
          <w:szCs w:val="22"/>
          <w:lang w:val="en-US"/>
        </w:rPr>
        <w:t xml:space="preserve"> (April 1979):236-243.</w:t>
      </w:r>
    </w:p>
    <w:p w:rsidR="182C7FF8" w:rsidP="182C7FF8" w:rsidRDefault="182C7FF8" w14:paraId="737ABA2D" w14:textId="00FACD74">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p w:rsidR="1753FDBC" w:rsidP="182C7FF8" w:rsidRDefault="1753FDBC" w14:paraId="172B368E" w14:textId="3EDEF656">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182C7FF8" w:rsidR="1753FDBC">
        <w:rPr>
          <w:rFonts w:ascii="Calibri" w:hAnsi="Calibri" w:eastAsia="Calibri" w:cs="Calibri" w:asciiTheme="minorAscii" w:hAnsiTheme="minorAscii" w:eastAsiaTheme="minorAscii" w:cstheme="minorAscii"/>
          <w:noProof w:val="0"/>
          <w:color w:val="222222"/>
          <w:sz w:val="22"/>
          <w:szCs w:val="22"/>
          <w:lang w:val="en-US"/>
        </w:rPr>
        <w:t xml:space="preserve">Jiang, F., Xie, C. and Ellis, T., 2021. Police officers’ </w:t>
      </w:r>
      <w:r w:rsidRPr="182C7FF8" w:rsidR="6D56E13F">
        <w:rPr>
          <w:rFonts w:ascii="Calibri" w:hAnsi="Calibri" w:eastAsia="Calibri" w:cs="Calibri" w:asciiTheme="minorAscii" w:hAnsiTheme="minorAscii" w:eastAsiaTheme="minorAscii" w:cstheme="minorAscii"/>
          <w:noProof w:val="0"/>
          <w:color w:val="222222"/>
          <w:sz w:val="22"/>
          <w:szCs w:val="22"/>
          <w:lang w:val="en-US"/>
        </w:rPr>
        <w:t>feelings</w:t>
      </w:r>
      <w:r w:rsidRPr="182C7FF8" w:rsidR="1753FDBC">
        <w:rPr>
          <w:rFonts w:ascii="Calibri" w:hAnsi="Calibri" w:eastAsia="Calibri" w:cs="Calibri" w:asciiTheme="minorAscii" w:hAnsiTheme="minorAscii" w:eastAsiaTheme="minorAscii" w:cstheme="minorAscii"/>
          <w:noProof w:val="0"/>
          <w:color w:val="222222"/>
          <w:sz w:val="22"/>
          <w:szCs w:val="22"/>
          <w:lang w:val="en-US"/>
        </w:rPr>
        <w:t xml:space="preserve"> of body-worn video cameras in Beijing. </w:t>
      </w:r>
      <w:r w:rsidRPr="182C7FF8" w:rsidR="1753FDBC">
        <w:rPr>
          <w:rFonts w:ascii="Calibri" w:hAnsi="Calibri" w:eastAsia="Calibri" w:cs="Calibri" w:asciiTheme="minorAscii" w:hAnsiTheme="minorAscii" w:eastAsiaTheme="minorAscii" w:cstheme="minorAscii"/>
          <w:i w:val="1"/>
          <w:iCs w:val="1"/>
          <w:noProof w:val="0"/>
          <w:color w:val="222222"/>
          <w:sz w:val="22"/>
          <w:szCs w:val="22"/>
          <w:lang w:val="en-US"/>
        </w:rPr>
        <w:t>International criminal justice review</w:t>
      </w:r>
      <w:r w:rsidRPr="182C7FF8" w:rsidR="1753FDBC">
        <w:rPr>
          <w:rFonts w:ascii="Calibri" w:hAnsi="Calibri" w:eastAsia="Calibri" w:cs="Calibri" w:asciiTheme="minorAscii" w:hAnsiTheme="minorAscii" w:eastAsiaTheme="minorAscii" w:cstheme="minorAscii"/>
          <w:noProof w:val="0"/>
          <w:color w:val="222222"/>
          <w:sz w:val="22"/>
          <w:szCs w:val="22"/>
          <w:lang w:val="en-US"/>
        </w:rPr>
        <w:t xml:space="preserve">, </w:t>
      </w:r>
      <w:r w:rsidRPr="182C7FF8" w:rsidR="1753FDBC">
        <w:rPr>
          <w:rFonts w:ascii="Calibri" w:hAnsi="Calibri" w:eastAsia="Calibri" w:cs="Calibri" w:asciiTheme="minorAscii" w:hAnsiTheme="minorAscii" w:eastAsiaTheme="minorAscii" w:cstheme="minorAscii"/>
          <w:i w:val="1"/>
          <w:iCs w:val="1"/>
          <w:noProof w:val="0"/>
          <w:color w:val="222222"/>
          <w:sz w:val="22"/>
          <w:szCs w:val="22"/>
          <w:lang w:val="en-US"/>
        </w:rPr>
        <w:t>31</w:t>
      </w:r>
      <w:r w:rsidRPr="182C7FF8" w:rsidR="1753FDBC">
        <w:rPr>
          <w:rFonts w:ascii="Calibri" w:hAnsi="Calibri" w:eastAsia="Calibri" w:cs="Calibri" w:asciiTheme="minorAscii" w:hAnsiTheme="minorAscii" w:eastAsiaTheme="minorAscii" w:cstheme="minorAscii"/>
          <w:noProof w:val="0"/>
          <w:color w:val="222222"/>
          <w:sz w:val="22"/>
          <w:szCs w:val="22"/>
          <w:lang w:val="en-US"/>
        </w:rPr>
        <w:t>(3), pp.286-303.</w:t>
      </w:r>
    </w:p>
    <w:p w:rsidR="182C7FF8" w:rsidP="182C7FF8" w:rsidRDefault="182C7FF8" w14:paraId="567F66A7" w14:textId="252AA6F2">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82C7FF8" w:rsidP="182C7FF8" w:rsidRDefault="182C7FF8" w14:paraId="66E94F2C" w14:textId="38ED6D07">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377A45A1" w:rsidP="182C7FF8" w:rsidRDefault="377A45A1" w14:paraId="7E83738A" w14:textId="26BA26C9">
      <w:pPr>
        <w:spacing w:before="0" w:beforeAutospacing="off" w:after="165"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pPr>
      <w:hyperlink r:id="R4511b413c84c4697">
        <w:r w:rsidRPr="182C7FF8" w:rsidR="377A45A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Karen Bullock</w:t>
        </w:r>
      </w:hyperlink>
      <w:r w:rsidRPr="182C7FF8" w:rsidR="377A45A1">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w:t>
      </w:r>
      <w:r w:rsidRPr="182C7FF8" w:rsidR="377A45A1">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xml:space="preserve"> </w:t>
      </w:r>
      <w:hyperlink r:id="Rc37274d0007d467b">
        <w:r w:rsidRPr="182C7FF8" w:rsidR="377A45A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Nick Tilley</w:t>
        </w:r>
      </w:hyperlink>
      <w:r w:rsidRPr="182C7FF8" w:rsidR="377A45A1">
        <w:rPr>
          <w:rFonts w:ascii="Calibri" w:hAnsi="Calibri" w:eastAsia="Calibri" w:cs="Calibri" w:asciiTheme="minorAscii" w:hAnsiTheme="minorAscii" w:eastAsiaTheme="minorAscii" w:cstheme="minorAscii"/>
          <w:b w:val="0"/>
          <w:bCs w:val="0"/>
          <w:i w:val="1"/>
          <w:iCs w:val="1"/>
          <w:caps w:val="0"/>
          <w:smallCaps w:val="0"/>
          <w:noProof w:val="0"/>
          <w:color w:val="2A2A2A"/>
          <w:sz w:val="22"/>
          <w:szCs w:val="22"/>
          <w:lang w:val="en-US"/>
        </w:rPr>
        <w:t xml:space="preserve"> Policing: A Journal of Policy and Practice</w:t>
      </w:r>
      <w:r w:rsidRPr="182C7FF8" w:rsidR="377A45A1">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Volume 3, Issue 4, 2009, Pages 381–387,</w:t>
      </w:r>
      <w:r w:rsidRPr="182C7FF8" w:rsidR="377A45A1">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xml:space="preserve"> </w:t>
      </w:r>
      <w:hyperlink r:id="R9c384edad851453a">
        <w:r w:rsidRPr="182C7FF8" w:rsidR="377A45A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https://doi.org/10.1093/police/pap032</w:t>
        </w:r>
      </w:hyperlink>
      <w:r w:rsidRPr="182C7FF8" w:rsidR="377A45A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 xml:space="preserve"> </w:t>
      </w:r>
    </w:p>
    <w:p w:rsidR="182C7FF8" w:rsidP="182C7FF8" w:rsidRDefault="182C7FF8" w14:paraId="52984FE2" w14:textId="5DB511BD">
      <w:pPr>
        <w:pStyle w:val="Normal"/>
        <w:spacing w:before="0" w:beforeAutospacing="off" w:after="165"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pPr>
    </w:p>
    <w:p w:rsidR="1FA8458E" w:rsidP="182C7FF8" w:rsidRDefault="1FA8458E" w14:paraId="621F9B53" w14:textId="48A83790">
      <w:pPr>
        <w:spacing w:before="0" w:beforeAutospacing="off" w:after="165" w:afterAutospacing="off"/>
        <w:rPr>
          <w:rFonts w:ascii="Calibri" w:hAnsi="Calibri" w:eastAsia="Calibri" w:cs="Calibri" w:asciiTheme="minorAscii" w:hAnsiTheme="minorAscii" w:eastAsiaTheme="minorAscii" w:cstheme="minorAscii"/>
          <w:sz w:val="22"/>
          <w:szCs w:val="22"/>
        </w:rPr>
      </w:pPr>
      <w:hyperlink r:id="R1c9d8e52ed5346c3">
        <w:r w:rsidRPr="182C7FF8" w:rsidR="1FA8458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Mitchell Pearson-Goff</w:t>
        </w:r>
      </w:hyperlink>
      <w:r w:rsidRPr="182C7FF8" w:rsidR="1FA8458E">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w:t>
      </w:r>
      <w:r w:rsidRPr="182C7FF8" w:rsidR="1FA8458E">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xml:space="preserve"> </w:t>
      </w:r>
      <w:hyperlink r:id="Reb282ae9ac7c487d">
        <w:r w:rsidRPr="182C7FF8" w:rsidR="1FA8458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Victoria Herrington</w:t>
        </w:r>
      </w:hyperlink>
      <w:r w:rsidRPr="182C7FF8" w:rsidR="1FA8458E">
        <w:rPr>
          <w:rFonts w:ascii="Calibri" w:hAnsi="Calibri" w:eastAsia="Calibri" w:cs="Calibri" w:asciiTheme="minorAscii" w:hAnsiTheme="minorAscii" w:eastAsiaTheme="minorAscii" w:cstheme="minorAscii"/>
          <w:b w:val="0"/>
          <w:bCs w:val="0"/>
          <w:i w:val="1"/>
          <w:iCs w:val="1"/>
          <w:caps w:val="0"/>
          <w:smallCaps w:val="0"/>
          <w:noProof w:val="0"/>
          <w:color w:val="2A2A2A"/>
          <w:sz w:val="22"/>
          <w:szCs w:val="22"/>
          <w:lang w:val="en-US"/>
        </w:rPr>
        <w:t xml:space="preserve"> Policing: A Journal of Policy and Practice</w:t>
      </w:r>
      <w:r w:rsidRPr="182C7FF8" w:rsidR="1FA8458E">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Volume 8, Issue 1, March 2014, Pages 14–26,</w:t>
      </w:r>
      <w:r w:rsidRPr="182C7FF8" w:rsidR="1FA8458E">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xml:space="preserve"> </w:t>
      </w:r>
      <w:hyperlink r:id="Rf2ec232e9dd34a90">
        <w:r w:rsidRPr="182C7FF8" w:rsidR="1FA8458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https://doi.org/10.1093/police/pat027</w:t>
        </w:r>
      </w:hyperlink>
    </w:p>
    <w:p w:rsidR="182C7FF8" w:rsidP="182C7FF8" w:rsidRDefault="182C7FF8" w14:paraId="1FBA6C34" w14:textId="45499B2C">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063E1770" w:rsidP="182C7FF8" w:rsidRDefault="063E1770" w14:paraId="24D08C4F" w14:textId="5172C0B9">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82C7FF8" w:rsidR="05EBDA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Methods of dealing with issues (College of Policing </w:t>
      </w:r>
      <w:hyperlink w:anchor="CR6" r:id="R37ef4712f08a4d12">
        <w:r w:rsidRPr="182C7FF8" w:rsidR="05EBDA0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2020</w:t>
        </w:r>
      </w:hyperlink>
      <w:r w:rsidRPr="182C7FF8" w:rsidR="05EBDA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19A55DE8" w:rsidP="182C7FF8" w:rsidRDefault="19A55DE8" w14:paraId="3EC76280" w14:textId="770B6AFF">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9A55DE8" w:rsidP="182C7FF8" w:rsidRDefault="19A55DE8" w14:paraId="71E0BBBB" w14:textId="4FE820FB">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182C7FF8" w:rsidR="5B9A4B0B">
        <w:rPr>
          <w:rFonts w:ascii="Calibri" w:hAnsi="Calibri" w:eastAsia="Calibri" w:cs="Calibri" w:asciiTheme="minorAscii" w:hAnsiTheme="minorAscii" w:eastAsiaTheme="minorAscii" w:cstheme="minorAscii"/>
          <w:noProof w:val="0"/>
          <w:color w:val="222222"/>
          <w:sz w:val="22"/>
          <w:szCs w:val="22"/>
          <w:lang w:val="en-US"/>
        </w:rPr>
        <w:t xml:space="preserve">Neyroud, P., 2021. Globalizing evidence-based policing: Case studies of community policing, reform, and diversion. In </w:t>
      </w:r>
      <w:r w:rsidRPr="182C7FF8" w:rsidR="5B9A4B0B">
        <w:rPr>
          <w:rFonts w:ascii="Calibri" w:hAnsi="Calibri" w:eastAsia="Calibri" w:cs="Calibri" w:asciiTheme="minorAscii" w:hAnsiTheme="minorAscii" w:eastAsiaTheme="minorAscii" w:cstheme="minorAscii"/>
          <w:i w:val="1"/>
          <w:iCs w:val="1"/>
          <w:noProof w:val="0"/>
          <w:color w:val="222222"/>
          <w:sz w:val="22"/>
          <w:szCs w:val="22"/>
          <w:lang w:val="en-US"/>
        </w:rPr>
        <w:t>The Globalization of Evidence-Based Policing</w:t>
      </w:r>
      <w:r w:rsidRPr="182C7FF8" w:rsidR="5B9A4B0B">
        <w:rPr>
          <w:rFonts w:ascii="Calibri" w:hAnsi="Calibri" w:eastAsia="Calibri" w:cs="Calibri" w:asciiTheme="minorAscii" w:hAnsiTheme="minorAscii" w:eastAsiaTheme="minorAscii" w:cstheme="minorAscii"/>
          <w:noProof w:val="0"/>
          <w:color w:val="222222"/>
          <w:sz w:val="22"/>
          <w:szCs w:val="22"/>
          <w:lang w:val="en-US"/>
        </w:rPr>
        <w:t xml:space="preserve"> (pp. 23-38). Routledge.</w:t>
      </w:r>
    </w:p>
    <w:p w:rsidR="19A55DE8" w:rsidP="182C7FF8" w:rsidRDefault="19A55DE8" w14:paraId="1DF5EB17" w14:textId="09D5744F">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9A55DE8" w:rsidP="182C7FF8" w:rsidRDefault="19A55DE8" w14:paraId="7063D303" w14:textId="79076602">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auto"/>
          <w:sz w:val="22"/>
          <w:szCs w:val="22"/>
          <w:lang w:val="en-US"/>
        </w:rPr>
      </w:pPr>
    </w:p>
    <w:p w:rsidR="19A55DE8" w:rsidP="182C7FF8" w:rsidRDefault="19A55DE8" w14:paraId="7987F70C" w14:textId="21C724BD">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auto"/>
          <w:sz w:val="22"/>
          <w:szCs w:val="22"/>
          <w:lang w:val="en-US"/>
        </w:rPr>
      </w:pPr>
      <w:r w:rsidRPr="182C7FF8" w:rsidR="54280E75">
        <w:rPr>
          <w:rFonts w:ascii="Calibri" w:hAnsi="Calibri" w:eastAsia="Calibri" w:cs="Calibri" w:asciiTheme="minorAscii" w:hAnsiTheme="minorAscii" w:eastAsiaTheme="minorAscii" w:cstheme="minorAscii"/>
          <w:noProof w:val="0"/>
          <w:color w:val="222222"/>
          <w:sz w:val="22"/>
          <w:szCs w:val="22"/>
          <w:lang w:val="en-US"/>
        </w:rPr>
        <w:t xml:space="preserve">Sherman, L.W., 1998. Evidence-based policing and fatal police shootings: Promise, problems, and prospects. </w:t>
      </w:r>
      <w:r w:rsidRPr="182C7FF8" w:rsidR="54280E75">
        <w:rPr>
          <w:rFonts w:ascii="Calibri" w:hAnsi="Calibri" w:eastAsia="Calibri" w:cs="Calibri" w:asciiTheme="minorAscii" w:hAnsiTheme="minorAscii" w:eastAsiaTheme="minorAscii" w:cstheme="minorAscii"/>
          <w:i w:val="1"/>
          <w:iCs w:val="1"/>
          <w:noProof w:val="0"/>
          <w:color w:val="222222"/>
          <w:sz w:val="22"/>
          <w:szCs w:val="22"/>
          <w:lang w:val="en-US"/>
        </w:rPr>
        <w:t>The ANNALS of the American Academy of Political and Social Science</w:t>
      </w:r>
      <w:r w:rsidRPr="182C7FF8" w:rsidR="54280E75">
        <w:rPr>
          <w:rFonts w:ascii="Calibri" w:hAnsi="Calibri" w:eastAsia="Calibri" w:cs="Calibri" w:asciiTheme="minorAscii" w:hAnsiTheme="minorAscii" w:eastAsiaTheme="minorAscii" w:cstheme="minorAscii"/>
          <w:noProof w:val="0"/>
          <w:color w:val="222222"/>
          <w:sz w:val="22"/>
          <w:szCs w:val="22"/>
          <w:lang w:val="en-US"/>
        </w:rPr>
        <w:t xml:space="preserve">, </w:t>
      </w:r>
      <w:r w:rsidRPr="182C7FF8" w:rsidR="54280E75">
        <w:rPr>
          <w:rFonts w:ascii="Calibri" w:hAnsi="Calibri" w:eastAsia="Calibri" w:cs="Calibri" w:asciiTheme="minorAscii" w:hAnsiTheme="minorAscii" w:eastAsiaTheme="minorAscii" w:cstheme="minorAscii"/>
          <w:i w:val="1"/>
          <w:iCs w:val="1"/>
          <w:noProof w:val="0"/>
          <w:color w:val="222222"/>
          <w:sz w:val="22"/>
          <w:szCs w:val="22"/>
          <w:lang w:val="en-US"/>
        </w:rPr>
        <w:t>687</w:t>
      </w:r>
      <w:r w:rsidRPr="182C7FF8" w:rsidR="54280E75">
        <w:rPr>
          <w:rFonts w:ascii="Calibri" w:hAnsi="Calibri" w:eastAsia="Calibri" w:cs="Calibri" w:asciiTheme="minorAscii" w:hAnsiTheme="minorAscii" w:eastAsiaTheme="minorAscii" w:cstheme="minorAscii"/>
          <w:noProof w:val="0"/>
          <w:color w:val="222222"/>
          <w:sz w:val="22"/>
          <w:szCs w:val="22"/>
          <w:lang w:val="en-US"/>
        </w:rPr>
        <w:t>(1), pp.8-26</w:t>
      </w:r>
      <w:r w:rsidRPr="182C7FF8" w:rsidR="54280E75">
        <w:rPr>
          <w:rFonts w:ascii="Calibri" w:hAnsi="Calibri" w:eastAsia="Calibri" w:cs="Calibri" w:asciiTheme="minorAscii" w:hAnsiTheme="minorAscii" w:eastAsiaTheme="minorAscii" w:cstheme="minorAscii"/>
          <w:noProof w:val="0"/>
          <w:color w:val="auto"/>
          <w:sz w:val="22"/>
          <w:szCs w:val="22"/>
          <w:lang w:val="en-US"/>
        </w:rPr>
        <w:t xml:space="preserve"> </w:t>
      </w:r>
    </w:p>
    <w:p w:rsidR="182C7FF8" w:rsidP="182C7FF8" w:rsidRDefault="182C7FF8" w14:paraId="434D0633" w14:textId="3DB4569D">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auto"/>
          <w:sz w:val="22"/>
          <w:szCs w:val="22"/>
          <w:lang w:val="en-US"/>
        </w:rPr>
      </w:pPr>
    </w:p>
    <w:p w:rsidR="182C7FF8" w:rsidP="182C7FF8" w:rsidRDefault="182C7FF8" w14:paraId="12738DC7" w14:textId="4F719709">
      <w:pPr>
        <w:pStyle w:val="Normal"/>
        <w:spacing w:before="0" w:beforeAutospacing="off" w:after="0" w:afterAutospacing="off" w:line="240" w:lineRule="auto"/>
        <w:ind w:left="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82C7FF8" w:rsidP="182C7FF8" w:rsidRDefault="182C7FF8" w14:paraId="4C1B9949" w14:textId="563DD06B">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p w:rsidR="182C7FF8" w:rsidP="182C7FF8" w:rsidRDefault="182C7FF8" w14:paraId="7AFF3E19" w14:textId="67BA9A36">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PPZOC/Q+8Fb357" int2:id="DTtHd0gP">
      <int2:state int2:type="AugLoop_Text_Critique" int2:value="Rejected"/>
    </int2:textHash>
    <int2:textHash int2:hashCode="Y9lG5h2v5ELehz" int2:id="zkP9fjOT">
      <int2:state int2:type="AugLoop_Text_Critique" int2:value="Rejected"/>
    </int2:textHash>
    <int2:textHash int2:hashCode="nUHfZJIo9i9LML" int2:id="FuOBkbdm">
      <int2:state int2:type="AugLoop_Text_Critique" int2:value="Rejected"/>
    </int2:textHash>
    <int2:textHash int2:hashCode="hNr/IbysrLHhjc" int2:id="L6CoeNaG">
      <int2:state int2:type="AugLoop_Text_Critique" int2:value="Rejected"/>
    </int2:textHash>
    <int2:bookmark int2:bookmarkName="_Int_2n8lk2Nb" int2:invalidationBookmarkName="" int2:hashCode="nooB8ljuYJMKIn" int2:id="xW5jP0fj">
      <int2:state int2:type="AugLoop_Text_Critique" int2:value="Rejected"/>
    </int2:bookmark>
    <int2:entireDocument int2:id="VIFEtoNw">
      <int2:extLst>
        <oel:ext uri="E302BA01-7950-474C-9AD3-286E660C40A8">
          <int2:similaritySummary int2:version="1" int2:runId="1689591863538" int2:tilesCheckedInThisRun="42" int2:totalNumOfTiles="42" int2:similarityAnnotationCount="27" int2:numWords="3681" int2:numFlaggedWords="84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
  </int2:onDemandWorkflows>
</int2:intelligence>
</file>

<file path=word/numbering.xml><?xml version="1.0" encoding="utf-8"?>
<w:numbering xmlns:w="http://schemas.openxmlformats.org/wordprocessingml/2006/main">
  <w:abstractNum xmlns:w="http://schemas.openxmlformats.org/wordprocessingml/2006/main" w:abstractNumId="4">
    <w:nsid w:val="52371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d90c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f1576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2553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40BD3E"/>
    <w:rsid w:val="0017EBA7"/>
    <w:rsid w:val="00270A2F"/>
    <w:rsid w:val="006DC9F5"/>
    <w:rsid w:val="00C618D2"/>
    <w:rsid w:val="0172D46C"/>
    <w:rsid w:val="01AC12D8"/>
    <w:rsid w:val="01DB8688"/>
    <w:rsid w:val="01FC1FB4"/>
    <w:rsid w:val="02D08658"/>
    <w:rsid w:val="02DC0BCE"/>
    <w:rsid w:val="0365B169"/>
    <w:rsid w:val="037A0F30"/>
    <w:rsid w:val="0387FFD9"/>
    <w:rsid w:val="03C393D0"/>
    <w:rsid w:val="03F4F184"/>
    <w:rsid w:val="04135A3F"/>
    <w:rsid w:val="0466E3C7"/>
    <w:rsid w:val="04C0386E"/>
    <w:rsid w:val="04DF583B"/>
    <w:rsid w:val="050181CA"/>
    <w:rsid w:val="0590C1E5"/>
    <w:rsid w:val="05DD7E21"/>
    <w:rsid w:val="05EBDA01"/>
    <w:rsid w:val="061B3507"/>
    <w:rsid w:val="063E1770"/>
    <w:rsid w:val="06402BB3"/>
    <w:rsid w:val="06645684"/>
    <w:rsid w:val="0664FE5B"/>
    <w:rsid w:val="066A5702"/>
    <w:rsid w:val="0690F024"/>
    <w:rsid w:val="0717206D"/>
    <w:rsid w:val="075F1979"/>
    <w:rsid w:val="0786C503"/>
    <w:rsid w:val="078C3253"/>
    <w:rsid w:val="085DF065"/>
    <w:rsid w:val="0869D752"/>
    <w:rsid w:val="089088E7"/>
    <w:rsid w:val="089EBCF9"/>
    <w:rsid w:val="08EA289C"/>
    <w:rsid w:val="08F48C28"/>
    <w:rsid w:val="0914602D"/>
    <w:rsid w:val="0991F6FF"/>
    <w:rsid w:val="09F05C84"/>
    <w:rsid w:val="09F05C84"/>
    <w:rsid w:val="0A31B667"/>
    <w:rsid w:val="0A96BA3B"/>
    <w:rsid w:val="0AD8C2C2"/>
    <w:rsid w:val="0BA8C23D"/>
    <w:rsid w:val="0BC67F5A"/>
    <w:rsid w:val="0BFFCEF2"/>
    <w:rsid w:val="0C1BF2F0"/>
    <w:rsid w:val="0CAD13D4"/>
    <w:rsid w:val="0D0110F2"/>
    <w:rsid w:val="0D064769"/>
    <w:rsid w:val="0DA995F6"/>
    <w:rsid w:val="0DB7C351"/>
    <w:rsid w:val="0DBB4EA0"/>
    <w:rsid w:val="0DCE5AFD"/>
    <w:rsid w:val="0E5DC9EC"/>
    <w:rsid w:val="0EF34D5D"/>
    <w:rsid w:val="0F6CFA38"/>
    <w:rsid w:val="0FD50287"/>
    <w:rsid w:val="101A2B6F"/>
    <w:rsid w:val="10216E13"/>
    <w:rsid w:val="104BAF91"/>
    <w:rsid w:val="10786ED8"/>
    <w:rsid w:val="10F2EF62"/>
    <w:rsid w:val="11BD3E74"/>
    <w:rsid w:val="11BF4671"/>
    <w:rsid w:val="12C3988E"/>
    <w:rsid w:val="13590ED5"/>
    <w:rsid w:val="13EADE20"/>
    <w:rsid w:val="1408936B"/>
    <w:rsid w:val="1453E387"/>
    <w:rsid w:val="15682E81"/>
    <w:rsid w:val="1602A53B"/>
    <w:rsid w:val="16818045"/>
    <w:rsid w:val="16E8C972"/>
    <w:rsid w:val="17118333"/>
    <w:rsid w:val="172A9883"/>
    <w:rsid w:val="1753FDBC"/>
    <w:rsid w:val="1809976E"/>
    <w:rsid w:val="182C7FF8"/>
    <w:rsid w:val="186B8A00"/>
    <w:rsid w:val="19110DA4"/>
    <w:rsid w:val="1972C1F1"/>
    <w:rsid w:val="199070F4"/>
    <w:rsid w:val="19A25F7C"/>
    <w:rsid w:val="19A55DE8"/>
    <w:rsid w:val="19DC371F"/>
    <w:rsid w:val="1A101721"/>
    <w:rsid w:val="1A3A5F62"/>
    <w:rsid w:val="1AAA1BA7"/>
    <w:rsid w:val="1B0663D5"/>
    <w:rsid w:val="1BC6701F"/>
    <w:rsid w:val="1BDC1429"/>
    <w:rsid w:val="1C48AE66"/>
    <w:rsid w:val="1C730A83"/>
    <w:rsid w:val="1C869D26"/>
    <w:rsid w:val="1C906DD1"/>
    <w:rsid w:val="1CCB866A"/>
    <w:rsid w:val="1CCE4626"/>
    <w:rsid w:val="1CE5DE40"/>
    <w:rsid w:val="1D013058"/>
    <w:rsid w:val="1DA2F163"/>
    <w:rsid w:val="1DED2EF2"/>
    <w:rsid w:val="1DF6BCD2"/>
    <w:rsid w:val="1DF8C815"/>
    <w:rsid w:val="1E01243D"/>
    <w:rsid w:val="1EA3AF02"/>
    <w:rsid w:val="1FA34893"/>
    <w:rsid w:val="1FA8458E"/>
    <w:rsid w:val="1FBDFEF0"/>
    <w:rsid w:val="1FC80E93"/>
    <w:rsid w:val="1FCFC176"/>
    <w:rsid w:val="1FD1AEE8"/>
    <w:rsid w:val="201D7F02"/>
    <w:rsid w:val="2028C720"/>
    <w:rsid w:val="203F7F63"/>
    <w:rsid w:val="206F8D7B"/>
    <w:rsid w:val="20D34ED9"/>
    <w:rsid w:val="20D49796"/>
    <w:rsid w:val="2159CF51"/>
    <w:rsid w:val="215B6DC0"/>
    <w:rsid w:val="21A1B749"/>
    <w:rsid w:val="21DB4FC4"/>
    <w:rsid w:val="2286B85D"/>
    <w:rsid w:val="22AA6336"/>
    <w:rsid w:val="22AC2E08"/>
    <w:rsid w:val="22BE141B"/>
    <w:rsid w:val="22D8B0B8"/>
    <w:rsid w:val="22EAE1B5"/>
    <w:rsid w:val="23772025"/>
    <w:rsid w:val="23A37204"/>
    <w:rsid w:val="23E98C31"/>
    <w:rsid w:val="246B1777"/>
    <w:rsid w:val="2487FD2A"/>
    <w:rsid w:val="24DAA8D2"/>
    <w:rsid w:val="24F3D3B2"/>
    <w:rsid w:val="24FB14F8"/>
    <w:rsid w:val="24FB14F8"/>
    <w:rsid w:val="252E5AE1"/>
    <w:rsid w:val="25561BA3"/>
    <w:rsid w:val="25583B16"/>
    <w:rsid w:val="25695AD8"/>
    <w:rsid w:val="25D910C8"/>
    <w:rsid w:val="266A857B"/>
    <w:rsid w:val="2721C2E2"/>
    <w:rsid w:val="272655A4"/>
    <w:rsid w:val="27AC21DB"/>
    <w:rsid w:val="28200257"/>
    <w:rsid w:val="28AAA91A"/>
    <w:rsid w:val="29354200"/>
    <w:rsid w:val="29C85908"/>
    <w:rsid w:val="2A01CC04"/>
    <w:rsid w:val="2A630082"/>
    <w:rsid w:val="2AA89A27"/>
    <w:rsid w:val="2AE3C29D"/>
    <w:rsid w:val="2B2983DB"/>
    <w:rsid w:val="2B57B405"/>
    <w:rsid w:val="2B664726"/>
    <w:rsid w:val="2B67CB11"/>
    <w:rsid w:val="2B70476A"/>
    <w:rsid w:val="2B851C3F"/>
    <w:rsid w:val="2B9DA7CA"/>
    <w:rsid w:val="2BD4247E"/>
    <w:rsid w:val="2C05244C"/>
    <w:rsid w:val="2C310054"/>
    <w:rsid w:val="2C581011"/>
    <w:rsid w:val="2C768A24"/>
    <w:rsid w:val="2CCE0919"/>
    <w:rsid w:val="2D021787"/>
    <w:rsid w:val="2D1108C0"/>
    <w:rsid w:val="2D3C1563"/>
    <w:rsid w:val="2E1B635F"/>
    <w:rsid w:val="2E323C31"/>
    <w:rsid w:val="2E4DA20B"/>
    <w:rsid w:val="2E57235D"/>
    <w:rsid w:val="2E798AD8"/>
    <w:rsid w:val="2E895920"/>
    <w:rsid w:val="2EAAA37A"/>
    <w:rsid w:val="2EB23869"/>
    <w:rsid w:val="2EBA8582"/>
    <w:rsid w:val="2ECD1C65"/>
    <w:rsid w:val="2EE46886"/>
    <w:rsid w:val="30710D88"/>
    <w:rsid w:val="30C3367A"/>
    <w:rsid w:val="30D8893B"/>
    <w:rsid w:val="30FAEF60"/>
    <w:rsid w:val="3144D18B"/>
    <w:rsid w:val="3187AA4A"/>
    <w:rsid w:val="31FFFBAB"/>
    <w:rsid w:val="3233BFB8"/>
    <w:rsid w:val="326A32EC"/>
    <w:rsid w:val="32BDE589"/>
    <w:rsid w:val="331507D2"/>
    <w:rsid w:val="338396FD"/>
    <w:rsid w:val="3439879F"/>
    <w:rsid w:val="3459B5EA"/>
    <w:rsid w:val="347DFAB3"/>
    <w:rsid w:val="3521F04D"/>
    <w:rsid w:val="3533B2C9"/>
    <w:rsid w:val="3561B1E5"/>
    <w:rsid w:val="35D5D083"/>
    <w:rsid w:val="3693927D"/>
    <w:rsid w:val="370F60EC"/>
    <w:rsid w:val="377A45A1"/>
    <w:rsid w:val="377D7EE6"/>
    <w:rsid w:val="379CBCC0"/>
    <w:rsid w:val="37C28C00"/>
    <w:rsid w:val="37FA4494"/>
    <w:rsid w:val="383DB3D5"/>
    <w:rsid w:val="38620D05"/>
    <w:rsid w:val="38D767C6"/>
    <w:rsid w:val="3A38B09C"/>
    <w:rsid w:val="3AC2FDC2"/>
    <w:rsid w:val="3B04548F"/>
    <w:rsid w:val="3B380DAD"/>
    <w:rsid w:val="3B9A492D"/>
    <w:rsid w:val="3BEAB951"/>
    <w:rsid w:val="3BFB7F9A"/>
    <w:rsid w:val="3CD188F7"/>
    <w:rsid w:val="3CD3DE0E"/>
    <w:rsid w:val="3DED9651"/>
    <w:rsid w:val="3E507ECA"/>
    <w:rsid w:val="3EA7A978"/>
    <w:rsid w:val="3F12AF26"/>
    <w:rsid w:val="3F850380"/>
    <w:rsid w:val="3FD14211"/>
    <w:rsid w:val="40561758"/>
    <w:rsid w:val="407849D9"/>
    <w:rsid w:val="40AFC128"/>
    <w:rsid w:val="40D5C593"/>
    <w:rsid w:val="41329BDA"/>
    <w:rsid w:val="4137323B"/>
    <w:rsid w:val="41EF84B9"/>
    <w:rsid w:val="422AEF39"/>
    <w:rsid w:val="4243C281"/>
    <w:rsid w:val="42C30FED"/>
    <w:rsid w:val="43418BFB"/>
    <w:rsid w:val="43BD4ABB"/>
    <w:rsid w:val="440989A5"/>
    <w:rsid w:val="441385A2"/>
    <w:rsid w:val="4458444D"/>
    <w:rsid w:val="44613159"/>
    <w:rsid w:val="447E024F"/>
    <w:rsid w:val="44F044CF"/>
    <w:rsid w:val="4579458A"/>
    <w:rsid w:val="459F11AD"/>
    <w:rsid w:val="45AF32B4"/>
    <w:rsid w:val="45E1F34B"/>
    <w:rsid w:val="460AA35E"/>
    <w:rsid w:val="4663FC77"/>
    <w:rsid w:val="466747A4"/>
    <w:rsid w:val="47D576D1"/>
    <w:rsid w:val="47FD0D54"/>
    <w:rsid w:val="482F7B27"/>
    <w:rsid w:val="4840BD3E"/>
    <w:rsid w:val="4863BAFE"/>
    <w:rsid w:val="489A30BD"/>
    <w:rsid w:val="489EA987"/>
    <w:rsid w:val="491FC87D"/>
    <w:rsid w:val="4936CDC9"/>
    <w:rsid w:val="49470B38"/>
    <w:rsid w:val="497F61CC"/>
    <w:rsid w:val="4AB2BA42"/>
    <w:rsid w:val="4AEDF689"/>
    <w:rsid w:val="4B4AF0C6"/>
    <w:rsid w:val="4B8AF480"/>
    <w:rsid w:val="4C4E7B27"/>
    <w:rsid w:val="4CDCAF00"/>
    <w:rsid w:val="4D11CD1C"/>
    <w:rsid w:val="4D3E6C35"/>
    <w:rsid w:val="4D910A03"/>
    <w:rsid w:val="4DC13644"/>
    <w:rsid w:val="4DEC972A"/>
    <w:rsid w:val="4E52F4A5"/>
    <w:rsid w:val="4E6BE836"/>
    <w:rsid w:val="4E6E1A0F"/>
    <w:rsid w:val="4EB7EC6C"/>
    <w:rsid w:val="4EE2A9C9"/>
    <w:rsid w:val="4F352517"/>
    <w:rsid w:val="4F3B8D70"/>
    <w:rsid w:val="4F3F5275"/>
    <w:rsid w:val="4FAF21CF"/>
    <w:rsid w:val="4FBE9002"/>
    <w:rsid w:val="4FDD6CA6"/>
    <w:rsid w:val="504BA574"/>
    <w:rsid w:val="50CE6C23"/>
    <w:rsid w:val="50D75DD1"/>
    <w:rsid w:val="50E2F26A"/>
    <w:rsid w:val="511F1A93"/>
    <w:rsid w:val="5125F1B3"/>
    <w:rsid w:val="512F1248"/>
    <w:rsid w:val="51B0C72B"/>
    <w:rsid w:val="51B71164"/>
    <w:rsid w:val="51FDC003"/>
    <w:rsid w:val="52732E32"/>
    <w:rsid w:val="5342F238"/>
    <w:rsid w:val="535B7F7E"/>
    <w:rsid w:val="5391B861"/>
    <w:rsid w:val="540EFE93"/>
    <w:rsid w:val="54280E75"/>
    <w:rsid w:val="542B72B1"/>
    <w:rsid w:val="54915343"/>
    <w:rsid w:val="54E71506"/>
    <w:rsid w:val="55074AB3"/>
    <w:rsid w:val="55168A64"/>
    <w:rsid w:val="55FAC44F"/>
    <w:rsid w:val="561BF91C"/>
    <w:rsid w:val="56534E5B"/>
    <w:rsid w:val="565E94E5"/>
    <w:rsid w:val="56B24B22"/>
    <w:rsid w:val="5742EE42"/>
    <w:rsid w:val="5765D7C3"/>
    <w:rsid w:val="576B7EB4"/>
    <w:rsid w:val="579DB253"/>
    <w:rsid w:val="57D45277"/>
    <w:rsid w:val="5942F6AA"/>
    <w:rsid w:val="59608BE9"/>
    <w:rsid w:val="597682BD"/>
    <w:rsid w:val="5A3B2BAE"/>
    <w:rsid w:val="5AA18BDF"/>
    <w:rsid w:val="5B0D9721"/>
    <w:rsid w:val="5B2171C4"/>
    <w:rsid w:val="5B368523"/>
    <w:rsid w:val="5B4F9FA8"/>
    <w:rsid w:val="5B4F9FA8"/>
    <w:rsid w:val="5B9977ED"/>
    <w:rsid w:val="5B9A4B0B"/>
    <w:rsid w:val="5BF44507"/>
    <w:rsid w:val="5C0B38D4"/>
    <w:rsid w:val="5C6A9AD6"/>
    <w:rsid w:val="5C7C49A0"/>
    <w:rsid w:val="5C92CFD6"/>
    <w:rsid w:val="5CC28FDF"/>
    <w:rsid w:val="5CC2DDD5"/>
    <w:rsid w:val="5CC2DDD5"/>
    <w:rsid w:val="5D32227F"/>
    <w:rsid w:val="5D39279D"/>
    <w:rsid w:val="5DC20959"/>
    <w:rsid w:val="5E0205E8"/>
    <w:rsid w:val="5E43A89B"/>
    <w:rsid w:val="5E56B154"/>
    <w:rsid w:val="5E5EAE36"/>
    <w:rsid w:val="5EBBB543"/>
    <w:rsid w:val="5EE951C4"/>
    <w:rsid w:val="5EFE0C31"/>
    <w:rsid w:val="5F0E75EB"/>
    <w:rsid w:val="5F3AAA8D"/>
    <w:rsid w:val="5FAE4C9A"/>
    <w:rsid w:val="5FFA7E97"/>
    <w:rsid w:val="604A10A5"/>
    <w:rsid w:val="607F39BE"/>
    <w:rsid w:val="61005800"/>
    <w:rsid w:val="61382B8B"/>
    <w:rsid w:val="61528FA2"/>
    <w:rsid w:val="61544908"/>
    <w:rsid w:val="615FD3CD"/>
    <w:rsid w:val="617B495D"/>
    <w:rsid w:val="61DC0D37"/>
    <w:rsid w:val="622752DA"/>
    <w:rsid w:val="623E1465"/>
    <w:rsid w:val="6255313D"/>
    <w:rsid w:val="626F7572"/>
    <w:rsid w:val="6276722A"/>
    <w:rsid w:val="629203E0"/>
    <w:rsid w:val="63292B1C"/>
    <w:rsid w:val="632CD67B"/>
    <w:rsid w:val="63562FD0"/>
    <w:rsid w:val="63F1019E"/>
    <w:rsid w:val="646F4F21"/>
    <w:rsid w:val="64B47967"/>
    <w:rsid w:val="654FD294"/>
    <w:rsid w:val="65533984"/>
    <w:rsid w:val="6628C11E"/>
    <w:rsid w:val="6659CB44"/>
    <w:rsid w:val="66988405"/>
    <w:rsid w:val="66988405"/>
    <w:rsid w:val="6744128B"/>
    <w:rsid w:val="67A9A171"/>
    <w:rsid w:val="68275E25"/>
    <w:rsid w:val="68B743A4"/>
    <w:rsid w:val="68DD088E"/>
    <w:rsid w:val="68ED6672"/>
    <w:rsid w:val="690AAA3E"/>
    <w:rsid w:val="69309303"/>
    <w:rsid w:val="697A4A6F"/>
    <w:rsid w:val="6998E772"/>
    <w:rsid w:val="69C32E86"/>
    <w:rsid w:val="69F24164"/>
    <w:rsid w:val="6A531405"/>
    <w:rsid w:val="6A559483"/>
    <w:rsid w:val="6A68A120"/>
    <w:rsid w:val="6A858550"/>
    <w:rsid w:val="6A931516"/>
    <w:rsid w:val="6AAC92E7"/>
    <w:rsid w:val="6AD225A1"/>
    <w:rsid w:val="6AF36465"/>
    <w:rsid w:val="6AFCF542"/>
    <w:rsid w:val="6B5103BC"/>
    <w:rsid w:val="6B8A35FA"/>
    <w:rsid w:val="6BBCAAE9"/>
    <w:rsid w:val="6C093733"/>
    <w:rsid w:val="6C54A70C"/>
    <w:rsid w:val="6C91AC48"/>
    <w:rsid w:val="6CFC088E"/>
    <w:rsid w:val="6D56E13F"/>
    <w:rsid w:val="6D58265D"/>
    <w:rsid w:val="6D5C2A84"/>
    <w:rsid w:val="6DA646B4"/>
    <w:rsid w:val="6E11923D"/>
    <w:rsid w:val="6E295907"/>
    <w:rsid w:val="6EBBC59A"/>
    <w:rsid w:val="6EC5FEFE"/>
    <w:rsid w:val="6F26067C"/>
    <w:rsid w:val="6FD68D84"/>
    <w:rsid w:val="6FF2F85F"/>
    <w:rsid w:val="6FFE0138"/>
    <w:rsid w:val="703EEB79"/>
    <w:rsid w:val="70691AD2"/>
    <w:rsid w:val="70CF84A6"/>
    <w:rsid w:val="710EB4E6"/>
    <w:rsid w:val="71109FE1"/>
    <w:rsid w:val="71111E9A"/>
    <w:rsid w:val="71C3D7F7"/>
    <w:rsid w:val="71E1747B"/>
    <w:rsid w:val="720939C4"/>
    <w:rsid w:val="7218942F"/>
    <w:rsid w:val="72786438"/>
    <w:rsid w:val="73CEC7D1"/>
    <w:rsid w:val="73F639F3"/>
    <w:rsid w:val="74130EBF"/>
    <w:rsid w:val="7419C143"/>
    <w:rsid w:val="74282C0A"/>
    <w:rsid w:val="747F722E"/>
    <w:rsid w:val="74C0C3A1"/>
    <w:rsid w:val="7510645E"/>
    <w:rsid w:val="7579B6D8"/>
    <w:rsid w:val="75F09B2D"/>
    <w:rsid w:val="767D0B1B"/>
    <w:rsid w:val="76872E60"/>
    <w:rsid w:val="7688C10B"/>
    <w:rsid w:val="77045987"/>
    <w:rsid w:val="77166E7B"/>
    <w:rsid w:val="772DFBCB"/>
    <w:rsid w:val="773FEB8F"/>
    <w:rsid w:val="779D328A"/>
    <w:rsid w:val="77D420A8"/>
    <w:rsid w:val="7822FEC1"/>
    <w:rsid w:val="783FA52F"/>
    <w:rsid w:val="78628953"/>
    <w:rsid w:val="78B23EDC"/>
    <w:rsid w:val="7937DBD4"/>
    <w:rsid w:val="793A2923"/>
    <w:rsid w:val="794CD90B"/>
    <w:rsid w:val="7A0952D5"/>
    <w:rsid w:val="7A659C8D"/>
    <w:rsid w:val="7A83377A"/>
    <w:rsid w:val="7AD4D34C"/>
    <w:rsid w:val="7AE8A96C"/>
    <w:rsid w:val="7B0B80F6"/>
    <w:rsid w:val="7B36EC6C"/>
    <w:rsid w:val="7B7142AC"/>
    <w:rsid w:val="7B98A3EE"/>
    <w:rsid w:val="7BB20699"/>
    <w:rsid w:val="7BE9DF9E"/>
    <w:rsid w:val="7C040C21"/>
    <w:rsid w:val="7C1F1278"/>
    <w:rsid w:val="7C4BF1CE"/>
    <w:rsid w:val="7D82B08B"/>
    <w:rsid w:val="7D9D3D4F"/>
    <w:rsid w:val="7DA88FF2"/>
    <w:rsid w:val="7DB79457"/>
    <w:rsid w:val="7E0288D1"/>
    <w:rsid w:val="7E924045"/>
    <w:rsid w:val="7EA054E9"/>
    <w:rsid w:val="7EBDD1E0"/>
    <w:rsid w:val="7FA853A2"/>
    <w:rsid w:val="7FE4ACB3"/>
    <w:rsid w:val="7FFB9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0BD3E"/>
  <w15:chartTrackingRefBased/>
  <w15:docId w15:val="{A20FC524-51BA-450A-AD83-1E07B0A26E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b2ef6873f044f7f" /><Relationship Type="http://schemas.openxmlformats.org/officeDocument/2006/relationships/numbering" Target="numbering.xml" Id="R660bf7d797f144a9" /><Relationship Type="http://schemas.openxmlformats.org/officeDocument/2006/relationships/hyperlink" Target="https://www.ncbi.nlm.nih.gov/pmc/articles/PMC9438867/" TargetMode="External" Id="Rd5ebb333b9094f8d" /><Relationship Type="http://schemas.openxmlformats.org/officeDocument/2006/relationships/hyperlink" Target="https://www.ncbi.nlm.nih.gov/pmc/articles/PMC9438867/" TargetMode="External" Id="R31e48c161c324f0f" /><Relationship Type="http://schemas.openxmlformats.org/officeDocument/2006/relationships/hyperlink" Target="https://www.ncbi.nlm.nih.gov/pmc/articles/PMC9438867/" TargetMode="External" Id="R832997ca911545f0" /><Relationship Type="http://schemas.openxmlformats.org/officeDocument/2006/relationships/hyperlink" Target="https://www.ncbi.nlm.nih.gov/pmc/articles/PMC9438867/" TargetMode="External" Id="R990b8b9940e342af" /><Relationship Type="http://schemas.openxmlformats.org/officeDocument/2006/relationships/hyperlink" Target="https://web.archive.org/web/20080414105128/http://ddl.uwinnipeg.ca/ple/files/readings/reading3a.pdf" TargetMode="External" Id="Rd84dce7583f04791" /><Relationship Type="http://schemas.openxmlformats.org/officeDocument/2006/relationships/hyperlink" Target="javascript:;" TargetMode="External" Id="R4511b413c84c4697" /><Relationship Type="http://schemas.openxmlformats.org/officeDocument/2006/relationships/hyperlink" Target="javascript:;" TargetMode="External" Id="Rc37274d0007d467b" /><Relationship Type="http://schemas.openxmlformats.org/officeDocument/2006/relationships/hyperlink" Target="https://doi.org/10.1093/police/pap032" TargetMode="External" Id="R9c384edad851453a" /><Relationship Type="http://schemas.openxmlformats.org/officeDocument/2006/relationships/hyperlink" Target="javascript:;" TargetMode="External" Id="R1c9d8e52ed5346c3" /><Relationship Type="http://schemas.openxmlformats.org/officeDocument/2006/relationships/hyperlink" Target="javascript:;" TargetMode="External" Id="Reb282ae9ac7c487d" /><Relationship Type="http://schemas.openxmlformats.org/officeDocument/2006/relationships/hyperlink" Target="https://doi.org/10.1093/police/pat027" TargetMode="External" Id="Rf2ec232e9dd34a90" /><Relationship Type="http://schemas.openxmlformats.org/officeDocument/2006/relationships/hyperlink" Target="https://www.ncbi.nlm.nih.gov/pmc/articles/PMC9438867/" TargetMode="External" Id="R37ef4712f08a4d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2023-07-17T00:18:51.9941609Z</dcterms:created>
  <dcterms:modified xsi:type="dcterms:W3CDTF">2023-07-18T10:31:59.8483816Z</dcterms:modified>
  <dc:creator>Ramona Maria Avram (2234752)</dc:creator>
  <lastModifiedBy>Ramona Maria Avram (2234752)</lastModifiedBy>
</coreProperties>
</file>