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3B94CC0">
      <w:pPr>
        <w:jc w:val="center"/>
        <w:rPr>
          <w:b/>
          <w:bCs/>
          <w:sz w:val="32"/>
          <w:szCs w:val="32"/>
        </w:rPr>
      </w:pPr>
      <w:r>
        <w:drawing>
          <wp:anchor distT="0" distB="0" distL="0" distR="0" simplePos="0" relativeHeight="251659264" behindDoc="1" locked="0" layoutInCell="1" allowOverlap="1">
            <wp:simplePos x="0" y="0"/>
            <wp:positionH relativeFrom="column">
              <wp:posOffset>1117600</wp:posOffset>
            </wp:positionH>
            <wp:positionV relativeFrom="paragraph">
              <wp:posOffset>0</wp:posOffset>
            </wp:positionV>
            <wp:extent cx="3708400" cy="2056765"/>
            <wp:effectExtent l="0" t="0" r="0" b="0"/>
            <wp:wrapNone/>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referRelativeResize="0"/>
                  </pic:nvPicPr>
                  <pic:blipFill>
                    <a:blip r:embed="rId7"/>
                    <a:srcRect/>
                    <a:stretch>
                      <a:fillRect/>
                    </a:stretch>
                  </pic:blipFill>
                  <pic:spPr>
                    <a:xfrm>
                      <a:off x="0" y="0"/>
                      <a:ext cx="3708400" cy="2057053"/>
                    </a:xfrm>
                    <a:prstGeom prst="rect">
                      <a:avLst/>
                    </a:prstGeom>
                  </pic:spPr>
                </pic:pic>
              </a:graphicData>
            </a:graphic>
          </wp:anchor>
        </w:drawing>
      </w:r>
    </w:p>
    <w:p w14:paraId="66C2348B">
      <w:pPr>
        <w:jc w:val="center"/>
        <w:rPr>
          <w:b/>
          <w:bCs/>
          <w:sz w:val="32"/>
          <w:szCs w:val="32"/>
        </w:rPr>
      </w:pPr>
    </w:p>
    <w:p w14:paraId="4366ADAF">
      <w:pPr>
        <w:jc w:val="center"/>
        <w:rPr>
          <w:b/>
          <w:bCs/>
          <w:sz w:val="32"/>
          <w:szCs w:val="32"/>
        </w:rPr>
      </w:pPr>
    </w:p>
    <w:p w14:paraId="5521EFB6">
      <w:pPr>
        <w:jc w:val="center"/>
        <w:rPr>
          <w:b/>
          <w:bCs/>
          <w:sz w:val="32"/>
          <w:szCs w:val="32"/>
        </w:rPr>
      </w:pPr>
    </w:p>
    <w:p w14:paraId="11F5EA7E">
      <w:pPr>
        <w:jc w:val="center"/>
        <w:rPr>
          <w:b/>
          <w:bCs/>
          <w:sz w:val="32"/>
          <w:szCs w:val="32"/>
        </w:rPr>
      </w:pPr>
    </w:p>
    <w:p w14:paraId="2231A14B">
      <w:pPr>
        <w:jc w:val="center"/>
        <w:rPr>
          <w:b/>
          <w:bCs/>
          <w:sz w:val="32"/>
          <w:szCs w:val="32"/>
        </w:rPr>
      </w:pPr>
    </w:p>
    <w:p w14:paraId="65057297">
      <w:pPr>
        <w:rPr>
          <w:b/>
          <w:bCs/>
          <w:sz w:val="32"/>
          <w:szCs w:val="32"/>
        </w:rPr>
      </w:pPr>
    </w:p>
    <w:p w14:paraId="1D09FB7A">
      <w:pPr>
        <w:jc w:val="center"/>
        <w:rPr>
          <w:b/>
          <w:bCs/>
          <w:sz w:val="32"/>
          <w:szCs w:val="32"/>
        </w:rPr>
      </w:pPr>
    </w:p>
    <w:p w14:paraId="23012B06">
      <w:pPr>
        <w:jc w:val="center"/>
        <w:rPr>
          <w:b/>
          <w:bCs/>
          <w:sz w:val="32"/>
          <w:szCs w:val="32"/>
        </w:rPr>
      </w:pPr>
      <w:r>
        <w:rPr>
          <w:b/>
          <w:bCs/>
          <w:sz w:val="32"/>
          <w:szCs w:val="32"/>
        </w:rPr>
        <w:t>ACHA 7005 BUSINESS ANALYTICS</w:t>
      </w:r>
    </w:p>
    <w:p w14:paraId="7EDC4564">
      <w:pPr>
        <w:jc w:val="center"/>
        <w:rPr>
          <w:b/>
          <w:bCs/>
          <w:sz w:val="32"/>
          <w:szCs w:val="32"/>
        </w:rPr>
      </w:pPr>
      <w:r>
        <w:rPr>
          <w:b/>
          <w:bCs/>
          <w:sz w:val="32"/>
          <w:szCs w:val="32"/>
        </w:rPr>
        <w:t>ASSESSMENT COURSEWORK</w:t>
      </w:r>
      <w:r>
        <w:br w:type="page"/>
      </w:r>
    </w:p>
    <w:tbl>
      <w:tblPr>
        <w:tblStyle w:val="15"/>
        <w:tblW w:w="8958" w:type="dxa"/>
        <w:tblInd w:w="39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15" w:type="dxa"/>
          <w:bottom w:w="0" w:type="dxa"/>
          <w:right w:w="115" w:type="dxa"/>
        </w:tblCellMar>
      </w:tblPr>
      <w:tblGrid>
        <w:gridCol w:w="8958"/>
      </w:tblGrid>
      <w:tr w14:paraId="4EAB623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15" w:type="dxa"/>
            <w:bottom w:w="0" w:type="dxa"/>
            <w:right w:w="115" w:type="dxa"/>
          </w:tblCellMar>
        </w:tblPrEx>
        <w:tc>
          <w:tcPr>
            <w:tcW w:w="8958" w:type="dxa"/>
            <w:shd w:val="clear" w:color="auto" w:fill="C0C0C0"/>
          </w:tcPr>
          <w:p w14:paraId="635F00B7">
            <w:pPr>
              <w:jc w:val="center"/>
              <w:rPr>
                <w:rFonts w:ascii="Arial" w:hAnsi="Arial" w:eastAsia="Arial" w:cs="Arial"/>
                <w:b/>
                <w:bCs/>
                <w:sz w:val="40"/>
                <w:szCs w:val="40"/>
              </w:rPr>
            </w:pPr>
            <w:r>
              <w:rPr>
                <w:rFonts w:ascii="Arial" w:hAnsi="Arial" w:eastAsia="Arial" w:cs="Arial"/>
                <w:b/>
                <w:bCs/>
                <w:sz w:val="40"/>
                <w:szCs w:val="40"/>
              </w:rPr>
              <w:t>TASK DESCRIPTION</w:t>
            </w:r>
          </w:p>
        </w:tc>
      </w:tr>
    </w:tbl>
    <w:p w14:paraId="1FE2D95B">
      <w:pPr>
        <w:rPr>
          <w:rFonts w:ascii="Arial" w:hAnsi="Arial" w:eastAsia="Arial" w:cs="Arial"/>
          <w:sz w:val="22"/>
          <w:szCs w:val="22"/>
        </w:rPr>
      </w:pPr>
    </w:p>
    <w:p w14:paraId="5CB92C95">
      <w:pPr>
        <w:rPr>
          <w:rFonts w:ascii="Quattrocento Sans" w:hAnsi="Quattrocento Sans" w:eastAsia="Quattrocento Sans" w:cs="Quattrocento Sans"/>
          <w:b/>
          <w:bCs/>
          <w:sz w:val="18"/>
          <w:szCs w:val="18"/>
        </w:rPr>
      </w:pPr>
      <w:r>
        <w:rPr>
          <w:rFonts w:ascii="Arial" w:hAnsi="Arial" w:eastAsia="Arial" w:cs="Arial"/>
          <w:sz w:val="22"/>
          <w:szCs w:val="22"/>
        </w:rPr>
        <w:t> </w:t>
      </w:r>
      <w:r>
        <w:rPr>
          <w:rFonts w:ascii="Arial" w:hAnsi="Arial" w:eastAsia="Arial" w:cs="Arial"/>
          <w:sz w:val="22"/>
          <w:szCs w:val="22"/>
        </w:rPr>
        <w:tab/>
      </w:r>
      <w:r>
        <w:rPr>
          <w:rFonts w:ascii="Arial" w:hAnsi="Arial" w:eastAsia="Arial" w:cs="Arial"/>
          <w:b/>
          <w:bCs/>
          <w:sz w:val="22"/>
          <w:szCs w:val="22"/>
        </w:rPr>
        <w:t>Use of Generative AI in Assessment </w:t>
      </w:r>
    </w:p>
    <w:p w14:paraId="46F036A1">
      <w:pPr>
        <w:ind w:firstLine="8640"/>
        <w:rPr>
          <w:rFonts w:ascii="Quattrocento Sans" w:hAnsi="Quattrocento Sans" w:eastAsia="Quattrocento Sans" w:cs="Quattrocento Sans"/>
          <w:sz w:val="18"/>
          <w:szCs w:val="18"/>
        </w:rPr>
      </w:pPr>
      <w:r>
        <w:t> </w:t>
      </w:r>
    </w:p>
    <w:tbl>
      <w:tblPr>
        <w:tblStyle w:val="16"/>
        <w:tblW w:w="8744" w:type="dxa"/>
        <w:tblInd w:w="600" w:type="dxa"/>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Layout w:type="fixed"/>
        <w:tblCellMar>
          <w:top w:w="0" w:type="dxa"/>
          <w:left w:w="0" w:type="dxa"/>
          <w:bottom w:w="0" w:type="dxa"/>
          <w:right w:w="0" w:type="dxa"/>
        </w:tblCellMar>
      </w:tblPr>
      <w:tblGrid>
        <w:gridCol w:w="2226"/>
        <w:gridCol w:w="5171"/>
        <w:gridCol w:w="1347"/>
      </w:tblGrid>
      <w:tr w14:paraId="69EB7B91">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086CAAEA">
            <w:r>
              <w:rPr>
                <w:rFonts w:ascii="Arial" w:hAnsi="Arial" w:eastAsia="Arial" w:cs="Arial"/>
                <w:sz w:val="22"/>
                <w:szCs w:val="22"/>
              </w:rPr>
              <w:t>RESEARCH </w:t>
            </w:r>
          </w:p>
        </w:tc>
        <w:tc>
          <w:tcPr>
            <w:tcW w:w="5171" w:type="dxa"/>
            <w:tcBorders>
              <w:top w:val="single" w:color="000000" w:sz="6" w:space="0"/>
              <w:left w:val="single" w:color="000000" w:sz="6" w:space="0"/>
              <w:bottom w:val="single" w:color="000000" w:sz="6" w:space="0"/>
              <w:right w:val="single" w:color="000000" w:sz="6" w:space="0"/>
            </w:tcBorders>
          </w:tcPr>
          <w:p w14:paraId="4BE5801D">
            <w:r>
              <w:rPr>
                <w:rFonts w:ascii="Arial" w:hAnsi="Arial" w:eastAsia="Arial" w:cs="Arial"/>
                <w:sz w:val="22"/>
                <w:szCs w:val="22"/>
              </w:rPr>
              <w:t>For this assessment, you can use Generative AI to support you in research, including searching for bibliography, using tools to summarise, compare and interrogate materials. </w:t>
            </w:r>
          </w:p>
        </w:tc>
        <w:tc>
          <w:tcPr>
            <w:tcW w:w="1347" w:type="dxa"/>
            <w:tcBorders>
              <w:top w:val="single" w:color="000000" w:sz="6" w:space="0"/>
              <w:left w:val="single" w:color="000000" w:sz="6" w:space="0"/>
              <w:bottom w:val="single" w:color="000000" w:sz="6" w:space="0"/>
              <w:right w:val="single" w:color="000000" w:sz="6" w:space="0"/>
            </w:tcBorders>
          </w:tcPr>
          <w:p w14:paraId="3E70BFB6">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06778788">
            <w:r>
              <w:rPr>
                <w:rFonts w:ascii="Arial" w:hAnsi="Arial" w:eastAsia="Arial" w:cs="Arial"/>
                <w:sz w:val="22"/>
                <w:szCs w:val="22"/>
              </w:rPr>
              <w:t> </w:t>
            </w:r>
          </w:p>
          <w:p w14:paraId="32971ACA">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r w14:paraId="56029A2D">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09F04EC2">
            <w:r>
              <w:rPr>
                <w:rFonts w:ascii="Arial" w:hAnsi="Arial" w:eastAsia="Arial" w:cs="Arial"/>
                <w:sz w:val="22"/>
                <w:szCs w:val="22"/>
              </w:rPr>
              <w:t>STRUCTURE </w:t>
            </w:r>
          </w:p>
        </w:tc>
        <w:tc>
          <w:tcPr>
            <w:tcW w:w="5171" w:type="dxa"/>
            <w:tcBorders>
              <w:top w:val="single" w:color="000000" w:sz="6" w:space="0"/>
              <w:left w:val="single" w:color="000000" w:sz="6" w:space="0"/>
              <w:bottom w:val="single" w:color="000000" w:sz="6" w:space="0"/>
              <w:right w:val="single" w:color="000000" w:sz="6" w:space="0"/>
            </w:tcBorders>
          </w:tcPr>
          <w:p w14:paraId="630A1D39">
            <w:r>
              <w:rPr>
                <w:rFonts w:ascii="Arial" w:hAnsi="Arial" w:eastAsia="Arial" w:cs="Arial"/>
                <w:sz w:val="22"/>
                <w:szCs w:val="22"/>
              </w:rPr>
              <w:t>For this assessment, you can use Generative AI to support you in structuring your submission, including creating a draft argument structure, identifying parts and headings, etc. </w:t>
            </w:r>
          </w:p>
        </w:tc>
        <w:tc>
          <w:tcPr>
            <w:tcW w:w="1347" w:type="dxa"/>
            <w:tcBorders>
              <w:top w:val="single" w:color="000000" w:sz="6" w:space="0"/>
              <w:left w:val="single" w:color="000000" w:sz="6" w:space="0"/>
              <w:bottom w:val="single" w:color="000000" w:sz="6" w:space="0"/>
              <w:right w:val="single" w:color="000000" w:sz="6" w:space="0"/>
            </w:tcBorders>
          </w:tcPr>
          <w:p w14:paraId="16100F1E">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0120AB99">
            <w:r>
              <w:rPr>
                <w:rFonts w:ascii="Arial" w:hAnsi="Arial" w:eastAsia="Arial" w:cs="Arial"/>
                <w:sz w:val="22"/>
                <w:szCs w:val="22"/>
              </w:rPr>
              <w:t> </w:t>
            </w:r>
          </w:p>
          <w:p w14:paraId="5D63BAD0">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r w14:paraId="78B843B4">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3CE182C5">
            <w:r>
              <w:rPr>
                <w:rFonts w:ascii="Arial" w:hAnsi="Arial" w:eastAsia="Arial" w:cs="Arial"/>
                <w:sz w:val="22"/>
                <w:szCs w:val="22"/>
              </w:rPr>
              <w:t>PROOFREADING </w:t>
            </w:r>
          </w:p>
        </w:tc>
        <w:tc>
          <w:tcPr>
            <w:tcW w:w="5171" w:type="dxa"/>
            <w:tcBorders>
              <w:top w:val="single" w:color="000000" w:sz="6" w:space="0"/>
              <w:left w:val="single" w:color="000000" w:sz="6" w:space="0"/>
              <w:bottom w:val="single" w:color="000000" w:sz="6" w:space="0"/>
              <w:right w:val="single" w:color="000000" w:sz="6" w:space="0"/>
            </w:tcBorders>
          </w:tcPr>
          <w:p w14:paraId="326291EA">
            <w:r>
              <w:rPr>
                <w:rFonts w:ascii="Arial" w:hAnsi="Arial" w:eastAsia="Arial" w:cs="Arial"/>
                <w:sz w:val="22"/>
                <w:szCs w:val="22"/>
              </w:rPr>
              <w:t>For this assessment, you can use Generative AI to check your own text/creation for grammatical and syntactical mistakes, including rephrasing of your own work within specific standards. </w:t>
            </w:r>
          </w:p>
        </w:tc>
        <w:tc>
          <w:tcPr>
            <w:tcW w:w="1347" w:type="dxa"/>
            <w:tcBorders>
              <w:top w:val="single" w:color="000000" w:sz="6" w:space="0"/>
              <w:left w:val="single" w:color="000000" w:sz="6" w:space="0"/>
              <w:bottom w:val="single" w:color="000000" w:sz="6" w:space="0"/>
              <w:right w:val="single" w:color="000000" w:sz="6" w:space="0"/>
            </w:tcBorders>
          </w:tcPr>
          <w:p w14:paraId="0A848964">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19976A77">
            <w:r>
              <w:rPr>
                <w:rFonts w:ascii="Arial" w:hAnsi="Arial" w:eastAsia="Arial" w:cs="Arial"/>
                <w:sz w:val="22"/>
                <w:szCs w:val="22"/>
              </w:rPr>
              <w:t> </w:t>
            </w:r>
          </w:p>
          <w:p w14:paraId="60DC265A">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r w14:paraId="49A7B87D">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500A37A4">
            <w:r>
              <w:rPr>
                <w:rFonts w:ascii="Arial" w:hAnsi="Arial" w:eastAsia="Arial" w:cs="Arial"/>
                <w:sz w:val="22"/>
                <w:szCs w:val="22"/>
              </w:rPr>
              <w:t>WRITING </w:t>
            </w:r>
          </w:p>
        </w:tc>
        <w:tc>
          <w:tcPr>
            <w:tcW w:w="5171" w:type="dxa"/>
            <w:tcBorders>
              <w:top w:val="single" w:color="000000" w:sz="6" w:space="0"/>
              <w:left w:val="single" w:color="000000" w:sz="6" w:space="0"/>
              <w:bottom w:val="single" w:color="000000" w:sz="6" w:space="0"/>
              <w:right w:val="single" w:color="000000" w:sz="6" w:space="0"/>
            </w:tcBorders>
          </w:tcPr>
          <w:p w14:paraId="3305741B">
            <w:r>
              <w:rPr>
                <w:rFonts w:ascii="Arial" w:hAnsi="Arial" w:eastAsia="Arial" w:cs="Arial"/>
                <w:sz w:val="22"/>
                <w:szCs w:val="22"/>
              </w:rPr>
              <w:t>For this assessment, you can use Generative AI to create text for submission. </w:t>
            </w:r>
          </w:p>
        </w:tc>
        <w:tc>
          <w:tcPr>
            <w:tcW w:w="1347" w:type="dxa"/>
            <w:tcBorders>
              <w:top w:val="single" w:color="000000" w:sz="6" w:space="0"/>
              <w:left w:val="single" w:color="000000" w:sz="6" w:space="0"/>
              <w:bottom w:val="single" w:color="000000" w:sz="6" w:space="0"/>
              <w:right w:val="single" w:color="000000" w:sz="6" w:space="0"/>
            </w:tcBorders>
          </w:tcPr>
          <w:p w14:paraId="73440E5E">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14E80ED5">
            <w:r>
              <w:rPr>
                <w:rFonts w:ascii="Arial" w:hAnsi="Arial" w:eastAsia="Arial" w:cs="Arial"/>
                <w:sz w:val="22"/>
                <w:szCs w:val="22"/>
              </w:rPr>
              <w:t> </w:t>
            </w:r>
          </w:p>
          <w:p w14:paraId="258DBD66">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r w14:paraId="16DA99AF">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425D635C">
            <w:r>
              <w:rPr>
                <w:rFonts w:ascii="Arial" w:hAnsi="Arial" w:eastAsia="Arial" w:cs="Arial"/>
                <w:sz w:val="22"/>
                <w:szCs w:val="22"/>
              </w:rPr>
              <w:t>CREATIVE </w:t>
            </w:r>
          </w:p>
        </w:tc>
        <w:tc>
          <w:tcPr>
            <w:tcW w:w="5171" w:type="dxa"/>
            <w:tcBorders>
              <w:top w:val="single" w:color="000000" w:sz="6" w:space="0"/>
              <w:left w:val="single" w:color="000000" w:sz="6" w:space="0"/>
              <w:bottom w:val="single" w:color="000000" w:sz="6" w:space="0"/>
              <w:right w:val="single" w:color="000000" w:sz="6" w:space="0"/>
            </w:tcBorders>
          </w:tcPr>
          <w:p w14:paraId="13B992FF">
            <w:r>
              <w:rPr>
                <w:rFonts w:ascii="Arial" w:hAnsi="Arial" w:eastAsia="Arial" w:cs="Arial"/>
                <w:sz w:val="22"/>
                <w:szCs w:val="22"/>
              </w:rPr>
              <w:t>For this assessment, you can use Generative AI to create creative materials, such as images. </w:t>
            </w:r>
          </w:p>
        </w:tc>
        <w:tc>
          <w:tcPr>
            <w:tcW w:w="1347" w:type="dxa"/>
            <w:tcBorders>
              <w:top w:val="single" w:color="000000" w:sz="6" w:space="0"/>
              <w:left w:val="single" w:color="000000" w:sz="6" w:space="0"/>
              <w:bottom w:val="single" w:color="000000" w:sz="6" w:space="0"/>
              <w:right w:val="single" w:color="000000" w:sz="6" w:space="0"/>
            </w:tcBorders>
          </w:tcPr>
          <w:p w14:paraId="5148FA8E">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77C10315">
            <w:r>
              <w:rPr>
                <w:rFonts w:ascii="Arial" w:hAnsi="Arial" w:eastAsia="Arial" w:cs="Arial"/>
                <w:sz w:val="22"/>
                <w:szCs w:val="22"/>
              </w:rPr>
              <w:t> </w:t>
            </w:r>
          </w:p>
          <w:p w14:paraId="42A0333E">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r w14:paraId="3E993007">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5B467EFA">
            <w:r>
              <w:rPr>
                <w:rFonts w:ascii="Arial" w:hAnsi="Arial" w:eastAsia="Arial" w:cs="Arial"/>
                <w:sz w:val="22"/>
                <w:szCs w:val="22"/>
              </w:rPr>
              <w:t>PROGRAMING </w:t>
            </w:r>
          </w:p>
        </w:tc>
        <w:tc>
          <w:tcPr>
            <w:tcW w:w="5171" w:type="dxa"/>
            <w:tcBorders>
              <w:top w:val="single" w:color="000000" w:sz="6" w:space="0"/>
              <w:left w:val="single" w:color="000000" w:sz="6" w:space="0"/>
              <w:bottom w:val="single" w:color="000000" w:sz="6" w:space="0"/>
              <w:right w:val="single" w:color="000000" w:sz="6" w:space="0"/>
            </w:tcBorders>
          </w:tcPr>
          <w:p w14:paraId="3A8223B3">
            <w:r>
              <w:rPr>
                <w:rFonts w:ascii="Arial" w:hAnsi="Arial" w:eastAsia="Arial" w:cs="Arial"/>
                <w:sz w:val="22"/>
                <w:szCs w:val="22"/>
              </w:rPr>
              <w:t>For this assessment, you can use Generative AI to create and check code. </w:t>
            </w:r>
          </w:p>
        </w:tc>
        <w:tc>
          <w:tcPr>
            <w:tcW w:w="1347" w:type="dxa"/>
            <w:tcBorders>
              <w:top w:val="single" w:color="000000" w:sz="6" w:space="0"/>
              <w:left w:val="single" w:color="000000" w:sz="6" w:space="0"/>
              <w:bottom w:val="single" w:color="000000" w:sz="6" w:space="0"/>
              <w:right w:val="single" w:color="000000" w:sz="6" w:space="0"/>
            </w:tcBorders>
          </w:tcPr>
          <w:p w14:paraId="2DA04C91">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79A6158A">
            <w:r>
              <w:rPr>
                <w:rFonts w:ascii="Arial" w:hAnsi="Arial" w:eastAsia="Arial" w:cs="Arial"/>
                <w:sz w:val="22"/>
                <w:szCs w:val="22"/>
              </w:rPr>
              <w:t> </w:t>
            </w:r>
          </w:p>
          <w:p w14:paraId="7395382E">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r w14:paraId="7E4F4382">
        <w:tblPrEx>
          <w:tblBorders>
            <w:top w:val="single" w:color="000000" w:sz="6" w:space="0"/>
            <w:left w:val="single" w:color="000000" w:sz="6" w:space="0"/>
            <w:bottom w:val="single" w:color="000000" w:sz="6" w:space="0"/>
            <w:right w:val="single" w:color="000000"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26" w:type="dxa"/>
            <w:tcBorders>
              <w:top w:val="single" w:color="000000" w:sz="6" w:space="0"/>
              <w:left w:val="single" w:color="000000" w:sz="6" w:space="0"/>
              <w:bottom w:val="single" w:color="000000" w:sz="6" w:space="0"/>
              <w:right w:val="single" w:color="000000" w:sz="6" w:space="0"/>
            </w:tcBorders>
          </w:tcPr>
          <w:p w14:paraId="15D44500">
            <w:r>
              <w:rPr>
                <w:rFonts w:ascii="Arial" w:hAnsi="Arial" w:eastAsia="Arial" w:cs="Arial"/>
                <w:sz w:val="22"/>
                <w:szCs w:val="22"/>
              </w:rPr>
              <w:t>NONE </w:t>
            </w:r>
          </w:p>
        </w:tc>
        <w:tc>
          <w:tcPr>
            <w:tcW w:w="5171" w:type="dxa"/>
            <w:tcBorders>
              <w:top w:val="single" w:color="000000" w:sz="6" w:space="0"/>
              <w:left w:val="single" w:color="000000" w:sz="6" w:space="0"/>
              <w:bottom w:val="single" w:color="000000" w:sz="6" w:space="0"/>
              <w:right w:val="single" w:color="000000" w:sz="6" w:space="0"/>
            </w:tcBorders>
          </w:tcPr>
          <w:p w14:paraId="0B67DD48">
            <w:r>
              <w:rPr>
                <w:rFonts w:ascii="Arial" w:hAnsi="Arial" w:eastAsia="Arial" w:cs="Arial"/>
                <w:sz w:val="22"/>
                <w:szCs w:val="22"/>
              </w:rPr>
              <w:t xml:space="preserve">For this assessment, you are not allowed to use </w:t>
            </w:r>
            <w:r>
              <w:rPr>
                <w:rFonts w:ascii="Arial" w:hAnsi="Arial" w:eastAsia="Arial" w:cs="Arial"/>
                <w:b/>
                <w:bCs/>
                <w:sz w:val="22"/>
                <w:szCs w:val="22"/>
              </w:rPr>
              <w:t>any</w:t>
            </w:r>
            <w:r>
              <w:rPr>
                <w:rFonts w:ascii="Arial" w:hAnsi="Arial" w:eastAsia="Arial" w:cs="Arial"/>
                <w:sz w:val="22"/>
                <w:szCs w:val="22"/>
              </w:rPr>
              <w:t xml:space="preserve"> type of Generative AI support. This includes research support, structure support, writing/proofreading support and creative support. </w:t>
            </w:r>
          </w:p>
        </w:tc>
        <w:tc>
          <w:tcPr>
            <w:tcW w:w="1347" w:type="dxa"/>
            <w:tcBorders>
              <w:top w:val="single" w:color="000000" w:sz="6" w:space="0"/>
              <w:left w:val="single" w:color="000000" w:sz="6" w:space="0"/>
              <w:bottom w:val="single" w:color="000000" w:sz="6" w:space="0"/>
              <w:right w:val="single" w:color="000000" w:sz="6" w:space="0"/>
            </w:tcBorders>
          </w:tcPr>
          <w:p w14:paraId="2AA0C330">
            <w:r>
              <w:rPr>
                <w:rFonts w:ascii="Arial" w:hAnsi="Arial" w:eastAsia="Arial" w:cs="Arial"/>
                <w:sz w:val="22"/>
                <w:szCs w:val="22"/>
              </w:rPr>
              <w:t>Yes ​</w:t>
            </w:r>
            <w:r>
              <w:rPr>
                <w:rFonts w:ascii="MS Gothic" w:hAnsi="MS Gothic" w:eastAsia="MS Gothic" w:cs="MS Gothic"/>
                <w:sz w:val="22"/>
                <w:szCs w:val="22"/>
              </w:rPr>
              <w:t>☐</w:t>
            </w:r>
            <w:r>
              <w:rPr>
                <w:rFonts w:ascii="Arial" w:hAnsi="Arial" w:eastAsia="Arial" w:cs="Arial"/>
                <w:sz w:val="22"/>
                <w:szCs w:val="22"/>
              </w:rPr>
              <w:t>​ </w:t>
            </w:r>
          </w:p>
          <w:p w14:paraId="746CCC78">
            <w:r>
              <w:rPr>
                <w:rFonts w:ascii="Arial" w:hAnsi="Arial" w:eastAsia="Arial" w:cs="Arial"/>
                <w:sz w:val="22"/>
                <w:szCs w:val="22"/>
              </w:rPr>
              <w:t> </w:t>
            </w:r>
          </w:p>
          <w:p w14:paraId="0CED151A">
            <w:r>
              <w:rPr>
                <w:rFonts w:ascii="Arial" w:hAnsi="Arial" w:eastAsia="Arial" w:cs="Arial"/>
                <w:sz w:val="22"/>
                <w:szCs w:val="22"/>
              </w:rPr>
              <w:t>No  ​</w:t>
            </w:r>
            <w:r>
              <w:rPr>
                <w:rFonts w:ascii="MS Gothic" w:hAnsi="MS Gothic" w:eastAsia="MS Gothic" w:cs="MS Gothic"/>
                <w:sz w:val="22"/>
                <w:szCs w:val="22"/>
              </w:rPr>
              <w:t>☒</w:t>
            </w:r>
            <w:r>
              <w:rPr>
                <w:rFonts w:ascii="Arial" w:hAnsi="Arial" w:eastAsia="Arial" w:cs="Arial"/>
                <w:sz w:val="22"/>
                <w:szCs w:val="22"/>
              </w:rPr>
              <w:t>​ </w:t>
            </w:r>
          </w:p>
        </w:tc>
      </w:tr>
    </w:tbl>
    <w:p w14:paraId="41DDD3DA">
      <w:pPr>
        <w:jc w:val="center"/>
        <w:rPr>
          <w:b/>
          <w:bCs/>
          <w:sz w:val="28"/>
          <w:szCs w:val="28"/>
        </w:rPr>
      </w:pPr>
    </w:p>
    <w:p w14:paraId="76153553">
      <w:pPr>
        <w:rPr>
          <w:b/>
          <w:bCs/>
          <w:sz w:val="28"/>
          <w:szCs w:val="28"/>
        </w:rPr>
      </w:pPr>
    </w:p>
    <w:p w14:paraId="26AB96E8">
      <w:pPr>
        <w:jc w:val="center"/>
        <w:rPr>
          <w:b/>
          <w:bCs/>
          <w:sz w:val="28"/>
          <w:szCs w:val="28"/>
        </w:rPr>
      </w:pPr>
      <w:r>
        <w:rPr>
          <w:b/>
          <w:bCs/>
          <w:sz w:val="28"/>
          <w:szCs w:val="28"/>
        </w:rPr>
        <w:t>Acknowledgement</w:t>
      </w:r>
    </w:p>
    <w:p w14:paraId="1FC90F89">
      <w:r>
        <w:t xml:space="preserve">I am highly grateful to my professor and librarian who have helped me and provided all the support for gathering data for this assignment. I am also grateful to my peers for helping me in proofreading and arranging the data. </w:t>
      </w:r>
    </w:p>
    <w:p w14:paraId="7F65B8A8"/>
    <w:p w14:paraId="7C6A0694"/>
    <w:p w14:paraId="0A8B5E38"/>
    <w:p w14:paraId="1FAA46F7"/>
    <w:p w14:paraId="6271232E">
      <w:pPr>
        <w:rPr>
          <w:color w:val="000000"/>
        </w:rPr>
      </w:pPr>
      <w:r>
        <w:rPr>
          <w:color w:val="000000"/>
        </w:rPr>
        <w:t>Name: ..Aminur Islam Tonmoy.............</w:t>
      </w:r>
    </w:p>
    <w:p w14:paraId="295F976B">
      <w:r>
        <w:rPr>
          <w:color w:val="000000"/>
        </w:rPr>
        <w:t>Student ID......2522779.......</w:t>
      </w:r>
    </w:p>
    <w:p w14:paraId="5340B970">
      <w:pPr>
        <w:rPr>
          <w:b/>
          <w:bCs/>
          <w:sz w:val="28"/>
          <w:szCs w:val="28"/>
        </w:rPr>
      </w:pPr>
      <w:r>
        <w:br w:type="page"/>
      </w:r>
    </w:p>
    <w:p w14:paraId="7516E828">
      <w:pPr>
        <w:jc w:val="center"/>
      </w:pPr>
      <w:r>
        <w:rPr>
          <w:b/>
          <w:bCs/>
          <w:sz w:val="28"/>
          <w:szCs w:val="28"/>
        </w:rPr>
        <w:t>Executive summary</w:t>
      </w:r>
    </w:p>
    <w:p w14:paraId="0AD54B02">
      <w:r>
        <w:t xml:space="preserve">The performance measurement through business analytics is crucial to enhance organisational performance and boost competitiveness. The goal of this report is to evaluate the organisational scenario of Walmart and provide strategic solutions for better team management and performance. </w:t>
      </w:r>
    </w:p>
    <w:p w14:paraId="33AB4499">
      <w:r>
        <w:t>Scenario 1 analyses Walmart’s inventory management strategy in the year 2020 supply chain crisis from the perspective of Gorry &amp; Scott-Morton. The process involved only descriptive analysis and was anchored on the use of analytics that could not predict any future outcome. Predictive demand sensing and prescriptive optimisation should have been used.</w:t>
      </w:r>
    </w:p>
    <w:p w14:paraId="4C737640">
      <w:r>
        <w:t>Scenario 2 finds that Walmart has an innovative and affordable organisational culture and excellent customer service. However, they face many challenges with respect to inclusivity and leadership styles. The application of Schein's and Hofstede's frameworks assisted in identifying the gaps present in the Walmart culture. Through the use of Lewin's Change Model and Trompenaars' seven dimensions of culture, it can implement strategies that support diversity, collaboration, and localisation to achieve a sustainable cultural transformation across its global operations.</w:t>
      </w:r>
    </w:p>
    <w:p w14:paraId="048C58D5">
      <w:r>
        <w:t xml:space="preserve">The findings from section 3 regarding the high-performance teams of Walmart show that the strategy of customer immersion labs and data collaboration sprints further improves the overall work environment. These strategies also help the Walmart employees to make better strategic decisions to boost competitiveness.  </w:t>
      </w:r>
    </w:p>
    <w:p w14:paraId="1738A638">
      <w:r>
        <w:t>Section 4 critically evaluates performance measurement and control systems at Walmart, examining the key performance indicators, Balanced Scorecard, productivity, benchmarking and data-driven decision making. It describes how descriptive, predictive, and prescriptive analytics help to optimise operations, supply chain performance, and strategic alignment. Organisational effectiveness is underpinned by processes of the Systems Theory. In addition, ethical issues like over-monitoring employees, invasion of privacy, and KPI tunnel vision come into focus, reinforcing the need to have balanced, transparent and ethical systems of control.</w:t>
      </w:r>
    </w:p>
    <w:p w14:paraId="734D66B7"/>
    <w:p w14:paraId="7B6A7968"/>
    <w:p w14:paraId="49CAA1F5">
      <w:pPr>
        <w:rPr>
          <w:b/>
          <w:bCs/>
          <w:color w:val="000000"/>
          <w:sz w:val="28"/>
          <w:szCs w:val="28"/>
        </w:rPr>
      </w:pPr>
      <w:r>
        <w:rPr>
          <w:b/>
          <w:bCs/>
          <w:color w:val="000000"/>
          <w:sz w:val="28"/>
          <w:szCs w:val="28"/>
        </w:rPr>
        <w:br w:type="page"/>
      </w:r>
    </w:p>
    <w:p w14:paraId="3EC07F98">
      <w:pPr>
        <w:keepNext/>
        <w:keepLines/>
        <w:spacing w:before="480"/>
        <w:jc w:val="center"/>
        <w:rPr>
          <w:b/>
          <w:bCs/>
          <w:color w:val="000000"/>
          <w:sz w:val="28"/>
          <w:szCs w:val="28"/>
        </w:rPr>
      </w:pPr>
      <w:r>
        <w:rPr>
          <w:b/>
          <w:bCs/>
          <w:color w:val="000000"/>
          <w:sz w:val="28"/>
          <w:szCs w:val="28"/>
        </w:rPr>
        <w:t>Table of Contents</w:t>
      </w:r>
    </w:p>
    <w:sdt>
      <w:sdtPr>
        <w:id w:val="716298423"/>
        <w:docPartObj>
          <w:docPartGallery w:val="Table of Contents"/>
          <w:docPartUnique/>
        </w:docPartObj>
      </w:sdtPr>
      <w:sdtContent>
        <w:p w14:paraId="4A86CCEE">
          <w:pPr>
            <w:spacing w:line="360" w:lineRule="auto"/>
            <w:rPr>
              <w:rFonts w:ascii="Times New Roman" w:hAnsi="Times New Roman" w:eastAsia="Times New Roman" w:cs="Times New Roman"/>
              <w:sz w:val="24"/>
              <w:szCs w:val="24"/>
              <w:lang w:val="en-GB" w:eastAsia="en-IN" w:bidi="ar-SA"/>
            </w:rPr>
          </w:pPr>
          <w:r>
            <w:fldChar w:fldCharType="begin"/>
          </w:r>
          <w:r>
            <w:instrText xml:space="preserve"> TOC \h \u \z \t "Heading 1,1,Heading 2,2,Heading 3,3,"</w:instrText>
          </w:r>
          <w:r>
            <w:fldChar w:fldCharType="separate"/>
          </w:r>
        </w:p>
        <w:p w14:paraId="60A6DE7C">
          <w:pPr>
            <w:pStyle w:val="12"/>
            <w:tabs>
              <w:tab w:val="right" w:leader="dot" w:pos="9360"/>
            </w:tabs>
          </w:pPr>
          <w:r>
            <w:fldChar w:fldCharType="begin"/>
          </w:r>
          <w:r>
            <w:instrText xml:space="preserve"> HYPERLINK \l _Toc26306 </w:instrText>
          </w:r>
          <w:r>
            <w:fldChar w:fldCharType="separate"/>
          </w:r>
          <w:r>
            <w:t>Introduction</w:t>
          </w:r>
          <w:r>
            <w:tab/>
          </w:r>
          <w:r>
            <w:fldChar w:fldCharType="begin"/>
          </w:r>
          <w:r>
            <w:instrText xml:space="preserve"> PAGEREF _Toc26306 \h </w:instrText>
          </w:r>
          <w:r>
            <w:fldChar w:fldCharType="separate"/>
          </w:r>
          <w:r>
            <w:t>6</w:t>
          </w:r>
          <w:r>
            <w:fldChar w:fldCharType="end"/>
          </w:r>
          <w:r>
            <w:fldChar w:fldCharType="end"/>
          </w:r>
        </w:p>
        <w:p w14:paraId="61409DA0">
          <w:pPr>
            <w:pStyle w:val="12"/>
            <w:tabs>
              <w:tab w:val="right" w:leader="dot" w:pos="9360"/>
            </w:tabs>
          </w:pPr>
          <w:r>
            <w:fldChar w:fldCharType="begin"/>
          </w:r>
          <w:r>
            <w:instrText xml:space="preserve"> HYPERLINK \l _Toc9490 </w:instrText>
          </w:r>
          <w:r>
            <w:fldChar w:fldCharType="separate"/>
          </w:r>
          <w:r>
            <w:t>Scenario 1: Advanced decision-making analysis</w:t>
          </w:r>
          <w:r>
            <w:tab/>
          </w:r>
          <w:r>
            <w:fldChar w:fldCharType="begin"/>
          </w:r>
          <w:r>
            <w:instrText xml:space="preserve"> PAGEREF _Toc9490 \h </w:instrText>
          </w:r>
          <w:r>
            <w:fldChar w:fldCharType="separate"/>
          </w:r>
          <w:r>
            <w:t>6</w:t>
          </w:r>
          <w:r>
            <w:fldChar w:fldCharType="end"/>
          </w:r>
          <w:r>
            <w:fldChar w:fldCharType="end"/>
          </w:r>
        </w:p>
        <w:p w14:paraId="7AB0607C">
          <w:pPr>
            <w:pStyle w:val="12"/>
            <w:tabs>
              <w:tab w:val="right" w:leader="dot" w:pos="9360"/>
            </w:tabs>
          </w:pPr>
          <w:r>
            <w:fldChar w:fldCharType="begin"/>
          </w:r>
          <w:r>
            <w:instrText xml:space="preserve"> HYPERLINK \l _Toc27623 </w:instrText>
          </w:r>
          <w:r>
            <w:fldChar w:fldCharType="separate"/>
          </w:r>
          <w:r>
            <w:t>Scenario 2: Organisational Culture and Change Intervention</w:t>
          </w:r>
          <w:r>
            <w:tab/>
          </w:r>
          <w:r>
            <w:fldChar w:fldCharType="begin"/>
          </w:r>
          <w:r>
            <w:instrText xml:space="preserve"> PAGEREF _Toc27623 \h </w:instrText>
          </w:r>
          <w:r>
            <w:fldChar w:fldCharType="separate"/>
          </w:r>
          <w:r>
            <w:t>8</w:t>
          </w:r>
          <w:r>
            <w:fldChar w:fldCharType="end"/>
          </w:r>
          <w:r>
            <w:fldChar w:fldCharType="end"/>
          </w:r>
        </w:p>
        <w:p w14:paraId="7D57EA32">
          <w:pPr>
            <w:pStyle w:val="12"/>
            <w:tabs>
              <w:tab w:val="right" w:leader="dot" w:pos="9360"/>
            </w:tabs>
          </w:pPr>
          <w:r>
            <w:fldChar w:fldCharType="begin"/>
          </w:r>
          <w:r>
            <w:instrText xml:space="preserve"> HYPERLINK \l _Toc23492 </w:instrText>
          </w:r>
          <w:r>
            <w:fldChar w:fldCharType="separate"/>
          </w:r>
          <w:r>
            <w:t>Scenario 3: Team Effectiveness and Development</w:t>
          </w:r>
          <w:r>
            <w:tab/>
          </w:r>
          <w:r>
            <w:fldChar w:fldCharType="begin"/>
          </w:r>
          <w:r>
            <w:instrText xml:space="preserve"> PAGEREF _Toc23492 \h </w:instrText>
          </w:r>
          <w:r>
            <w:fldChar w:fldCharType="separate"/>
          </w:r>
          <w:r>
            <w:t>11</w:t>
          </w:r>
          <w:r>
            <w:fldChar w:fldCharType="end"/>
          </w:r>
          <w:r>
            <w:fldChar w:fldCharType="end"/>
          </w:r>
        </w:p>
        <w:p w14:paraId="45F8F608">
          <w:pPr>
            <w:pStyle w:val="12"/>
            <w:tabs>
              <w:tab w:val="right" w:leader="dot" w:pos="9360"/>
            </w:tabs>
          </w:pPr>
          <w:r>
            <w:fldChar w:fldCharType="begin"/>
          </w:r>
          <w:r>
            <w:instrText xml:space="preserve"> HYPERLINK \l _Toc8714 </w:instrText>
          </w:r>
          <w:r>
            <w:fldChar w:fldCharType="separate"/>
          </w:r>
          <w:r>
            <w:t>Scenario 4: Performance Measurement and Control Systems</w:t>
          </w:r>
          <w:r>
            <w:tab/>
          </w:r>
          <w:r>
            <w:fldChar w:fldCharType="begin"/>
          </w:r>
          <w:r>
            <w:instrText xml:space="preserve"> PAGEREF _Toc8714 \h </w:instrText>
          </w:r>
          <w:r>
            <w:fldChar w:fldCharType="separate"/>
          </w:r>
          <w:r>
            <w:t>15</w:t>
          </w:r>
          <w:r>
            <w:fldChar w:fldCharType="end"/>
          </w:r>
          <w:r>
            <w:fldChar w:fldCharType="end"/>
          </w:r>
        </w:p>
        <w:p w14:paraId="2C4490C2">
          <w:pPr>
            <w:pStyle w:val="12"/>
            <w:tabs>
              <w:tab w:val="right" w:leader="dot" w:pos="9360"/>
            </w:tabs>
          </w:pPr>
          <w:r>
            <w:fldChar w:fldCharType="begin"/>
          </w:r>
          <w:r>
            <w:instrText xml:space="preserve"> HYPERLINK \l _Toc9429 </w:instrText>
          </w:r>
          <w:r>
            <w:fldChar w:fldCharType="separate"/>
          </w:r>
          <w:r>
            <w:t>Conclusion</w:t>
          </w:r>
          <w:r>
            <w:tab/>
          </w:r>
          <w:r>
            <w:fldChar w:fldCharType="begin"/>
          </w:r>
          <w:r>
            <w:instrText xml:space="preserve"> PAGEREF _Toc9429 \h </w:instrText>
          </w:r>
          <w:r>
            <w:fldChar w:fldCharType="separate"/>
          </w:r>
          <w:r>
            <w:t>18</w:t>
          </w:r>
          <w:r>
            <w:fldChar w:fldCharType="end"/>
          </w:r>
          <w:r>
            <w:fldChar w:fldCharType="end"/>
          </w:r>
        </w:p>
        <w:p w14:paraId="5CB5B87F">
          <w:pPr>
            <w:pStyle w:val="12"/>
            <w:tabs>
              <w:tab w:val="right" w:leader="dot" w:pos="9360"/>
            </w:tabs>
          </w:pPr>
          <w:r>
            <w:fldChar w:fldCharType="begin"/>
          </w:r>
          <w:r>
            <w:instrText xml:space="preserve"> HYPERLINK \l _Toc5648 </w:instrText>
          </w:r>
          <w:r>
            <w:fldChar w:fldCharType="separate"/>
          </w:r>
          <w:r>
            <w:t>References</w:t>
          </w:r>
          <w:r>
            <w:tab/>
          </w:r>
          <w:r>
            <w:fldChar w:fldCharType="begin"/>
          </w:r>
          <w:r>
            <w:instrText xml:space="preserve"> PAGEREF _Toc5648 \h </w:instrText>
          </w:r>
          <w:r>
            <w:fldChar w:fldCharType="separate"/>
          </w:r>
          <w:r>
            <w:t>19</w:t>
          </w:r>
          <w:r>
            <w:fldChar w:fldCharType="end"/>
          </w:r>
          <w:r>
            <w:fldChar w:fldCharType="end"/>
          </w:r>
        </w:p>
        <w:p w14:paraId="0BFC45E8">
          <w:pPr>
            <w:pStyle w:val="13"/>
            <w:tabs>
              <w:tab w:val="right" w:leader="dot" w:pos="9360"/>
            </w:tabs>
          </w:pPr>
          <w:r>
            <w:fldChar w:fldCharType="begin"/>
          </w:r>
          <w:r>
            <w:instrText xml:space="preserve"> HYPERLINK \l _Toc9785 </w:instrText>
          </w:r>
          <w:r>
            <w:fldChar w:fldCharType="separate"/>
          </w:r>
          <w:r>
            <w:rPr>
              <w:highlight w:val="white"/>
            </w:rPr>
            <w:t>Scenario 1</w:t>
          </w:r>
          <w:r>
            <w:tab/>
          </w:r>
          <w:r>
            <w:fldChar w:fldCharType="begin"/>
          </w:r>
          <w:r>
            <w:instrText xml:space="preserve"> PAGEREF _Toc9785 \h </w:instrText>
          </w:r>
          <w:r>
            <w:fldChar w:fldCharType="separate"/>
          </w:r>
          <w:r>
            <w:t>19</w:t>
          </w:r>
          <w:r>
            <w:fldChar w:fldCharType="end"/>
          </w:r>
          <w:r>
            <w:fldChar w:fldCharType="end"/>
          </w:r>
        </w:p>
        <w:p w14:paraId="794F52A0">
          <w:pPr>
            <w:pStyle w:val="13"/>
            <w:tabs>
              <w:tab w:val="right" w:leader="dot" w:pos="9360"/>
            </w:tabs>
          </w:pPr>
          <w:r>
            <w:fldChar w:fldCharType="begin"/>
          </w:r>
          <w:r>
            <w:instrText xml:space="preserve"> HYPERLINK \l _Toc6175 </w:instrText>
          </w:r>
          <w:r>
            <w:fldChar w:fldCharType="separate"/>
          </w:r>
          <w:r>
            <w:t>Scenario 2</w:t>
          </w:r>
          <w:r>
            <w:tab/>
          </w:r>
          <w:r>
            <w:fldChar w:fldCharType="begin"/>
          </w:r>
          <w:r>
            <w:instrText xml:space="preserve"> PAGEREF _Toc6175 \h </w:instrText>
          </w:r>
          <w:r>
            <w:fldChar w:fldCharType="separate"/>
          </w:r>
          <w:r>
            <w:t>20</w:t>
          </w:r>
          <w:r>
            <w:fldChar w:fldCharType="end"/>
          </w:r>
          <w:r>
            <w:fldChar w:fldCharType="end"/>
          </w:r>
        </w:p>
        <w:p w14:paraId="001A2AB4">
          <w:pPr>
            <w:pStyle w:val="13"/>
            <w:tabs>
              <w:tab w:val="right" w:leader="dot" w:pos="9360"/>
            </w:tabs>
          </w:pPr>
          <w:r>
            <w:fldChar w:fldCharType="begin"/>
          </w:r>
          <w:r>
            <w:instrText xml:space="preserve"> HYPERLINK \l _Toc12670 </w:instrText>
          </w:r>
          <w:r>
            <w:fldChar w:fldCharType="separate"/>
          </w:r>
          <w:r>
            <w:t>Scenario 3</w:t>
          </w:r>
          <w:r>
            <w:tab/>
          </w:r>
          <w:r>
            <w:fldChar w:fldCharType="begin"/>
          </w:r>
          <w:r>
            <w:instrText xml:space="preserve"> PAGEREF _Toc12670 \h </w:instrText>
          </w:r>
          <w:r>
            <w:fldChar w:fldCharType="separate"/>
          </w:r>
          <w:r>
            <w:t>22</w:t>
          </w:r>
          <w:r>
            <w:fldChar w:fldCharType="end"/>
          </w:r>
          <w:r>
            <w:fldChar w:fldCharType="end"/>
          </w:r>
        </w:p>
        <w:p w14:paraId="2B773581">
          <w:pPr>
            <w:pStyle w:val="13"/>
            <w:tabs>
              <w:tab w:val="right" w:leader="dot" w:pos="9360"/>
            </w:tabs>
          </w:pPr>
          <w:r>
            <w:fldChar w:fldCharType="begin"/>
          </w:r>
          <w:r>
            <w:instrText xml:space="preserve"> HYPERLINK \l _Toc21920 </w:instrText>
          </w:r>
          <w:r>
            <w:fldChar w:fldCharType="separate"/>
          </w:r>
          <w:r>
            <w:t>Scenario 4</w:t>
          </w:r>
          <w:r>
            <w:tab/>
          </w:r>
          <w:r>
            <w:fldChar w:fldCharType="begin"/>
          </w:r>
          <w:r>
            <w:instrText xml:space="preserve"> PAGEREF _Toc21920 \h </w:instrText>
          </w:r>
          <w:r>
            <w:fldChar w:fldCharType="separate"/>
          </w:r>
          <w:r>
            <w:t>23</w:t>
          </w:r>
          <w:r>
            <w:fldChar w:fldCharType="end"/>
          </w:r>
          <w:r>
            <w:fldChar w:fldCharType="end"/>
          </w:r>
        </w:p>
        <w:p w14:paraId="6F60883E">
          <w:pPr>
            <w:pStyle w:val="12"/>
            <w:tabs>
              <w:tab w:val="right" w:leader="dot" w:pos="9360"/>
            </w:tabs>
          </w:pPr>
          <w:r>
            <w:fldChar w:fldCharType="begin"/>
          </w:r>
          <w:r>
            <w:instrText xml:space="preserve"> HYPERLINK \l _Toc8239 </w:instrText>
          </w:r>
          <w:r>
            <w:fldChar w:fldCharType="separate"/>
          </w:r>
          <w:r>
            <w:t>Appendices</w:t>
          </w:r>
          <w:r>
            <w:tab/>
          </w:r>
          <w:r>
            <w:fldChar w:fldCharType="begin"/>
          </w:r>
          <w:r>
            <w:instrText xml:space="preserve"> PAGEREF _Toc8239 \h </w:instrText>
          </w:r>
          <w:r>
            <w:fldChar w:fldCharType="separate"/>
          </w:r>
          <w:r>
            <w:t>26</w:t>
          </w:r>
          <w:r>
            <w:fldChar w:fldCharType="end"/>
          </w:r>
          <w:r>
            <w:fldChar w:fldCharType="end"/>
          </w:r>
        </w:p>
        <w:p w14:paraId="44AAE482">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pPr>
          <w:r>
            <w:fldChar w:fldCharType="end"/>
          </w:r>
        </w:p>
      </w:sdtContent>
    </w:sdt>
    <w:p w14:paraId="6B0D3281">
      <w:pPr>
        <w:rPr>
          <w:b/>
          <w:bCs/>
          <w:sz w:val="32"/>
          <w:szCs w:val="32"/>
        </w:rPr>
      </w:pPr>
      <w:r>
        <w:br w:type="page"/>
      </w:r>
    </w:p>
    <w:p w14:paraId="7457728D">
      <w:pPr>
        <w:pStyle w:val="2"/>
      </w:pPr>
      <w:bookmarkStart w:id="0" w:name="_Toc26306"/>
      <w:r>
        <w:t>Introduction</w:t>
      </w:r>
      <w:bookmarkEnd w:id="0"/>
      <w:r>
        <w:t xml:space="preserve"> </w:t>
      </w:r>
    </w:p>
    <w:p w14:paraId="59D27672">
      <w:pPr>
        <w:rPr>
          <w:color w:val="000000"/>
        </w:rPr>
      </w:pPr>
      <w:r>
        <w:rPr>
          <w:color w:val="000000"/>
        </w:rPr>
        <w:t>The use of business analytics is crucial, as it enables the organisational leaders to make better strategic decisions for enhanced competitiveness and customer satisfaction (Komolafe</w:t>
      </w:r>
      <w:r>
        <w:rPr>
          <w:i/>
          <w:iCs/>
          <w:color w:val="000000"/>
        </w:rPr>
        <w:t xml:space="preserve"> et al. </w:t>
      </w:r>
      <w:r>
        <w:rPr>
          <w:color w:val="000000"/>
        </w:rPr>
        <w:t>2024). It also helps the companies to improve productivity, due to the rise of job satisfaction of the staff.</w:t>
      </w:r>
    </w:p>
    <w:p w14:paraId="7A16CA8D">
      <w:pPr>
        <w:rPr>
          <w:color w:val="000000"/>
        </w:rPr>
      </w:pPr>
      <w:r>
        <w:rPr>
          <w:color w:val="000000"/>
        </w:rPr>
        <w:t>The purpose of this report is to analyse the organisational scenario of Walmart in terms of work culture and team environment and propose strategic solutions for performance improvement.  </w:t>
      </w:r>
    </w:p>
    <w:p w14:paraId="57658CF1">
      <w:pPr>
        <w:pStyle w:val="2"/>
      </w:pPr>
      <w:bookmarkStart w:id="1" w:name="_Toc9490"/>
      <w:r>
        <w:t>Scenario 1: Advanced decision-making analysis</w:t>
      </w:r>
      <w:bookmarkEnd w:id="1"/>
    </w:p>
    <w:p w14:paraId="6DDCCDFE">
      <w:pPr>
        <w:rPr>
          <w:b/>
          <w:bCs/>
          <w:color w:val="000000"/>
        </w:rPr>
      </w:pPr>
      <w:r>
        <w:rPr>
          <w:b/>
          <w:bCs/>
          <w:color w:val="000000"/>
        </w:rPr>
        <w:t xml:space="preserve">Systematic evaluation </w:t>
      </w:r>
    </w:p>
    <w:p w14:paraId="4AD77E50">
      <w:pPr>
        <w:rPr>
          <w:color w:val="000000"/>
        </w:rPr>
      </w:pPr>
      <w:r>
        <w:rPr>
          <w:color w:val="000000"/>
        </w:rPr>
        <w:t xml:space="preserve">In the current context, the decision of the reputed American multinational retail corporation, Walmart, is critically evaluated with respect to the shift from a strict Just-In-Time (JIT) supply chain to a hybrid supply chain model, integrating strategic buffer stock and safety stock for high-demand household goods. During the pandemic episode, Walmart was found to experience severe demand volatility and supply chain disruption challenges, which can be regarded as the “Bullwhip effect”. The nationwide as well as international lockdown led to the halt of the flow of raw materials and finished goods, along with the unforeseen challenge of staff shortage (Chaturvedula, 2022). In order to mitigate the crisis of such issues of supply chain disruption, the hybrid mechanism of inventory management through buffer stock integration could be valuable by complementing the JIT framework with buffer and anticipated stocks, especially for the regular use of household goods like pantry staples, cleaning utilities, and paper towels, by keeping safety stocks in localised distribution centres and fulfilment only sites (Hargreaves, 2025). </w:t>
      </w:r>
    </w:p>
    <w:p w14:paraId="48159269">
      <w:pPr>
        <w:rPr>
          <w:color w:val="auto"/>
        </w:rPr>
      </w:pPr>
      <w:r>
        <w:rPr>
          <w:color w:val="000000"/>
        </w:rPr>
        <w:t>The application of decision support metrics by Gorry &amp; Scott-Morton (1971) to the decision of Walmart can reveal that</w:t>
      </w:r>
      <w:r>
        <w:rPr>
          <w:color w:val="auto"/>
        </w:rPr>
        <w:t xml:space="preserve"> it is a semi-structured decision by combining the routine structured inventory management with volatile demand signals, and uncertainty of suppliers’ lead times (unstructured element). Though structuredness is distinguished as per the framework, assumed stable problem definitions are inappropriate for volatile environments such as COVID-19. Similarly, predictive models often contain both data bias and epistemic uncertainty associated with unforeseen events (port closures). The algorithmic fairness of the models is ignored by the framework, as well as the fragility of the models due to bias. To improve the current matrix model, there needs to be an incorporation of uncertainty quantification and an audit of the biases into the matrix model; thus, the matrix model will shift from providing deterministic to probabilistic decision support in the presence of extreme uncertainty surrounding the predictions.</w:t>
      </w:r>
    </w:p>
    <w:p w14:paraId="7E9EADB1">
      <w:pPr>
        <w:rPr>
          <w:b/>
          <w:bCs/>
          <w:color w:val="auto"/>
        </w:rPr>
      </w:pPr>
      <w:r>
        <w:rPr>
          <w:b/>
          <w:bCs/>
          <w:color w:val="auto"/>
        </w:rPr>
        <w:t xml:space="preserve">Critical assessment </w:t>
      </w:r>
    </w:p>
    <w:p w14:paraId="287A608E">
      <w:pPr>
        <w:rPr>
          <w:color w:val="auto"/>
        </w:rPr>
      </w:pPr>
      <w:r>
        <w:rPr>
          <w:color w:val="auto"/>
        </w:rPr>
        <w:t xml:space="preserve">The critical assessment of the process effectiveness reveals that the existing Management Information System (MIS) of Walmart provides descriptive analytics by the measures of daily sales and sales through rate, while it is deficient in the capacity of predictive analytics, and thus, cannot fully capture the pandemic-associated demand spikes of cleaning utilities and paper towels (Singh, 2024). Thus, the management has to rely on heuristics for the initial decision, such as the increase in orders by a fixed percentage, based on the previous year's sales patterns. This can lead to anchoring bias and create a trap for decision makers, known as the Sunk-Cost trap (Nouri </w:t>
      </w:r>
      <w:r>
        <w:rPr>
          <w:i/>
          <w:iCs/>
          <w:color w:val="auto"/>
        </w:rPr>
        <w:t>et al</w:t>
      </w:r>
      <w:r>
        <w:rPr>
          <w:color w:val="auto"/>
        </w:rPr>
        <w:t xml:space="preserve">. 2017). The authority has to assume the previous year’s baseline as the correct standing point, but if the previous year represents an anomaly due to a massive demand spike or a demand dip, it can lead to a distortion in decision-making and delayed adjustment from the fixed percentage (Adamonis, 2018). </w:t>
      </w:r>
    </w:p>
    <w:p w14:paraId="79D6E7CC">
      <w:pPr>
        <w:rPr>
          <w:b/>
          <w:bCs/>
          <w:color w:val="auto"/>
        </w:rPr>
      </w:pPr>
      <w:r>
        <w:rPr>
          <w:b/>
          <w:bCs/>
          <w:color w:val="auto"/>
        </w:rPr>
        <w:t xml:space="preserve">Proposed alternative approaches </w:t>
      </w:r>
    </w:p>
    <w:p w14:paraId="44877080">
      <w:pPr>
        <w:rPr>
          <w:color w:val="auto"/>
        </w:rPr>
      </w:pPr>
      <w:r>
        <w:rPr>
          <w:color w:val="auto"/>
        </w:rPr>
        <w:t xml:space="preserve">The adoption of a prescriptive analytics framework can be proposed as an alternative approach to Walmart’s decision-making regarding inventory management by using simulation optimisation. Instead of the use of a reactive buffer setting in the stock management, a </w:t>
      </w:r>
      <w:r>
        <w:rPr>
          <w:color w:val="auto"/>
          <w:highlight w:val="white"/>
        </w:rPr>
        <w:t>multi-echelon inventory optimisation</w:t>
      </w:r>
      <w:r>
        <w:rPr>
          <w:color w:val="auto"/>
        </w:rPr>
        <w:t xml:space="preserve"> model could be integrated by the authority (Soo, 2025). This model simultaneously optimises the level of safety stocks at every distribution centre and retail store.  </w:t>
      </w:r>
    </w:p>
    <w:p w14:paraId="1AF3ADDA">
      <w:pPr>
        <w:rPr>
          <w:b/>
          <w:bCs/>
          <w:color w:val="auto"/>
        </w:rPr>
      </w:pPr>
      <w:r>
        <w:rPr>
          <w:b/>
          <w:bCs/>
          <w:color w:val="auto"/>
        </w:rPr>
        <w:t xml:space="preserve">Critical examination of the decision quality </w:t>
      </w:r>
    </w:p>
    <w:p w14:paraId="11614563">
      <w:pPr>
        <w:rPr>
          <w:color w:val="auto"/>
        </w:rPr>
      </w:pPr>
      <w:r>
        <w:rPr>
          <w:color w:val="auto"/>
        </w:rPr>
        <w:t>The implementation of descriptive analytics by providing real-time data as available in the dashboard and supplying data, as present in the MIS in Walmart, may be underutilised for root cause analysis. Descriptive analytics can give a clear picture of the actual occurrence, with respect to the historical sales data, baseline, and expected benchmark (Wolniak, 2023). In this scenario, the application of cluster analysis by Walmart can improve the insights by demonstrating the different stockout patterns in different store formats (</w:t>
      </w:r>
      <w:r>
        <w:rPr>
          <w:color w:val="auto"/>
          <w:highlight w:val="white"/>
        </w:rPr>
        <w:t>Dermawan</w:t>
      </w:r>
      <w:r>
        <w:rPr>
          <w:i/>
          <w:iCs/>
          <w:color w:val="auto"/>
        </w:rPr>
        <w:t xml:space="preserve"> et al.</w:t>
      </w:r>
      <w:r>
        <w:rPr>
          <w:color w:val="auto"/>
        </w:rPr>
        <w:t xml:space="preserve"> 2024). </w:t>
      </w:r>
    </w:p>
    <w:p w14:paraId="5BAF9B7D">
      <w:pPr>
        <w:rPr>
          <w:color w:val="auto"/>
        </w:rPr>
      </w:pPr>
      <w:r>
        <w:rPr>
          <w:color w:val="auto"/>
        </w:rPr>
        <w:t xml:space="preserve">However, the use of predictive analytics can create a major loophole by automating and creating historical biases. The use of time series forecasting, such as ARIMA or Prophet, utilises external factors, like local infection rates and school closures, which might have predicted the demand spike up to several days ahead of time (Malki </w:t>
      </w:r>
      <w:r>
        <w:rPr>
          <w:i/>
          <w:iCs/>
          <w:color w:val="auto"/>
        </w:rPr>
        <w:t>et al.</w:t>
      </w:r>
      <w:r>
        <w:rPr>
          <w:color w:val="auto"/>
        </w:rPr>
        <w:t xml:space="preserve"> 2021). </w:t>
      </w:r>
    </w:p>
    <w:p w14:paraId="7AECF0E9">
      <w:pPr>
        <w:rPr>
          <w:color w:val="auto"/>
        </w:rPr>
      </w:pPr>
      <w:r>
        <w:rPr>
          <w:color w:val="auto"/>
        </w:rPr>
        <w:t xml:space="preserve">The optimal actions could be recommended by prescriptive analytics, with respect to identifying the suppliers who should receive expedited delivery or which stock-keeping units (SKUs) should receive priority during handling limited transportation capacity (Itu, 2026). </w:t>
      </w:r>
    </w:p>
    <w:p w14:paraId="6EE30710">
      <w:pPr>
        <w:pStyle w:val="2"/>
        <w:rPr>
          <w:color w:val="auto"/>
        </w:rPr>
      </w:pPr>
      <w:bookmarkStart w:id="2" w:name="_heading=h.jsobod7hjtx3" w:colFirst="0" w:colLast="0"/>
      <w:bookmarkEnd w:id="2"/>
      <w:bookmarkStart w:id="3" w:name="_Toc27623"/>
      <w:r>
        <w:rPr>
          <w:color w:val="auto"/>
        </w:rPr>
        <w:t>Scenario 2: Organisational Culture and Change Intervention</w:t>
      </w:r>
      <w:bookmarkEnd w:id="3"/>
    </w:p>
    <w:p w14:paraId="1692EAB9">
      <w:pPr>
        <w:rPr>
          <w:b/>
          <w:bCs/>
          <w:color w:val="auto"/>
        </w:rPr>
      </w:pPr>
      <w:r>
        <w:rPr>
          <w:b/>
          <w:bCs/>
          <w:color w:val="auto"/>
        </w:rPr>
        <w:t xml:space="preserve">Evaluation of shared values, assumptions, and beliefs </w:t>
      </w:r>
    </w:p>
    <w:p w14:paraId="1D438311">
      <w:pPr>
        <w:rPr>
          <w:color w:val="auto"/>
        </w:rPr>
      </w:pPr>
      <w:r>
        <w:rPr>
          <w:color w:val="auto"/>
        </w:rPr>
        <w:t>The organizational culture of Walmart is centred on the aspects of innovation, customer service, inclusivity, affordability, accessibility, and employee empowerment. According to</w:t>
      </w:r>
      <w:r>
        <w:rPr>
          <w:b/>
          <w:bCs/>
          <w:i/>
          <w:iCs/>
          <w:color w:val="auto"/>
        </w:rPr>
        <w:t xml:space="preserve"> Schein's model</w:t>
      </w:r>
      <w:r>
        <w:rPr>
          <w:color w:val="auto"/>
        </w:rPr>
        <w:t>, the identifiable "artefacts" of the company include its "Everyday Low Prices (EDLP)" strategy, wide open stores, and digital transformation initiatives (corporate.walmart.com, 2020).</w:t>
      </w:r>
    </w:p>
    <w:p w14:paraId="4207DE12">
      <w:pPr>
        <w:jc w:val="center"/>
        <w:rPr>
          <w:color w:val="auto"/>
        </w:rPr>
      </w:pPr>
      <w:r>
        <w:rPr>
          <w:color w:val="auto"/>
        </w:rPr>
        <w:drawing>
          <wp:inline distT="0" distB="0" distL="0" distR="0">
            <wp:extent cx="4922520" cy="259842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8"/>
                    <a:srcRect/>
                    <a:stretch>
                      <a:fillRect/>
                    </a:stretch>
                  </pic:blipFill>
                  <pic:spPr>
                    <a:xfrm>
                      <a:off x="0" y="0"/>
                      <a:ext cx="4922520" cy="2598420"/>
                    </a:xfrm>
                    <a:prstGeom prst="rect">
                      <a:avLst/>
                    </a:prstGeom>
                  </pic:spPr>
                </pic:pic>
              </a:graphicData>
            </a:graphic>
          </wp:inline>
        </w:drawing>
      </w:r>
    </w:p>
    <w:p w14:paraId="42DF2989">
      <w:pPr>
        <w:jc w:val="center"/>
        <w:rPr>
          <w:color w:val="auto"/>
        </w:rPr>
      </w:pPr>
      <w:r>
        <w:rPr>
          <w:b/>
          <w:bCs/>
          <w:color w:val="auto"/>
        </w:rPr>
        <w:t>Figure 1: Schein’s cultural framework</w:t>
      </w:r>
    </w:p>
    <w:p w14:paraId="0649542D">
      <w:pPr>
        <w:jc w:val="center"/>
        <w:rPr>
          <w:color w:val="auto"/>
        </w:rPr>
      </w:pPr>
      <w:r>
        <w:rPr>
          <w:color w:val="auto"/>
        </w:rPr>
        <w:t>(Source: Westover, 2024)</w:t>
      </w:r>
    </w:p>
    <w:p w14:paraId="462EE8F0">
      <w:pPr>
        <w:rPr>
          <w:color w:val="auto"/>
        </w:rPr>
      </w:pPr>
      <w:r>
        <w:rPr>
          <w:color w:val="auto"/>
        </w:rPr>
        <w:t xml:space="preserve">Moreover, the "espoused values" deal with "Respect for the Individual," "Service to the Customer," and "Strive for Excellence" (walmart.org, 2026). These indicate a strong focus of the management on community stewardship, customer-centricity, and innovation. Although Walmart expresses a commitment to diversity and inclusion, concerns have been raised regarding Walmart’s poor labor practices and treatment of employees (Burke, 2022). </w:t>
      </w:r>
    </w:p>
    <w:p w14:paraId="10AB0792">
      <w:pPr>
        <w:rPr>
          <w:color w:val="auto"/>
        </w:rPr>
      </w:pPr>
      <w:r>
        <w:rPr>
          <w:color w:val="auto"/>
        </w:rPr>
        <w:t xml:space="preserve">Moreover, as Walmart is a US-based company, </w:t>
      </w:r>
      <w:r>
        <w:rPr>
          <w:b/>
          <w:bCs/>
          <w:i/>
          <w:iCs/>
          <w:color w:val="auto"/>
        </w:rPr>
        <w:t>Hofstede's framework</w:t>
      </w:r>
      <w:r>
        <w:rPr>
          <w:color w:val="auto"/>
        </w:rPr>
        <w:t xml:space="preserve"> shows traits that align with the low Power Distance (40), high Individualism (60), and high Indulgence (68) of the United States [Figure 2] (theculturefactor.com, 2026). </w:t>
      </w:r>
    </w:p>
    <w:p w14:paraId="0C4E315A">
      <w:pPr>
        <w:jc w:val="center"/>
        <w:rPr>
          <w:color w:val="auto"/>
        </w:rPr>
      </w:pPr>
      <w:r>
        <w:rPr>
          <w:color w:val="auto"/>
        </w:rPr>
        <w:drawing>
          <wp:inline distT="0" distB="0" distL="0" distR="0">
            <wp:extent cx="5943600" cy="320802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referRelativeResize="0"/>
                  </pic:nvPicPr>
                  <pic:blipFill>
                    <a:blip r:embed="rId9"/>
                    <a:srcRect/>
                    <a:stretch>
                      <a:fillRect/>
                    </a:stretch>
                  </pic:blipFill>
                  <pic:spPr>
                    <a:xfrm>
                      <a:off x="0" y="0"/>
                      <a:ext cx="5943600" cy="3208020"/>
                    </a:xfrm>
                    <a:prstGeom prst="rect">
                      <a:avLst/>
                    </a:prstGeom>
                  </pic:spPr>
                </pic:pic>
              </a:graphicData>
            </a:graphic>
          </wp:inline>
        </w:drawing>
      </w:r>
    </w:p>
    <w:p w14:paraId="2EC7FDD9">
      <w:pPr>
        <w:jc w:val="center"/>
        <w:rPr>
          <w:color w:val="auto"/>
        </w:rPr>
      </w:pPr>
      <w:r>
        <w:rPr>
          <w:b/>
          <w:bCs/>
          <w:color w:val="auto"/>
        </w:rPr>
        <w:t>Figure 2: Hofstede’s cultural dimensions scores of the USA</w:t>
      </w:r>
    </w:p>
    <w:p w14:paraId="4962317E">
      <w:pPr>
        <w:jc w:val="center"/>
        <w:rPr>
          <w:color w:val="auto"/>
        </w:rPr>
      </w:pPr>
      <w:r>
        <w:rPr>
          <w:color w:val="auto"/>
        </w:rPr>
        <w:t>(Source: theculturefactor.com, 2026)</w:t>
      </w:r>
    </w:p>
    <w:p w14:paraId="57118970">
      <w:pPr>
        <w:rPr>
          <w:color w:val="auto"/>
        </w:rPr>
      </w:pPr>
      <w:r>
        <w:rPr>
          <w:color w:val="auto"/>
        </w:rPr>
        <w:t>These elements are justifiably found in the inherent characteristics of Walmart that deals with innovation-driven practices, entrepreneurial spirit, and a relatively flat structure in organization. However, this specific value system has caused a lot of conflicts regarding patterns of leadership, expectations for communication, and motivations of employees in Asian countries like China, India, and Japan due to high Power Distance (PD) cultures (Pressentin, 2023). </w:t>
      </w:r>
    </w:p>
    <w:p w14:paraId="56D25F49">
      <w:pPr>
        <w:rPr>
          <w:color w:val="auto"/>
        </w:rPr>
      </w:pPr>
      <w:r>
        <w:rPr>
          <w:color w:val="auto"/>
        </w:rPr>
        <w:t>Thus, it is shown that there are limitations to using a standardized leadership approach for high power-distance cultures, which suggests that applying universal cultural beliefs across various markets could lead to employee disengagement and decreased organizational cohesion.</w:t>
      </w:r>
    </w:p>
    <w:p w14:paraId="5F9E45F0">
      <w:pPr>
        <w:rPr>
          <w:color w:val="auto"/>
        </w:rPr>
      </w:pPr>
    </w:p>
    <w:p w14:paraId="55EE00E5">
      <w:pPr>
        <w:rPr>
          <w:b/>
          <w:bCs/>
          <w:color w:val="auto"/>
        </w:rPr>
      </w:pPr>
      <w:r>
        <w:rPr>
          <w:b/>
          <w:bCs/>
          <w:color w:val="auto"/>
        </w:rPr>
        <w:t>Cultural elements that require transformation</w:t>
      </w:r>
    </w:p>
    <w:p w14:paraId="26A542EF">
      <w:pPr>
        <w:rPr>
          <w:color w:val="auto"/>
        </w:rPr>
      </w:pPr>
      <w:r>
        <w:rPr>
          <w:color w:val="auto"/>
        </w:rPr>
        <w:t>Arvind and Banu Priya (2024) argue that creating an inclusive and positive culture promotes diversity, collaboration, and equal opportunity by creating an environment where employees feel psychologically safe, which results in greater creativity and innovation. </w:t>
      </w:r>
    </w:p>
    <w:p w14:paraId="2D059A53">
      <w:pPr>
        <w:rPr>
          <w:color w:val="auto"/>
        </w:rPr>
      </w:pPr>
      <w:r>
        <w:rPr>
          <w:color w:val="auto"/>
        </w:rPr>
        <w:t>The second cultural element is collaborative leadership culture, as there is a growing demand for collaboration or people-focused styles of leadership. As per Joubert (2024), as organizations increasingly rely on digital technology, a wide range of employee capabilities and data-based decision making, collaborative leadership can be more important than ever before.  Therefore, managers at Walmart must support the development of a collaborative approach by encouraging teamwork, communicating freely, participation, and making decisions collaboratively.</w:t>
      </w:r>
    </w:p>
    <w:p w14:paraId="4AFE3147">
      <w:pPr>
        <w:rPr>
          <w:b/>
          <w:bCs/>
          <w:color w:val="auto"/>
        </w:rPr>
      </w:pPr>
      <w:r>
        <w:rPr>
          <w:b/>
          <w:bCs/>
          <w:color w:val="auto"/>
        </w:rPr>
        <w:t>Strategic interventions for cultural change</w:t>
      </w:r>
    </w:p>
    <w:p w14:paraId="14B54371">
      <w:pPr>
        <w:rPr>
          <w:color w:val="auto"/>
        </w:rPr>
      </w:pPr>
      <w:r>
        <w:rPr>
          <w:color w:val="auto"/>
        </w:rPr>
        <w:t xml:space="preserve">Lewin's </w:t>
      </w:r>
      <w:r>
        <w:rPr>
          <w:b/>
          <w:bCs/>
          <w:color w:val="auto"/>
        </w:rPr>
        <w:t>Three-Step Change Model (1951)</w:t>
      </w:r>
      <w:r>
        <w:rPr>
          <w:color w:val="auto"/>
        </w:rPr>
        <w:t xml:space="preserve"> can be incorporated to scale up the change management process in the organisation through three phases: Unfreezing, Change and Refreezing (Train, 2023).  Currently, Walmart is in the ‘unfreezing’ phase, where they encourage both employees and managers to move away from traditional management practices to include a focus on inclusion, teamwork and supporting employees that requires training and awareness programs. The integration of predictive analytics in conjunction with culturally adaptive leadership may help organizations develop their ability to create sustainable change while minimizing employee resistance and improving long-term organizational effectiveness. Finally, in the ‘refreezing’ phase, Walmart will establish these new values through policies, leadership standards, performance systems, and an accountability system to ensure that Walmart creates and maintains an inclusive, collaborative workplace culture over time. Although Lewin's Change Model supports Walmart's transformation process, its linearity may oversimplify cultural change in complex global markets.</w:t>
      </w:r>
    </w:p>
    <w:p w14:paraId="08E906F1">
      <w:pPr>
        <w:rPr>
          <w:color w:val="auto"/>
        </w:rPr>
      </w:pPr>
      <w:r>
        <w:rPr>
          <w:color w:val="auto"/>
        </w:rPr>
        <w:t xml:space="preserve">Walmart’s global transformation can be supported using </w:t>
      </w:r>
      <w:r>
        <w:rPr>
          <w:b/>
          <w:bCs/>
          <w:color w:val="auto"/>
        </w:rPr>
        <w:t>Trompenaars and Hampden-Turner’s (1997) cultural dimensions model</w:t>
      </w:r>
      <w:r>
        <w:rPr>
          <w:color w:val="auto"/>
        </w:rPr>
        <w:t>, particularly the dimensions of universalism-particularism and individualism-communitarianism for decision making (Lončar, 2023). It can ensure that Walmart’s global corporate values are consistent with the cultural expectations of the local communities. The company can implement the "Cultural Intelligence Localisation Programme" as it enhances cross-cultural communication, employee inclusion, collaboration, and organisational effectiveness in international markets.</w:t>
      </w:r>
    </w:p>
    <w:p w14:paraId="6EBC0A90">
      <w:pPr>
        <w:rPr>
          <w:color w:val="auto"/>
        </w:rPr>
      </w:pPr>
    </w:p>
    <w:p w14:paraId="3EEE2D4D">
      <w:pPr>
        <w:rPr>
          <w:b/>
          <w:bCs/>
          <w:color w:val="auto"/>
        </w:rPr>
      </w:pPr>
      <w:r>
        <w:rPr>
          <w:b/>
          <w:bCs/>
          <w:color w:val="auto"/>
        </w:rPr>
        <w:t>Challenges in implementing cultural change</w:t>
      </w:r>
    </w:p>
    <w:p w14:paraId="524CA788">
      <w:pPr>
        <w:rPr>
          <w:color w:val="auto"/>
        </w:rPr>
      </w:pPr>
      <w:r>
        <w:rPr>
          <w:color w:val="auto"/>
        </w:rPr>
        <w:t xml:space="preserve">Resistance to change among employees arises due to fears of loss of control, ethical concerns, a lack of collaborative culture, or job insecurity. Moreover, Nwaimo </w:t>
      </w:r>
      <w:r>
        <w:rPr>
          <w:i/>
          <w:iCs/>
          <w:color w:val="auto"/>
        </w:rPr>
        <w:t xml:space="preserve">et al. </w:t>
      </w:r>
      <w:r>
        <w:rPr>
          <w:color w:val="auto"/>
        </w:rPr>
        <w:t xml:space="preserve">(2023) opined that overemphasis on analytics-driven monitoring may also raise ethical questions about privacy and inclusion issues for employees. Therefore, Walmart should focus on transparency regarding communication, cultural sensitivity, and ethical leadership to effectively reduce employee resistance and achieve lasting transformation success. Ethical considerations involve maintaining open communication, avoiding symbolic inclusion of diversity, and protecting employee privacy through data analysis. As opined by Tarnanidis </w:t>
      </w:r>
      <w:r>
        <w:rPr>
          <w:i/>
          <w:iCs/>
          <w:color w:val="auto"/>
        </w:rPr>
        <w:t>et al.</w:t>
      </w:r>
      <w:r>
        <w:rPr>
          <w:color w:val="auto"/>
        </w:rPr>
        <w:t xml:space="preserve"> (2025), balancing Inclusivity and efficiency with cultural awareness of different global marketplaces is crucial. </w:t>
      </w:r>
    </w:p>
    <w:p w14:paraId="61C3EDF6">
      <w:pPr>
        <w:rPr>
          <w:color w:val="auto"/>
        </w:rPr>
      </w:pPr>
    </w:p>
    <w:p w14:paraId="348CE33D">
      <w:pPr>
        <w:pStyle w:val="2"/>
        <w:rPr>
          <w:color w:val="auto"/>
        </w:rPr>
      </w:pPr>
      <w:bookmarkStart w:id="4" w:name="_Toc23492"/>
      <w:r>
        <w:rPr>
          <w:color w:val="auto"/>
        </w:rPr>
        <w:t>Scenario 3: Team Effectiveness and Development</w:t>
      </w:r>
      <w:bookmarkEnd w:id="4"/>
      <w:r>
        <w:rPr>
          <w:color w:val="auto"/>
        </w:rPr>
        <w:t xml:space="preserve"> </w:t>
      </w:r>
    </w:p>
    <w:p w14:paraId="1BF67214">
      <w:pPr>
        <w:rPr>
          <w:b/>
          <w:bCs/>
          <w:color w:val="auto"/>
        </w:rPr>
      </w:pPr>
      <w:r>
        <w:rPr>
          <w:b/>
          <w:bCs/>
          <w:color w:val="auto"/>
        </w:rPr>
        <w:t>Characteristics of high-performing teams</w:t>
      </w:r>
    </w:p>
    <w:p w14:paraId="588337B7">
      <w:pPr>
        <w:rPr>
          <w:color w:val="auto"/>
        </w:rPr>
      </w:pPr>
      <w:r>
        <w:rPr>
          <w:color w:val="auto"/>
        </w:rPr>
        <w:t>The two major characteristics of high-performance teams in an organisation like Walmart include agility through technological empowerment and an effective leadership culture.</w:t>
      </w:r>
    </w:p>
    <w:p w14:paraId="3CFD4823">
      <w:pPr>
        <w:rPr>
          <w:b/>
          <w:bCs/>
          <w:color w:val="auto"/>
        </w:rPr>
      </w:pPr>
      <w:r>
        <w:rPr>
          <w:b/>
          <w:bCs/>
          <w:color w:val="auto"/>
        </w:rPr>
        <w:t>Theory-driven team interventions for high-performing teams </w:t>
      </w:r>
    </w:p>
    <w:p w14:paraId="5BC54CB1">
      <w:pPr>
        <w:rPr>
          <w:color w:val="auto"/>
        </w:rPr>
      </w:pPr>
      <w:r>
        <w:rPr>
          <w:color w:val="auto"/>
        </w:rPr>
        <w:t xml:space="preserve">Transformational Leadership is a style of managing people, motivating teams and creating a pathway for development and success, accountability and organisational performance (Spinney, 2026). Moreover, Olanrewaju (2024) justifies this theory by highlighting that Transformational leaders utilise transformational leadership to assist organisations in managing change, innovation, and competition at a high level. However, in order to enhance the intervention Walmart may set up an AI-supported leadership dashboard for managers to monitor real-time indicators of employee engagement, productivity, task completion rates, and customer service performance. </w:t>
      </w:r>
      <w:r>
        <w:rPr>
          <w:color w:val="auto"/>
        </w:rPr>
        <w:fldChar w:fldCharType="begin"/>
      </w:r>
      <w:r>
        <w:rPr>
          <w:color w:val="auto"/>
        </w:rPr>
        <w:instrText xml:space="preserve"> HYPERLINK "https://www.researchgate.net/scientific-contributions/Isuru-Wijesekara-2319263488?_tp=eyJjb250ZXh0Ijp7ImZpcnN0UGFnZSI6InB1YmxpY2F0aW9uIiwicGFnZSI6InB1YmxpY2F0aW9uIn19" \h </w:instrText>
      </w:r>
      <w:r>
        <w:rPr>
          <w:color w:val="auto"/>
        </w:rPr>
        <w:fldChar w:fldCharType="separate"/>
      </w:r>
      <w:r>
        <w:rPr>
          <w:color w:val="auto"/>
        </w:rPr>
        <w:t>Isuru Wijesekara</w:t>
      </w:r>
      <w:r>
        <w:rPr>
          <w:color w:val="auto"/>
        </w:rPr>
        <w:fldChar w:fldCharType="end"/>
      </w:r>
      <w:r>
        <w:rPr>
          <w:color w:val="auto"/>
        </w:rPr>
        <w:t xml:space="preserve"> </w:t>
      </w:r>
      <w:r>
        <w:rPr>
          <w:i/>
          <w:iCs/>
          <w:color w:val="auto"/>
        </w:rPr>
        <w:t xml:space="preserve">et al. </w:t>
      </w:r>
      <w:r>
        <w:rPr>
          <w:color w:val="auto"/>
        </w:rPr>
        <w:t>(2020) identified in its review that the use of artificial intelligence and machine learning (ML) allows businesses to create dashboards that will help them to more quickly and accurately in their decision-making process. Traditional dashboards simply provide a summary of previous data, whereas these types of dashboards have the ability to recognise patterns in the data which are not evident from simply looking at historical data, they can predict trends and recommend the most effective course of action based upon the predictions. These types of dashboards will significantly enhance organizational performance by providing value added intelligence to assist managers in planning, identifying problems, and developing strategic decisions throughout the organization.</w:t>
      </w:r>
    </w:p>
    <w:p w14:paraId="3B1C044F">
      <w:pPr>
        <w:rPr>
          <w:color w:val="auto"/>
        </w:rPr>
      </w:pPr>
      <w:r>
        <w:rPr>
          <w:i/>
          <w:iCs/>
          <w:color w:val="auto"/>
        </w:rPr>
        <w:t xml:space="preserve">Tuckman's Team Development Theory </w:t>
      </w:r>
      <w:r>
        <w:rPr>
          <w:color w:val="auto"/>
        </w:rPr>
        <w:t xml:space="preserve">provides additional interventions for Walmart to enhance their team performance through utilising team-building activities, training on conflict management and collaborative problem-solving activities. </w:t>
      </w:r>
    </w:p>
    <w:p w14:paraId="3CDE14A7">
      <w:pPr>
        <w:rPr>
          <w:color w:val="auto"/>
        </w:rPr>
      </w:pPr>
    </w:p>
    <w:p w14:paraId="2ECB2F39">
      <w:pPr>
        <w:jc w:val="center"/>
        <w:rPr>
          <w:color w:val="auto"/>
        </w:rPr>
      </w:pPr>
      <w:r>
        <w:rPr>
          <w:color w:val="auto"/>
        </w:rPr>
        <w:drawing>
          <wp:inline distT="114300" distB="114300" distL="114300" distR="114300">
            <wp:extent cx="5943600" cy="33020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10"/>
                    <a:srcRect/>
                    <a:stretch>
                      <a:fillRect/>
                    </a:stretch>
                  </pic:blipFill>
                  <pic:spPr>
                    <a:xfrm>
                      <a:off x="0" y="0"/>
                      <a:ext cx="5943600" cy="3302000"/>
                    </a:xfrm>
                    <a:prstGeom prst="rect">
                      <a:avLst/>
                    </a:prstGeom>
                  </pic:spPr>
                </pic:pic>
              </a:graphicData>
            </a:graphic>
          </wp:inline>
        </w:drawing>
      </w:r>
    </w:p>
    <w:p w14:paraId="43DF6E68">
      <w:pPr>
        <w:jc w:val="center"/>
        <w:rPr>
          <w:b/>
          <w:bCs/>
          <w:color w:val="auto"/>
        </w:rPr>
      </w:pPr>
      <w:r>
        <w:rPr>
          <w:b/>
          <w:bCs/>
          <w:color w:val="auto"/>
        </w:rPr>
        <w:t>Figure 3: Tuckman’s group development Model</w:t>
      </w:r>
    </w:p>
    <w:p w14:paraId="6D9B574E">
      <w:pPr>
        <w:jc w:val="center"/>
        <w:rPr>
          <w:color w:val="auto"/>
        </w:rPr>
      </w:pPr>
      <w:r>
        <w:rPr>
          <w:color w:val="auto"/>
        </w:rPr>
        <w:t>(Source: Symonds, 2025)</w:t>
      </w:r>
    </w:p>
    <w:p w14:paraId="7B714F22">
      <w:pPr>
        <w:rPr>
          <w:color w:val="auto"/>
        </w:rPr>
      </w:pPr>
      <w:r>
        <w:rPr>
          <w:color w:val="auto"/>
        </w:rPr>
        <w:t>The above image highlights the five stages of group development of Tuckman’s.</w:t>
      </w:r>
    </w:p>
    <w:p w14:paraId="44F5B8AC">
      <w:pPr>
        <w:rPr>
          <w:color w:val="auto"/>
        </w:rPr>
      </w:pPr>
      <w:r>
        <w:rPr>
          <w:color w:val="auto"/>
        </w:rPr>
        <w:t xml:space="preserve">The review by West Chester University (2024) states that the stages of team development, as defined by Tuckman's Stages of Team Development, indicate how teams achieve high levels of performance gradually through five phases (forming, storming, norming, performing, and adjourning).  </w:t>
      </w:r>
    </w:p>
    <w:p w14:paraId="21BA78ED">
      <w:pPr>
        <w:rPr>
          <w:color w:val="auto"/>
        </w:rPr>
      </w:pPr>
    </w:p>
    <w:p w14:paraId="09BDD8CB">
      <w:pPr>
        <w:rPr>
          <w:b/>
          <w:bCs/>
          <w:color w:val="auto"/>
        </w:rPr>
      </w:pPr>
      <w:r>
        <w:rPr>
          <w:b/>
          <w:bCs/>
          <w:color w:val="auto"/>
        </w:rPr>
        <w:t>Rationale behind these interventions</w:t>
      </w:r>
    </w:p>
    <w:p w14:paraId="53329C2B">
      <w:pPr>
        <w:rPr>
          <w:color w:val="auto"/>
        </w:rPr>
      </w:pPr>
      <w:r>
        <w:rPr>
          <w:color w:val="auto"/>
        </w:rPr>
        <w:t xml:space="preserve">The proposed interventions can improve team performance at Walmart through strengthening team collaborations, strategic adaptability regarding the realities of the market, and the use of digital data and online marketing. As per Jones (2019), the rising level of complexity throughout the world continues to present challenges for organisations that find themselves undergoing many types of change. According to Tuckman's Team Development Theory, a team will develop gradually as they become a high-performing team through team development. </w:t>
      </w:r>
    </w:p>
    <w:p w14:paraId="579DEED8">
      <w:pPr>
        <w:rPr>
          <w:color w:val="auto"/>
        </w:rPr>
      </w:pPr>
      <w:r>
        <w:rPr>
          <w:color w:val="auto"/>
        </w:rPr>
        <w:t xml:space="preserve">In addition, leadership interventions facilitate the successful management of organisational changes, including technological and operational changes. For instance, data shows that 3D product model development through customer immersion in the UK increases purchasing intent by 29% (Mytotalretail, 2025).  Additionally, Walmart can align performance management with predictive workforce analytics. Asher </w:t>
      </w:r>
      <w:r>
        <w:rPr>
          <w:i/>
          <w:iCs/>
          <w:color w:val="auto"/>
        </w:rPr>
        <w:t xml:space="preserve">et al. </w:t>
      </w:r>
      <w:r>
        <w:rPr>
          <w:color w:val="auto"/>
        </w:rPr>
        <w:t xml:space="preserve">(2021) argues that with the use of predictive workforce analytics, organisations are evolving to transform their employee management from simply looking at historic performance, to leveraging data and technology to project future employee performance. Managers can utilise advanced technology such as machine learning to provide early warning signals that an employee may be having difficulty, as well as providing information regarding who is ready to advance. Therefore, allowing the employer to intervene at the right moment through a tailored training programme, resulting in increased employee engagement, increased productivity and lower turnover rates.     </w:t>
      </w:r>
    </w:p>
    <w:p w14:paraId="60E0AA69">
      <w:pPr>
        <w:rPr>
          <w:b/>
          <w:bCs/>
          <w:color w:val="auto"/>
        </w:rPr>
      </w:pPr>
      <w:r>
        <w:rPr>
          <w:b/>
          <w:bCs/>
          <w:color w:val="auto"/>
        </w:rPr>
        <w:t>Best practices in team working agreements</w:t>
      </w:r>
    </w:p>
    <w:p w14:paraId="25F66519">
      <w:pPr>
        <w:rPr>
          <w:color w:val="auto"/>
        </w:rPr>
      </w:pPr>
      <w:r>
        <w:rPr>
          <w:color w:val="auto"/>
        </w:rPr>
        <w:t xml:space="preserve">The best practices to enhance cohesiveness in the team working environment are related to the improvement of innovation potentials, developing inclusiveness in the work environment, as well as boosting operational efficiency for the betterment of an organisation (Paredes-Saavedra </w:t>
      </w:r>
      <w:r>
        <w:rPr>
          <w:i/>
          <w:iCs/>
          <w:color w:val="auto"/>
        </w:rPr>
        <w:t xml:space="preserve">et al. </w:t>
      </w:r>
      <w:r>
        <w:rPr>
          <w:color w:val="auto"/>
        </w:rPr>
        <w:t>2024).</w:t>
      </w:r>
    </w:p>
    <w:p w14:paraId="78913995">
      <w:pPr>
        <w:rPr>
          <w:color w:val="auto"/>
        </w:rPr>
      </w:pPr>
      <w:r>
        <w:rPr>
          <w:color w:val="auto"/>
        </w:rPr>
        <w:t xml:space="preserve">In this context, an effective strategy to ensure better team engagement can include the development of customer-focused work objectives and the establishment of measurable key performance indicators (KPIs). KPIs such as revenue growth, net promoter score (NPS), customer satisfaction and employee satisfaction can help a team leader to achieve better decision-making (Aithal and Aithal, 2023). Therefore, the best practices that should be followed by Walmart’s team leaders and the staff include the establishment of standard and understandable KPI, and the establishment of clear work norms.        </w:t>
      </w:r>
    </w:p>
    <w:p w14:paraId="765B1099">
      <w:pPr>
        <w:rPr>
          <w:b/>
          <w:bCs/>
          <w:color w:val="auto"/>
        </w:rPr>
      </w:pPr>
      <w:r>
        <w:rPr>
          <w:b/>
          <w:bCs/>
          <w:color w:val="auto"/>
        </w:rPr>
        <w:t xml:space="preserve">Contribution of teamwork agreements for team cohesion, performance optimisation and accountability </w:t>
      </w:r>
    </w:p>
    <w:p w14:paraId="1E98A702">
      <w:pPr>
        <w:rPr>
          <w:color w:val="auto"/>
        </w:rPr>
      </w:pPr>
      <w:r>
        <w:rPr>
          <w:color w:val="auto"/>
        </w:rPr>
        <w:t xml:space="preserve">The implementation of team working agreements has a positive impact on the overall working environment of an organisation, due to better accountability, employment protection and continuous performance assessment (Petitta and Ghezzi, 2025). In the case of Walmart, the establishment of clear work norms and KPI standards regarding the evaluation of overall performance can also enhance the capability of the leadership to improve work standards, as well as strengthen trust among the team members. As a result of this, it is observed that, in Unilever, talent-focused performance optimisation enhanced 27% improvement in productivity and 27% reduction of wastes generated in the factories and warehouses (Unilever, 2025). Based on this example, team cohesion and engagement are crucial for Walmart to further improve the performance of data-driven teams and boost market competitiveness and customer satisfaction. However, there are potential biases in the measurement of the indicators in KPI systems when they do not reflect qualitative performance, including teamwork, creativity, customer empathy, and problem-solving. An excessive reliance on quantitative targets may lead employees to prioritise measurable targets over other organisational goals.   </w:t>
      </w:r>
    </w:p>
    <w:p w14:paraId="614BC114">
      <w:pPr>
        <w:rPr>
          <w:color w:val="auto"/>
        </w:rPr>
      </w:pPr>
    </w:p>
    <w:tbl>
      <w:tblPr>
        <w:tblStyle w:val="17"/>
        <w:tblW w:w="936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935"/>
        <w:gridCol w:w="2160"/>
        <w:gridCol w:w="3015"/>
        <w:gridCol w:w="2250"/>
      </w:tblGrid>
      <w:tr w14:paraId="281FF4D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1935" w:type="dxa"/>
            <w:tcBorders>
              <w:top w:val="nil"/>
              <w:left w:val="nil"/>
              <w:bottom w:val="nil"/>
              <w:right w:val="nil"/>
            </w:tcBorders>
            <w:shd w:val="clear" w:color="auto" w:fill="B6D7A8"/>
            <w:tcMar>
              <w:top w:w="100" w:type="dxa"/>
              <w:left w:w="100" w:type="dxa"/>
              <w:bottom w:w="100" w:type="dxa"/>
              <w:right w:w="100" w:type="dxa"/>
            </w:tcMar>
          </w:tcPr>
          <w:p w14:paraId="323B15CD">
            <w:pPr>
              <w:jc w:val="center"/>
              <w:rPr>
                <w:color w:val="auto"/>
              </w:rPr>
            </w:pPr>
            <w:r>
              <w:rPr>
                <w:b/>
                <w:bCs/>
                <w:color w:val="auto"/>
              </w:rPr>
              <w:t>Balanced Scorecard Dimension</w:t>
            </w:r>
          </w:p>
        </w:tc>
        <w:tc>
          <w:tcPr>
            <w:tcW w:w="2160" w:type="dxa"/>
            <w:tcBorders>
              <w:top w:val="nil"/>
              <w:left w:val="nil"/>
              <w:bottom w:val="nil"/>
              <w:right w:val="nil"/>
            </w:tcBorders>
            <w:shd w:val="clear" w:color="auto" w:fill="B6D7A8"/>
            <w:tcMar>
              <w:top w:w="100" w:type="dxa"/>
              <w:left w:w="100" w:type="dxa"/>
              <w:bottom w:w="100" w:type="dxa"/>
              <w:right w:w="100" w:type="dxa"/>
            </w:tcMar>
          </w:tcPr>
          <w:p w14:paraId="1FC024C7">
            <w:pPr>
              <w:jc w:val="center"/>
              <w:rPr>
                <w:color w:val="auto"/>
              </w:rPr>
            </w:pPr>
            <w:r>
              <w:rPr>
                <w:b/>
                <w:bCs/>
                <w:color w:val="auto"/>
              </w:rPr>
              <w:t>KPI</w:t>
            </w:r>
          </w:p>
        </w:tc>
        <w:tc>
          <w:tcPr>
            <w:tcW w:w="3015" w:type="dxa"/>
            <w:tcBorders>
              <w:top w:val="nil"/>
              <w:left w:val="nil"/>
              <w:bottom w:val="nil"/>
              <w:right w:val="nil"/>
            </w:tcBorders>
            <w:shd w:val="clear" w:color="auto" w:fill="B6D7A8"/>
            <w:tcMar>
              <w:top w:w="100" w:type="dxa"/>
              <w:left w:w="100" w:type="dxa"/>
              <w:bottom w:w="100" w:type="dxa"/>
              <w:right w:w="100" w:type="dxa"/>
            </w:tcMar>
          </w:tcPr>
          <w:p w14:paraId="294FAED3">
            <w:pPr>
              <w:jc w:val="center"/>
              <w:rPr>
                <w:color w:val="auto"/>
              </w:rPr>
            </w:pPr>
            <w:r>
              <w:rPr>
                <w:b/>
                <w:bCs/>
                <w:color w:val="auto"/>
              </w:rPr>
              <w:t>Purpose</w:t>
            </w:r>
          </w:p>
        </w:tc>
        <w:tc>
          <w:tcPr>
            <w:tcW w:w="2250" w:type="dxa"/>
            <w:tcBorders>
              <w:top w:val="nil"/>
              <w:left w:val="nil"/>
              <w:bottom w:val="nil"/>
              <w:right w:val="nil"/>
            </w:tcBorders>
            <w:shd w:val="clear" w:color="auto" w:fill="B6D7A8"/>
            <w:tcMar>
              <w:top w:w="100" w:type="dxa"/>
              <w:left w:w="100" w:type="dxa"/>
              <w:bottom w:w="100" w:type="dxa"/>
              <w:right w:w="100" w:type="dxa"/>
            </w:tcMar>
          </w:tcPr>
          <w:p w14:paraId="70F2A7E5">
            <w:pPr>
              <w:jc w:val="center"/>
              <w:rPr>
                <w:color w:val="auto"/>
              </w:rPr>
            </w:pPr>
            <w:r>
              <w:rPr>
                <w:b/>
                <w:bCs/>
                <w:color w:val="auto"/>
              </w:rPr>
              <w:t>Example Target for Walmart</w:t>
            </w:r>
          </w:p>
        </w:tc>
      </w:tr>
      <w:tr w14:paraId="0B6EE7A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trPr>
        <w:tc>
          <w:tcPr>
            <w:tcW w:w="1935" w:type="dxa"/>
            <w:tcBorders>
              <w:top w:val="nil"/>
              <w:left w:val="nil"/>
              <w:bottom w:val="nil"/>
              <w:right w:val="nil"/>
            </w:tcBorders>
            <w:shd w:val="clear" w:color="auto" w:fill="FFF2CC"/>
            <w:tcMar>
              <w:top w:w="100" w:type="dxa"/>
              <w:left w:w="100" w:type="dxa"/>
              <w:bottom w:w="100" w:type="dxa"/>
              <w:right w:w="100" w:type="dxa"/>
            </w:tcMar>
          </w:tcPr>
          <w:p w14:paraId="6D002D93">
            <w:pPr>
              <w:rPr>
                <w:color w:val="auto"/>
              </w:rPr>
            </w:pPr>
            <w:r>
              <w:rPr>
                <w:color w:val="auto"/>
              </w:rPr>
              <w:t>Financial</w:t>
            </w:r>
          </w:p>
        </w:tc>
        <w:tc>
          <w:tcPr>
            <w:tcW w:w="2160" w:type="dxa"/>
            <w:tcBorders>
              <w:top w:val="nil"/>
              <w:left w:val="nil"/>
              <w:bottom w:val="nil"/>
              <w:right w:val="nil"/>
            </w:tcBorders>
            <w:shd w:val="clear" w:color="auto" w:fill="EAD1DC"/>
            <w:tcMar>
              <w:top w:w="100" w:type="dxa"/>
              <w:left w:w="100" w:type="dxa"/>
              <w:bottom w:w="100" w:type="dxa"/>
              <w:right w:w="100" w:type="dxa"/>
            </w:tcMar>
          </w:tcPr>
          <w:p w14:paraId="3AE141F6">
            <w:pPr>
              <w:rPr>
                <w:color w:val="auto"/>
              </w:rPr>
            </w:pPr>
            <w:r>
              <w:rPr>
                <w:color w:val="auto"/>
              </w:rPr>
              <w:t>Revenue Growth Rate</w:t>
            </w:r>
          </w:p>
        </w:tc>
        <w:tc>
          <w:tcPr>
            <w:tcW w:w="3015" w:type="dxa"/>
            <w:tcBorders>
              <w:top w:val="nil"/>
              <w:left w:val="nil"/>
              <w:bottom w:val="nil"/>
              <w:right w:val="nil"/>
            </w:tcBorders>
            <w:shd w:val="clear" w:color="auto" w:fill="EAD1DC"/>
            <w:tcMar>
              <w:top w:w="100" w:type="dxa"/>
              <w:left w:w="100" w:type="dxa"/>
              <w:bottom w:w="100" w:type="dxa"/>
              <w:right w:w="100" w:type="dxa"/>
            </w:tcMar>
          </w:tcPr>
          <w:p w14:paraId="6EAC4106">
            <w:pPr>
              <w:rPr>
                <w:color w:val="auto"/>
              </w:rPr>
            </w:pPr>
            <w:r>
              <w:rPr>
                <w:color w:val="auto"/>
              </w:rPr>
              <w:t>Measures increase in sales and profitability</w:t>
            </w:r>
          </w:p>
        </w:tc>
        <w:tc>
          <w:tcPr>
            <w:tcW w:w="2250" w:type="dxa"/>
            <w:tcBorders>
              <w:top w:val="nil"/>
              <w:left w:val="nil"/>
              <w:bottom w:val="nil"/>
              <w:right w:val="nil"/>
            </w:tcBorders>
            <w:shd w:val="clear" w:color="auto" w:fill="EAD1DC"/>
            <w:tcMar>
              <w:top w:w="100" w:type="dxa"/>
              <w:left w:w="100" w:type="dxa"/>
              <w:bottom w:w="100" w:type="dxa"/>
              <w:right w:w="100" w:type="dxa"/>
            </w:tcMar>
          </w:tcPr>
          <w:p w14:paraId="61476808">
            <w:pPr>
              <w:rPr>
                <w:color w:val="auto"/>
              </w:rPr>
            </w:pPr>
            <w:r>
              <w:rPr>
                <w:color w:val="auto"/>
              </w:rPr>
              <w:t>10% annual sales growth</w:t>
            </w:r>
          </w:p>
        </w:tc>
      </w:tr>
      <w:tr w14:paraId="34AF0A4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1935" w:type="dxa"/>
            <w:tcBorders>
              <w:top w:val="nil"/>
              <w:left w:val="nil"/>
              <w:bottom w:val="nil"/>
              <w:right w:val="nil"/>
            </w:tcBorders>
            <w:shd w:val="clear" w:color="auto" w:fill="FFF2CC"/>
            <w:tcMar>
              <w:top w:w="100" w:type="dxa"/>
              <w:left w:w="100" w:type="dxa"/>
              <w:bottom w:w="100" w:type="dxa"/>
              <w:right w:w="100" w:type="dxa"/>
            </w:tcMar>
          </w:tcPr>
          <w:p w14:paraId="38B8D478">
            <w:pPr>
              <w:rPr>
                <w:color w:val="auto"/>
              </w:rPr>
            </w:pPr>
            <w:r>
              <w:rPr>
                <w:color w:val="auto"/>
              </w:rPr>
              <w:t>Financial</w:t>
            </w:r>
          </w:p>
        </w:tc>
        <w:tc>
          <w:tcPr>
            <w:tcW w:w="2160" w:type="dxa"/>
            <w:tcBorders>
              <w:top w:val="nil"/>
              <w:left w:val="nil"/>
              <w:bottom w:val="nil"/>
              <w:right w:val="nil"/>
            </w:tcBorders>
            <w:shd w:val="clear" w:color="auto" w:fill="CFE2F3"/>
            <w:tcMar>
              <w:top w:w="100" w:type="dxa"/>
              <w:left w:w="100" w:type="dxa"/>
              <w:bottom w:w="100" w:type="dxa"/>
              <w:right w:w="100" w:type="dxa"/>
            </w:tcMar>
          </w:tcPr>
          <w:p w14:paraId="25BBD64A">
            <w:pPr>
              <w:rPr>
                <w:color w:val="auto"/>
              </w:rPr>
            </w:pPr>
            <w:r>
              <w:rPr>
                <w:color w:val="auto"/>
              </w:rPr>
              <w:t>Operating Cost Reduction</w:t>
            </w:r>
          </w:p>
        </w:tc>
        <w:tc>
          <w:tcPr>
            <w:tcW w:w="3015" w:type="dxa"/>
            <w:tcBorders>
              <w:top w:val="nil"/>
              <w:left w:val="nil"/>
              <w:bottom w:val="nil"/>
              <w:right w:val="nil"/>
            </w:tcBorders>
            <w:shd w:val="clear" w:color="auto" w:fill="CFE2F3"/>
            <w:tcMar>
              <w:top w:w="100" w:type="dxa"/>
              <w:left w:w="100" w:type="dxa"/>
              <w:bottom w:w="100" w:type="dxa"/>
              <w:right w:w="100" w:type="dxa"/>
            </w:tcMar>
          </w:tcPr>
          <w:p w14:paraId="32188E6E">
            <w:pPr>
              <w:rPr>
                <w:color w:val="auto"/>
              </w:rPr>
            </w:pPr>
            <w:r>
              <w:rPr>
                <w:color w:val="auto"/>
              </w:rPr>
              <w:t>Evaluates efficiency in managing operational expenses</w:t>
            </w:r>
          </w:p>
        </w:tc>
        <w:tc>
          <w:tcPr>
            <w:tcW w:w="2250" w:type="dxa"/>
            <w:tcBorders>
              <w:top w:val="nil"/>
              <w:left w:val="nil"/>
              <w:bottom w:val="nil"/>
              <w:right w:val="nil"/>
            </w:tcBorders>
            <w:shd w:val="clear" w:color="auto" w:fill="CFE2F3"/>
            <w:tcMar>
              <w:top w:w="100" w:type="dxa"/>
              <w:left w:w="100" w:type="dxa"/>
              <w:bottom w:w="100" w:type="dxa"/>
              <w:right w:w="100" w:type="dxa"/>
            </w:tcMar>
          </w:tcPr>
          <w:p w14:paraId="731CD89E">
            <w:pPr>
              <w:rPr>
                <w:color w:val="auto"/>
              </w:rPr>
            </w:pPr>
            <w:r>
              <w:rPr>
                <w:color w:val="auto"/>
              </w:rPr>
              <w:t>Reduce logistics costs by 5%</w:t>
            </w:r>
          </w:p>
        </w:tc>
      </w:tr>
      <w:tr w14:paraId="3F3F267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1935" w:type="dxa"/>
            <w:tcBorders>
              <w:top w:val="nil"/>
              <w:left w:val="nil"/>
              <w:bottom w:val="nil"/>
              <w:right w:val="nil"/>
            </w:tcBorders>
            <w:shd w:val="clear" w:color="auto" w:fill="FFF2CC"/>
            <w:tcMar>
              <w:top w:w="100" w:type="dxa"/>
              <w:left w:w="100" w:type="dxa"/>
              <w:bottom w:w="100" w:type="dxa"/>
              <w:right w:w="100" w:type="dxa"/>
            </w:tcMar>
          </w:tcPr>
          <w:p w14:paraId="3A2925F9">
            <w:pPr>
              <w:rPr>
                <w:color w:val="auto"/>
              </w:rPr>
            </w:pPr>
            <w:r>
              <w:rPr>
                <w:color w:val="auto"/>
              </w:rPr>
              <w:t>Customer</w:t>
            </w:r>
          </w:p>
        </w:tc>
        <w:tc>
          <w:tcPr>
            <w:tcW w:w="2160" w:type="dxa"/>
            <w:tcBorders>
              <w:top w:val="nil"/>
              <w:left w:val="nil"/>
              <w:bottom w:val="nil"/>
              <w:right w:val="nil"/>
            </w:tcBorders>
            <w:shd w:val="clear" w:color="auto" w:fill="F4CCCC"/>
            <w:tcMar>
              <w:top w:w="100" w:type="dxa"/>
              <w:left w:w="100" w:type="dxa"/>
              <w:bottom w:w="100" w:type="dxa"/>
              <w:right w:w="100" w:type="dxa"/>
            </w:tcMar>
          </w:tcPr>
          <w:p w14:paraId="57A28A70">
            <w:pPr>
              <w:rPr>
                <w:color w:val="auto"/>
              </w:rPr>
            </w:pPr>
            <w:r>
              <w:rPr>
                <w:color w:val="auto"/>
              </w:rPr>
              <w:t>Customer Satisfaction Score (CSAT)</w:t>
            </w:r>
          </w:p>
        </w:tc>
        <w:tc>
          <w:tcPr>
            <w:tcW w:w="3015" w:type="dxa"/>
            <w:tcBorders>
              <w:top w:val="nil"/>
              <w:left w:val="nil"/>
              <w:bottom w:val="nil"/>
              <w:right w:val="nil"/>
            </w:tcBorders>
            <w:shd w:val="clear" w:color="auto" w:fill="F4CCCC"/>
            <w:tcMar>
              <w:top w:w="100" w:type="dxa"/>
              <w:left w:w="100" w:type="dxa"/>
              <w:bottom w:w="100" w:type="dxa"/>
              <w:right w:w="100" w:type="dxa"/>
            </w:tcMar>
          </w:tcPr>
          <w:p w14:paraId="11A5C162">
            <w:pPr>
              <w:rPr>
                <w:color w:val="auto"/>
              </w:rPr>
            </w:pPr>
            <w:r>
              <w:rPr>
                <w:color w:val="auto"/>
              </w:rPr>
              <w:t>Assesses customer experience and service quality</w:t>
            </w:r>
          </w:p>
        </w:tc>
        <w:tc>
          <w:tcPr>
            <w:tcW w:w="2250" w:type="dxa"/>
            <w:tcBorders>
              <w:top w:val="nil"/>
              <w:left w:val="nil"/>
              <w:bottom w:val="nil"/>
              <w:right w:val="nil"/>
            </w:tcBorders>
            <w:shd w:val="clear" w:color="auto" w:fill="F4CCCC"/>
            <w:tcMar>
              <w:top w:w="100" w:type="dxa"/>
              <w:left w:w="100" w:type="dxa"/>
              <w:bottom w:w="100" w:type="dxa"/>
              <w:right w:w="100" w:type="dxa"/>
            </w:tcMar>
          </w:tcPr>
          <w:p w14:paraId="1EF88626">
            <w:pPr>
              <w:rPr>
                <w:color w:val="auto"/>
              </w:rPr>
            </w:pPr>
            <w:r>
              <w:rPr>
                <w:color w:val="auto"/>
              </w:rPr>
              <w:t>Achieve 90% customer satisfaction</w:t>
            </w:r>
          </w:p>
        </w:tc>
      </w:tr>
      <w:tr w14:paraId="7463009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1935" w:type="dxa"/>
            <w:tcBorders>
              <w:top w:val="nil"/>
              <w:left w:val="nil"/>
              <w:bottom w:val="nil"/>
              <w:right w:val="nil"/>
            </w:tcBorders>
            <w:shd w:val="clear" w:color="auto" w:fill="FFF2CC"/>
            <w:tcMar>
              <w:top w:w="100" w:type="dxa"/>
              <w:left w:w="100" w:type="dxa"/>
              <w:bottom w:w="100" w:type="dxa"/>
              <w:right w:w="100" w:type="dxa"/>
            </w:tcMar>
          </w:tcPr>
          <w:p w14:paraId="74B361B8">
            <w:pPr>
              <w:rPr>
                <w:color w:val="auto"/>
              </w:rPr>
            </w:pPr>
            <w:r>
              <w:rPr>
                <w:color w:val="auto"/>
              </w:rPr>
              <w:t>Internal Business Processes</w:t>
            </w:r>
          </w:p>
        </w:tc>
        <w:tc>
          <w:tcPr>
            <w:tcW w:w="2160" w:type="dxa"/>
            <w:tcBorders>
              <w:top w:val="nil"/>
              <w:left w:val="nil"/>
              <w:bottom w:val="nil"/>
              <w:right w:val="nil"/>
            </w:tcBorders>
            <w:shd w:val="clear" w:color="auto" w:fill="E6B8AF"/>
            <w:tcMar>
              <w:top w:w="100" w:type="dxa"/>
              <w:left w:w="100" w:type="dxa"/>
              <w:bottom w:w="100" w:type="dxa"/>
              <w:right w:w="100" w:type="dxa"/>
            </w:tcMar>
          </w:tcPr>
          <w:p w14:paraId="20B8BC6B">
            <w:pPr>
              <w:rPr>
                <w:color w:val="auto"/>
              </w:rPr>
            </w:pPr>
            <w:r>
              <w:rPr>
                <w:color w:val="auto"/>
              </w:rPr>
              <w:t>Order Fulfilment Time</w:t>
            </w:r>
          </w:p>
        </w:tc>
        <w:tc>
          <w:tcPr>
            <w:tcW w:w="3015" w:type="dxa"/>
            <w:tcBorders>
              <w:top w:val="nil"/>
              <w:left w:val="nil"/>
              <w:bottom w:val="nil"/>
              <w:right w:val="nil"/>
            </w:tcBorders>
            <w:shd w:val="clear" w:color="auto" w:fill="E6B8AF"/>
            <w:tcMar>
              <w:top w:w="100" w:type="dxa"/>
              <w:left w:w="100" w:type="dxa"/>
              <w:bottom w:w="100" w:type="dxa"/>
              <w:right w:w="100" w:type="dxa"/>
            </w:tcMar>
          </w:tcPr>
          <w:p w14:paraId="6A210FFD">
            <w:pPr>
              <w:rPr>
                <w:color w:val="auto"/>
              </w:rPr>
            </w:pPr>
            <w:r>
              <w:rPr>
                <w:color w:val="auto"/>
              </w:rPr>
              <w:t>Measures speed and efficiency of delivery processes</w:t>
            </w:r>
          </w:p>
        </w:tc>
        <w:tc>
          <w:tcPr>
            <w:tcW w:w="2250" w:type="dxa"/>
            <w:tcBorders>
              <w:top w:val="nil"/>
              <w:left w:val="nil"/>
              <w:bottom w:val="nil"/>
              <w:right w:val="nil"/>
            </w:tcBorders>
            <w:shd w:val="clear" w:color="auto" w:fill="E6B8AF"/>
            <w:tcMar>
              <w:top w:w="100" w:type="dxa"/>
              <w:left w:w="100" w:type="dxa"/>
              <w:bottom w:w="100" w:type="dxa"/>
              <w:right w:w="100" w:type="dxa"/>
            </w:tcMar>
          </w:tcPr>
          <w:p w14:paraId="116F42D1">
            <w:pPr>
              <w:rPr>
                <w:color w:val="auto"/>
              </w:rPr>
            </w:pPr>
            <w:r>
              <w:rPr>
                <w:color w:val="auto"/>
              </w:rPr>
              <w:t>Deliver 95% of orders within 24 hours</w:t>
            </w:r>
          </w:p>
        </w:tc>
      </w:tr>
      <w:tr w14:paraId="1C90DA5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1935" w:type="dxa"/>
            <w:tcBorders>
              <w:top w:val="nil"/>
              <w:left w:val="nil"/>
              <w:bottom w:val="nil"/>
              <w:right w:val="nil"/>
            </w:tcBorders>
            <w:shd w:val="clear" w:color="auto" w:fill="FFF2CC"/>
            <w:tcMar>
              <w:top w:w="100" w:type="dxa"/>
              <w:left w:w="100" w:type="dxa"/>
              <w:bottom w:w="100" w:type="dxa"/>
              <w:right w:w="100" w:type="dxa"/>
            </w:tcMar>
          </w:tcPr>
          <w:p w14:paraId="151AE206">
            <w:pPr>
              <w:rPr>
                <w:color w:val="auto"/>
              </w:rPr>
            </w:pPr>
            <w:r>
              <w:rPr>
                <w:color w:val="auto"/>
              </w:rPr>
              <w:t>Internal Business Processes</w:t>
            </w:r>
          </w:p>
        </w:tc>
        <w:tc>
          <w:tcPr>
            <w:tcW w:w="2160" w:type="dxa"/>
            <w:tcBorders>
              <w:top w:val="nil"/>
              <w:left w:val="nil"/>
              <w:bottom w:val="nil"/>
              <w:right w:val="nil"/>
            </w:tcBorders>
            <w:shd w:val="clear" w:color="auto" w:fill="D0E0E3"/>
            <w:tcMar>
              <w:top w:w="100" w:type="dxa"/>
              <w:left w:w="100" w:type="dxa"/>
              <w:bottom w:w="100" w:type="dxa"/>
              <w:right w:w="100" w:type="dxa"/>
            </w:tcMar>
          </w:tcPr>
          <w:p w14:paraId="435DBE25">
            <w:pPr>
              <w:rPr>
                <w:color w:val="auto"/>
              </w:rPr>
            </w:pPr>
            <w:r>
              <w:rPr>
                <w:color w:val="auto"/>
              </w:rPr>
              <w:t>Inventory Accuracy</w:t>
            </w:r>
          </w:p>
        </w:tc>
        <w:tc>
          <w:tcPr>
            <w:tcW w:w="3015" w:type="dxa"/>
            <w:tcBorders>
              <w:top w:val="nil"/>
              <w:left w:val="nil"/>
              <w:bottom w:val="nil"/>
              <w:right w:val="nil"/>
            </w:tcBorders>
            <w:shd w:val="clear" w:color="auto" w:fill="D0E0E3"/>
            <w:tcMar>
              <w:top w:w="100" w:type="dxa"/>
              <w:left w:w="100" w:type="dxa"/>
              <w:bottom w:w="100" w:type="dxa"/>
              <w:right w:w="100" w:type="dxa"/>
            </w:tcMar>
          </w:tcPr>
          <w:p w14:paraId="7E547398">
            <w:pPr>
              <w:rPr>
                <w:color w:val="auto"/>
              </w:rPr>
            </w:pPr>
            <w:r>
              <w:rPr>
                <w:color w:val="auto"/>
              </w:rPr>
              <w:t>Tracks effectiveness of inventory management systems</w:t>
            </w:r>
          </w:p>
        </w:tc>
        <w:tc>
          <w:tcPr>
            <w:tcW w:w="2250" w:type="dxa"/>
            <w:tcBorders>
              <w:top w:val="nil"/>
              <w:left w:val="nil"/>
              <w:bottom w:val="nil"/>
              <w:right w:val="nil"/>
            </w:tcBorders>
            <w:shd w:val="clear" w:color="auto" w:fill="D0E0E3"/>
            <w:tcMar>
              <w:top w:w="100" w:type="dxa"/>
              <w:left w:w="100" w:type="dxa"/>
              <w:bottom w:w="100" w:type="dxa"/>
              <w:right w:w="100" w:type="dxa"/>
            </w:tcMar>
          </w:tcPr>
          <w:p w14:paraId="08E38C7A">
            <w:pPr>
              <w:rPr>
                <w:color w:val="auto"/>
              </w:rPr>
            </w:pPr>
            <w:r>
              <w:rPr>
                <w:color w:val="auto"/>
              </w:rPr>
              <w:t>Maintain 98% inventory accuracy</w:t>
            </w:r>
          </w:p>
        </w:tc>
      </w:tr>
      <w:tr w14:paraId="3270D9B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1935" w:type="dxa"/>
            <w:tcBorders>
              <w:top w:val="nil"/>
              <w:left w:val="nil"/>
              <w:bottom w:val="nil"/>
              <w:right w:val="nil"/>
            </w:tcBorders>
            <w:shd w:val="clear" w:color="auto" w:fill="FFF2CC"/>
            <w:tcMar>
              <w:top w:w="100" w:type="dxa"/>
              <w:left w:w="100" w:type="dxa"/>
              <w:bottom w:w="100" w:type="dxa"/>
              <w:right w:w="100" w:type="dxa"/>
            </w:tcMar>
          </w:tcPr>
          <w:p w14:paraId="7C153A61">
            <w:pPr>
              <w:rPr>
                <w:color w:val="auto"/>
              </w:rPr>
            </w:pPr>
            <w:r>
              <w:rPr>
                <w:color w:val="auto"/>
              </w:rPr>
              <w:t>Learning and Growth</w:t>
            </w:r>
          </w:p>
        </w:tc>
        <w:tc>
          <w:tcPr>
            <w:tcW w:w="2160" w:type="dxa"/>
            <w:tcBorders>
              <w:top w:val="nil"/>
              <w:left w:val="nil"/>
              <w:bottom w:val="nil"/>
              <w:right w:val="nil"/>
            </w:tcBorders>
            <w:shd w:val="clear" w:color="auto" w:fill="D9EAD3"/>
            <w:tcMar>
              <w:top w:w="100" w:type="dxa"/>
              <w:left w:w="100" w:type="dxa"/>
              <w:bottom w:w="100" w:type="dxa"/>
              <w:right w:w="100" w:type="dxa"/>
            </w:tcMar>
          </w:tcPr>
          <w:p w14:paraId="556DA854">
            <w:pPr>
              <w:rPr>
                <w:color w:val="auto"/>
              </w:rPr>
            </w:pPr>
            <w:r>
              <w:rPr>
                <w:color w:val="auto"/>
              </w:rPr>
              <w:t>Employee Training Completion Rate</w:t>
            </w:r>
          </w:p>
        </w:tc>
        <w:tc>
          <w:tcPr>
            <w:tcW w:w="3015" w:type="dxa"/>
            <w:tcBorders>
              <w:top w:val="nil"/>
              <w:left w:val="nil"/>
              <w:bottom w:val="nil"/>
              <w:right w:val="nil"/>
            </w:tcBorders>
            <w:shd w:val="clear" w:color="auto" w:fill="D9EAD3"/>
            <w:tcMar>
              <w:top w:w="100" w:type="dxa"/>
              <w:left w:w="100" w:type="dxa"/>
              <w:bottom w:w="100" w:type="dxa"/>
              <w:right w:w="100" w:type="dxa"/>
            </w:tcMar>
          </w:tcPr>
          <w:p w14:paraId="6ADF798D">
            <w:pPr>
              <w:rPr>
                <w:color w:val="auto"/>
              </w:rPr>
            </w:pPr>
            <w:r>
              <w:rPr>
                <w:color w:val="auto"/>
              </w:rPr>
              <w:t>Measures workforce skill development and learning</w:t>
            </w:r>
          </w:p>
        </w:tc>
        <w:tc>
          <w:tcPr>
            <w:tcW w:w="2250" w:type="dxa"/>
            <w:tcBorders>
              <w:top w:val="nil"/>
              <w:left w:val="nil"/>
              <w:bottom w:val="nil"/>
              <w:right w:val="nil"/>
            </w:tcBorders>
            <w:shd w:val="clear" w:color="auto" w:fill="D9EAD3"/>
            <w:tcMar>
              <w:top w:w="100" w:type="dxa"/>
              <w:left w:w="100" w:type="dxa"/>
              <w:bottom w:w="100" w:type="dxa"/>
              <w:right w:w="100" w:type="dxa"/>
            </w:tcMar>
          </w:tcPr>
          <w:p w14:paraId="1A470AAA">
            <w:pPr>
              <w:rPr>
                <w:color w:val="auto"/>
              </w:rPr>
            </w:pPr>
            <w:r>
              <w:rPr>
                <w:color w:val="auto"/>
              </w:rPr>
              <w:t>100% staff completion of digital training</w:t>
            </w:r>
          </w:p>
        </w:tc>
      </w:tr>
    </w:tbl>
    <w:p w14:paraId="2E5D705D">
      <w:pPr>
        <w:rPr>
          <w:color w:val="auto"/>
        </w:rPr>
      </w:pPr>
    </w:p>
    <w:p w14:paraId="51AC77AD">
      <w:pPr>
        <w:pStyle w:val="2"/>
        <w:rPr>
          <w:color w:val="auto"/>
        </w:rPr>
      </w:pPr>
      <w:bookmarkStart w:id="5" w:name="_Toc8714"/>
      <w:r>
        <w:rPr>
          <w:color w:val="auto"/>
        </w:rPr>
        <w:t>Scenario 4: Performance Measurement and Control Systems</w:t>
      </w:r>
      <w:bookmarkEnd w:id="5"/>
    </w:p>
    <w:p w14:paraId="60780428">
      <w:pPr>
        <w:rPr>
          <w:color w:val="auto"/>
        </w:rPr>
      </w:pPr>
      <w:r>
        <w:rPr>
          <w:color w:val="auto"/>
        </w:rPr>
        <w:t>As an Operations Manager at Walmart, good measurement and control systems are vital for ensuring productivity, quality, and strategic fit in retail operations, supply chain, and employee performance. Walmart is an appropriate choice because the retail industry is competitive and the efficiency of operations, quality control, and data analysis are key factors in its profitability. As found by Stock Analysis (2026), in 2025, Walmart had an estimated revenue of $713.16 billion and approximately 2,100,000 employees worldwide, resulting in an estimated $339,601 per employee, showing the need for good monitoring systems for organisational effectiveness.</w:t>
      </w:r>
    </w:p>
    <w:p w14:paraId="77446A57">
      <w:pPr>
        <w:rPr>
          <w:color w:val="auto"/>
        </w:rPr>
      </w:pPr>
      <w:r>
        <w:rPr>
          <w:b/>
          <w:bCs/>
          <w:color w:val="auto"/>
        </w:rPr>
        <w:t>Control mechanisms for monitoring individual performance</w:t>
      </w:r>
    </w:p>
    <w:p w14:paraId="16B07675">
      <w:pPr>
        <w:rPr>
          <w:color w:val="auto"/>
        </w:rPr>
      </w:pPr>
      <w:r>
        <w:rPr>
          <w:color w:val="auto"/>
        </w:rPr>
        <w:t xml:space="preserve">The primary means of tracking individual performance is through Key Performance Indicators (KPIs). The implementation of KPIs in the retail industry is a key component of data-driven management, allowing for better control of processes, predictable results, and standardisation (Sandrin, 2025). </w:t>
      </w:r>
    </w:p>
    <w:p w14:paraId="0ABD1AE2">
      <w:pPr>
        <w:rPr>
          <w:color w:val="auto"/>
        </w:rPr>
      </w:pPr>
      <w:r>
        <w:rPr>
          <w:color w:val="auto"/>
        </w:rPr>
        <w:t xml:space="preserve">The Balanced Scorecard, which was developed by Kaplan and Norton, enhances this process by providing a broader measurement of performance. Its four dimensions are financial, customer, internal business processes and learning and growth (Vuong, 2025). </w:t>
      </w:r>
    </w:p>
    <w:p w14:paraId="13BD024E">
      <w:pPr>
        <w:rPr>
          <w:color w:val="auto"/>
        </w:rPr>
      </w:pPr>
    </w:p>
    <w:p w14:paraId="550E38A3">
      <w:pPr>
        <w:jc w:val="center"/>
        <w:rPr>
          <w:color w:val="auto"/>
        </w:rPr>
      </w:pPr>
      <w:r>
        <w:rPr>
          <w:color w:val="auto"/>
        </w:rPr>
        <w:drawing>
          <wp:inline distT="114300" distB="114300" distL="114300" distR="114300">
            <wp:extent cx="5943600" cy="3619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1"/>
                    <a:srcRect/>
                    <a:stretch>
                      <a:fillRect/>
                    </a:stretch>
                  </pic:blipFill>
                  <pic:spPr>
                    <a:xfrm>
                      <a:off x="0" y="0"/>
                      <a:ext cx="5943600" cy="3619500"/>
                    </a:xfrm>
                    <a:prstGeom prst="rect">
                      <a:avLst/>
                    </a:prstGeom>
                  </pic:spPr>
                </pic:pic>
              </a:graphicData>
            </a:graphic>
          </wp:inline>
        </w:drawing>
      </w:r>
    </w:p>
    <w:p w14:paraId="1D9F97F0">
      <w:pPr>
        <w:jc w:val="center"/>
        <w:rPr>
          <w:b/>
          <w:bCs/>
          <w:color w:val="auto"/>
        </w:rPr>
      </w:pPr>
      <w:r>
        <w:rPr>
          <w:b/>
          <w:bCs/>
          <w:color w:val="auto"/>
        </w:rPr>
        <w:t>Figure 4: Balanced Scorecard Framework</w:t>
      </w:r>
    </w:p>
    <w:p w14:paraId="0E949A0C">
      <w:pPr>
        <w:jc w:val="center"/>
        <w:rPr>
          <w:color w:val="auto"/>
        </w:rPr>
      </w:pPr>
      <w:r>
        <w:rPr>
          <w:color w:val="auto"/>
        </w:rPr>
        <w:t>(Source: Gutterman, 2023)</w:t>
      </w:r>
    </w:p>
    <w:p w14:paraId="75E67940">
      <w:pPr>
        <w:rPr>
          <w:color w:val="auto"/>
        </w:rPr>
      </w:pPr>
      <w:r>
        <w:rPr>
          <w:color w:val="auto"/>
        </w:rPr>
        <w:t xml:space="preserve">Financial measures for Walmart include the EBIT of $29.82 billion in the financial year 2026, as shown in Alphaquery (2026), and customer measures include customer satisfaction scores and complaint resolution rates. </w:t>
      </w:r>
    </w:p>
    <w:p w14:paraId="25C6839D">
      <w:pPr>
        <w:rPr>
          <w:b/>
          <w:bCs/>
          <w:color w:val="auto"/>
        </w:rPr>
      </w:pPr>
      <w:r>
        <w:rPr>
          <w:b/>
          <w:bCs/>
          <w:color w:val="auto"/>
        </w:rPr>
        <w:t>Measuring team and organisational effectiveness</w:t>
      </w:r>
    </w:p>
    <w:p w14:paraId="4BB3DF26">
      <w:pPr>
        <w:rPr>
          <w:color w:val="auto"/>
        </w:rPr>
      </w:pPr>
      <w:r>
        <w:rPr>
          <w:color w:val="auto"/>
        </w:rPr>
        <w:t>Productivity, effectiveness, and benchmarking should be used as indicators of organisational performance. Productivity is output per input, and managers want to maximise output and minimise operational costs (SCHROEDER and Goldstein, 2024). These may involve minimising the waste of inventory, optimising the efficiency of Walmart's warehouses, and ensuring that a product is available at all stores.</w:t>
      </w:r>
    </w:p>
    <w:p w14:paraId="4E8488B9">
      <w:pPr>
        <w:rPr>
          <w:color w:val="auto"/>
        </w:rPr>
      </w:pPr>
      <w:r>
        <w:rPr>
          <w:color w:val="auto"/>
        </w:rPr>
        <w:t>This could be related to the concept of Systems Theory in management that suggests organisations are interconnected systems and that changes in one system impact the performance of the whole (Fatorachian and Kazemi, 2021). While productivity metrics are essential for understanding organisational effectiveness, they can fail to consider a number of other factors, such as employee well-being, innovation capacity, and long-term sustainability results.</w:t>
      </w:r>
    </w:p>
    <w:p w14:paraId="4D7E0BD4">
      <w:pPr>
        <w:rPr>
          <w:color w:val="auto"/>
        </w:rPr>
      </w:pPr>
      <w:r>
        <w:rPr>
          <w:color w:val="auto"/>
        </w:rPr>
        <w:t>Organisational effectiveness is defined as the capacity of an organisation to explain its products and processes to its various internal and external stakeholders (Gutterman, 2023). For instance, Walmart's commitment to ecommerce growth, automation, and sustainability efforts must go beyond the bottom line. Benchmarking also provides information for control because it gives a comparison to competitors like Amazon and Target Corporation. According to Alderman and Murray (2025), benchmarking can be used to find out best practices and gaps.</w:t>
      </w:r>
    </w:p>
    <w:p w14:paraId="7798B00F">
      <w:pPr>
        <w:rPr>
          <w:b/>
          <w:bCs/>
          <w:color w:val="auto"/>
        </w:rPr>
      </w:pPr>
      <w:r>
        <w:rPr>
          <w:b/>
          <w:bCs/>
          <w:color w:val="auto"/>
        </w:rPr>
        <w:t>The role of data-driven decision-making</w:t>
      </w:r>
    </w:p>
    <w:p w14:paraId="37A72CCE">
      <w:pPr>
        <w:rPr>
          <w:color w:val="auto"/>
        </w:rPr>
      </w:pPr>
      <w:r>
        <w:rPr>
          <w:color w:val="auto"/>
        </w:rPr>
        <w:t>Data descriptive, predictive, and prescriptive analytics support management control. Every control process includes four steps: fixing standards, assessing actual performance, comparing actual performance with standards, and identifying deviations and taking corrective actions (Inflibnet, 2026).</w:t>
      </w:r>
    </w:p>
    <w:p w14:paraId="236EB055">
      <w:pPr>
        <w:rPr>
          <w:color w:val="auto"/>
        </w:rPr>
      </w:pPr>
      <w:r>
        <w:rPr>
          <w:color w:val="auto"/>
        </w:rPr>
        <w:t xml:space="preserve">Walmart employs Analytics Dashboards and Management Information Systems (MIS) to convert raw data into meaningful managerial information. Hamdat </w:t>
      </w:r>
      <w:r>
        <w:rPr>
          <w:i/>
          <w:iCs/>
          <w:color w:val="auto"/>
        </w:rPr>
        <w:t>et al.</w:t>
      </w:r>
      <w:r>
        <w:rPr>
          <w:color w:val="auto"/>
        </w:rPr>
        <w:t xml:space="preserve"> (2024) show that managers can use MIS to get the information they need at the right time for evaluating performance, which is important for strategic planning and operational control. Predictive analytics can be used for demand forecasting, stock replenishment, and supply chain risk management, whereas prescriptive analytics can be used for pricing decisions, scheduling, and inventory optimisation (Ejjami and Boussalham, 2024; Bari and Ara, 2024).</w:t>
      </w:r>
    </w:p>
    <w:p w14:paraId="686F6A05">
      <w:pPr>
        <w:rPr>
          <w:color w:val="auto"/>
        </w:rPr>
      </w:pPr>
      <w:r>
        <w:rPr>
          <w:color w:val="auto"/>
        </w:rPr>
        <w:t>The three types of control (feed forward, concurrent, and feedback control) are also relevant (SLM, 2026). Feedforward control stops problems from happening, like supplier quality checks. Concurrent control takes place during production: real-time supervision, POS systems, and RFID inventory monitoring. Feedback control assesses outcomes, such as customer feedback, sales reports, and stock audits.</w:t>
      </w:r>
    </w:p>
    <w:p w14:paraId="1543240D">
      <w:pPr>
        <w:rPr>
          <w:b/>
          <w:bCs/>
          <w:color w:val="auto"/>
        </w:rPr>
      </w:pPr>
      <w:r>
        <w:rPr>
          <w:b/>
          <w:bCs/>
          <w:color w:val="auto"/>
        </w:rPr>
        <w:t>Limitations, Ethical Issues, and Unintended Consequences</w:t>
      </w:r>
    </w:p>
    <w:p w14:paraId="4BCABF38">
      <w:pPr>
        <w:rPr>
          <w:color w:val="auto"/>
        </w:rPr>
      </w:pPr>
      <w:r>
        <w:rPr>
          <w:color w:val="auto"/>
        </w:rPr>
        <w:t>While useful, performance measurement systems can have side effects. Too much attention on KPIs can result in a tunnel vision attitude where people focus on achieving set targets rather than finding new ideas (Khan, 2023). Inappropriate measurement criteria can lead to inappropriate behaviours, such as focusing on speed over customer experience. This highlights the risk of metric fixation, where managers focus on numbers on the expense of overall organisational objectives, which can have a negative impact on quality of service, employee morale, and innovation.</w:t>
      </w:r>
    </w:p>
    <w:p w14:paraId="3C169F89">
      <w:pPr>
        <w:rPr>
          <w:color w:val="auto"/>
        </w:rPr>
      </w:pPr>
      <w:r>
        <w:rPr>
          <w:color w:val="auto"/>
        </w:rPr>
        <w:t xml:space="preserve">Another significant ethical concern is privacy in the workplace. Walmart employs monitoring technologies and cybersecurity controls, among others. However, over-supervision can lower self-reliance and diminish job satisfaction, especially if their privacy is invaded (Hussein and DÖVEN, 2025). </w:t>
      </w:r>
    </w:p>
    <w:p w14:paraId="4AF31C97">
      <w:pPr>
        <w:pStyle w:val="2"/>
        <w:rPr>
          <w:color w:val="auto"/>
        </w:rPr>
      </w:pPr>
      <w:bookmarkStart w:id="6" w:name="_Toc9429"/>
      <w:r>
        <w:rPr>
          <w:color w:val="auto"/>
        </w:rPr>
        <w:t>Conclusion</w:t>
      </w:r>
      <w:bookmarkEnd w:id="6"/>
    </w:p>
    <w:p w14:paraId="6B9CB42E">
      <w:pPr>
        <w:rPr>
          <w:color w:val="auto"/>
        </w:rPr>
      </w:pPr>
      <w:r>
        <w:rPr>
          <w:color w:val="auto"/>
        </w:rPr>
        <w:t xml:space="preserve">Advanced analytics, cultural transformation, team development, and measurement of ethical performance, developing an inclusive workplace, and creating a culture of innovation, affordability, and customer service help create a competitive advantage for Walmart. Moreover, using predictive and prescriptive models while balancing KPIs with transparency improves employee engagement, resilience, and competitiveness. </w:t>
      </w:r>
    </w:p>
    <w:p w14:paraId="75B9350E">
      <w:pPr>
        <w:pStyle w:val="2"/>
        <w:rPr>
          <w:color w:val="auto"/>
        </w:rPr>
      </w:pPr>
      <w:bookmarkStart w:id="7" w:name="_heading=h.bvqmj95rugjx" w:colFirst="0" w:colLast="0"/>
      <w:bookmarkEnd w:id="7"/>
    </w:p>
    <w:p w14:paraId="5D354D19">
      <w:pPr>
        <w:rPr>
          <w:b/>
          <w:bCs/>
          <w:color w:val="auto"/>
          <w:sz w:val="28"/>
          <w:szCs w:val="28"/>
        </w:rPr>
      </w:pPr>
      <w:r>
        <w:rPr>
          <w:color w:val="auto"/>
        </w:rPr>
        <w:br w:type="page"/>
      </w:r>
    </w:p>
    <w:p w14:paraId="60DBB164">
      <w:pPr>
        <w:pStyle w:val="2"/>
      </w:pPr>
      <w:bookmarkStart w:id="8" w:name="_Toc5648"/>
      <w:r>
        <w:t>References</w:t>
      </w:r>
      <w:bookmarkEnd w:id="8"/>
    </w:p>
    <w:p w14:paraId="67312616">
      <w:pPr>
        <w:pStyle w:val="3"/>
        <w:rPr>
          <w:highlight w:val="white"/>
        </w:rPr>
      </w:pPr>
      <w:bookmarkStart w:id="9" w:name="_Toc9785"/>
      <w:r>
        <w:rPr>
          <w:highlight w:val="white"/>
        </w:rPr>
        <w:t>Scenario 1</w:t>
      </w:r>
      <w:bookmarkEnd w:id="9"/>
    </w:p>
    <w:p w14:paraId="638F153F">
      <w:pPr>
        <w:rPr>
          <w:color w:val="222222"/>
          <w:highlight w:val="white"/>
        </w:rPr>
      </w:pPr>
      <w:r>
        <w:rPr>
          <w:color w:val="222222"/>
          <w:highlight w:val="white"/>
        </w:rPr>
        <w:t xml:space="preserve">Adamonis, J., 2018. Sunk cost hysteresis and hysteresis losses. Available at: </w:t>
      </w:r>
      <w:r>
        <w:fldChar w:fldCharType="begin"/>
      </w:r>
      <w:r>
        <w:instrText xml:space="preserve"> HYPERLINK "https://jlupub.ub.uni-giessen.de/bitstreams/1f431043-6b30-474e-aa34-74813aa46111/download" \h </w:instrText>
      </w:r>
      <w:r>
        <w:fldChar w:fldCharType="separate"/>
      </w:r>
      <w:r>
        <w:rPr>
          <w:color w:val="0000FF"/>
          <w:highlight w:val="white"/>
          <w:u w:val="single"/>
        </w:rPr>
        <w:t>https://jlupub.ub.uni-giessen.de/bitstreams/1f431043-6b30-474e-aa34-74813aa46111/download</w:t>
      </w:r>
      <w:r>
        <w:rPr>
          <w:color w:val="0000FF"/>
          <w:highlight w:val="white"/>
          <w:u w:val="single"/>
        </w:rPr>
        <w:fldChar w:fldCharType="end"/>
      </w:r>
    </w:p>
    <w:p w14:paraId="032F0A60">
      <w:pPr>
        <w:rPr>
          <w:color w:val="000000"/>
        </w:rPr>
      </w:pPr>
      <w:r>
        <w:rPr>
          <w:color w:val="000000"/>
        </w:rPr>
        <w:t>Chaturvedula, B. (2022). </w:t>
      </w:r>
      <w:r>
        <w:rPr>
          <w:i/>
          <w:iCs/>
          <w:color w:val="000000"/>
        </w:rPr>
        <w:t>Disrupting the supply chain game - the Walmart way</w:t>
      </w:r>
      <w:r>
        <w:rPr>
          <w:color w:val="000000"/>
        </w:rPr>
        <w:t xml:space="preserve">. [online] Disrupting the supply chain game - the Walmart way. Available at: </w:t>
      </w:r>
      <w:r>
        <w:fldChar w:fldCharType="begin"/>
      </w:r>
      <w:r>
        <w:instrText xml:space="preserve"> HYPERLINK "https://tech.walmart.com/content/walmart-global-tech/en_us/blog/post/disrupting-the-supply-chain-game-the-walmart-way.html" \h </w:instrText>
      </w:r>
      <w:r>
        <w:fldChar w:fldCharType="separate"/>
      </w:r>
      <w:r>
        <w:rPr>
          <w:color w:val="0000FF"/>
          <w:u w:val="single"/>
        </w:rPr>
        <w:t>https://tech.walmart.com/content/walmart-global-tech/en_us/blog/post/disrupting-the-supply-chain-game-the-walmart-way.html</w:t>
      </w:r>
      <w:r>
        <w:rPr>
          <w:color w:val="0000FF"/>
          <w:u w:val="single"/>
        </w:rPr>
        <w:fldChar w:fldCharType="end"/>
      </w:r>
      <w:r>
        <w:rPr>
          <w:color w:val="000000"/>
        </w:rPr>
        <w:t xml:space="preserve"> [Accessed on: 18 May 2026]</w:t>
      </w:r>
    </w:p>
    <w:p w14:paraId="3EADBB59">
      <w:pPr>
        <w:rPr>
          <w:color w:val="222222"/>
          <w:highlight w:val="white"/>
        </w:rPr>
      </w:pPr>
      <w:r>
        <w:rPr>
          <w:color w:val="222222"/>
          <w:highlight w:val="white"/>
        </w:rPr>
        <w:t xml:space="preserve">Dermawan, A.A., Lawi, A., Putera, D.A., Kurniawan, D.E., Ummatin, K.K. and Steve, J., 2024. Optimising Inventory Management: Data-Driven Insights from K-Means Clustering Analysis of Prescription Patterns. </w:t>
      </w:r>
      <w:r>
        <w:rPr>
          <w:i/>
          <w:iCs/>
          <w:color w:val="222222"/>
          <w:highlight w:val="white"/>
        </w:rPr>
        <w:t>Scientific Journal of Informatics</w:t>
      </w:r>
      <w:r>
        <w:rPr>
          <w:color w:val="222222"/>
          <w:highlight w:val="white"/>
        </w:rPr>
        <w:t>, </w:t>
      </w:r>
      <w:r>
        <w:rPr>
          <w:i/>
          <w:iCs/>
          <w:color w:val="222222"/>
          <w:highlight w:val="white"/>
        </w:rPr>
        <w:t>11</w:t>
      </w:r>
      <w:r>
        <w:rPr>
          <w:color w:val="222222"/>
          <w:highlight w:val="white"/>
        </w:rPr>
        <w:t xml:space="preserve">(3), pp.811-820. Available at: </w:t>
      </w:r>
      <w:r>
        <w:fldChar w:fldCharType="begin"/>
      </w:r>
      <w:r>
        <w:instrText xml:space="preserve"> HYPERLINK "https://journal.unnes.ac.id/journals/sji/article/download/8690/1750" \h </w:instrText>
      </w:r>
      <w:r>
        <w:fldChar w:fldCharType="separate"/>
      </w:r>
      <w:r>
        <w:rPr>
          <w:color w:val="0000FF"/>
          <w:highlight w:val="white"/>
          <w:u w:val="single"/>
        </w:rPr>
        <w:t>https://journal.unnes.ac.id/journals/sji/article/download/8690/1750</w:t>
      </w:r>
      <w:r>
        <w:rPr>
          <w:color w:val="0000FF"/>
          <w:highlight w:val="white"/>
          <w:u w:val="single"/>
        </w:rPr>
        <w:fldChar w:fldCharType="end"/>
      </w:r>
    </w:p>
    <w:p w14:paraId="29F92133">
      <w:pPr>
        <w:rPr>
          <w:color w:val="222222"/>
          <w:highlight w:val="white"/>
        </w:rPr>
      </w:pPr>
      <w:r>
        <w:rPr>
          <w:color w:val="222222"/>
          <w:highlight w:val="white"/>
        </w:rPr>
        <w:t xml:space="preserve">Gorry, G.A. and Scott Morton, M.S., 1971. A framework for management information systems. Available at: </w:t>
      </w:r>
      <w:r>
        <w:fldChar w:fldCharType="begin"/>
      </w:r>
      <w:r>
        <w:instrText xml:space="preserve"> HYPERLINK "https://dspace.mit.edu/bitstream/handle/1721.1/47936/frameworkformana00gorr.pdf" \h </w:instrText>
      </w:r>
      <w:r>
        <w:fldChar w:fldCharType="separate"/>
      </w:r>
      <w:r>
        <w:rPr>
          <w:color w:val="0000FF"/>
          <w:highlight w:val="white"/>
          <w:u w:val="single"/>
        </w:rPr>
        <w:t>https://dspace.mit.edu/bitstream/handle/1721.1/47936/frameworkformana00gorr.pdf</w:t>
      </w:r>
      <w:r>
        <w:rPr>
          <w:color w:val="0000FF"/>
          <w:highlight w:val="white"/>
          <w:u w:val="single"/>
        </w:rPr>
        <w:fldChar w:fldCharType="end"/>
      </w:r>
    </w:p>
    <w:p w14:paraId="557B602B">
      <w:pPr>
        <w:rPr>
          <w:color w:val="000000"/>
        </w:rPr>
      </w:pPr>
      <w:r>
        <w:rPr>
          <w:color w:val="000000"/>
        </w:rPr>
        <w:t>Hargreaves, L. (2025). </w:t>
      </w:r>
      <w:r>
        <w:rPr>
          <w:i/>
          <w:iCs/>
          <w:color w:val="000000"/>
        </w:rPr>
        <w:t>Walmart’s Dark Stores: The Future of Inventory Management</w:t>
      </w:r>
      <w:r>
        <w:rPr>
          <w:color w:val="000000"/>
        </w:rPr>
        <w:t xml:space="preserve">. [online] Supplychaindigital.com. Available at: </w:t>
      </w:r>
      <w:r>
        <w:fldChar w:fldCharType="begin"/>
      </w:r>
      <w:r>
        <w:instrText xml:space="preserve"> HYPERLINK "https://supplychaindigital.com/news/walmarts-dark-stores-the-future-of-inventory-management" \h </w:instrText>
      </w:r>
      <w:r>
        <w:fldChar w:fldCharType="separate"/>
      </w:r>
      <w:r>
        <w:rPr>
          <w:color w:val="0000FF"/>
          <w:u w:val="single"/>
        </w:rPr>
        <w:t>https://supplychaindigital.com/news/walmarts-dark-stores-the-future-of-inventory-management</w:t>
      </w:r>
      <w:r>
        <w:rPr>
          <w:color w:val="0000FF"/>
          <w:u w:val="single"/>
        </w:rPr>
        <w:fldChar w:fldCharType="end"/>
      </w:r>
      <w:r>
        <w:rPr>
          <w:color w:val="000000"/>
        </w:rPr>
        <w:t xml:space="preserve"> [Accessed on: 18 May 2026]</w:t>
      </w:r>
    </w:p>
    <w:p w14:paraId="792525C3">
      <w:pPr>
        <w:rPr>
          <w:color w:val="222222"/>
          <w:highlight w:val="white"/>
        </w:rPr>
      </w:pPr>
      <w:r>
        <w:rPr>
          <w:color w:val="222222"/>
          <w:highlight w:val="white"/>
        </w:rPr>
        <w:t xml:space="preserve">Itu, A., 2026. Resilient and Intelligent Supply Chains: Advances and Challenges in AI-Driven Optimisation and Forecasting. </w:t>
      </w:r>
      <w:r>
        <w:rPr>
          <w:i/>
          <w:iCs/>
          <w:color w:val="222222"/>
          <w:highlight w:val="white"/>
        </w:rPr>
        <w:t>Applied Sciences</w:t>
      </w:r>
      <w:r>
        <w:rPr>
          <w:color w:val="222222"/>
          <w:highlight w:val="white"/>
        </w:rPr>
        <w:t>, </w:t>
      </w:r>
      <w:r>
        <w:rPr>
          <w:i/>
          <w:iCs/>
          <w:color w:val="222222"/>
          <w:highlight w:val="white"/>
        </w:rPr>
        <w:t>16</w:t>
      </w:r>
      <w:r>
        <w:rPr>
          <w:color w:val="222222"/>
          <w:highlight w:val="white"/>
        </w:rPr>
        <w:t xml:space="preserve">(9), p.4285. Available at: </w:t>
      </w:r>
      <w:r>
        <w:fldChar w:fldCharType="begin"/>
      </w:r>
      <w:r>
        <w:instrText xml:space="preserve"> HYPERLINK "https://www.mdpi.com/2076-3417/16/9/4285" \h </w:instrText>
      </w:r>
      <w:r>
        <w:fldChar w:fldCharType="separate"/>
      </w:r>
      <w:r>
        <w:rPr>
          <w:color w:val="0000FF"/>
          <w:highlight w:val="white"/>
          <w:u w:val="single"/>
        </w:rPr>
        <w:t>https://www.mdpi.com/2076-3417/16/9/4285</w:t>
      </w:r>
      <w:r>
        <w:rPr>
          <w:color w:val="0000FF"/>
          <w:highlight w:val="white"/>
          <w:u w:val="single"/>
        </w:rPr>
        <w:fldChar w:fldCharType="end"/>
      </w:r>
    </w:p>
    <w:p w14:paraId="2126A95F">
      <w:pPr>
        <w:rPr>
          <w:color w:val="222222"/>
          <w:highlight w:val="white"/>
        </w:rPr>
      </w:pPr>
      <w:r>
        <w:rPr>
          <w:color w:val="222222"/>
          <w:highlight w:val="white"/>
        </w:rPr>
        <w:t>Malki, Z., Atlam, E.S., Ewis, A., Dagnew, G., Alzighaibi, A.R., ELmarhomy, G., Elhosseini, M.A., Hassanien, A.E. and Gad, I., 2021. ARIMA models for predicting the end of COVID-19 pandemic and the risk of second rebound. </w:t>
      </w:r>
      <w:r>
        <w:rPr>
          <w:i/>
          <w:iCs/>
          <w:color w:val="222222"/>
          <w:highlight w:val="white"/>
        </w:rPr>
        <w:t>Neural Computing and Applications</w:t>
      </w:r>
      <w:r>
        <w:rPr>
          <w:color w:val="222222"/>
          <w:highlight w:val="white"/>
        </w:rPr>
        <w:t>, </w:t>
      </w:r>
      <w:r>
        <w:rPr>
          <w:i/>
          <w:iCs/>
          <w:color w:val="222222"/>
          <w:highlight w:val="white"/>
        </w:rPr>
        <w:t>33</w:t>
      </w:r>
      <w:r>
        <w:rPr>
          <w:color w:val="222222"/>
          <w:highlight w:val="white"/>
        </w:rPr>
        <w:t xml:space="preserve">(7), pp.2929-2948. Available at: </w:t>
      </w:r>
      <w:r>
        <w:fldChar w:fldCharType="begin"/>
      </w:r>
      <w:r>
        <w:instrText xml:space="preserve"> HYPERLINK "https://link.springer.com/content/pdf/10.1007/s00521-020-05434-0.pdf" \h </w:instrText>
      </w:r>
      <w:r>
        <w:fldChar w:fldCharType="separate"/>
      </w:r>
      <w:r>
        <w:rPr>
          <w:color w:val="0000FF"/>
          <w:highlight w:val="white"/>
          <w:u w:val="single"/>
        </w:rPr>
        <w:t>https://link.springer.com/content/pdf/10.1007/s00521-020-05434-0.pdf</w:t>
      </w:r>
      <w:r>
        <w:rPr>
          <w:color w:val="0000FF"/>
          <w:highlight w:val="white"/>
          <w:u w:val="single"/>
        </w:rPr>
        <w:fldChar w:fldCharType="end"/>
      </w:r>
    </w:p>
    <w:p w14:paraId="633C5AFB">
      <w:pPr>
        <w:rPr>
          <w:color w:val="222222"/>
          <w:highlight w:val="white"/>
        </w:rPr>
      </w:pPr>
      <w:r>
        <w:rPr>
          <w:color w:val="222222"/>
          <w:highlight w:val="white"/>
        </w:rPr>
        <w:t>Nouri, P., Imanipour, N., Talebi, K. and Zali, M., 2017. HEURISTICS AND BIASES IN ENTREPRENEURIAL MARKETING: SOME NEW INSIGHTS. </w:t>
      </w:r>
      <w:r>
        <w:rPr>
          <w:i/>
          <w:iCs/>
          <w:color w:val="222222"/>
          <w:highlight w:val="white"/>
        </w:rPr>
        <w:t>International Journal of Entrepreneurship</w:t>
      </w:r>
      <w:r>
        <w:rPr>
          <w:color w:val="222222"/>
          <w:highlight w:val="white"/>
        </w:rPr>
        <w:t>, </w:t>
      </w:r>
      <w:r>
        <w:rPr>
          <w:i/>
          <w:iCs/>
          <w:color w:val="222222"/>
          <w:highlight w:val="white"/>
        </w:rPr>
        <w:t>21</w:t>
      </w:r>
      <w:r>
        <w:rPr>
          <w:color w:val="222222"/>
          <w:highlight w:val="white"/>
        </w:rPr>
        <w:t xml:space="preserve">(3). Available at: </w:t>
      </w:r>
      <w:r>
        <w:fldChar w:fldCharType="begin"/>
      </w:r>
      <w:r>
        <w:instrText xml:space="preserve"> HYPERLINK "https://www.researchgate.net/profile/Kambeiz-Talebi/publication/340429038_HEURISTICS_AND_BIASES_IN_ENTREPRENEURIAL_MARKETING_SOME_NEW_INSIGHTS/links/5e91d123299bf130798fc561/HEURISTICS-AND-BIASES-IN-ENTREPRENEURIAL-MARKETING-SOME-NEW-INSIGHTS.pdf" \h </w:instrText>
      </w:r>
      <w:r>
        <w:fldChar w:fldCharType="separate"/>
      </w:r>
      <w:r>
        <w:rPr>
          <w:color w:val="0000FF"/>
          <w:highlight w:val="white"/>
          <w:u w:val="single"/>
        </w:rPr>
        <w:t>https://www.researchgate.net/profile/Kambeiz-Talebi/publication/340429038_HEURISTICS_AND_BIASES_IN_ENTREPRENEURIAL_MARKETING_SOME_NEW_INSIGHTS/links/5e91d123299bf130798fc561/HEURISTICS-AND-BIASES-IN-ENTREPRENEURIAL-MARKETING-SOME-NEW-INSIGHTS.pdf</w:t>
      </w:r>
      <w:r>
        <w:rPr>
          <w:color w:val="0000FF"/>
          <w:highlight w:val="white"/>
          <w:u w:val="single"/>
        </w:rPr>
        <w:fldChar w:fldCharType="end"/>
      </w:r>
    </w:p>
    <w:p w14:paraId="1D7B353D">
      <w:pPr>
        <w:rPr>
          <w:color w:val="222222"/>
          <w:highlight w:val="white"/>
        </w:rPr>
      </w:pPr>
      <w:r>
        <w:rPr>
          <w:color w:val="222222"/>
          <w:highlight w:val="white"/>
        </w:rPr>
        <w:t>Singh, U., 2024. Optimising Business Operations: Integrating Internet of Things (IoT) with Management Information Systems (MIS). </w:t>
      </w:r>
      <w:r>
        <w:rPr>
          <w:i/>
          <w:iCs/>
          <w:color w:val="222222"/>
          <w:highlight w:val="white"/>
        </w:rPr>
        <w:t>INTERNATIONAL JOURNAL</w:t>
      </w:r>
      <w:r>
        <w:rPr>
          <w:color w:val="222222"/>
          <w:highlight w:val="white"/>
        </w:rPr>
        <w:t xml:space="preserve">, pp.2105-2120. Available at: </w:t>
      </w:r>
      <w:r>
        <w:fldChar w:fldCharType="begin"/>
      </w:r>
      <w:r>
        <w:instrText xml:space="preserve"> HYPERLINK "https://www.researchgate.net/profile/Ujjwal-Singh-40/publication/385811087_Optimising_Business_Operations_Integrating_Internet_of_Things_IoT_with_Management_Information_Systems_MIS/links/68125e3fbd3f1930dd689536/Optimising-Business-Operations-Integrating-Internet-of-Things-IoT-with-Management-Information-Systems-MIS.pdf" \h </w:instrText>
      </w:r>
      <w:r>
        <w:fldChar w:fldCharType="separate"/>
      </w:r>
      <w:r>
        <w:rPr>
          <w:color w:val="0000FF"/>
          <w:highlight w:val="white"/>
          <w:u w:val="single"/>
        </w:rPr>
        <w:t>https://www.researchgate.net/profile/Ujjwal-Singh-40/publication/385811087_Optimising_Business_Operations_Integrating_Internet_of_Things_IoT_with_Management_Information_Systems_MIS/links/68125e3fbd3f1930dd689536/Optimising-Business-Operations-Integrating-Internet-of-Things-IoT-with-Management-Information-Systems-MIS.pdf</w:t>
      </w:r>
      <w:r>
        <w:rPr>
          <w:color w:val="0000FF"/>
          <w:highlight w:val="white"/>
          <w:u w:val="single"/>
        </w:rPr>
        <w:fldChar w:fldCharType="end"/>
      </w:r>
    </w:p>
    <w:p w14:paraId="1AB627C6">
      <w:pPr>
        <w:rPr>
          <w:color w:val="222222"/>
          <w:highlight w:val="white"/>
        </w:rPr>
      </w:pPr>
      <w:r>
        <w:rPr>
          <w:color w:val="222222"/>
          <w:highlight w:val="white"/>
        </w:rPr>
        <w:t>Soo, C.L.H., 2025. </w:t>
      </w:r>
      <w:r>
        <w:rPr>
          <w:i/>
          <w:iCs/>
          <w:color w:val="222222"/>
          <w:highlight w:val="white"/>
        </w:rPr>
        <w:t>Comparing inventory policies for replenishment planning: A simulation study</w:t>
      </w:r>
      <w:r>
        <w:rPr>
          <w:color w:val="222222"/>
          <w:highlight w:val="white"/>
        </w:rPr>
        <w:t xml:space="preserve"> (Doctoral dissertation, Nottingham Trent University (United Kingdom)). Available at: </w:t>
      </w:r>
      <w:r>
        <w:fldChar w:fldCharType="begin"/>
      </w:r>
      <w:r>
        <w:instrText xml:space="preserve"> HYPERLINK "https://irep.ntu.ac.uk/id/eprint/53586/1/Henry%20SOO%202025.pdf" \h </w:instrText>
      </w:r>
      <w:r>
        <w:fldChar w:fldCharType="separate"/>
      </w:r>
      <w:r>
        <w:rPr>
          <w:color w:val="0000FF"/>
          <w:highlight w:val="white"/>
          <w:u w:val="single"/>
        </w:rPr>
        <w:t>https://irep.ntu.ac.uk/id/eprint/53586/1/Henry%20SOO%202025.pdf</w:t>
      </w:r>
      <w:r>
        <w:rPr>
          <w:color w:val="0000FF"/>
          <w:highlight w:val="white"/>
          <w:u w:val="single"/>
        </w:rPr>
        <w:fldChar w:fldCharType="end"/>
      </w:r>
    </w:p>
    <w:p w14:paraId="59209CC3">
      <w:pPr>
        <w:rPr>
          <w:color w:val="000000"/>
        </w:rPr>
      </w:pPr>
      <w:r>
        <w:rPr>
          <w:color w:val="000000"/>
        </w:rPr>
        <w:t>Supply Chain Dive. (n.d.). </w:t>
      </w:r>
      <w:r>
        <w:rPr>
          <w:i/>
          <w:iCs/>
          <w:color w:val="000000"/>
        </w:rPr>
        <w:t>Walmart execs say stockouts track with COVID-19 hot spots</w:t>
      </w:r>
      <w:r>
        <w:rPr>
          <w:color w:val="000000"/>
        </w:rPr>
        <w:t xml:space="preserve">. [online] Available at: </w:t>
      </w:r>
      <w:r>
        <w:fldChar w:fldCharType="begin"/>
      </w:r>
      <w:r>
        <w:instrText xml:space="preserve"> HYPERLINK "https://www.supplychaindive.com/news/walmart-stockouts-covid-19-cases-demand/589174/" \h </w:instrText>
      </w:r>
      <w:r>
        <w:fldChar w:fldCharType="separate"/>
      </w:r>
      <w:r>
        <w:rPr>
          <w:color w:val="0000FF"/>
          <w:u w:val="single"/>
        </w:rPr>
        <w:t>https://www.supplychaindive.com/news/walmart-stockouts-covid-19-cases-demand/589174/</w:t>
      </w:r>
      <w:r>
        <w:rPr>
          <w:color w:val="0000FF"/>
          <w:u w:val="single"/>
        </w:rPr>
        <w:fldChar w:fldCharType="end"/>
      </w:r>
      <w:r>
        <w:rPr>
          <w:color w:val="000000"/>
        </w:rPr>
        <w:t xml:space="preserve"> [Accessed on: 18 May 2026]</w:t>
      </w:r>
    </w:p>
    <w:p w14:paraId="532AC9C4">
      <w:r>
        <w:rPr>
          <w:color w:val="222222"/>
          <w:highlight w:val="white"/>
        </w:rPr>
        <w:t>Wolniak, R., 2023. The concept of descriptive analytics. </w:t>
      </w:r>
      <w:r>
        <w:rPr>
          <w:i/>
          <w:iCs/>
          <w:color w:val="222222"/>
          <w:highlight w:val="white"/>
        </w:rPr>
        <w:t>Zeszyty Naukowe. Organizacja i Zarządzanie/Politechnika Śląska</w:t>
      </w:r>
      <w:r>
        <w:rPr>
          <w:color w:val="222222"/>
          <w:highlight w:val="white"/>
        </w:rPr>
        <w:t xml:space="preserve">, (172), pp.699-715. Available at: </w:t>
      </w:r>
      <w:r>
        <w:fldChar w:fldCharType="begin"/>
      </w:r>
      <w:r>
        <w:instrText xml:space="preserve"> HYPERLINK "https://bibliotekanauki.pl/articles/58908850.pdf" \h </w:instrText>
      </w:r>
      <w:r>
        <w:fldChar w:fldCharType="separate"/>
      </w:r>
      <w:r>
        <w:rPr>
          <w:color w:val="0000FF"/>
          <w:highlight w:val="white"/>
          <w:u w:val="single"/>
        </w:rPr>
        <w:t>https://bibliotekanauki.pl/articles/58908850.pdf</w:t>
      </w:r>
      <w:r>
        <w:rPr>
          <w:color w:val="0000FF"/>
          <w:highlight w:val="white"/>
          <w:u w:val="single"/>
        </w:rPr>
        <w:fldChar w:fldCharType="end"/>
      </w:r>
    </w:p>
    <w:p w14:paraId="2B8B57BE">
      <w:pPr>
        <w:pStyle w:val="3"/>
      </w:pPr>
      <w:bookmarkStart w:id="10" w:name="_Toc6175"/>
      <w:r>
        <w:t>Scenario 2</w:t>
      </w:r>
      <w:bookmarkEnd w:id="10"/>
    </w:p>
    <w:p w14:paraId="1BB1F150"/>
    <w:p w14:paraId="14834303">
      <w:r>
        <w:t xml:space="preserve">Burke, A.N., 2022. A Third-Party Beneficiary Theory of Corporate Liability for Labor Violations in International Supply Chains. Va. L. Rev., 108, p.1449. Available at: </w:t>
      </w:r>
      <w:r>
        <w:fldChar w:fldCharType="begin"/>
      </w:r>
      <w:r>
        <w:instrText xml:space="preserve"> HYPERLINK "https://heinonline.org/hol-cgi-bin/get_pdf.cgi?handle=hein.journals/valr108&amp;section=37" \h </w:instrText>
      </w:r>
      <w:r>
        <w:fldChar w:fldCharType="separate"/>
      </w:r>
      <w:r>
        <w:rPr>
          <w:color w:val="0000FF"/>
          <w:u w:val="single"/>
        </w:rPr>
        <w:t>https://heinonline.org/hol-cgi-bin/get_pdf.cgi?handle=hein.journals/valr108&amp;section=37</w:t>
      </w:r>
      <w:r>
        <w:rPr>
          <w:color w:val="0000FF"/>
          <w:u w:val="single"/>
        </w:rPr>
        <w:fldChar w:fldCharType="end"/>
      </w:r>
    </w:p>
    <w:p w14:paraId="0AAE7F5E">
      <w:r>
        <w:t xml:space="preserve">corporate.walmart.com. We mean it when we say it: every day low prices - anytime, anywhere (2020). Available at: </w:t>
      </w:r>
      <w:r>
        <w:fldChar w:fldCharType="begin"/>
      </w:r>
      <w:r>
        <w:instrText xml:space="preserve"> HYPERLINK "https://corporate.walmart.com/news/2020/03/26/we-mean-it-when-we-say-it-every-day-low-prices-anytime-anywhere" \h </w:instrText>
      </w:r>
      <w:r>
        <w:fldChar w:fldCharType="separate"/>
      </w:r>
      <w:r>
        <w:rPr>
          <w:color w:val="0000FF"/>
          <w:u w:val="single"/>
        </w:rPr>
        <w:t>https://corporate.walmart.com/news/2020/03/26/we-mean-it-when-we-say-it-every-day-low-prices-anytime-anywhere</w:t>
      </w:r>
      <w:r>
        <w:rPr>
          <w:color w:val="0000FF"/>
          <w:u w:val="single"/>
        </w:rPr>
        <w:fldChar w:fldCharType="end"/>
      </w:r>
      <w:r>
        <w:t>.[Accessed on 18th May 2026]</w:t>
      </w:r>
    </w:p>
    <w:p w14:paraId="6358F23E">
      <w:r>
        <w:t xml:space="preserve">‌D Arvind and Banu Priya S 2024. Workplace Culture: Creating A Positive and Inclusive Environment. </w:t>
      </w:r>
      <w:r>
        <w:rPr>
          <w:i/>
          <w:iCs/>
        </w:rPr>
        <w:t>Shanlax International Journal of Management</w:t>
      </w:r>
      <w:r>
        <w:t xml:space="preserve">, 11(S1-Mar), pp.52–57. Available at:  </w:t>
      </w:r>
      <w:r>
        <w:fldChar w:fldCharType="begin"/>
      </w:r>
      <w:r>
        <w:instrText xml:space="preserve"> HYPERLINK "https://www.researchgate.net/publication/385261373_Workplace_Culture_Creating_A_Positive_and_Inclusive_Environment" \h </w:instrText>
      </w:r>
      <w:r>
        <w:fldChar w:fldCharType="separate"/>
      </w:r>
      <w:r>
        <w:rPr>
          <w:color w:val="0000FF"/>
          <w:u w:val="single"/>
        </w:rPr>
        <w:t>https://www.researchgate.net/publication/385261373_Workplace_Culture_Creating_A_Positive_and_Inclusive_Environment</w:t>
      </w:r>
      <w:r>
        <w:rPr>
          <w:color w:val="0000FF"/>
          <w:u w:val="single"/>
        </w:rPr>
        <w:fldChar w:fldCharType="end"/>
      </w:r>
      <w:r>
        <w:t> </w:t>
      </w:r>
    </w:p>
    <w:p w14:paraId="66521E18">
      <w:r>
        <w:t xml:space="preserve">‌Joubert, S. 2024. </w:t>
      </w:r>
      <w:r>
        <w:rPr>
          <w:i/>
          <w:iCs/>
        </w:rPr>
        <w:t>What is Collaborative Leadership?</w:t>
      </w:r>
      <w:r>
        <w:t xml:space="preserve"> [online] Northeastern University Graduate Programs. Available at: </w:t>
      </w:r>
      <w:r>
        <w:fldChar w:fldCharType="begin"/>
      </w:r>
      <w:r>
        <w:instrText xml:space="preserve"> HYPERLINK "https://graduate.northeastern.edu/knowledge-hub/collaborative-leadership/" \h </w:instrText>
      </w:r>
      <w:r>
        <w:fldChar w:fldCharType="separate"/>
      </w:r>
      <w:r>
        <w:rPr>
          <w:color w:val="0000FF"/>
          <w:u w:val="single"/>
        </w:rPr>
        <w:t>https://graduate.northeastern.edu/knowledge-hub/collaborative-leadership/</w:t>
      </w:r>
      <w:r>
        <w:rPr>
          <w:color w:val="0000FF"/>
          <w:u w:val="single"/>
        </w:rPr>
        <w:fldChar w:fldCharType="end"/>
      </w:r>
      <w:r>
        <w:t xml:space="preserve"> [Accessed on 18th May 2026]</w:t>
      </w:r>
    </w:p>
    <w:p w14:paraId="77597C4C">
      <w:r>
        <w:t xml:space="preserve">Lončar, K., 2023. The impact of national culture on business decision-making (Doctoral dissertation, Sveučilište u Zagrebu, Sveučilište u Zagrebu Ekonomski fakultet, Katedra za organizaciju i management). Available at: </w:t>
      </w:r>
      <w:r>
        <w:fldChar w:fldCharType="begin"/>
      </w:r>
      <w:r>
        <w:instrText xml:space="preserve"> HYPERLINK "https://repozitorij.efzg.unizg.hr/object/efzg:10864" \h </w:instrText>
      </w:r>
      <w:r>
        <w:fldChar w:fldCharType="separate"/>
      </w:r>
      <w:r>
        <w:rPr>
          <w:color w:val="0000FF"/>
          <w:u w:val="single"/>
        </w:rPr>
        <w:t>https://repozitorij.efzg.unizg.hr/object/efzg:10864</w:t>
      </w:r>
      <w:r>
        <w:rPr>
          <w:color w:val="0000FF"/>
          <w:u w:val="single"/>
        </w:rPr>
        <w:fldChar w:fldCharType="end"/>
      </w:r>
    </w:p>
    <w:p w14:paraId="3F0259EF">
      <w:r>
        <w:t xml:space="preserve">Nwaimo, C.S., Oluoha, O.M. and Oyedokun, O., 2023. Ethics and governance in data analytics: balancing innovation with responsibility. International Journal of Scientific Research in Computer Science, Engineering and Information Technology, 9(3), pp.823-856. Available at: </w:t>
      </w:r>
      <w:r>
        <w:fldChar w:fldCharType="begin"/>
      </w:r>
      <w:r>
        <w:instrText xml:space="preserve"> HYPERLINK "https://www.researchgate.net/profile/Chioma-Nwaimo/publication/393659106_Ethics_and_Governance_in_Data_Analytics_Balancing_Innovation_with_Responsibility/links/6874a1e16e247f362b190a40/Ethics-and-Governance-in-Data-Analytics-Balancing-Innovation-with-Responsibility.pdf" \h </w:instrText>
      </w:r>
      <w:r>
        <w:fldChar w:fldCharType="separate"/>
      </w:r>
      <w:r>
        <w:rPr>
          <w:color w:val="1155CC"/>
          <w:u w:val="single"/>
        </w:rPr>
        <w:t>https://www.researchgate.net/profile/Chioma-Nwaimo/publication/393659106_Ethics_and_Governance_in_Data_Analytics_Balancing_Innovation_with_Responsibility/links/6874a1e16e247f362b190a40/Ethics-and-Governance-in-Data-Analytics-Balancing-Innovation-with-Responsibility.pdf</w:t>
      </w:r>
      <w:r>
        <w:rPr>
          <w:color w:val="1155CC"/>
          <w:u w:val="single"/>
        </w:rPr>
        <w:fldChar w:fldCharType="end"/>
      </w:r>
    </w:p>
    <w:p w14:paraId="5840F612"/>
    <w:p w14:paraId="4F2CFEFC">
      <w:r>
        <w:t xml:space="preserve">Tarnanidis, T., Sousa, B., Vlachopoulou, M., Papachristou, E. and Kittu Manda, V. eds., 2025. Diversity and inclusion-driven marketing for multicultural marketplaces. IGI Global. Available at: </w:t>
      </w:r>
      <w:r>
        <w:fldChar w:fldCharType="begin"/>
      </w:r>
      <w:r>
        <w:instrText xml:space="preserve"> HYPERLINK "https://books.google.com/books?hl=en&amp;lr=&amp;id=ucGMEQAAQBAJ&amp;oi=fnd&amp;pg=PR1&amp;dq=Inclusivity+and+efficiency+must+be+balanced+with+cultural+awareness+of+different+global+marketplaces.&amp;ots=q3t_jzdVzp&amp;sig=LsLHsZCQnPpiPz67-jmpJ04yBqI" \h </w:instrText>
      </w:r>
      <w:r>
        <w:fldChar w:fldCharType="separate"/>
      </w:r>
      <w:r>
        <w:rPr>
          <w:color w:val="0000FF"/>
          <w:u w:val="single"/>
        </w:rPr>
        <w:t>https://books.google.com/books?hl=en&amp;lr=&amp;id=ucGMEQAAQBAJ&amp;oi=fnd&amp;pg=PR1&amp;dq=Inclusivity+and+efficiency+must+be+balanced+with+cultural+awareness+of+different+global+marketplaces.&amp;ots=q3t_jzdVzp&amp;sig=LsLHsZCQnPpiPz67-jmpJ04yBqI</w:t>
      </w:r>
      <w:r>
        <w:rPr>
          <w:color w:val="0000FF"/>
          <w:u w:val="single"/>
        </w:rPr>
        <w:fldChar w:fldCharType="end"/>
      </w:r>
    </w:p>
    <w:p w14:paraId="0C3ED959">
      <w:pPr>
        <w:rPr>
          <w:b/>
          <w:bCs/>
        </w:rPr>
      </w:pPr>
      <w:r>
        <w:t xml:space="preserve">theculturefactor.com. Country comparison tool (2026). Available at: </w:t>
      </w:r>
      <w:r>
        <w:fldChar w:fldCharType="begin"/>
      </w:r>
      <w:r>
        <w:instrText xml:space="preserve"> HYPERLINK "https://www.theculturefactor.com/country-comparison-tool?countries=united+states" \h </w:instrText>
      </w:r>
      <w:r>
        <w:fldChar w:fldCharType="separate"/>
      </w:r>
      <w:r>
        <w:rPr>
          <w:color w:val="0000FF"/>
          <w:u w:val="single"/>
        </w:rPr>
        <w:t>https://www.theculturefactor.com/country-comparison-tool?countries=united+states</w:t>
      </w:r>
      <w:r>
        <w:rPr>
          <w:color w:val="0000FF"/>
          <w:u w:val="single"/>
        </w:rPr>
        <w:fldChar w:fldCharType="end"/>
      </w:r>
      <w:r>
        <w:t>.[Accessed on 18th May 2026]</w:t>
      </w:r>
    </w:p>
    <w:p w14:paraId="6224EFF7">
      <w:r>
        <w:t xml:space="preserve">Train, K. 2023. </w:t>
      </w:r>
      <w:r>
        <w:rPr>
          <w:i/>
          <w:iCs/>
        </w:rPr>
        <w:t>Lewin’s Change Model | Knowledge Train</w:t>
      </w:r>
      <w:r>
        <w:t xml:space="preserve">. [online] Knowledge Train. Available at: </w:t>
      </w:r>
      <w:r>
        <w:fldChar w:fldCharType="begin"/>
      </w:r>
      <w:r>
        <w:instrText xml:space="preserve"> HYPERLINK "https://www.knowledgetrain.co.uk/change-management/change-management-courses/change-management-models/lewin-change-management?srsltid=AfmBOoovVvcG52jPoSEsPDOntxpdSCraPxu3yoeFj840A36nTAO1GxVn" \h </w:instrText>
      </w:r>
      <w:r>
        <w:fldChar w:fldCharType="separate"/>
      </w:r>
      <w:r>
        <w:rPr>
          <w:color w:val="0000FF"/>
          <w:u w:val="single"/>
        </w:rPr>
        <w:t>https://www.knowledgetrain.co.uk/change-management/change-management-courses/change-management-models/lewin-change-management?srsltid=AfmBOoovVvcG52jPoSEsPDOntxpdSCraPxu3yoeFj840A36nTAO1GxVn</w:t>
      </w:r>
      <w:r>
        <w:rPr>
          <w:color w:val="0000FF"/>
          <w:u w:val="single"/>
        </w:rPr>
        <w:fldChar w:fldCharType="end"/>
      </w:r>
      <w:r>
        <w:t>  [Accessed on 18th May 2026]</w:t>
      </w:r>
    </w:p>
    <w:p w14:paraId="3E16BF42">
      <w:r>
        <w:t xml:space="preserve">walmart.org. Our commitment to serving all (2026). </w:t>
      </w:r>
      <w:r>
        <w:fldChar w:fldCharType="begin"/>
      </w:r>
      <w:r>
        <w:instrText xml:space="preserve"> HYPERLINK "https://www.walmart.org/who-we-are/our-commitment-to-serving-all" \h </w:instrText>
      </w:r>
      <w:r>
        <w:fldChar w:fldCharType="separate"/>
      </w:r>
      <w:r>
        <w:rPr>
          <w:color w:val="0000FF"/>
          <w:u w:val="single"/>
        </w:rPr>
        <w:t>https://www.walmart.org/who-we-are/our-commitment-to-serving-all</w:t>
      </w:r>
      <w:r>
        <w:rPr>
          <w:color w:val="0000FF"/>
          <w:u w:val="single"/>
        </w:rPr>
        <w:fldChar w:fldCharType="end"/>
      </w:r>
      <w:r>
        <w:t>.[Accessed on 18th May 2026]</w:t>
      </w:r>
    </w:p>
    <w:p w14:paraId="09B4095E">
      <w:r>
        <w:t xml:space="preserve">Westover, J.H., PhD (2024) 'Understanding Organizational Culture through Schein’s Model,' HCI Consulting, 17 October. Available at: </w:t>
      </w:r>
      <w:r>
        <w:fldChar w:fldCharType="begin"/>
      </w:r>
      <w:r>
        <w:instrText xml:space="preserve"> HYPERLINK "https://www.innovativehumancapital.com/article/understanding-organizational-culture-through-schein-s-model" \h </w:instrText>
      </w:r>
      <w:r>
        <w:fldChar w:fldCharType="separate"/>
      </w:r>
      <w:r>
        <w:rPr>
          <w:color w:val="0000FF"/>
          <w:u w:val="single"/>
        </w:rPr>
        <w:t>https://www.innovativehumancapital.com/article/understanding-organizational-culture-through-schein-s-model</w:t>
      </w:r>
      <w:r>
        <w:rPr>
          <w:color w:val="0000FF"/>
          <w:u w:val="single"/>
        </w:rPr>
        <w:fldChar w:fldCharType="end"/>
      </w:r>
      <w:r>
        <w:t>.[Accessed on 18th May 2026]</w:t>
      </w:r>
    </w:p>
    <w:p w14:paraId="5AD80C13">
      <w:pPr>
        <w:pStyle w:val="3"/>
      </w:pPr>
      <w:bookmarkStart w:id="11" w:name="_Toc12670"/>
      <w:r>
        <w:t>Scenario 3</w:t>
      </w:r>
      <w:bookmarkEnd w:id="11"/>
    </w:p>
    <w:p w14:paraId="2D542632">
      <w:pPr>
        <w:rPr>
          <w:color w:val="000000"/>
        </w:rPr>
      </w:pPr>
      <w:r>
        <w:rPr>
          <w:color w:val="000000"/>
        </w:rPr>
        <w:t xml:space="preserve">Aithal, P.S. and Aithal, S., 2023. Key performance indicators (KPI) for researchers at different levels &amp; strategies to achieve it. </w:t>
      </w:r>
      <w:r>
        <w:rPr>
          <w:i/>
          <w:iCs/>
          <w:color w:val="000000"/>
        </w:rPr>
        <w:t>International Journal of Management, Technology, and Social Sciences (IJMTS), 8</w:t>
      </w:r>
      <w:r>
        <w:rPr>
          <w:color w:val="000000"/>
        </w:rPr>
        <w:t xml:space="preserve">(3), pp.294-325. Available at: </w:t>
      </w:r>
      <w:r>
        <w:fldChar w:fldCharType="begin"/>
      </w:r>
      <w:r>
        <w:instrText xml:space="preserve"> HYPERLINK "https://papers.ssrn.com/sol3/Delivery.cfm?abstractid=4715312" \h </w:instrText>
      </w:r>
      <w:r>
        <w:fldChar w:fldCharType="separate"/>
      </w:r>
      <w:r>
        <w:rPr>
          <w:color w:val="1155CC"/>
          <w:u w:val="single"/>
        </w:rPr>
        <w:t>https://papers.ssrn.com/sol3/Delivery.cfm?abstractid=4715312</w:t>
      </w:r>
      <w:r>
        <w:rPr>
          <w:color w:val="1155CC"/>
          <w:u w:val="single"/>
        </w:rPr>
        <w:fldChar w:fldCharType="end"/>
      </w:r>
      <w:r>
        <w:rPr>
          <w:color w:val="000000"/>
        </w:rPr>
        <w:t> </w:t>
      </w:r>
    </w:p>
    <w:p w14:paraId="104A1838">
      <w:r>
        <w:t xml:space="preserve">West Chester University 2024. </w:t>
      </w:r>
      <w:r>
        <w:rPr>
          <w:i/>
          <w:iCs/>
        </w:rPr>
        <w:t>Tuckman’s stages of group development</w:t>
      </w:r>
      <w:r>
        <w:t xml:space="preserve">. [online] West Chester University. Available at: </w:t>
      </w:r>
      <w:r>
        <w:fldChar w:fldCharType="begin"/>
      </w:r>
      <w:r>
        <w:instrText xml:space="preserve"> HYPERLINK "https://www.wcupa.edu/coral/tuckmanStagesGroupDelvelopment.aspx" \h </w:instrText>
      </w:r>
      <w:r>
        <w:fldChar w:fldCharType="separate"/>
      </w:r>
      <w:r>
        <w:rPr>
          <w:color w:val="1155CC"/>
          <w:u w:val="single"/>
        </w:rPr>
        <w:t>https://www.wcupa.edu/coral/tuckmanStagesGroupDelvelopment.aspx</w:t>
      </w:r>
      <w:r>
        <w:rPr>
          <w:color w:val="1155CC"/>
          <w:u w:val="single"/>
        </w:rPr>
        <w:fldChar w:fldCharType="end"/>
      </w:r>
      <w:r>
        <w:t xml:space="preserve"> [Accessed on: 18th May 2026]</w:t>
      </w:r>
    </w:p>
    <w:p w14:paraId="058FDDD6">
      <w:pPr>
        <w:spacing w:before="240" w:after="240"/>
      </w:pPr>
      <w:r>
        <w:t xml:space="preserve">‌Olanrewaju, J.B. 2024. The Dynamics of Transformational Leadership: Characteristics and Practical Uses. </w:t>
      </w:r>
      <w:r>
        <w:rPr>
          <w:i/>
          <w:iCs/>
        </w:rPr>
        <w:t>Journal of Management Information and Decision Sciences</w:t>
      </w:r>
      <w:r>
        <w:t xml:space="preserve">, [online] 27(6), pp.1–11. Available at: </w:t>
      </w:r>
      <w:r>
        <w:fldChar w:fldCharType="begin"/>
      </w:r>
      <w:r>
        <w:instrText xml:space="preserve"> HYPERLINK "https://www.abacademies.org/articles/the-dynamics-of-transformational-leadership-characteristics-and-practical-uses-17384.html" \h </w:instrText>
      </w:r>
      <w:r>
        <w:fldChar w:fldCharType="separate"/>
      </w:r>
      <w:r>
        <w:rPr>
          <w:color w:val="1155CC"/>
          <w:u w:val="single"/>
        </w:rPr>
        <w:t>https://www.abacademies.org/articles/the-dynamics-of-transformational-leadership-characteristics-and-practical-uses-17384.html</w:t>
      </w:r>
      <w:r>
        <w:rPr>
          <w:color w:val="1155CC"/>
          <w:u w:val="single"/>
        </w:rPr>
        <w:fldChar w:fldCharType="end"/>
      </w:r>
      <w:r>
        <w:t xml:space="preserve"> [Accessed on: 18th May 2026]</w:t>
      </w:r>
    </w:p>
    <w:p w14:paraId="7B3E04C6">
      <w:pPr>
        <w:spacing w:before="240" w:after="240"/>
        <w:rPr>
          <w:b/>
          <w:bCs/>
        </w:rPr>
      </w:pPr>
      <w:r>
        <w:rPr>
          <w:rFonts w:ascii="Calibri" w:hAnsi="Calibri" w:eastAsia="Calibri" w:cs="Calibri"/>
        </w:rPr>
        <w:t>‌</w:t>
      </w:r>
      <w:r>
        <w:t xml:space="preserve">Symonds, P. 2025. </w:t>
      </w:r>
      <w:r>
        <w:rPr>
          <w:i/>
          <w:iCs/>
        </w:rPr>
        <w:t>Tuckman’s Stages of Group Development for Beginners</w:t>
      </w:r>
      <w:r>
        <w:t xml:space="preserve">. [online] Symonds Research. Available at: </w:t>
      </w:r>
      <w:r>
        <w:fldChar w:fldCharType="begin"/>
      </w:r>
      <w:r>
        <w:instrText xml:space="preserve"> HYPERLINK "https://symondsresearch.com/tuckmans-stages-of-group-development/" \h </w:instrText>
      </w:r>
      <w:r>
        <w:fldChar w:fldCharType="separate"/>
      </w:r>
      <w:r>
        <w:rPr>
          <w:color w:val="1155CC"/>
          <w:u w:val="single"/>
        </w:rPr>
        <w:t>https://symondsresearch.com/tuckmans-stages-of-group-development/</w:t>
      </w:r>
      <w:r>
        <w:rPr>
          <w:color w:val="1155CC"/>
          <w:u w:val="single"/>
        </w:rPr>
        <w:fldChar w:fldCharType="end"/>
      </w:r>
      <w:r>
        <w:t xml:space="preserve"> [Accessed on: 18th May 2026]</w:t>
      </w:r>
      <w:r>
        <w:rPr>
          <w:rFonts w:ascii="Calibri" w:hAnsi="Calibri" w:eastAsia="Calibri" w:cs="Calibri"/>
        </w:rPr>
        <w:t>‌</w:t>
      </w:r>
    </w:p>
    <w:p w14:paraId="154A1C50">
      <w:r>
        <w:t xml:space="preserve">Spinney, B. 2026. </w:t>
      </w:r>
      <w:r>
        <w:rPr>
          <w:i/>
          <w:iCs/>
        </w:rPr>
        <w:t>EWU</w:t>
      </w:r>
      <w:r>
        <w:t xml:space="preserve">. [online] EWU. Available at: </w:t>
      </w:r>
      <w:r>
        <w:fldChar w:fldCharType="begin"/>
      </w:r>
      <w:r>
        <w:instrText xml:space="preserve"> HYPERLINK "https://online.ewu.edu/degrees/business/mba/organizational-leadership/transformational-leadership/" \h </w:instrText>
      </w:r>
      <w:r>
        <w:fldChar w:fldCharType="separate"/>
      </w:r>
      <w:r>
        <w:rPr>
          <w:color w:val="1155CC"/>
          <w:u w:val="single"/>
        </w:rPr>
        <w:t>https://online.ewu.edu/degrees/business/mba/organizational-leadership/transformational-leadership/</w:t>
      </w:r>
      <w:r>
        <w:rPr>
          <w:color w:val="1155CC"/>
          <w:u w:val="single"/>
        </w:rPr>
        <w:fldChar w:fldCharType="end"/>
      </w:r>
      <w:r>
        <w:t xml:space="preserve"> [Accessed on: 18th May 2026]</w:t>
      </w:r>
    </w:p>
    <w:p w14:paraId="572CF09E">
      <w:pPr>
        <w:rPr>
          <w:color w:val="000000"/>
        </w:rPr>
      </w:pPr>
      <w:r>
        <w:t xml:space="preserve">Jones, A. 2019. </w:t>
      </w:r>
      <w:r>
        <w:rPr>
          <w:i/>
          <w:iCs/>
        </w:rPr>
        <w:t>THE TUCKMAN’S MODEL IMPLEMENTATION, EFFECT, AND ANALYSIS &amp; THE NEW DEVELOPMENT OF JONES LSI MODEL ON A SMALL GROUP</w:t>
      </w:r>
      <w:r>
        <w:t xml:space="preserve">. ResearchGate. Available at: </w:t>
      </w:r>
      <w:r>
        <w:fldChar w:fldCharType="begin"/>
      </w:r>
      <w:r>
        <w:instrText xml:space="preserve"> HYPERLINK "https://www.researchgate.net/publication/335176254_THE_TUCKMAN" \h </w:instrText>
      </w:r>
      <w:r>
        <w:fldChar w:fldCharType="separate"/>
      </w:r>
      <w:r>
        <w:rPr>
          <w:color w:val="1155CC"/>
          <w:u w:val="single"/>
        </w:rPr>
        <w:t>https://www.researchgate.net/publication/335176254_THE_TUCKMAN</w:t>
      </w:r>
      <w:r>
        <w:rPr>
          <w:color w:val="1155CC"/>
          <w:u w:val="single"/>
        </w:rPr>
        <w:fldChar w:fldCharType="end"/>
      </w:r>
    </w:p>
    <w:p w14:paraId="7217C925">
      <w:pPr>
        <w:rPr>
          <w:color w:val="000000"/>
        </w:rPr>
      </w:pPr>
      <w:r>
        <w:rPr>
          <w:color w:val="000000"/>
        </w:rPr>
        <w:t xml:space="preserve">Komolafe, A.M., Aderotoye, I.A., Abiona, O.O., Adewusi, A.O., Obijuru, A., Modupe, O.T. and Oyeniran, O.C., 2024. Harnessing business analytics for gaining competitive advantage in emerging markets: a systematic review of approaches and outcomes. </w:t>
      </w:r>
      <w:r>
        <w:rPr>
          <w:i/>
          <w:iCs/>
          <w:color w:val="000000"/>
        </w:rPr>
        <w:t>International journal of management &amp; entrepreneurship research, 6</w:t>
      </w:r>
      <w:r>
        <w:rPr>
          <w:color w:val="000000"/>
        </w:rPr>
        <w:t xml:space="preserve">(3), pp.838-862. Available at: </w:t>
      </w:r>
      <w:r>
        <w:fldChar w:fldCharType="begin"/>
      </w:r>
      <w:r>
        <w:instrText xml:space="preserve"> HYPERLINK "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 \h </w:instrText>
      </w:r>
      <w:r>
        <w:fldChar w:fldCharType="separate"/>
      </w:r>
      <w:r>
        <w:rPr>
          <w:color w:val="1155CC"/>
          <w:u w:val="single"/>
        </w:rPr>
        <w:t>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w:t>
      </w:r>
      <w:r>
        <w:rPr>
          <w:color w:val="1155CC"/>
          <w:u w:val="single"/>
        </w:rPr>
        <w:fldChar w:fldCharType="end"/>
      </w:r>
      <w:r>
        <w:rPr>
          <w:color w:val="000000"/>
        </w:rPr>
        <w:t> </w:t>
      </w:r>
    </w:p>
    <w:p w14:paraId="158C71ED">
      <w:pPr>
        <w:rPr>
          <w:color w:val="000000"/>
        </w:rPr>
      </w:pPr>
    </w:p>
    <w:p w14:paraId="47FB50B6">
      <w:pPr>
        <w:rPr>
          <w:color w:val="000000"/>
        </w:rPr>
      </w:pPr>
      <w:r>
        <w:rPr>
          <w:color w:val="000000"/>
        </w:rPr>
        <w:t xml:space="preserve">Mytotalretail, 2025. </w:t>
      </w:r>
      <w:r>
        <w:rPr>
          <w:i/>
          <w:iCs/>
          <w:color w:val="000000"/>
        </w:rPr>
        <w:t xml:space="preserve">Immersive Technologies Help Retailers Boost Conversions and Reduce Returns. </w:t>
      </w:r>
      <w:r>
        <w:rPr>
          <w:color w:val="000000"/>
        </w:rPr>
        <w:t xml:space="preserve">[online] Available at: </w:t>
      </w:r>
      <w:r>
        <w:fldChar w:fldCharType="begin"/>
      </w:r>
      <w:r>
        <w:instrText xml:space="preserve"> HYPERLINK "https://www.mytotalretail.com/article/immersive-technologies-help-retailers-boost-conversions-and-reduce-returns/" \h </w:instrText>
      </w:r>
      <w:r>
        <w:fldChar w:fldCharType="separate"/>
      </w:r>
      <w:r>
        <w:rPr>
          <w:color w:val="1155CC"/>
          <w:u w:val="single"/>
        </w:rPr>
        <w:t>https://www.mytotalretail.com/article/immersive-technologies-help-retailers-boost-conversions-and-reduce-returns/</w:t>
      </w:r>
      <w:r>
        <w:rPr>
          <w:color w:val="1155CC"/>
          <w:u w:val="single"/>
        </w:rPr>
        <w:fldChar w:fldCharType="end"/>
      </w:r>
      <w:r>
        <w:rPr>
          <w:color w:val="000000"/>
        </w:rPr>
        <w:t xml:space="preserve"> [Accessed on: 18th May, 2026]</w:t>
      </w:r>
    </w:p>
    <w:p w14:paraId="0F543820">
      <w:pPr>
        <w:rPr>
          <w:color w:val="000000"/>
        </w:rPr>
      </w:pPr>
      <w:r>
        <w:rPr>
          <w:color w:val="000000"/>
        </w:rPr>
        <w:t xml:space="preserve">Paredes-Saavedra, M., Vallejos, M., Huancahuire-Vega, S., Morales-García, W.C. and Geraldo-Campos, L.A., 2024. Work team effectiveness: Importance of organizational culture, work climate, leadership, creative synergy, and emotional intelligence in university employees. </w:t>
      </w:r>
      <w:r>
        <w:rPr>
          <w:i/>
          <w:iCs/>
          <w:color w:val="000000"/>
        </w:rPr>
        <w:t>Administrative Sciences, 14</w:t>
      </w:r>
      <w:r>
        <w:rPr>
          <w:color w:val="000000"/>
        </w:rPr>
        <w:t xml:space="preserve">(11), p.280. Available at: </w:t>
      </w:r>
      <w:r>
        <w:fldChar w:fldCharType="begin"/>
      </w:r>
      <w:r>
        <w:instrText xml:space="preserve"> HYPERLINK "https://www.mdpi.com/2076-3387/14/11/280" \h </w:instrText>
      </w:r>
      <w:r>
        <w:fldChar w:fldCharType="separate"/>
      </w:r>
      <w:r>
        <w:rPr>
          <w:color w:val="1155CC"/>
          <w:u w:val="single"/>
        </w:rPr>
        <w:t>https://www.mdpi.com/2076-3387/14/11/280</w:t>
      </w:r>
      <w:r>
        <w:rPr>
          <w:color w:val="1155CC"/>
          <w:u w:val="single"/>
        </w:rPr>
        <w:fldChar w:fldCharType="end"/>
      </w:r>
      <w:r>
        <w:rPr>
          <w:color w:val="000000"/>
        </w:rPr>
        <w:t> </w:t>
      </w:r>
    </w:p>
    <w:p w14:paraId="2CF9ED95">
      <w:pPr>
        <w:rPr>
          <w:color w:val="000000"/>
        </w:rPr>
      </w:pPr>
      <w:r>
        <w:rPr>
          <w:color w:val="000000"/>
        </w:rPr>
        <w:t xml:space="preserve">Petitta, L. and Ghezzi, V., 2025. Disentangling the Pros and Cons of Flexible Work Arrangements: Curvilinear Effects on Individual and Organizational Outcomes. </w:t>
      </w:r>
      <w:r>
        <w:rPr>
          <w:i/>
          <w:iCs/>
          <w:color w:val="000000"/>
        </w:rPr>
        <w:t>Economies, 13</w:t>
      </w:r>
      <w:r>
        <w:rPr>
          <w:color w:val="000000"/>
        </w:rPr>
        <w:t xml:space="preserve">(1), p.20. Available at: </w:t>
      </w:r>
      <w:r>
        <w:fldChar w:fldCharType="begin"/>
      </w:r>
      <w:r>
        <w:instrText xml:space="preserve"> HYPERLINK "https://www.mdpi.com/2227-7099/13/1/20" \h </w:instrText>
      </w:r>
      <w:r>
        <w:fldChar w:fldCharType="separate"/>
      </w:r>
      <w:r>
        <w:rPr>
          <w:color w:val="1155CC"/>
          <w:u w:val="single"/>
        </w:rPr>
        <w:t>https://www.mdpi.com/2227-7099/13/1/20</w:t>
      </w:r>
      <w:r>
        <w:rPr>
          <w:color w:val="1155CC"/>
          <w:u w:val="single"/>
        </w:rPr>
        <w:fldChar w:fldCharType="end"/>
      </w:r>
      <w:r>
        <w:rPr>
          <w:color w:val="000000"/>
        </w:rPr>
        <w:t> </w:t>
      </w:r>
    </w:p>
    <w:p w14:paraId="0B1C2B53">
      <w:pPr>
        <w:rPr>
          <w:color w:val="000000"/>
        </w:rPr>
      </w:pPr>
      <w:r>
        <w:rPr>
          <w:color w:val="000000"/>
        </w:rPr>
        <w:t xml:space="preserve">Unilever, 2025. </w:t>
      </w:r>
      <w:r>
        <w:rPr>
          <w:i/>
          <w:iCs/>
          <w:color w:val="000000"/>
        </w:rPr>
        <w:t xml:space="preserve">How talent and technology are boosting factory performance and productivity. </w:t>
      </w:r>
      <w:r>
        <w:rPr>
          <w:color w:val="000000"/>
        </w:rPr>
        <w:t xml:space="preserve">[online] Available at: </w:t>
      </w:r>
      <w:r>
        <w:fldChar w:fldCharType="begin"/>
      </w:r>
      <w:r>
        <w:instrText xml:space="preserve"> HYPERLINK "https://www.unilever.com/news/news-search/2025/how-talent-and-technology-are-boosting-factory-performance-and-productivity/" \h </w:instrText>
      </w:r>
      <w:r>
        <w:fldChar w:fldCharType="separate"/>
      </w:r>
      <w:r>
        <w:rPr>
          <w:color w:val="1155CC"/>
          <w:u w:val="single"/>
        </w:rPr>
        <w:t>https://www.unilever.com/news/news-search/2025/how-talent-and-technology-are-boosting-factory-performance-and-productivity/</w:t>
      </w:r>
      <w:r>
        <w:rPr>
          <w:color w:val="1155CC"/>
          <w:u w:val="single"/>
        </w:rPr>
        <w:fldChar w:fldCharType="end"/>
      </w:r>
      <w:r>
        <w:rPr>
          <w:color w:val="000000"/>
        </w:rPr>
        <w:t xml:space="preserve"> [Accessed on: 18th May, 2026]</w:t>
      </w:r>
    </w:p>
    <w:p w14:paraId="52B6B97C">
      <w:pPr>
        <w:rPr>
          <w:color w:val="000000"/>
        </w:rPr>
      </w:pPr>
    </w:p>
    <w:p w14:paraId="46F6BBF0">
      <w:pPr>
        <w:pStyle w:val="3"/>
      </w:pPr>
      <w:bookmarkStart w:id="12" w:name="_Toc21920"/>
      <w:r>
        <w:t>Scenario 4</w:t>
      </w:r>
      <w:bookmarkEnd w:id="12"/>
    </w:p>
    <w:p w14:paraId="0294C3A1">
      <w:r>
        <w:t xml:space="preserve">Alderman, L. and Murray, S., 2025. Benchmarking: Seeking best practice. New Directions for Evaluation, 2025(185-186), pp.25-32. Available at: </w:t>
      </w:r>
      <w:r>
        <w:fldChar w:fldCharType="begin"/>
      </w:r>
      <w:r>
        <w:instrText xml:space="preserve"> HYPERLINK "https://onlinelibrary.wiley.com/doi/pdf/10.1002/ev.20634" \h </w:instrText>
      </w:r>
      <w:r>
        <w:fldChar w:fldCharType="separate"/>
      </w:r>
      <w:r>
        <w:rPr>
          <w:color w:val="0000FF"/>
          <w:u w:val="single"/>
        </w:rPr>
        <w:t>https://onlinelibrary.wiley.com/doi/pdf/10.1002/ev.20634</w:t>
      </w:r>
      <w:r>
        <w:rPr>
          <w:color w:val="0000FF"/>
          <w:u w:val="single"/>
        </w:rPr>
        <w:fldChar w:fldCharType="end"/>
      </w:r>
    </w:p>
    <w:p w14:paraId="20219802">
      <w:r>
        <w:t xml:space="preserve">Bari, M.D. and Ara, A., 2024. The impact of machine learning on prescriptive analytics for optimized business decision-making. Anjuman, The Impact Of Machine Learning On Prescriptive Analytics For Optimized Business Decision-Making (April 15, 2024). Available at: </w:t>
      </w:r>
      <w:r>
        <w:fldChar w:fldCharType="begin"/>
      </w:r>
      <w:r>
        <w:instrText xml:space="preserve"> HYPERLINK "https://papers.ssrn.com/sol3/Delivery.cfm?abstractid=5050060" \h </w:instrText>
      </w:r>
      <w:r>
        <w:fldChar w:fldCharType="separate"/>
      </w:r>
      <w:r>
        <w:rPr>
          <w:color w:val="0000FF"/>
          <w:u w:val="single"/>
        </w:rPr>
        <w:t>https://papers.ssrn.com/sol3/Delivery.cfm?abstractid=5050060</w:t>
      </w:r>
      <w:r>
        <w:rPr>
          <w:color w:val="0000FF"/>
          <w:u w:val="single"/>
        </w:rPr>
        <w:fldChar w:fldCharType="end"/>
      </w:r>
    </w:p>
    <w:p w14:paraId="43D15820">
      <w:r>
        <w:t xml:space="preserve">Ejjami, R. and Boussalham, K., 2024. Resilient supply chains in Industry 5.0: Leveraging AI for predictive maintenance and risk mitigation. International Journal For Multidisciplinary Research, 6(4), p.25116. Available at: </w:t>
      </w:r>
      <w:r>
        <w:fldChar w:fldCharType="begin"/>
      </w:r>
      <w:r>
        <w:instrText xml:space="preserve"> HYPERLINK "https://pdfs.semanticscholar.org/9ed0/74d338fca89f5d94e00192492539ddd245c2.pdf" \h </w:instrText>
      </w:r>
      <w:r>
        <w:fldChar w:fldCharType="separate"/>
      </w:r>
      <w:r>
        <w:rPr>
          <w:color w:val="0000FF"/>
          <w:u w:val="single"/>
        </w:rPr>
        <w:t>https://pdfs.semanticscholar.org/9ed0/74d338fca89f5d94e00192492539ddd245c2.pdf</w:t>
      </w:r>
      <w:r>
        <w:rPr>
          <w:color w:val="0000FF"/>
          <w:u w:val="single"/>
        </w:rPr>
        <w:fldChar w:fldCharType="end"/>
      </w:r>
    </w:p>
    <w:p w14:paraId="512E9479">
      <w:r>
        <w:t xml:space="preserve">Fatorachian, H. and Kazemi, H., 2021. Impact of Industry 4.0 on supply chain performance. Production planning &amp; control, 32(1), pp.63-81. Available at: </w:t>
      </w:r>
      <w:r>
        <w:fldChar w:fldCharType="begin"/>
      </w:r>
      <w:r>
        <w:instrText xml:space="preserve"> HYPERLINK "https://www.researchgate.net/profile/Hadi-Kazemi-4/publication/338601728_Impact_of_Industry_40_on_supply_chain_performance/links/63b56416c3c99660ebcaf0e8/Impact-of-Industry-40-on-supply-chain-performance.pdf?origin=journalDetail&amp;_tp=eyJwYWdlIjoiam91cm5hbERldGFpbCJ9" \h </w:instrText>
      </w:r>
      <w:r>
        <w:fldChar w:fldCharType="separate"/>
      </w:r>
      <w:r>
        <w:rPr>
          <w:color w:val="0000FF"/>
          <w:u w:val="single"/>
        </w:rPr>
        <w:t>https://www.researchgate.net/profile/Hadi-Kazemi-4/publication/338601728_Impact_of_Industry_40_on_supply_chain_performance/links/63b56416c3c99660ebcaf0e8/Impact-of-Industry-40-on-supply-chain-performance.pdf?origin=journalDetail&amp;_tp=eyJwYWdlIjoiam91cm5hbERldGFpbCJ9</w:t>
      </w:r>
      <w:r>
        <w:rPr>
          <w:color w:val="0000FF"/>
          <w:u w:val="single"/>
        </w:rPr>
        <w:fldChar w:fldCharType="end"/>
      </w:r>
    </w:p>
    <w:p w14:paraId="0302BF6D">
      <w:r>
        <w:t xml:space="preserve">Gutterman, A.S., 2023. Organizational performance and effectiveness. Available at SSRN 4532570. Available at: </w:t>
      </w:r>
      <w:r>
        <w:fldChar w:fldCharType="begin"/>
      </w:r>
      <w:r>
        <w:instrText xml:space="preserve"> HYPERLINK "https://papers.ssrn.com/sol3/Delivery.cfm?abstractid=4532570" \h </w:instrText>
      </w:r>
      <w:r>
        <w:fldChar w:fldCharType="separate"/>
      </w:r>
      <w:r>
        <w:rPr>
          <w:color w:val="0000FF"/>
          <w:u w:val="single"/>
        </w:rPr>
        <w:t>https://papers.ssrn.com/sol3/Delivery.cfm?abstractid=4532570</w:t>
      </w:r>
      <w:r>
        <w:rPr>
          <w:color w:val="0000FF"/>
          <w:u w:val="single"/>
        </w:rPr>
        <w:fldChar w:fldCharType="end"/>
      </w:r>
    </w:p>
    <w:p w14:paraId="1B76676E">
      <w:r>
        <w:t xml:space="preserve">Hamdat, A., Ceskakusumadewi, B., Samalam, A.G., Rizal, M. and Lawalata, I.L., 2024. The Impact of Management Information Systems on Decision-Making Efficiency. Vifada Management and Digital Business, 1(2), pp.56-74. Available at: </w:t>
      </w:r>
      <w:r>
        <w:fldChar w:fldCharType="begin"/>
      </w:r>
      <w:r>
        <w:instrText xml:space="preserve"> HYPERLINK "https://jurnal.vifada.id/index.php/mdb/article/download/102/89" \h </w:instrText>
      </w:r>
      <w:r>
        <w:fldChar w:fldCharType="separate"/>
      </w:r>
      <w:r>
        <w:rPr>
          <w:color w:val="0000FF"/>
          <w:u w:val="single"/>
        </w:rPr>
        <w:t>https://jurnal.vifada.id/index.php/mdb/article/download/102/89</w:t>
      </w:r>
      <w:r>
        <w:rPr>
          <w:color w:val="0000FF"/>
          <w:u w:val="single"/>
        </w:rPr>
        <w:fldChar w:fldCharType="end"/>
      </w:r>
    </w:p>
    <w:p w14:paraId="286AAE99">
      <w:r>
        <w:t xml:space="preserve">Hussein, N. and DÖVEN, M.S., 2025. Workplace Surveillance and Its Descriptive Results: Findings from Kuwait. International Journal of Business and Management Sciences, 6(1), pp.1-15. Available at: </w:t>
      </w:r>
      <w:r>
        <w:fldChar w:fldCharType="begin"/>
      </w:r>
      <w:r>
        <w:instrText xml:space="preserve"> HYPERLINK "https://ijbmsjournal.com/index.php/jbmis/article/download/791/410" \h </w:instrText>
      </w:r>
      <w:r>
        <w:fldChar w:fldCharType="separate"/>
      </w:r>
      <w:r>
        <w:rPr>
          <w:color w:val="0000FF"/>
          <w:u w:val="single"/>
        </w:rPr>
        <w:t>https://ijbmsjournal.com/index.php/jbmis/article/download/791/410</w:t>
      </w:r>
      <w:r>
        <w:rPr>
          <w:color w:val="0000FF"/>
          <w:u w:val="single"/>
        </w:rPr>
        <w:fldChar w:fldCharType="end"/>
      </w:r>
    </w:p>
    <w:p w14:paraId="1FB8E093">
      <w:r>
        <w:t xml:space="preserve">Inflibnet. 2026. 30 Controlling Process and Types. Available at: </w:t>
      </w:r>
      <w:r>
        <w:fldChar w:fldCharType="begin"/>
      </w:r>
      <w:r>
        <w:instrText xml:space="preserve"> HYPERLINK "https://ebooks.inflibnet.ac.in/mgmtp05/chapter/controlling-process-and-types/" \h </w:instrText>
      </w:r>
      <w:r>
        <w:fldChar w:fldCharType="separate"/>
      </w:r>
      <w:r>
        <w:rPr>
          <w:color w:val="0000FF"/>
          <w:u w:val="single"/>
        </w:rPr>
        <w:t>https://ebooks.inflibnet.ac.in/mgmtp05/chapter/controlling-process-and-types/</w:t>
      </w:r>
      <w:r>
        <w:rPr>
          <w:color w:val="0000FF"/>
          <w:u w:val="single"/>
        </w:rPr>
        <w:fldChar w:fldCharType="end"/>
      </w:r>
    </w:p>
    <w:p w14:paraId="128C3BB3">
      <w:r>
        <w:t xml:space="preserve">Khan, A.A., 2023. Motivating innovation: exploring the link between performance measurement and employee creativity. ASSAJ, 1(01), pp.18-26. Available at: </w:t>
      </w:r>
      <w:r>
        <w:fldChar w:fldCharType="begin"/>
      </w:r>
      <w:r>
        <w:instrText xml:space="preserve"> HYPERLINK "https://www.assajournal.com/index.php/36/article/download/17/17" \h </w:instrText>
      </w:r>
      <w:r>
        <w:fldChar w:fldCharType="separate"/>
      </w:r>
      <w:r>
        <w:rPr>
          <w:color w:val="0000FF"/>
          <w:u w:val="single"/>
        </w:rPr>
        <w:t>https://www.assajournal.com/index.php/36/article/download/17/17</w:t>
      </w:r>
      <w:r>
        <w:rPr>
          <w:color w:val="0000FF"/>
          <w:u w:val="single"/>
        </w:rPr>
        <w:fldChar w:fldCharType="end"/>
      </w:r>
    </w:p>
    <w:p w14:paraId="28DB02C4">
      <w:r>
        <w:t xml:space="preserve">Alphaquery. 2026. Walmart Inc. (WMT). Available at: </w:t>
      </w:r>
      <w:r>
        <w:fldChar w:fldCharType="begin"/>
      </w:r>
      <w:r>
        <w:instrText xml:space="preserve"> HYPERLINK "https://www.alphaquery.com/stock/WMT/fundamentals/annual/ebit" \h </w:instrText>
      </w:r>
      <w:r>
        <w:fldChar w:fldCharType="separate"/>
      </w:r>
      <w:r>
        <w:rPr>
          <w:color w:val="1155CC"/>
          <w:u w:val="single"/>
        </w:rPr>
        <w:t>https://www.alphaquery.com/stock/WMT/fundamentals/annual/ebit</w:t>
      </w:r>
      <w:r>
        <w:rPr>
          <w:color w:val="1155CC"/>
          <w:u w:val="single"/>
        </w:rPr>
        <w:fldChar w:fldCharType="end"/>
      </w:r>
    </w:p>
    <w:p w14:paraId="7505F0A4">
      <w:r>
        <w:t xml:space="preserve">Sandrin, A.R., 2025. Management by Indicators (KPIs) in the Automotive Sector: Efficiency, Predictability and Sustainable, Data-Driven Growth. Predictability and Sustainable, Data-Driven Growth (November 24, 2025). Available at: </w:t>
      </w:r>
      <w:r>
        <w:fldChar w:fldCharType="begin"/>
      </w:r>
      <w:r>
        <w:instrText xml:space="preserve"> HYPERLINK "https://papers.ssrn.com/sol3/Delivery.cfm?abstractid=5798903" \h </w:instrText>
      </w:r>
      <w:r>
        <w:fldChar w:fldCharType="separate"/>
      </w:r>
      <w:r>
        <w:rPr>
          <w:color w:val="0000FF"/>
          <w:u w:val="single"/>
        </w:rPr>
        <w:t>https://papers.ssrn.com/sol3/Delivery.cfm?abstractid=5798903</w:t>
      </w:r>
      <w:r>
        <w:rPr>
          <w:color w:val="0000FF"/>
          <w:u w:val="single"/>
        </w:rPr>
        <w:fldChar w:fldCharType="end"/>
      </w:r>
    </w:p>
    <w:p w14:paraId="7FEDC2CE">
      <w:r>
        <w:t xml:space="preserve">SCHROEDER., R. and Goldstein, S.M., 2024. Operations management in the supply chain. McGraw-Hill US Higher Ed ISE. Available at: </w:t>
      </w:r>
      <w:r>
        <w:fldChar w:fldCharType="begin"/>
      </w:r>
      <w:r>
        <w:instrText xml:space="preserve"> HYPERLINK "https://studentebookhub.com/wp-content/uploads/2024/preview/9781260368109.pdf" \h </w:instrText>
      </w:r>
      <w:r>
        <w:fldChar w:fldCharType="separate"/>
      </w:r>
      <w:r>
        <w:rPr>
          <w:color w:val="0000FF"/>
          <w:u w:val="single"/>
        </w:rPr>
        <w:t>https://studentebookhub.com/wp-content/uploads/2024/preview/9781260368109.pdf</w:t>
      </w:r>
      <w:r>
        <w:rPr>
          <w:color w:val="0000FF"/>
          <w:u w:val="single"/>
        </w:rPr>
        <w:fldChar w:fldCharType="end"/>
      </w:r>
    </w:p>
    <w:p w14:paraId="5F574328">
      <w:r>
        <w:t xml:space="preserve">SLM. 2026. Types of Control in Management: Feedforward, Concurrent, and Feedback Explained. Available at: </w:t>
      </w:r>
      <w:r>
        <w:fldChar w:fldCharType="begin"/>
      </w:r>
      <w:r>
        <w:instrText xml:space="preserve"> HYPERLINK "https://slm.mba/mmpc-001/types-of-control-in-management-feedforward-concurrent-feedback/" \h </w:instrText>
      </w:r>
      <w:r>
        <w:fldChar w:fldCharType="separate"/>
      </w:r>
      <w:r>
        <w:rPr>
          <w:color w:val="0000FF"/>
          <w:u w:val="single"/>
        </w:rPr>
        <w:t>https://slm.mba/mmpc-001/types-of-control-in-management-feedforward-concurrent-feedback/</w:t>
      </w:r>
      <w:r>
        <w:rPr>
          <w:color w:val="0000FF"/>
          <w:u w:val="single"/>
        </w:rPr>
        <w:fldChar w:fldCharType="end"/>
      </w:r>
    </w:p>
    <w:p w14:paraId="31B84C25">
      <w:r>
        <w:t xml:space="preserve">Stock Analysis. 2026. Walmart Revenue. Available at: </w:t>
      </w:r>
      <w:r>
        <w:fldChar w:fldCharType="begin"/>
      </w:r>
      <w:r>
        <w:instrText xml:space="preserve"> HYPERLINK "https://stockanalysis.com/stocks/wmt/revenue/" \h </w:instrText>
      </w:r>
      <w:r>
        <w:fldChar w:fldCharType="separate"/>
      </w:r>
      <w:r>
        <w:rPr>
          <w:color w:val="1155CC"/>
          <w:u w:val="single"/>
        </w:rPr>
        <w:t>https://stockanalysis.com/stocks/wmt/revenue/</w:t>
      </w:r>
      <w:r>
        <w:rPr>
          <w:color w:val="1155CC"/>
          <w:u w:val="single"/>
        </w:rPr>
        <w:fldChar w:fldCharType="end"/>
      </w:r>
    </w:p>
    <w:p w14:paraId="064DEF87">
      <w:r>
        <w:t xml:space="preserve">Vuong, T.K., 2025. Enhancing financial and non-financial performance through the balancedscorecard approach for firms’ sustainable development. Intangible Capital, 21(2), pp.248-264. Available at: </w:t>
      </w:r>
      <w:r>
        <w:fldChar w:fldCharType="begin"/>
      </w:r>
      <w:r>
        <w:instrText xml:space="preserve"> HYPERLINK "https://upcommons.upc.edu/bitstreams/d1979059-545e-414a-b936-e5f113aa571e/download" \h </w:instrText>
      </w:r>
      <w:r>
        <w:fldChar w:fldCharType="separate"/>
      </w:r>
      <w:r>
        <w:rPr>
          <w:color w:val="0000FF"/>
          <w:u w:val="single"/>
        </w:rPr>
        <w:t>https://upcommons.upc.edu/bitstreams/d1979059-545e-414a-b936-e5f113aa571e/download</w:t>
      </w:r>
      <w:r>
        <w:rPr>
          <w:color w:val="0000FF"/>
          <w:u w:val="single"/>
        </w:rPr>
        <w:fldChar w:fldCharType="end"/>
      </w:r>
    </w:p>
    <w:p w14:paraId="76EAB77A">
      <w:pPr>
        <w:shd w:val="clear" w:color="auto" w:fill="FFFFFF"/>
        <w:spacing w:line="312" w:lineRule="auto"/>
        <w:ind w:left="-140"/>
        <w:jc w:val="left"/>
      </w:pPr>
      <w:r>
        <w:fldChar w:fldCharType="begin"/>
      </w:r>
      <w:r>
        <w:instrText xml:space="preserve"> HYPERLINK "https://www.researchgate.net/scientific-contributions/Isuru-Wijesekara-2319263488?_tp=eyJjb250ZXh0Ijp7ImZpcnN0UGFnZSI6InB1YmxpY2F0aW9uIiwicGFnZSI6InB1YmxpY2F0aW9uIn19" \h </w:instrText>
      </w:r>
      <w:r>
        <w:fldChar w:fldCharType="separate"/>
      </w:r>
      <w:r>
        <w:t>Isuru Wijesekara</w:t>
      </w:r>
      <w:r>
        <w:fldChar w:fldCharType="end"/>
      </w:r>
      <w:r>
        <w:t xml:space="preserve">, </w:t>
      </w:r>
      <w:r>
        <w:fldChar w:fldCharType="begin"/>
      </w:r>
      <w:r>
        <w:instrText xml:space="preserve"> HYPERLINK "https://www.researchgate.net/scientific-contributions/Prabodha-Galappaththi-2319219689?_tp=eyJjb250ZXh0Ijp7ImZpcnN0UGFnZSI6InB1YmxpY2F0aW9uIiwicGFnZSI6InB1YmxpY2F0aW9uIn19" \h </w:instrText>
      </w:r>
      <w:r>
        <w:fldChar w:fldCharType="separate"/>
      </w:r>
      <w:r>
        <w:t>Prabodha Galappaththi</w:t>
      </w:r>
      <w:r>
        <w:fldChar w:fldCharType="end"/>
      </w:r>
      <w:r>
        <w:t xml:space="preserve">, </w:t>
      </w:r>
      <w:r>
        <w:fldChar w:fldCharType="begin"/>
      </w:r>
      <w:r>
        <w:instrText xml:space="preserve"> HYPERLINK "https://www.researchgate.net/scientific-contributions/Kaveesha-Silva-2319206390?_tp=eyJjb250ZXh0Ijp7ImZpcnN0UGFnZSI6InB1YmxpY2F0aW9uIiwicGFnZSI6InB1YmxpY2F0aW9uIn19" \h </w:instrText>
      </w:r>
      <w:r>
        <w:fldChar w:fldCharType="separate"/>
      </w:r>
      <w:r>
        <w:t>Kaveesha Silva</w:t>
      </w:r>
      <w:r>
        <w:fldChar w:fldCharType="end"/>
      </w:r>
      <w:r>
        <w:t xml:space="preserve"> and </w:t>
      </w:r>
      <w:r>
        <w:fldChar w:fldCharType="begin"/>
      </w:r>
      <w:r>
        <w:instrText xml:space="preserve"> HYPERLINK "https://www.researchgate.net/scientific-contributions/Rasika-Liyanage-2319266766?_tp=eyJjb250ZXh0Ijp7ImZpcnN0UGFnZSI6InB1YmxpY2F0aW9uIiwicGFnZSI6InB1YmxpY2F0aW9uIn19" \h </w:instrText>
      </w:r>
      <w:r>
        <w:fldChar w:fldCharType="separate"/>
      </w:r>
      <w:r>
        <w:t>Rasika Liyanage</w:t>
      </w:r>
      <w:r>
        <w:fldChar w:fldCharType="end"/>
      </w:r>
      <w:r>
        <w:t xml:space="preserve"> 2020. </w:t>
      </w:r>
      <w:r>
        <w:rPr>
          <w:i/>
          <w:iCs/>
        </w:rPr>
        <w:t>(PDF) AI-DRIVEN DASHBOARDS FOR ENTERPRISE DECISION MAKING</w:t>
      </w:r>
      <w:r>
        <w:t xml:space="preserve">. Available at: </w:t>
      </w:r>
      <w:r>
        <w:fldChar w:fldCharType="begin"/>
      </w:r>
      <w:r>
        <w:instrText xml:space="preserve"> HYPERLINK "https://www.researchgate.net/publication/393744988_AI-DRIVEN_DASHBOARDS_FOR_ENTERPRISE_DECISION_MAKING" \h </w:instrText>
      </w:r>
      <w:r>
        <w:fldChar w:fldCharType="separate"/>
      </w:r>
      <w:r>
        <w:rPr>
          <w:u w:val="single"/>
        </w:rPr>
        <w:t>https://www.researchgate.net/publication/393744988_AI-DRIVEN_DASHBOARDS_FOR_ENTERPRISE_DECISION_MAKING</w:t>
      </w:r>
      <w:r>
        <w:rPr>
          <w:u w:val="single"/>
        </w:rPr>
        <w:fldChar w:fldCharType="end"/>
      </w:r>
      <w:r>
        <w:t xml:space="preserve"> Asher, R., Jaxon, L. and Abbas, A. 2021. Aligning Performance Management with Predictive Workforce Analytics. </w:t>
      </w:r>
      <w:r>
        <w:rPr>
          <w:i/>
          <w:iCs/>
        </w:rPr>
        <w:t>ResearchGate</w:t>
      </w:r>
      <w:r>
        <w:t xml:space="preserve">. Available at: </w:t>
      </w:r>
      <w:r>
        <w:fldChar w:fldCharType="begin"/>
      </w:r>
      <w:r>
        <w:instrText xml:space="preserve"> HYPERLINK "https://www.researchgate.net/publication/395027437_Aligning_Performance_Management_with_Predictive_Workforce_Analytics" \h </w:instrText>
      </w:r>
      <w:r>
        <w:fldChar w:fldCharType="separate"/>
      </w:r>
      <w:r>
        <w:rPr>
          <w:u w:val="single"/>
        </w:rPr>
        <w:t>https://www.researchgate.net/publication/395027437_Aligning_Performance_Management_with_Predictive_Workforce_Analytics</w:t>
      </w:r>
      <w:r>
        <w:rPr>
          <w:u w:val="single"/>
        </w:rPr>
        <w:fldChar w:fldCharType="end"/>
      </w:r>
    </w:p>
    <w:p w14:paraId="258DAE52">
      <w:pPr>
        <w:shd w:val="clear" w:color="auto" w:fill="FFFFFF"/>
        <w:spacing w:line="312" w:lineRule="auto"/>
        <w:ind w:left="-140"/>
        <w:jc w:val="left"/>
      </w:pPr>
      <w:r>
        <w:t xml:space="preserve">   </w:t>
      </w:r>
    </w:p>
    <w:p w14:paraId="476541F3"/>
    <w:p w14:paraId="129FF008"/>
    <w:p w14:paraId="1CC813D6"/>
    <w:p w14:paraId="42ADC3AC">
      <w:pPr>
        <w:jc w:val="left"/>
        <w:rPr>
          <w:color w:val="000000"/>
        </w:rPr>
      </w:pPr>
    </w:p>
    <w:p w14:paraId="1F38698A">
      <w:pPr>
        <w:rPr>
          <w:color w:val="000000"/>
        </w:rPr>
      </w:pPr>
    </w:p>
    <w:p w14:paraId="5235949F">
      <w:r>
        <w:br w:type="page"/>
      </w:r>
    </w:p>
    <w:p w14:paraId="6C936828">
      <w:pPr>
        <w:pStyle w:val="2"/>
      </w:pPr>
      <w:bookmarkStart w:id="13" w:name="_Toc8239"/>
      <w:r>
        <w:t>Appendices</w:t>
      </w:r>
      <w:bookmarkEnd w:id="13"/>
    </w:p>
    <w:p w14:paraId="6E0FC2E9">
      <w:pPr>
        <w:rPr>
          <w:b/>
          <w:bCs/>
          <w:color w:val="000000"/>
        </w:rPr>
      </w:pPr>
      <w:r>
        <w:rPr>
          <w:b/>
          <w:bCs/>
          <w:color w:val="000000"/>
        </w:rPr>
        <w:t>Appendix 1: Kolb’s Experimental Learning Cycle</w:t>
      </w:r>
    </w:p>
    <w:p w14:paraId="6DB55290">
      <w:pPr>
        <w:rPr>
          <w:color w:val="000000"/>
        </w:rPr>
      </w:pPr>
      <w:r>
        <w:rPr>
          <w:color w:val="000000"/>
        </w:rPr>
        <w:drawing>
          <wp:inline distT="0" distB="0" distL="0" distR="0">
            <wp:extent cx="5318760" cy="42291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2"/>
                    <a:srcRect/>
                    <a:stretch>
                      <a:fillRect/>
                    </a:stretch>
                  </pic:blipFill>
                  <pic:spPr>
                    <a:xfrm>
                      <a:off x="0" y="0"/>
                      <a:ext cx="5318760" cy="4229100"/>
                    </a:xfrm>
                    <a:prstGeom prst="rect">
                      <a:avLst/>
                    </a:prstGeom>
                  </pic:spPr>
                </pic:pic>
              </a:graphicData>
            </a:graphic>
          </wp:inline>
        </w:drawing>
      </w:r>
    </w:p>
    <w:p w14:paraId="602D4A22">
      <w:pPr>
        <w:rPr>
          <w:color w:val="000000"/>
        </w:rPr>
      </w:pPr>
      <w:r>
        <w:rPr>
          <w:color w:val="000000"/>
        </w:rPr>
        <w:t>(Source: Wijnen-Meijer</w:t>
      </w:r>
      <w:r>
        <w:rPr>
          <w:i/>
          <w:iCs/>
          <w:color w:val="000000"/>
        </w:rPr>
        <w:t xml:space="preserve"> et al.</w:t>
      </w:r>
      <w:r>
        <w:rPr>
          <w:color w:val="000000"/>
        </w:rPr>
        <w:t xml:space="preserve"> 2022)</w:t>
      </w:r>
    </w:p>
    <w:p w14:paraId="4481E2E0">
      <w:pPr>
        <w:rPr>
          <w:color w:val="000000"/>
        </w:rPr>
      </w:pPr>
    </w:p>
    <w:p w14:paraId="45E99420">
      <w:pPr>
        <w:rPr>
          <w:color w:val="000000"/>
        </w:rPr>
      </w:pPr>
    </w:p>
    <w:p w14:paraId="2CE466EB">
      <w:pPr>
        <w:rPr>
          <w:color w:val="000000"/>
        </w:rPr>
      </w:pPr>
    </w:p>
    <w:p w14:paraId="514D104C">
      <w:pPr>
        <w:rPr>
          <w:color w:val="000000"/>
        </w:rPr>
      </w:pPr>
    </w:p>
    <w:p w14:paraId="14772607">
      <w:pPr>
        <w:rPr>
          <w:color w:val="000000"/>
        </w:rPr>
      </w:pPr>
    </w:p>
    <w:p w14:paraId="39FA9C08">
      <w:pPr>
        <w:rPr>
          <w:color w:val="000000"/>
        </w:rPr>
      </w:pPr>
    </w:p>
    <w:p w14:paraId="5E40AF4E">
      <w:pPr>
        <w:rPr>
          <w:color w:val="000000"/>
        </w:rPr>
      </w:pPr>
    </w:p>
    <w:p w14:paraId="7292195A">
      <w:pPr>
        <w:rPr>
          <w:color w:val="000000"/>
        </w:rPr>
      </w:pPr>
    </w:p>
    <w:p w14:paraId="69E37F9D">
      <w:pPr>
        <w:rPr>
          <w:color w:val="000000"/>
        </w:rPr>
      </w:pPr>
    </w:p>
    <w:p w14:paraId="57A395DB">
      <w:pPr>
        <w:rPr>
          <w:color w:val="000000"/>
        </w:rPr>
      </w:pPr>
    </w:p>
    <w:p w14:paraId="22D49014">
      <w:pPr>
        <w:spacing w:after="160" w:line="278" w:lineRule="auto"/>
      </w:pPr>
      <w:bookmarkStart w:id="14" w:name="_GoBack"/>
      <w:bookmarkEnd w:id="14"/>
    </w:p>
    <w:sectPr>
      <w:footerReference r:id="rId5" w:type="default"/>
      <w:pgSz w:w="12240" w:h="15840"/>
      <w:pgMar w:top="1440" w:right="1440" w:bottom="1440" w:left="1440" w:header="720" w:footer="720"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4B30BA0A-A413-4B35-99D4-7CB25D661C8A}"/>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0AF5B76A-7699-4036-AA89-7FEEAEAA6BE1}"/>
  </w:font>
  <w:font w:name="Wingdings">
    <w:panose1 w:val="05000000000000000000"/>
    <w:charset w:val="02"/>
    <w:family w:val="auto"/>
    <w:pitch w:val="default"/>
    <w:sig w:usb0="00000000" w:usb1="00000000" w:usb2="00000000" w:usb3="00000000" w:csb0="80000000" w:csb1="00000000"/>
    <w:embedRegular r:id="rId3" w:fontKey="{1D83DC97-1A36-4201-9843-A86DB39254A1}"/>
  </w:font>
  <w:font w:name="Calibri">
    <w:panose1 w:val="020F0502020204030204"/>
    <w:charset w:val="00"/>
    <w:family w:val="swiss"/>
    <w:pitch w:val="default"/>
    <w:sig w:usb0="E4002EFF" w:usb1="C200247B" w:usb2="00000009" w:usb3="00000000" w:csb0="200001FF" w:csb1="00000000"/>
    <w:embedRegular r:id="rId4" w:fontKey="{557DDD94-8C9F-4397-973A-9F5491168C1A}"/>
  </w:font>
  <w:font w:name="等线">
    <w:altName w:val="Arial Unicode MS"/>
    <w:panose1 w:val="00000000000000000000"/>
    <w:charset w:val="86"/>
    <w:family w:val="auto"/>
    <w:pitch w:val="default"/>
    <w:sig w:usb0="00000000" w:usb1="00000000" w:usb2="00000000" w:usb3="00000000" w:csb0="00000000" w:csb1="00000000"/>
  </w:font>
  <w:font w:name="Quattrocento Sans">
    <w:panose1 w:val="020B0502050000020003"/>
    <w:charset w:val="00"/>
    <w:family w:val="swiss"/>
    <w:pitch w:val="default"/>
    <w:sig w:usb0="800000BF" w:usb1="4000005B" w:usb2="00000000" w:usb3="00000000" w:csb0="00000001" w:csb1="00000000"/>
    <w:embedRegular r:id="rId5" w:fontKey="{672DB2EC-720E-4289-99C2-A21C1EEE656A}"/>
  </w:font>
  <w:font w:name="MS Gothic">
    <w:panose1 w:val="020B0609070205080204"/>
    <w:charset w:val="80"/>
    <w:family w:val="modern"/>
    <w:pitch w:val="default"/>
    <w:sig w:usb0="E00002FF" w:usb1="6AC7FDFB" w:usb2="08000012" w:usb3="00000000" w:csb0="4002009F" w:csb1="DFD70000"/>
    <w:embedRegular r:id="rId6" w:fontKey="{B05A7AA6-F492-409D-8407-77DE5088FCC0}"/>
  </w:font>
  <w:font w:name="Noto Sans Symbols">
    <w:altName w:val="Times New Roman"/>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1E1591">
    <w:pPr>
      <w:tabs>
        <w:tab w:val="center" w:pos="4680"/>
        <w:tab w:val="right" w:pos="9360"/>
      </w:tabs>
      <w:spacing w:line="240" w:lineRule="auto"/>
      <w:jc w:val="right"/>
      <w:rPr>
        <w:color w:val="000000"/>
        <w:sz w:val="22"/>
        <w:szCs w:val="22"/>
      </w:rPr>
    </w:pPr>
    <w:r>
      <w:rPr>
        <w:color w:val="000000"/>
        <w:sz w:val="22"/>
        <w:szCs w:val="22"/>
      </w:rPr>
      <w:fldChar w:fldCharType="begin"/>
    </w:r>
    <w:r>
      <w:rPr>
        <w:color w:val="000000"/>
        <w:sz w:val="22"/>
        <w:szCs w:val="22"/>
      </w:rPr>
      <w:instrText xml:space="preserve">PAGE</w:instrText>
    </w:r>
    <w:r>
      <w:rPr>
        <w:color w:val="000000"/>
        <w:sz w:val="22"/>
        <w:szCs w:val="22"/>
      </w:rPr>
      <w:fldChar w:fldCharType="separate"/>
    </w:r>
    <w:r>
      <w:rPr>
        <w:color w:val="000000"/>
        <w:sz w:val="22"/>
        <w:szCs w:val="22"/>
      </w:rPr>
      <w:t>2</w:t>
    </w:r>
    <w:r>
      <w:rPr>
        <w:color w:val="000000"/>
        <w:sz w:val="22"/>
        <w:szCs w:val="22"/>
      </w:rPr>
      <w:fldChar w:fldCharType="end"/>
    </w:r>
  </w:p>
  <w:p w14:paraId="662E3750">
    <w:pP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FCD"/>
    <w:rsid w:val="005F15A8"/>
    <w:rsid w:val="00747FCD"/>
    <w:rsid w:val="00797ABF"/>
    <w:rsid w:val="00CF7AAC"/>
    <w:rsid w:val="18F40CA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spacing w:before="400" w:after="120"/>
      <w:outlineLvl w:val="0"/>
    </w:pPr>
    <w:rPr>
      <w:b/>
      <w:bCs/>
      <w:color w:val="000000"/>
      <w:sz w:val="28"/>
      <w:szCs w:val="28"/>
    </w:rPr>
  </w:style>
  <w:style w:type="paragraph" w:styleId="3">
    <w:name w:val="heading 2"/>
    <w:basedOn w:val="1"/>
    <w:next w:val="1"/>
    <w:unhideWhenUsed/>
    <w:qFormat/>
    <w:uiPriority w:val="9"/>
    <w:pPr>
      <w:keepNext/>
      <w:keepLines/>
      <w:outlineLvl w:val="1"/>
    </w:pPr>
    <w:rPr>
      <w:b/>
      <w:bCs/>
      <w:color w:val="000000"/>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Subtitle"/>
    <w:basedOn w:val="1"/>
    <w:next w:val="1"/>
    <w:qFormat/>
    <w:uiPriority w:val="11"/>
    <w:pPr>
      <w:keepNext/>
      <w:keepLines/>
      <w:spacing w:after="320"/>
    </w:pPr>
    <w:rPr>
      <w:rFonts w:ascii="Arial" w:hAnsi="Arial" w:eastAsia="Arial" w:cs="Arial"/>
      <w:color w:val="666666"/>
      <w:sz w:val="30"/>
      <w:szCs w:val="30"/>
    </w:rPr>
  </w:style>
  <w:style w:type="paragraph" w:styleId="11">
    <w:name w:val="Title"/>
    <w:basedOn w:val="1"/>
    <w:next w:val="1"/>
    <w:qFormat/>
    <w:uiPriority w:val="10"/>
    <w:pPr>
      <w:keepNext/>
      <w:keepLines/>
      <w:spacing w:after="60"/>
    </w:pPr>
    <w:rPr>
      <w:color w:val="000000"/>
      <w:sz w:val="52"/>
      <w:szCs w:val="52"/>
    </w:rPr>
  </w:style>
  <w:style w:type="paragraph" w:styleId="12">
    <w:name w:val="toc 1"/>
    <w:basedOn w:val="1"/>
    <w:next w:val="1"/>
    <w:semiHidden/>
    <w:unhideWhenUsed/>
    <w:uiPriority w:val="39"/>
  </w:style>
  <w:style w:type="paragraph" w:styleId="13">
    <w:name w:val="toc 2"/>
    <w:basedOn w:val="1"/>
    <w:next w:val="1"/>
    <w:semiHidden/>
    <w:unhideWhenUsed/>
    <w:uiPriority w:val="39"/>
    <w:pPr>
      <w:ind w:left="420" w:leftChars="200"/>
    </w:pPr>
  </w:style>
  <w:style w:type="table" w:customStyle="1" w:styleId="14">
    <w:name w:val="TableNormal"/>
    <w:uiPriority w:val="0"/>
    <w:tblPr>
      <w:tblCellMar>
        <w:top w:w="100" w:type="dxa"/>
        <w:left w:w="100" w:type="dxa"/>
        <w:bottom w:w="100" w:type="dxa"/>
        <w:right w:w="100" w:type="dxa"/>
      </w:tblCellMar>
    </w:tblPr>
  </w:style>
  <w:style w:type="table" w:customStyle="1" w:styleId="15">
    <w:name w:val="_Style 12"/>
    <w:basedOn w:val="14"/>
    <w:uiPriority w:val="0"/>
    <w:tblPr>
      <w:tblCellMar>
        <w:top w:w="0" w:type="dxa"/>
        <w:left w:w="115" w:type="dxa"/>
        <w:bottom w:w="0" w:type="dxa"/>
        <w:right w:w="115" w:type="dxa"/>
      </w:tblCellMar>
    </w:tblPr>
  </w:style>
  <w:style w:type="table" w:customStyle="1" w:styleId="16">
    <w:name w:val="_Style 13"/>
    <w:basedOn w:val="14"/>
    <w:uiPriority w:val="0"/>
    <w:tblPr>
      <w:tblCellMar>
        <w:top w:w="0" w:type="dxa"/>
        <w:left w:w="0" w:type="dxa"/>
        <w:bottom w:w="0" w:type="dxa"/>
        <w:right w:w="0" w:type="dxa"/>
      </w:tblCellMar>
    </w:tblPr>
  </w:style>
  <w:style w:type="table" w:customStyle="1" w:styleId="17">
    <w:name w:val="_Style 14"/>
    <w:basedOn w:val="14"/>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MKdZZ1qBMs/OE7DCKc8k+nbSF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yDmguaDZqeTAzbzlocm54Mg5oLm4wMWZzdmZtamtvczIOaC5qc29ib2Q3aGp0eDMyDmguMXoycDZzbDEwOTEwMg5oLmtyMTFzZzk4MWlmdDIOaC5kdWFkbTduanpjaTUyDmguYnZxbWo5NXJ1Z2p4Mg5oLmFnZWV2a252OXV3YTIOaC53bHFndnV4enN3d3AyDmgueXVjcGZzZXhmN2NyMg5oLjl3Mzh4cDUxc2Z0OTIOaC4xcWRvZTZhbnF4MnAyDmguN3o4OWowbmR5eXdvOAByITFBX0dWTGxlNmdVQTlPamtDeDlOVVJscUd5MzRNMjVSMQ==</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26</Pages>
  <Words>1482</Words>
  <Characters>8586</Characters>
  <Lines>377</Lines>
  <Paragraphs>106</Paragraphs>
  <TotalTime>1</TotalTime>
  <ScaleCrop>false</ScaleCrop>
  <LinksUpToDate>false</LinksUpToDate>
  <CharactersWithSpaces>10056</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2026-05-25T14:13:00Z</dcterms:created>
  <dcterms:modified xsi:type="dcterms:W3CDTF">2026-05-26T04:07:50Z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7bb7cdc3-68f2-46e0-817c-65708dcc7ccd</vt:lpwstr>
  </property>
  <property fmtid="{D5CDD505-2E9C-101B-9397-08002B2CF9AE}" pid="3" name="KSOTemplateDocerSaveRecord">
    <vt:lpwstr>eyJoZGlkIjoiNjQ0OGQzYTY3NWZjMzBmY2Y5NmQzNWM2ZjMyZWExNmEiLCJ1c2VySWQiOiI1Njc2NDE0NjA1NjUifQ==</vt:lpwstr>
  </property>
  <property fmtid="{D5CDD505-2E9C-101B-9397-08002B2CF9AE}" pid="4" name="KSOProductBuildVer">
    <vt:lpwstr>1033-12.1.0.26372</vt:lpwstr>
  </property>
  <property fmtid="{D5CDD505-2E9C-101B-9397-08002B2CF9AE}" pid="5" name="ICV">
    <vt:lpwstr>E4AB0A8D76F04B189B2436FA918F9028_13</vt:lpwstr>
  </property>
</Properties>
</file>