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C498E" w14:textId="04593290" w:rsidR="00EB609C" w:rsidRPr="00EB609C" w:rsidRDefault="00EB609C" w:rsidP="00EB609C">
      <w:pPr>
        <w:spacing w:after="0" w:line="240" w:lineRule="auto"/>
        <w:jc w:val="center"/>
        <w:rPr>
          <w:rFonts w:eastAsia="Times New Roman" w:cs="Times New Roman"/>
          <w:b/>
          <w:kern w:val="0"/>
          <w:sz w:val="32"/>
          <w:szCs w:val="24"/>
          <w14:ligatures w14:val="none"/>
        </w:rPr>
      </w:pPr>
      <w:r w:rsidRPr="00EB609C">
        <w:rPr>
          <w:rFonts w:eastAsia="Times New Roman" w:cs="Times New Roman"/>
          <w:b/>
          <w:kern w:val="0"/>
          <w:sz w:val="32"/>
          <w:szCs w:val="24"/>
          <w14:ligatures w14:val="none"/>
        </w:rPr>
        <w:t xml:space="preserve">LCBB4001 Business Management (BABM) Accounting Fundamentals </w:t>
      </w:r>
    </w:p>
    <w:p w14:paraId="41D10DF6" w14:textId="77777777" w:rsidR="00EB609C" w:rsidRPr="00EB609C" w:rsidRDefault="00EB609C" w:rsidP="00EB609C">
      <w:pPr>
        <w:jc w:val="center"/>
        <w:rPr>
          <w:rFonts w:cs="Times New Roman"/>
          <w:sz w:val="32"/>
          <w:lang w:val="en-GB"/>
        </w:rPr>
      </w:pPr>
    </w:p>
    <w:p w14:paraId="75CFA412" w14:textId="0DE1CC7D" w:rsidR="00EB609C" w:rsidRPr="00EB609C" w:rsidRDefault="00EB609C" w:rsidP="00EB609C">
      <w:pPr>
        <w:jc w:val="center"/>
        <w:rPr>
          <w:rFonts w:cs="Times New Roman"/>
          <w:b/>
          <w:sz w:val="36"/>
          <w:lang w:val="en-GB"/>
        </w:rPr>
      </w:pPr>
      <w:r w:rsidRPr="00EB609C">
        <w:rPr>
          <w:rFonts w:cs="Times New Roman"/>
          <w:b/>
          <w:sz w:val="36"/>
          <w:lang w:val="en-GB"/>
        </w:rPr>
        <w:t xml:space="preserve">Student Name: </w:t>
      </w:r>
      <w:proofErr w:type="spellStart"/>
      <w:r w:rsidR="00A63F22">
        <w:rPr>
          <w:rFonts w:cs="Times New Roman"/>
          <w:b/>
          <w:sz w:val="36"/>
          <w:lang w:val="en-GB"/>
        </w:rPr>
        <w:t>Davinder</w:t>
      </w:r>
      <w:proofErr w:type="spellEnd"/>
      <w:r w:rsidR="00A63F22">
        <w:rPr>
          <w:rFonts w:cs="Times New Roman"/>
          <w:b/>
          <w:sz w:val="36"/>
          <w:lang w:val="en-GB"/>
        </w:rPr>
        <w:t xml:space="preserve"> Singh</w:t>
      </w:r>
    </w:p>
    <w:p w14:paraId="6B34067A" w14:textId="77777777" w:rsidR="00EB609C" w:rsidRPr="00EB609C" w:rsidRDefault="00EB609C" w:rsidP="00EB609C">
      <w:pPr>
        <w:jc w:val="center"/>
        <w:rPr>
          <w:rFonts w:cs="Times New Roman"/>
          <w:b/>
          <w:sz w:val="36"/>
          <w:lang w:val="en-GB"/>
        </w:rPr>
      </w:pPr>
    </w:p>
    <w:p w14:paraId="53C8914F" w14:textId="7005EF83" w:rsidR="00EB609C" w:rsidRDefault="00EB609C" w:rsidP="00EB609C">
      <w:pPr>
        <w:jc w:val="center"/>
        <w:rPr>
          <w:rFonts w:cs="Times New Roman"/>
          <w:b/>
          <w:sz w:val="36"/>
          <w:lang w:val="en-GB"/>
        </w:rPr>
      </w:pPr>
      <w:r w:rsidRPr="00EB609C">
        <w:rPr>
          <w:rFonts w:cs="Times New Roman"/>
          <w:b/>
          <w:sz w:val="36"/>
          <w:lang w:val="en-GB"/>
        </w:rPr>
        <w:t>Student Id:</w:t>
      </w:r>
      <w:r w:rsidRPr="00EB609C">
        <w:rPr>
          <w:rFonts w:cs="Times New Roman"/>
          <w:sz w:val="36"/>
          <w:lang w:val="en-GB"/>
        </w:rPr>
        <w:t xml:space="preserve"> </w:t>
      </w:r>
      <w:r w:rsidR="00F80527">
        <w:rPr>
          <w:rFonts w:cs="Times New Roman"/>
          <w:b/>
          <w:bCs/>
          <w:sz w:val="36"/>
          <w:lang w:val="en-GB"/>
        </w:rPr>
        <w:t>2221905</w:t>
      </w:r>
      <w:r>
        <w:rPr>
          <w:rFonts w:cs="Times New Roman"/>
          <w:sz w:val="36"/>
          <w:lang w:val="en-GB"/>
        </w:rPr>
        <w:br/>
      </w:r>
      <w:r>
        <w:rPr>
          <w:rFonts w:cs="Times New Roman"/>
          <w:sz w:val="36"/>
          <w:lang w:val="en-GB"/>
        </w:rPr>
        <w:br/>
      </w:r>
      <w:r w:rsidRPr="00EB609C">
        <w:rPr>
          <w:rFonts w:cs="Times New Roman"/>
          <w:b/>
          <w:sz w:val="36"/>
          <w:lang w:val="en-GB"/>
        </w:rPr>
        <w:t>Date:</w:t>
      </w:r>
      <w:r w:rsidR="00F80527">
        <w:rPr>
          <w:rFonts w:cs="Times New Roman"/>
          <w:b/>
          <w:sz w:val="36"/>
          <w:lang w:val="en-GB"/>
        </w:rPr>
        <w:t xml:space="preserve"> 25 August 2023</w:t>
      </w:r>
    </w:p>
    <w:p w14:paraId="08F03182" w14:textId="7C894981" w:rsidR="00EB609C" w:rsidRDefault="00EB609C" w:rsidP="00EB609C">
      <w:pPr>
        <w:spacing w:line="259" w:lineRule="auto"/>
        <w:jc w:val="left"/>
        <w:rPr>
          <w:rFonts w:cs="Times New Roman"/>
          <w:b/>
          <w:sz w:val="36"/>
          <w:lang w:val="en-GB"/>
        </w:rPr>
      </w:pPr>
      <w:r>
        <w:rPr>
          <w:rFonts w:cs="Times New Roman"/>
          <w:b/>
          <w:sz w:val="36"/>
          <w:lang w:val="en-GB"/>
        </w:rPr>
        <w:br w:type="page"/>
      </w:r>
    </w:p>
    <w:sdt>
      <w:sdtPr>
        <w:rPr>
          <w:rFonts w:ascii="Times New Roman" w:eastAsiaTheme="minorHAnsi" w:hAnsi="Times New Roman" w:cstheme="minorBidi"/>
          <w:color w:val="auto"/>
          <w:kern w:val="2"/>
          <w:sz w:val="24"/>
          <w:szCs w:val="22"/>
          <w14:ligatures w14:val="standardContextual"/>
        </w:rPr>
        <w:id w:val="-708116544"/>
        <w:docPartObj>
          <w:docPartGallery w:val="Table of Contents"/>
          <w:docPartUnique/>
        </w:docPartObj>
      </w:sdtPr>
      <w:sdtEndPr>
        <w:rPr>
          <w:b/>
          <w:bCs/>
          <w:noProof/>
        </w:rPr>
      </w:sdtEndPr>
      <w:sdtContent>
        <w:p w14:paraId="09AD2FCF" w14:textId="0321992D" w:rsidR="00EB609C" w:rsidRDefault="00EB609C">
          <w:pPr>
            <w:pStyle w:val="TOCHeading"/>
          </w:pPr>
          <w:r>
            <w:t>Table of Contents</w:t>
          </w:r>
        </w:p>
        <w:p w14:paraId="71FDD96D" w14:textId="254F9C16" w:rsidR="00EB609C" w:rsidRDefault="00EB609C">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43861970" w:history="1">
            <w:r w:rsidRPr="00C31339">
              <w:rPr>
                <w:rStyle w:val="Hyperlink"/>
                <w:rFonts w:cs="Times New Roman"/>
                <w:noProof/>
                <w:lang w:val="en-GB"/>
              </w:rPr>
              <w:t>Question 1</w:t>
            </w:r>
            <w:r>
              <w:rPr>
                <w:noProof/>
                <w:webHidden/>
              </w:rPr>
              <w:tab/>
            </w:r>
            <w:r>
              <w:rPr>
                <w:noProof/>
                <w:webHidden/>
              </w:rPr>
              <w:fldChar w:fldCharType="begin"/>
            </w:r>
            <w:r>
              <w:rPr>
                <w:noProof/>
                <w:webHidden/>
              </w:rPr>
              <w:instrText xml:space="preserve"> PAGEREF _Toc143861970 \h </w:instrText>
            </w:r>
            <w:r>
              <w:rPr>
                <w:noProof/>
                <w:webHidden/>
              </w:rPr>
            </w:r>
            <w:r>
              <w:rPr>
                <w:noProof/>
                <w:webHidden/>
              </w:rPr>
              <w:fldChar w:fldCharType="separate"/>
            </w:r>
            <w:r>
              <w:rPr>
                <w:noProof/>
                <w:webHidden/>
              </w:rPr>
              <w:t>2</w:t>
            </w:r>
            <w:r>
              <w:rPr>
                <w:noProof/>
                <w:webHidden/>
              </w:rPr>
              <w:fldChar w:fldCharType="end"/>
            </w:r>
          </w:hyperlink>
        </w:p>
        <w:p w14:paraId="328B1226" w14:textId="70BD577D" w:rsidR="00EB609C" w:rsidRDefault="00850C3D">
          <w:pPr>
            <w:pStyle w:val="TOC2"/>
            <w:tabs>
              <w:tab w:val="left" w:pos="880"/>
              <w:tab w:val="right" w:leader="dot" w:pos="9350"/>
            </w:tabs>
            <w:rPr>
              <w:rFonts w:asciiTheme="minorHAnsi" w:eastAsiaTheme="minorEastAsia" w:hAnsiTheme="minorHAnsi"/>
              <w:noProof/>
              <w:kern w:val="0"/>
              <w:sz w:val="22"/>
              <w14:ligatures w14:val="none"/>
            </w:rPr>
          </w:pPr>
          <w:hyperlink w:anchor="_Toc143861971" w:history="1">
            <w:r w:rsidR="00EB609C" w:rsidRPr="00C31339">
              <w:rPr>
                <w:rStyle w:val="Hyperlink"/>
                <w:noProof/>
                <w:lang w:val="en-GB"/>
              </w:rPr>
              <w:t>A)</w:t>
            </w:r>
            <w:r w:rsidR="00EB609C">
              <w:rPr>
                <w:rFonts w:asciiTheme="minorHAnsi" w:eastAsiaTheme="minorEastAsia" w:hAnsiTheme="minorHAnsi"/>
                <w:noProof/>
                <w:kern w:val="0"/>
                <w:sz w:val="22"/>
                <w14:ligatures w14:val="none"/>
              </w:rPr>
              <w:tab/>
            </w:r>
            <w:r w:rsidR="00EB609C" w:rsidRPr="00C31339">
              <w:rPr>
                <w:rStyle w:val="Hyperlink"/>
                <w:noProof/>
                <w:lang w:val="en-GB"/>
              </w:rPr>
              <w:t>Income Statement for the year ended 31</w:t>
            </w:r>
            <w:r w:rsidR="00EB609C" w:rsidRPr="00C31339">
              <w:rPr>
                <w:rStyle w:val="Hyperlink"/>
                <w:noProof/>
                <w:vertAlign w:val="superscript"/>
                <w:lang w:val="en-GB"/>
              </w:rPr>
              <w:t>st</w:t>
            </w:r>
            <w:r w:rsidR="00EB609C" w:rsidRPr="00C31339">
              <w:rPr>
                <w:rStyle w:val="Hyperlink"/>
                <w:noProof/>
                <w:lang w:val="en-GB"/>
              </w:rPr>
              <w:t xml:space="preserve"> December 2022 for Wales plc</w:t>
            </w:r>
            <w:r w:rsidR="00EB609C">
              <w:rPr>
                <w:noProof/>
                <w:webHidden/>
              </w:rPr>
              <w:tab/>
            </w:r>
            <w:r w:rsidR="00EB609C">
              <w:rPr>
                <w:noProof/>
                <w:webHidden/>
              </w:rPr>
              <w:fldChar w:fldCharType="begin"/>
            </w:r>
            <w:r w:rsidR="00EB609C">
              <w:rPr>
                <w:noProof/>
                <w:webHidden/>
              </w:rPr>
              <w:instrText xml:space="preserve"> PAGEREF _Toc143861971 \h </w:instrText>
            </w:r>
            <w:r w:rsidR="00EB609C">
              <w:rPr>
                <w:noProof/>
                <w:webHidden/>
              </w:rPr>
            </w:r>
            <w:r w:rsidR="00EB609C">
              <w:rPr>
                <w:noProof/>
                <w:webHidden/>
              </w:rPr>
              <w:fldChar w:fldCharType="separate"/>
            </w:r>
            <w:r w:rsidR="00EB609C">
              <w:rPr>
                <w:noProof/>
                <w:webHidden/>
              </w:rPr>
              <w:t>2</w:t>
            </w:r>
            <w:r w:rsidR="00EB609C">
              <w:rPr>
                <w:noProof/>
                <w:webHidden/>
              </w:rPr>
              <w:fldChar w:fldCharType="end"/>
            </w:r>
          </w:hyperlink>
        </w:p>
        <w:p w14:paraId="1C4416D8" w14:textId="6AE05C3F" w:rsidR="00EB609C" w:rsidRDefault="00850C3D">
          <w:pPr>
            <w:pStyle w:val="TOC2"/>
            <w:tabs>
              <w:tab w:val="left" w:pos="880"/>
              <w:tab w:val="right" w:leader="dot" w:pos="9350"/>
            </w:tabs>
            <w:rPr>
              <w:rFonts w:asciiTheme="minorHAnsi" w:eastAsiaTheme="minorEastAsia" w:hAnsiTheme="minorHAnsi"/>
              <w:noProof/>
              <w:kern w:val="0"/>
              <w:sz w:val="22"/>
              <w14:ligatures w14:val="none"/>
            </w:rPr>
          </w:pPr>
          <w:hyperlink w:anchor="_Toc143861972" w:history="1">
            <w:r w:rsidR="00EB609C" w:rsidRPr="00C31339">
              <w:rPr>
                <w:rStyle w:val="Hyperlink"/>
                <w:noProof/>
                <w:lang w:val="en-GB"/>
              </w:rPr>
              <w:t>B)</w:t>
            </w:r>
            <w:r w:rsidR="00EB609C">
              <w:rPr>
                <w:rFonts w:asciiTheme="minorHAnsi" w:eastAsiaTheme="minorEastAsia" w:hAnsiTheme="minorHAnsi"/>
                <w:noProof/>
                <w:kern w:val="0"/>
                <w:sz w:val="22"/>
                <w14:ligatures w14:val="none"/>
              </w:rPr>
              <w:tab/>
            </w:r>
            <w:r w:rsidR="00EB609C" w:rsidRPr="00C31339">
              <w:rPr>
                <w:rStyle w:val="Hyperlink"/>
                <w:noProof/>
                <w:lang w:val="en-GB"/>
              </w:rPr>
              <w:t>Statement of Financial Position for Wales Plc</w:t>
            </w:r>
            <w:r w:rsidR="00EB609C">
              <w:rPr>
                <w:noProof/>
                <w:webHidden/>
              </w:rPr>
              <w:tab/>
            </w:r>
            <w:r w:rsidR="00EB609C">
              <w:rPr>
                <w:noProof/>
                <w:webHidden/>
              </w:rPr>
              <w:fldChar w:fldCharType="begin"/>
            </w:r>
            <w:r w:rsidR="00EB609C">
              <w:rPr>
                <w:noProof/>
                <w:webHidden/>
              </w:rPr>
              <w:instrText xml:space="preserve"> PAGEREF _Toc143861972 \h </w:instrText>
            </w:r>
            <w:r w:rsidR="00EB609C">
              <w:rPr>
                <w:noProof/>
                <w:webHidden/>
              </w:rPr>
            </w:r>
            <w:r w:rsidR="00EB609C">
              <w:rPr>
                <w:noProof/>
                <w:webHidden/>
              </w:rPr>
              <w:fldChar w:fldCharType="separate"/>
            </w:r>
            <w:r w:rsidR="00EB609C">
              <w:rPr>
                <w:noProof/>
                <w:webHidden/>
              </w:rPr>
              <w:t>2</w:t>
            </w:r>
            <w:r w:rsidR="00EB609C">
              <w:rPr>
                <w:noProof/>
                <w:webHidden/>
              </w:rPr>
              <w:fldChar w:fldCharType="end"/>
            </w:r>
          </w:hyperlink>
        </w:p>
        <w:p w14:paraId="7B2D2A8A" w14:textId="00CD9BD3" w:rsidR="00EB609C" w:rsidRDefault="00850C3D">
          <w:pPr>
            <w:pStyle w:val="TOC1"/>
            <w:tabs>
              <w:tab w:val="right" w:leader="dot" w:pos="9350"/>
            </w:tabs>
            <w:rPr>
              <w:rFonts w:asciiTheme="minorHAnsi" w:eastAsiaTheme="minorEastAsia" w:hAnsiTheme="minorHAnsi"/>
              <w:noProof/>
              <w:kern w:val="0"/>
              <w:sz w:val="22"/>
              <w14:ligatures w14:val="none"/>
            </w:rPr>
          </w:pPr>
          <w:hyperlink w:anchor="_Toc143861973" w:history="1">
            <w:r w:rsidR="00EB609C" w:rsidRPr="00C31339">
              <w:rPr>
                <w:rStyle w:val="Hyperlink"/>
                <w:rFonts w:cs="Times New Roman"/>
                <w:noProof/>
                <w:lang w:val="en-GB"/>
              </w:rPr>
              <w:t>Question 2</w:t>
            </w:r>
            <w:r w:rsidR="00EB609C">
              <w:rPr>
                <w:noProof/>
                <w:webHidden/>
              </w:rPr>
              <w:tab/>
            </w:r>
            <w:r w:rsidR="00EB609C">
              <w:rPr>
                <w:noProof/>
                <w:webHidden/>
              </w:rPr>
              <w:fldChar w:fldCharType="begin"/>
            </w:r>
            <w:r w:rsidR="00EB609C">
              <w:rPr>
                <w:noProof/>
                <w:webHidden/>
              </w:rPr>
              <w:instrText xml:space="preserve"> PAGEREF _Toc143861973 \h </w:instrText>
            </w:r>
            <w:r w:rsidR="00EB609C">
              <w:rPr>
                <w:noProof/>
                <w:webHidden/>
              </w:rPr>
            </w:r>
            <w:r w:rsidR="00EB609C">
              <w:rPr>
                <w:noProof/>
                <w:webHidden/>
              </w:rPr>
              <w:fldChar w:fldCharType="separate"/>
            </w:r>
            <w:r w:rsidR="00EB609C">
              <w:rPr>
                <w:noProof/>
                <w:webHidden/>
              </w:rPr>
              <w:t>4</w:t>
            </w:r>
            <w:r w:rsidR="00EB609C">
              <w:rPr>
                <w:noProof/>
                <w:webHidden/>
              </w:rPr>
              <w:fldChar w:fldCharType="end"/>
            </w:r>
          </w:hyperlink>
        </w:p>
        <w:p w14:paraId="0EC5FAAE" w14:textId="5F843ABF" w:rsidR="00EB609C" w:rsidRDefault="00850C3D">
          <w:pPr>
            <w:pStyle w:val="TOC2"/>
            <w:tabs>
              <w:tab w:val="left" w:pos="880"/>
              <w:tab w:val="right" w:leader="dot" w:pos="9350"/>
            </w:tabs>
            <w:rPr>
              <w:rFonts w:asciiTheme="minorHAnsi" w:eastAsiaTheme="minorEastAsia" w:hAnsiTheme="minorHAnsi"/>
              <w:noProof/>
              <w:kern w:val="0"/>
              <w:sz w:val="22"/>
              <w14:ligatures w14:val="none"/>
            </w:rPr>
          </w:pPr>
          <w:hyperlink w:anchor="_Toc143861974" w:history="1">
            <w:r w:rsidR="00EB609C" w:rsidRPr="00C31339">
              <w:rPr>
                <w:rStyle w:val="Hyperlink"/>
                <w:noProof/>
                <w:lang w:val="en-GB"/>
              </w:rPr>
              <w:t>A)</w:t>
            </w:r>
            <w:r w:rsidR="00EB609C">
              <w:rPr>
                <w:rFonts w:asciiTheme="minorHAnsi" w:eastAsiaTheme="minorEastAsia" w:hAnsiTheme="minorHAnsi"/>
                <w:noProof/>
                <w:kern w:val="0"/>
                <w:sz w:val="22"/>
                <w14:ligatures w14:val="none"/>
              </w:rPr>
              <w:tab/>
            </w:r>
            <w:r w:rsidR="00EB609C" w:rsidRPr="00C31339">
              <w:rPr>
                <w:rStyle w:val="Hyperlink"/>
                <w:noProof/>
                <w:lang w:val="en-GB"/>
              </w:rPr>
              <w:t>Ratios for Sweets Plc for 2021 &amp; 2020.</w:t>
            </w:r>
            <w:r w:rsidR="00EB609C">
              <w:rPr>
                <w:noProof/>
                <w:webHidden/>
              </w:rPr>
              <w:tab/>
            </w:r>
            <w:r w:rsidR="00EB609C">
              <w:rPr>
                <w:noProof/>
                <w:webHidden/>
              </w:rPr>
              <w:fldChar w:fldCharType="begin"/>
            </w:r>
            <w:r w:rsidR="00EB609C">
              <w:rPr>
                <w:noProof/>
                <w:webHidden/>
              </w:rPr>
              <w:instrText xml:space="preserve"> PAGEREF _Toc143861974 \h </w:instrText>
            </w:r>
            <w:r w:rsidR="00EB609C">
              <w:rPr>
                <w:noProof/>
                <w:webHidden/>
              </w:rPr>
            </w:r>
            <w:r w:rsidR="00EB609C">
              <w:rPr>
                <w:noProof/>
                <w:webHidden/>
              </w:rPr>
              <w:fldChar w:fldCharType="separate"/>
            </w:r>
            <w:r w:rsidR="00EB609C">
              <w:rPr>
                <w:noProof/>
                <w:webHidden/>
              </w:rPr>
              <w:t>4</w:t>
            </w:r>
            <w:r w:rsidR="00EB609C">
              <w:rPr>
                <w:noProof/>
                <w:webHidden/>
              </w:rPr>
              <w:fldChar w:fldCharType="end"/>
            </w:r>
          </w:hyperlink>
        </w:p>
        <w:p w14:paraId="540FDE7B" w14:textId="21F5E924" w:rsidR="00EB609C" w:rsidRDefault="00EB609C">
          <w:r>
            <w:rPr>
              <w:b/>
              <w:bCs/>
              <w:noProof/>
            </w:rPr>
            <w:fldChar w:fldCharType="end"/>
          </w:r>
        </w:p>
      </w:sdtContent>
    </w:sdt>
    <w:p w14:paraId="17C68618" w14:textId="507B584B" w:rsidR="00EB609C" w:rsidRPr="00EB609C" w:rsidRDefault="00EB609C" w:rsidP="00EB609C">
      <w:pPr>
        <w:jc w:val="center"/>
        <w:rPr>
          <w:rFonts w:eastAsiaTheme="majorEastAsia" w:cs="Times New Roman"/>
          <w:color w:val="2F5496" w:themeColor="accent1" w:themeShade="BF"/>
          <w:sz w:val="32"/>
          <w:szCs w:val="32"/>
          <w:lang w:val="en-GB"/>
        </w:rPr>
      </w:pPr>
      <w:r>
        <w:rPr>
          <w:rFonts w:cs="Times New Roman"/>
          <w:sz w:val="36"/>
          <w:lang w:val="en-GB"/>
        </w:rPr>
        <w:t xml:space="preserve"> </w:t>
      </w:r>
      <w:r w:rsidRPr="00EB609C">
        <w:rPr>
          <w:rFonts w:cs="Times New Roman"/>
          <w:lang w:val="en-GB"/>
        </w:rPr>
        <w:br w:type="page"/>
      </w:r>
    </w:p>
    <w:p w14:paraId="0A52C8A9" w14:textId="38AE386B" w:rsidR="00E5401C" w:rsidRPr="00EB609C" w:rsidRDefault="00EB609C" w:rsidP="00BC5E91">
      <w:pPr>
        <w:pStyle w:val="Heading1"/>
        <w:rPr>
          <w:rFonts w:cs="Times New Roman"/>
          <w:lang w:val="en-GB"/>
        </w:rPr>
      </w:pPr>
      <w:bookmarkStart w:id="0" w:name="_Toc143861970"/>
      <w:r>
        <w:rPr>
          <w:rFonts w:cs="Times New Roman"/>
          <w:lang w:val="en-GB"/>
        </w:rPr>
        <w:lastRenderedPageBreak/>
        <w:t>Question 1</w:t>
      </w:r>
      <w:bookmarkEnd w:id="0"/>
    </w:p>
    <w:p w14:paraId="1D3B311C" w14:textId="4B45B00D" w:rsidR="002E672A" w:rsidRPr="00EB609C" w:rsidRDefault="002E672A" w:rsidP="00EB609C">
      <w:pPr>
        <w:pStyle w:val="Heading2"/>
        <w:numPr>
          <w:ilvl w:val="0"/>
          <w:numId w:val="3"/>
        </w:numPr>
        <w:rPr>
          <w:lang w:val="en-GB"/>
        </w:rPr>
      </w:pPr>
      <w:bookmarkStart w:id="1" w:name="_Toc143861971"/>
      <w:r w:rsidRPr="00EB609C">
        <w:rPr>
          <w:lang w:val="en-GB"/>
        </w:rPr>
        <w:t>Income Statement for the year ended 31</w:t>
      </w:r>
      <w:r w:rsidRPr="00EB609C">
        <w:rPr>
          <w:vertAlign w:val="superscript"/>
          <w:lang w:val="en-GB"/>
        </w:rPr>
        <w:t>st</w:t>
      </w:r>
      <w:r w:rsidRPr="00EB609C">
        <w:rPr>
          <w:lang w:val="en-GB"/>
        </w:rPr>
        <w:t xml:space="preserve"> December 2022 for Wales plc</w:t>
      </w:r>
      <w:bookmarkEnd w:id="1"/>
    </w:p>
    <w:tbl>
      <w:tblPr>
        <w:tblStyle w:val="TableGrid"/>
        <w:tblW w:w="5000" w:type="pct"/>
        <w:tblLook w:val="04A0" w:firstRow="1" w:lastRow="0" w:firstColumn="1" w:lastColumn="0" w:noHBand="0" w:noVBand="1"/>
      </w:tblPr>
      <w:tblGrid>
        <w:gridCol w:w="5662"/>
        <w:gridCol w:w="1844"/>
        <w:gridCol w:w="1844"/>
      </w:tblGrid>
      <w:tr w:rsidR="00DD01C1" w:rsidRPr="00EB609C" w14:paraId="6186F381" w14:textId="77777777" w:rsidTr="00EB609C">
        <w:trPr>
          <w:trHeight w:val="300"/>
        </w:trPr>
        <w:tc>
          <w:tcPr>
            <w:tcW w:w="3028" w:type="pct"/>
            <w:noWrap/>
            <w:hideMark/>
          </w:tcPr>
          <w:p w14:paraId="7BCCB0EC"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76AC4A56" w14:textId="77777777" w:rsidR="00DD01C1" w:rsidRPr="00EB609C" w:rsidRDefault="00DD01C1" w:rsidP="00DD01C1">
            <w:pPr>
              <w:jc w:val="center"/>
              <w:rPr>
                <w:rFonts w:eastAsia="Times New Roman" w:cs="Times New Roman"/>
                <w:b/>
                <w:color w:val="000000"/>
                <w:kern w:val="0"/>
                <w14:ligatures w14:val="none"/>
              </w:rPr>
            </w:pPr>
            <w:r w:rsidRPr="00EB609C">
              <w:rPr>
                <w:rFonts w:eastAsia="Times New Roman" w:cs="Times New Roman"/>
                <w:b/>
                <w:color w:val="000000"/>
                <w:kern w:val="0"/>
                <w14:ligatures w14:val="none"/>
              </w:rPr>
              <w:t>£</w:t>
            </w:r>
          </w:p>
        </w:tc>
        <w:tc>
          <w:tcPr>
            <w:tcW w:w="986" w:type="pct"/>
            <w:noWrap/>
            <w:hideMark/>
          </w:tcPr>
          <w:p w14:paraId="4AACC824" w14:textId="77777777" w:rsidR="00DD01C1" w:rsidRPr="00EB609C" w:rsidRDefault="00DD01C1" w:rsidP="00DD01C1">
            <w:pPr>
              <w:jc w:val="center"/>
              <w:rPr>
                <w:rFonts w:eastAsia="Times New Roman" w:cs="Times New Roman"/>
                <w:b/>
                <w:color w:val="000000"/>
                <w:kern w:val="0"/>
                <w14:ligatures w14:val="none"/>
              </w:rPr>
            </w:pPr>
            <w:r w:rsidRPr="00EB609C">
              <w:rPr>
                <w:rFonts w:eastAsia="Times New Roman" w:cs="Times New Roman"/>
                <w:b/>
                <w:color w:val="000000"/>
                <w:kern w:val="0"/>
                <w14:ligatures w14:val="none"/>
              </w:rPr>
              <w:t>£</w:t>
            </w:r>
          </w:p>
        </w:tc>
      </w:tr>
      <w:tr w:rsidR="00DD01C1" w:rsidRPr="00EB609C" w14:paraId="3ACCB78C" w14:textId="77777777" w:rsidTr="00EB609C">
        <w:trPr>
          <w:trHeight w:val="300"/>
        </w:trPr>
        <w:tc>
          <w:tcPr>
            <w:tcW w:w="3028" w:type="pct"/>
            <w:noWrap/>
            <w:hideMark/>
          </w:tcPr>
          <w:p w14:paraId="11388152"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Sales</w:t>
            </w:r>
          </w:p>
        </w:tc>
        <w:tc>
          <w:tcPr>
            <w:tcW w:w="986" w:type="pct"/>
            <w:noWrap/>
            <w:hideMark/>
          </w:tcPr>
          <w:p w14:paraId="3FC5D804"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900,000 </w:t>
            </w:r>
          </w:p>
        </w:tc>
        <w:tc>
          <w:tcPr>
            <w:tcW w:w="986" w:type="pct"/>
            <w:noWrap/>
            <w:hideMark/>
          </w:tcPr>
          <w:p w14:paraId="23FCF842"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50621440" w14:textId="77777777" w:rsidTr="00EB609C">
        <w:trPr>
          <w:trHeight w:val="300"/>
        </w:trPr>
        <w:tc>
          <w:tcPr>
            <w:tcW w:w="3028" w:type="pct"/>
            <w:noWrap/>
            <w:hideMark/>
          </w:tcPr>
          <w:p w14:paraId="5AAA38D8"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Less cost of sales</w:t>
            </w:r>
          </w:p>
        </w:tc>
        <w:tc>
          <w:tcPr>
            <w:tcW w:w="986" w:type="pct"/>
            <w:noWrap/>
            <w:hideMark/>
          </w:tcPr>
          <w:p w14:paraId="4F539F25"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(578,650)</w:t>
            </w:r>
          </w:p>
        </w:tc>
        <w:tc>
          <w:tcPr>
            <w:tcW w:w="986" w:type="pct"/>
            <w:noWrap/>
            <w:hideMark/>
          </w:tcPr>
          <w:p w14:paraId="560D1EC3"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6F53EE8A" w14:textId="77777777" w:rsidTr="00EB609C">
        <w:trPr>
          <w:trHeight w:val="300"/>
        </w:trPr>
        <w:tc>
          <w:tcPr>
            <w:tcW w:w="3028" w:type="pct"/>
            <w:noWrap/>
            <w:hideMark/>
          </w:tcPr>
          <w:p w14:paraId="5DAFCD4A"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Gross profit</w:t>
            </w:r>
          </w:p>
        </w:tc>
        <w:tc>
          <w:tcPr>
            <w:tcW w:w="986" w:type="pct"/>
            <w:noWrap/>
            <w:hideMark/>
          </w:tcPr>
          <w:p w14:paraId="3C637B41"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4F7C519E"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321,350 </w:t>
            </w:r>
          </w:p>
        </w:tc>
      </w:tr>
      <w:tr w:rsidR="00DD01C1" w:rsidRPr="00EB609C" w14:paraId="0E103A3E" w14:textId="77777777" w:rsidTr="00EB609C">
        <w:trPr>
          <w:trHeight w:val="300"/>
        </w:trPr>
        <w:tc>
          <w:tcPr>
            <w:tcW w:w="3028" w:type="pct"/>
            <w:noWrap/>
            <w:hideMark/>
          </w:tcPr>
          <w:p w14:paraId="01F323AA"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Expenses</w:t>
            </w:r>
          </w:p>
        </w:tc>
        <w:tc>
          <w:tcPr>
            <w:tcW w:w="986" w:type="pct"/>
            <w:noWrap/>
            <w:hideMark/>
          </w:tcPr>
          <w:p w14:paraId="67ABEA3A"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49459920"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419764BF" w14:textId="77777777" w:rsidTr="00EB609C">
        <w:trPr>
          <w:trHeight w:val="300"/>
        </w:trPr>
        <w:tc>
          <w:tcPr>
            <w:tcW w:w="3028" w:type="pct"/>
            <w:noWrap/>
            <w:hideMark/>
          </w:tcPr>
          <w:p w14:paraId="1F97194B"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Admin expenses</w:t>
            </w:r>
          </w:p>
        </w:tc>
        <w:tc>
          <w:tcPr>
            <w:tcW w:w="986" w:type="pct"/>
            <w:noWrap/>
            <w:hideMark/>
          </w:tcPr>
          <w:p w14:paraId="02B211A4"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(30,000)</w:t>
            </w:r>
          </w:p>
        </w:tc>
        <w:tc>
          <w:tcPr>
            <w:tcW w:w="986" w:type="pct"/>
            <w:noWrap/>
            <w:hideMark/>
          </w:tcPr>
          <w:p w14:paraId="045B6752"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659C7C63" w14:textId="77777777" w:rsidTr="00EB609C">
        <w:trPr>
          <w:trHeight w:val="300"/>
        </w:trPr>
        <w:tc>
          <w:tcPr>
            <w:tcW w:w="3028" w:type="pct"/>
            <w:noWrap/>
            <w:hideMark/>
          </w:tcPr>
          <w:p w14:paraId="6800C772"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Distribution costs</w:t>
            </w:r>
          </w:p>
        </w:tc>
        <w:tc>
          <w:tcPr>
            <w:tcW w:w="986" w:type="pct"/>
            <w:noWrap/>
            <w:hideMark/>
          </w:tcPr>
          <w:p w14:paraId="00F049B1"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(28,000)</w:t>
            </w:r>
          </w:p>
        </w:tc>
        <w:tc>
          <w:tcPr>
            <w:tcW w:w="986" w:type="pct"/>
            <w:noWrap/>
            <w:hideMark/>
          </w:tcPr>
          <w:p w14:paraId="1D47C6A5"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10340A98" w14:textId="77777777" w:rsidTr="00EB609C">
        <w:trPr>
          <w:trHeight w:val="300"/>
        </w:trPr>
        <w:tc>
          <w:tcPr>
            <w:tcW w:w="3028" w:type="pct"/>
            <w:noWrap/>
            <w:hideMark/>
          </w:tcPr>
          <w:p w14:paraId="3F5CBC24"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Sales commission expense</w:t>
            </w:r>
          </w:p>
        </w:tc>
        <w:tc>
          <w:tcPr>
            <w:tcW w:w="986" w:type="pct"/>
            <w:noWrap/>
            <w:hideMark/>
          </w:tcPr>
          <w:p w14:paraId="63AA8EE3"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(3,000)</w:t>
            </w:r>
          </w:p>
        </w:tc>
        <w:tc>
          <w:tcPr>
            <w:tcW w:w="986" w:type="pct"/>
            <w:noWrap/>
            <w:hideMark/>
          </w:tcPr>
          <w:p w14:paraId="21388431"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63BC5161" w14:textId="77777777" w:rsidTr="00EB609C">
        <w:trPr>
          <w:trHeight w:val="300"/>
        </w:trPr>
        <w:tc>
          <w:tcPr>
            <w:tcW w:w="3028" w:type="pct"/>
            <w:noWrap/>
            <w:hideMark/>
          </w:tcPr>
          <w:p w14:paraId="378724F0"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Directors remuneration</w:t>
            </w:r>
          </w:p>
        </w:tc>
        <w:tc>
          <w:tcPr>
            <w:tcW w:w="986" w:type="pct"/>
            <w:noWrap/>
            <w:hideMark/>
          </w:tcPr>
          <w:p w14:paraId="56A0DC1C"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(5,000)</w:t>
            </w:r>
          </w:p>
        </w:tc>
        <w:tc>
          <w:tcPr>
            <w:tcW w:w="986" w:type="pct"/>
            <w:noWrap/>
            <w:hideMark/>
          </w:tcPr>
          <w:p w14:paraId="7428FE9A"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3C3563F4" w14:textId="77777777" w:rsidTr="00EB609C">
        <w:trPr>
          <w:trHeight w:val="300"/>
        </w:trPr>
        <w:tc>
          <w:tcPr>
            <w:tcW w:w="3028" w:type="pct"/>
            <w:noWrap/>
            <w:hideMark/>
          </w:tcPr>
          <w:p w14:paraId="4A8AE4C2"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Total expenses</w:t>
            </w:r>
          </w:p>
        </w:tc>
        <w:tc>
          <w:tcPr>
            <w:tcW w:w="986" w:type="pct"/>
            <w:noWrap/>
            <w:hideMark/>
          </w:tcPr>
          <w:p w14:paraId="4D76BD3E"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5F46DA66"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(66,000)</w:t>
            </w:r>
          </w:p>
        </w:tc>
      </w:tr>
      <w:tr w:rsidR="00DD01C1" w:rsidRPr="00EB609C" w14:paraId="786FD9D2" w14:textId="77777777" w:rsidTr="00EB609C">
        <w:trPr>
          <w:trHeight w:val="300"/>
        </w:trPr>
        <w:tc>
          <w:tcPr>
            <w:tcW w:w="3028" w:type="pct"/>
            <w:noWrap/>
            <w:hideMark/>
          </w:tcPr>
          <w:p w14:paraId="67486CDE"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Profit before interest and Tax</w:t>
            </w:r>
          </w:p>
        </w:tc>
        <w:tc>
          <w:tcPr>
            <w:tcW w:w="986" w:type="pct"/>
            <w:noWrap/>
            <w:hideMark/>
          </w:tcPr>
          <w:p w14:paraId="608569B2"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7934C4D3"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255,350 </w:t>
            </w:r>
          </w:p>
        </w:tc>
      </w:tr>
      <w:tr w:rsidR="00DD01C1" w:rsidRPr="00EB609C" w14:paraId="190D1792" w14:textId="77777777" w:rsidTr="00EB609C">
        <w:trPr>
          <w:trHeight w:val="300"/>
        </w:trPr>
        <w:tc>
          <w:tcPr>
            <w:tcW w:w="3028" w:type="pct"/>
            <w:noWrap/>
            <w:hideMark/>
          </w:tcPr>
          <w:p w14:paraId="76044133"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Interest paid</w:t>
            </w:r>
          </w:p>
        </w:tc>
        <w:tc>
          <w:tcPr>
            <w:tcW w:w="986" w:type="pct"/>
            <w:noWrap/>
            <w:hideMark/>
          </w:tcPr>
          <w:p w14:paraId="1C4641BB"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(2,000)</w:t>
            </w:r>
          </w:p>
        </w:tc>
        <w:tc>
          <w:tcPr>
            <w:tcW w:w="986" w:type="pct"/>
            <w:noWrap/>
            <w:hideMark/>
          </w:tcPr>
          <w:p w14:paraId="4E5474AE"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76A4A669" w14:textId="77777777" w:rsidTr="00EB609C">
        <w:trPr>
          <w:trHeight w:val="300"/>
        </w:trPr>
        <w:tc>
          <w:tcPr>
            <w:tcW w:w="3028" w:type="pct"/>
            <w:noWrap/>
            <w:hideMark/>
          </w:tcPr>
          <w:p w14:paraId="264E0625"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Ordinary dividends paid</w:t>
            </w:r>
          </w:p>
        </w:tc>
        <w:tc>
          <w:tcPr>
            <w:tcW w:w="986" w:type="pct"/>
            <w:noWrap/>
            <w:hideMark/>
          </w:tcPr>
          <w:p w14:paraId="1A4E8592"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(20,000)</w:t>
            </w:r>
          </w:p>
        </w:tc>
        <w:tc>
          <w:tcPr>
            <w:tcW w:w="986" w:type="pct"/>
            <w:noWrap/>
            <w:hideMark/>
          </w:tcPr>
          <w:p w14:paraId="5166FA7E"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6C02F7E6" w14:textId="77777777" w:rsidTr="00EB609C">
        <w:trPr>
          <w:trHeight w:val="300"/>
        </w:trPr>
        <w:tc>
          <w:tcPr>
            <w:tcW w:w="3028" w:type="pct"/>
            <w:noWrap/>
            <w:hideMark/>
          </w:tcPr>
          <w:p w14:paraId="259106E7"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Preference dividends paid</w:t>
            </w:r>
          </w:p>
        </w:tc>
        <w:tc>
          <w:tcPr>
            <w:tcW w:w="986" w:type="pct"/>
            <w:noWrap/>
            <w:hideMark/>
          </w:tcPr>
          <w:p w14:paraId="47C29007"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(30,000)</w:t>
            </w:r>
          </w:p>
        </w:tc>
        <w:tc>
          <w:tcPr>
            <w:tcW w:w="986" w:type="pct"/>
            <w:noWrap/>
            <w:hideMark/>
          </w:tcPr>
          <w:p w14:paraId="0E1C3AA8"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7957FF2D" w14:textId="77777777" w:rsidTr="00EB609C">
        <w:trPr>
          <w:trHeight w:val="300"/>
        </w:trPr>
        <w:tc>
          <w:tcPr>
            <w:tcW w:w="3028" w:type="pct"/>
            <w:noWrap/>
            <w:hideMark/>
          </w:tcPr>
          <w:p w14:paraId="48ED2D96"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Total </w:t>
            </w:r>
          </w:p>
        </w:tc>
        <w:tc>
          <w:tcPr>
            <w:tcW w:w="986" w:type="pct"/>
            <w:noWrap/>
            <w:hideMark/>
          </w:tcPr>
          <w:p w14:paraId="4DFAB739"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2653D67B"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(52,000)</w:t>
            </w:r>
          </w:p>
        </w:tc>
      </w:tr>
      <w:tr w:rsidR="00DD01C1" w:rsidRPr="00EB609C" w14:paraId="35FF19F0" w14:textId="77777777" w:rsidTr="00EB609C">
        <w:trPr>
          <w:trHeight w:val="300"/>
        </w:trPr>
        <w:tc>
          <w:tcPr>
            <w:tcW w:w="3028" w:type="pct"/>
            <w:noWrap/>
            <w:hideMark/>
          </w:tcPr>
          <w:p w14:paraId="3FE56107"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Income before tax</w:t>
            </w:r>
          </w:p>
        </w:tc>
        <w:tc>
          <w:tcPr>
            <w:tcW w:w="986" w:type="pct"/>
            <w:noWrap/>
            <w:hideMark/>
          </w:tcPr>
          <w:p w14:paraId="5DC810CC"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5F395858"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203,350 </w:t>
            </w:r>
          </w:p>
        </w:tc>
      </w:tr>
      <w:tr w:rsidR="00DD01C1" w:rsidRPr="00EB609C" w14:paraId="2EEDF683" w14:textId="77777777" w:rsidTr="00EB609C">
        <w:trPr>
          <w:trHeight w:val="300"/>
        </w:trPr>
        <w:tc>
          <w:tcPr>
            <w:tcW w:w="3028" w:type="pct"/>
            <w:noWrap/>
            <w:hideMark/>
          </w:tcPr>
          <w:p w14:paraId="1692CA3B"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Tax</w:t>
            </w:r>
          </w:p>
        </w:tc>
        <w:tc>
          <w:tcPr>
            <w:tcW w:w="986" w:type="pct"/>
            <w:noWrap/>
            <w:hideMark/>
          </w:tcPr>
          <w:p w14:paraId="1864FC33"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752BDDEE"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(100,000)</w:t>
            </w:r>
          </w:p>
        </w:tc>
      </w:tr>
      <w:tr w:rsidR="00DD01C1" w:rsidRPr="00EB609C" w14:paraId="670DEAB6" w14:textId="77777777" w:rsidTr="00EB609C">
        <w:trPr>
          <w:trHeight w:val="300"/>
        </w:trPr>
        <w:tc>
          <w:tcPr>
            <w:tcW w:w="3028" w:type="pct"/>
            <w:noWrap/>
            <w:hideMark/>
          </w:tcPr>
          <w:p w14:paraId="7A16CD96"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Net profit </w:t>
            </w:r>
          </w:p>
        </w:tc>
        <w:tc>
          <w:tcPr>
            <w:tcW w:w="986" w:type="pct"/>
            <w:noWrap/>
            <w:hideMark/>
          </w:tcPr>
          <w:p w14:paraId="57D9F711"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5FE81F84"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103,350 </w:t>
            </w:r>
          </w:p>
        </w:tc>
      </w:tr>
      <w:tr w:rsidR="00DD01C1" w:rsidRPr="00EB609C" w14:paraId="6C3C3B94" w14:textId="77777777" w:rsidTr="00EB609C">
        <w:trPr>
          <w:trHeight w:val="300"/>
        </w:trPr>
        <w:tc>
          <w:tcPr>
            <w:tcW w:w="3028" w:type="pct"/>
            <w:noWrap/>
            <w:hideMark/>
          </w:tcPr>
          <w:p w14:paraId="1BF22734" w14:textId="02767F0F"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Retained profits </w:t>
            </w:r>
            <w:r w:rsidR="00466C2B" w:rsidRPr="00EB609C">
              <w:rPr>
                <w:rFonts w:eastAsia="Times New Roman" w:cs="Times New Roman"/>
                <w:b/>
                <w:color w:val="000000"/>
                <w:kern w:val="0"/>
                <w14:ligatures w14:val="none"/>
              </w:rPr>
              <w:t>on</w:t>
            </w:r>
            <w:r w:rsidRPr="00EB609C">
              <w:rPr>
                <w:rFonts w:eastAsia="Times New Roman" w:cs="Times New Roman"/>
                <w:b/>
                <w:color w:val="000000"/>
                <w:kern w:val="0"/>
                <w14:ligatures w14:val="none"/>
              </w:rPr>
              <w:t xml:space="preserve"> 1st January 2022</w:t>
            </w:r>
          </w:p>
        </w:tc>
        <w:tc>
          <w:tcPr>
            <w:tcW w:w="986" w:type="pct"/>
            <w:noWrap/>
            <w:hideMark/>
          </w:tcPr>
          <w:p w14:paraId="33D6BCA0"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132,000 </w:t>
            </w:r>
          </w:p>
        </w:tc>
        <w:tc>
          <w:tcPr>
            <w:tcW w:w="986" w:type="pct"/>
            <w:noWrap/>
            <w:hideMark/>
          </w:tcPr>
          <w:p w14:paraId="500F0B95" w14:textId="77777777" w:rsidR="00DD01C1" w:rsidRPr="00EB609C" w:rsidRDefault="00DD01C1" w:rsidP="00DD01C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DD01C1" w:rsidRPr="00EB609C" w14:paraId="09574404" w14:textId="77777777" w:rsidTr="00EB609C">
        <w:trPr>
          <w:trHeight w:val="300"/>
        </w:trPr>
        <w:tc>
          <w:tcPr>
            <w:tcW w:w="3028" w:type="pct"/>
            <w:noWrap/>
            <w:hideMark/>
          </w:tcPr>
          <w:p w14:paraId="5DC67E8C" w14:textId="685DB87A"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Retained profits </w:t>
            </w:r>
            <w:r w:rsidR="00466C2B" w:rsidRPr="00EB609C">
              <w:rPr>
                <w:rFonts w:eastAsia="Times New Roman" w:cs="Times New Roman"/>
                <w:b/>
                <w:i/>
                <w:iCs/>
                <w:color w:val="000000"/>
                <w:kern w:val="0"/>
                <w14:ligatures w14:val="none"/>
              </w:rPr>
              <w:t>on</w:t>
            </w:r>
            <w:r w:rsidRPr="00EB609C">
              <w:rPr>
                <w:rFonts w:eastAsia="Times New Roman" w:cs="Times New Roman"/>
                <w:b/>
                <w:i/>
                <w:iCs/>
                <w:color w:val="000000"/>
                <w:kern w:val="0"/>
                <w14:ligatures w14:val="none"/>
              </w:rPr>
              <w:t xml:space="preserve"> 31st Dec</w:t>
            </w:r>
            <w:r w:rsidR="00466C2B" w:rsidRPr="00EB609C">
              <w:rPr>
                <w:rFonts w:eastAsia="Times New Roman" w:cs="Times New Roman"/>
                <w:b/>
                <w:i/>
                <w:iCs/>
                <w:color w:val="000000"/>
                <w:kern w:val="0"/>
                <w14:ligatures w14:val="none"/>
              </w:rPr>
              <w:t>ember</w:t>
            </w:r>
            <w:r w:rsidRPr="00EB609C">
              <w:rPr>
                <w:rFonts w:eastAsia="Times New Roman" w:cs="Times New Roman"/>
                <w:b/>
                <w:i/>
                <w:iCs/>
                <w:color w:val="000000"/>
                <w:kern w:val="0"/>
                <w14:ligatures w14:val="none"/>
              </w:rPr>
              <w:t xml:space="preserve"> 2022</w:t>
            </w:r>
          </w:p>
        </w:tc>
        <w:tc>
          <w:tcPr>
            <w:tcW w:w="986" w:type="pct"/>
            <w:noWrap/>
            <w:hideMark/>
          </w:tcPr>
          <w:p w14:paraId="22F19C59"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2A07D3DB" w14:textId="77777777" w:rsidR="00DD01C1" w:rsidRPr="00EB609C" w:rsidRDefault="00DD01C1" w:rsidP="00DD01C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235,350 </w:t>
            </w:r>
          </w:p>
        </w:tc>
      </w:tr>
    </w:tbl>
    <w:p w14:paraId="77F6CD39" w14:textId="77777777" w:rsidR="002E672A" w:rsidRPr="00EB609C" w:rsidRDefault="002E672A" w:rsidP="002E672A">
      <w:pPr>
        <w:rPr>
          <w:rFonts w:cs="Times New Roman"/>
          <w:lang w:val="en-GB"/>
        </w:rPr>
      </w:pPr>
    </w:p>
    <w:p w14:paraId="2C885FB9" w14:textId="17F4DAA9" w:rsidR="002E672A" w:rsidRPr="00EB609C" w:rsidRDefault="002E672A" w:rsidP="00EB609C">
      <w:pPr>
        <w:pStyle w:val="Heading2"/>
        <w:numPr>
          <w:ilvl w:val="0"/>
          <w:numId w:val="3"/>
        </w:numPr>
        <w:rPr>
          <w:lang w:val="en-GB"/>
        </w:rPr>
      </w:pPr>
      <w:bookmarkStart w:id="2" w:name="_Toc143861972"/>
      <w:r w:rsidRPr="00EB609C">
        <w:rPr>
          <w:lang w:val="en-GB"/>
        </w:rPr>
        <w:t>Statement of Financial Position for Wales Plc</w:t>
      </w:r>
      <w:bookmarkEnd w:id="2"/>
    </w:p>
    <w:tbl>
      <w:tblPr>
        <w:tblStyle w:val="TableGrid"/>
        <w:tblW w:w="5000" w:type="pct"/>
        <w:tblLook w:val="04A0" w:firstRow="1" w:lastRow="0" w:firstColumn="1" w:lastColumn="0" w:noHBand="0" w:noVBand="1"/>
      </w:tblPr>
      <w:tblGrid>
        <w:gridCol w:w="5662"/>
        <w:gridCol w:w="1844"/>
        <w:gridCol w:w="1844"/>
      </w:tblGrid>
      <w:tr w:rsidR="000A4B81" w:rsidRPr="00EB609C" w14:paraId="16D4C9EA" w14:textId="77777777" w:rsidTr="00EB609C">
        <w:trPr>
          <w:trHeight w:val="300"/>
        </w:trPr>
        <w:tc>
          <w:tcPr>
            <w:tcW w:w="3028" w:type="pct"/>
            <w:noWrap/>
            <w:hideMark/>
          </w:tcPr>
          <w:p w14:paraId="4CD89851"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Current assets</w:t>
            </w:r>
          </w:p>
        </w:tc>
        <w:tc>
          <w:tcPr>
            <w:tcW w:w="986" w:type="pct"/>
            <w:noWrap/>
            <w:hideMark/>
          </w:tcPr>
          <w:p w14:paraId="2C584287" w14:textId="77777777" w:rsidR="000A4B81" w:rsidRPr="00EB609C" w:rsidRDefault="000A4B81" w:rsidP="000A4B81">
            <w:pPr>
              <w:jc w:val="center"/>
              <w:rPr>
                <w:rFonts w:eastAsia="Times New Roman" w:cs="Times New Roman"/>
                <w:b/>
                <w:color w:val="000000"/>
                <w:kern w:val="0"/>
                <w14:ligatures w14:val="none"/>
              </w:rPr>
            </w:pPr>
            <w:r w:rsidRPr="00EB609C">
              <w:rPr>
                <w:rFonts w:eastAsia="Times New Roman" w:cs="Times New Roman"/>
                <w:b/>
                <w:color w:val="000000"/>
                <w:kern w:val="0"/>
                <w14:ligatures w14:val="none"/>
              </w:rPr>
              <w:t>£</w:t>
            </w:r>
          </w:p>
        </w:tc>
        <w:tc>
          <w:tcPr>
            <w:tcW w:w="986" w:type="pct"/>
            <w:noWrap/>
            <w:hideMark/>
          </w:tcPr>
          <w:p w14:paraId="50FD0C7C" w14:textId="77777777" w:rsidR="000A4B81" w:rsidRPr="00EB609C" w:rsidRDefault="000A4B81" w:rsidP="000A4B81">
            <w:pPr>
              <w:jc w:val="center"/>
              <w:rPr>
                <w:rFonts w:eastAsia="Times New Roman" w:cs="Times New Roman"/>
                <w:b/>
                <w:color w:val="000000"/>
                <w:kern w:val="0"/>
                <w14:ligatures w14:val="none"/>
              </w:rPr>
            </w:pPr>
            <w:r w:rsidRPr="00EB609C">
              <w:rPr>
                <w:rFonts w:eastAsia="Times New Roman" w:cs="Times New Roman"/>
                <w:b/>
                <w:color w:val="000000"/>
                <w:kern w:val="0"/>
                <w14:ligatures w14:val="none"/>
              </w:rPr>
              <w:t>£</w:t>
            </w:r>
          </w:p>
        </w:tc>
      </w:tr>
      <w:tr w:rsidR="000A4B81" w:rsidRPr="00EB609C" w14:paraId="2164573A" w14:textId="77777777" w:rsidTr="00EB609C">
        <w:trPr>
          <w:trHeight w:val="300"/>
        </w:trPr>
        <w:tc>
          <w:tcPr>
            <w:tcW w:w="3028" w:type="pct"/>
            <w:noWrap/>
            <w:hideMark/>
          </w:tcPr>
          <w:p w14:paraId="7C52D9D1" w14:textId="77777777" w:rsidR="000A4B81" w:rsidRPr="00EB609C" w:rsidRDefault="000A4B81" w:rsidP="000A4B81">
            <w:pPr>
              <w:rPr>
                <w:rFonts w:eastAsia="Times New Roman" w:cs="Times New Roman"/>
                <w:b/>
                <w:bCs/>
                <w:color w:val="000000"/>
                <w:kern w:val="0"/>
                <w14:ligatures w14:val="none"/>
              </w:rPr>
            </w:pPr>
            <w:r w:rsidRPr="00EB609C">
              <w:rPr>
                <w:rFonts w:eastAsia="Times New Roman" w:cs="Times New Roman"/>
                <w:b/>
                <w:color w:val="000000"/>
                <w:kern w:val="0"/>
                <w14:ligatures w14:val="none"/>
              </w:rPr>
              <w:t>Stock</w:t>
            </w:r>
          </w:p>
        </w:tc>
        <w:tc>
          <w:tcPr>
            <w:tcW w:w="986" w:type="pct"/>
            <w:noWrap/>
            <w:hideMark/>
          </w:tcPr>
          <w:p w14:paraId="117B0F87"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510,850 </w:t>
            </w:r>
          </w:p>
        </w:tc>
        <w:tc>
          <w:tcPr>
            <w:tcW w:w="986" w:type="pct"/>
            <w:noWrap/>
            <w:hideMark/>
          </w:tcPr>
          <w:p w14:paraId="390F776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1E4139D1" w14:textId="77777777" w:rsidTr="00EB609C">
        <w:trPr>
          <w:trHeight w:val="300"/>
        </w:trPr>
        <w:tc>
          <w:tcPr>
            <w:tcW w:w="3028" w:type="pct"/>
            <w:noWrap/>
            <w:hideMark/>
          </w:tcPr>
          <w:p w14:paraId="21731760"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Trade receivable</w:t>
            </w:r>
          </w:p>
        </w:tc>
        <w:tc>
          <w:tcPr>
            <w:tcW w:w="986" w:type="pct"/>
            <w:noWrap/>
            <w:hideMark/>
          </w:tcPr>
          <w:p w14:paraId="57548668"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170,125 </w:t>
            </w:r>
          </w:p>
        </w:tc>
        <w:tc>
          <w:tcPr>
            <w:tcW w:w="986" w:type="pct"/>
            <w:noWrap/>
            <w:hideMark/>
          </w:tcPr>
          <w:p w14:paraId="60B5170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04B42584" w14:textId="77777777" w:rsidTr="00EB609C">
        <w:trPr>
          <w:trHeight w:val="300"/>
        </w:trPr>
        <w:tc>
          <w:tcPr>
            <w:tcW w:w="3028" w:type="pct"/>
            <w:noWrap/>
            <w:hideMark/>
          </w:tcPr>
          <w:p w14:paraId="4753CB5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Cash &amp; Bank</w:t>
            </w:r>
          </w:p>
        </w:tc>
        <w:tc>
          <w:tcPr>
            <w:tcW w:w="986" w:type="pct"/>
            <w:noWrap/>
            <w:hideMark/>
          </w:tcPr>
          <w:p w14:paraId="74AC75DC"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96,000 </w:t>
            </w:r>
          </w:p>
        </w:tc>
        <w:tc>
          <w:tcPr>
            <w:tcW w:w="986" w:type="pct"/>
            <w:noWrap/>
            <w:hideMark/>
          </w:tcPr>
          <w:p w14:paraId="17326E0A"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074BC0D9" w14:textId="77777777" w:rsidTr="00EB609C">
        <w:trPr>
          <w:trHeight w:val="300"/>
        </w:trPr>
        <w:tc>
          <w:tcPr>
            <w:tcW w:w="3028" w:type="pct"/>
            <w:noWrap/>
            <w:hideMark/>
          </w:tcPr>
          <w:p w14:paraId="0E0FEF0E"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Total current assets</w:t>
            </w:r>
          </w:p>
        </w:tc>
        <w:tc>
          <w:tcPr>
            <w:tcW w:w="986" w:type="pct"/>
            <w:noWrap/>
            <w:hideMark/>
          </w:tcPr>
          <w:p w14:paraId="1452A51C"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4194DF6A"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776,975 </w:t>
            </w:r>
          </w:p>
        </w:tc>
      </w:tr>
      <w:tr w:rsidR="000A4B81" w:rsidRPr="00EB609C" w14:paraId="0359371C" w14:textId="77777777" w:rsidTr="00EB609C">
        <w:trPr>
          <w:trHeight w:val="300"/>
        </w:trPr>
        <w:tc>
          <w:tcPr>
            <w:tcW w:w="3028" w:type="pct"/>
            <w:noWrap/>
            <w:hideMark/>
          </w:tcPr>
          <w:p w14:paraId="0032086C"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Non-current assets</w:t>
            </w:r>
          </w:p>
        </w:tc>
        <w:tc>
          <w:tcPr>
            <w:tcW w:w="986" w:type="pct"/>
            <w:noWrap/>
            <w:hideMark/>
          </w:tcPr>
          <w:p w14:paraId="1A79C492"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4C76C465"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7A208C7B" w14:textId="77777777" w:rsidTr="00EB609C">
        <w:trPr>
          <w:trHeight w:val="300"/>
        </w:trPr>
        <w:tc>
          <w:tcPr>
            <w:tcW w:w="3028" w:type="pct"/>
            <w:noWrap/>
            <w:hideMark/>
          </w:tcPr>
          <w:p w14:paraId="10A3DFC0"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PPE</w:t>
            </w:r>
          </w:p>
        </w:tc>
        <w:tc>
          <w:tcPr>
            <w:tcW w:w="986" w:type="pct"/>
            <w:noWrap/>
            <w:hideMark/>
          </w:tcPr>
          <w:p w14:paraId="79CB938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1,250,000 </w:t>
            </w:r>
          </w:p>
        </w:tc>
        <w:tc>
          <w:tcPr>
            <w:tcW w:w="986" w:type="pct"/>
            <w:noWrap/>
            <w:hideMark/>
          </w:tcPr>
          <w:p w14:paraId="11E7868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34999177" w14:textId="77777777" w:rsidTr="00EB609C">
        <w:trPr>
          <w:trHeight w:val="300"/>
        </w:trPr>
        <w:tc>
          <w:tcPr>
            <w:tcW w:w="3028" w:type="pct"/>
            <w:noWrap/>
            <w:hideMark/>
          </w:tcPr>
          <w:p w14:paraId="4DBA47AA"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lastRenderedPageBreak/>
              <w:t>Total non-current assets</w:t>
            </w:r>
          </w:p>
        </w:tc>
        <w:tc>
          <w:tcPr>
            <w:tcW w:w="986" w:type="pct"/>
            <w:noWrap/>
            <w:hideMark/>
          </w:tcPr>
          <w:p w14:paraId="7E5C1DB2"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2EEC26CF"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1,250,000 </w:t>
            </w:r>
          </w:p>
        </w:tc>
      </w:tr>
      <w:tr w:rsidR="000A4B81" w:rsidRPr="00EB609C" w14:paraId="75741912" w14:textId="77777777" w:rsidTr="00EB609C">
        <w:trPr>
          <w:trHeight w:val="300"/>
        </w:trPr>
        <w:tc>
          <w:tcPr>
            <w:tcW w:w="3028" w:type="pct"/>
            <w:noWrap/>
            <w:hideMark/>
          </w:tcPr>
          <w:p w14:paraId="026E59E7"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Total assets</w:t>
            </w:r>
          </w:p>
        </w:tc>
        <w:tc>
          <w:tcPr>
            <w:tcW w:w="986" w:type="pct"/>
            <w:noWrap/>
            <w:hideMark/>
          </w:tcPr>
          <w:p w14:paraId="5E7B93F6"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45E8222E"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2,026,975 </w:t>
            </w:r>
          </w:p>
        </w:tc>
      </w:tr>
      <w:tr w:rsidR="000A4B81" w:rsidRPr="00EB609C" w14:paraId="66C97949" w14:textId="77777777" w:rsidTr="00EB609C">
        <w:trPr>
          <w:trHeight w:val="300"/>
        </w:trPr>
        <w:tc>
          <w:tcPr>
            <w:tcW w:w="3028" w:type="pct"/>
            <w:noWrap/>
            <w:hideMark/>
          </w:tcPr>
          <w:p w14:paraId="01F2C9FE"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Equity &amp; Liabilities</w:t>
            </w:r>
          </w:p>
        </w:tc>
        <w:tc>
          <w:tcPr>
            <w:tcW w:w="986" w:type="pct"/>
            <w:noWrap/>
            <w:hideMark/>
          </w:tcPr>
          <w:p w14:paraId="5A3BD1E4"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43EFEFA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754B7C1E" w14:textId="77777777" w:rsidTr="00EB609C">
        <w:trPr>
          <w:trHeight w:val="300"/>
        </w:trPr>
        <w:tc>
          <w:tcPr>
            <w:tcW w:w="3028" w:type="pct"/>
            <w:noWrap/>
            <w:hideMark/>
          </w:tcPr>
          <w:p w14:paraId="5A3ED862"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Equity</w:t>
            </w:r>
          </w:p>
        </w:tc>
        <w:tc>
          <w:tcPr>
            <w:tcW w:w="986" w:type="pct"/>
            <w:noWrap/>
            <w:hideMark/>
          </w:tcPr>
          <w:p w14:paraId="380012E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75E1DF9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6B78CA6F" w14:textId="77777777" w:rsidTr="00EB609C">
        <w:trPr>
          <w:trHeight w:val="300"/>
        </w:trPr>
        <w:tc>
          <w:tcPr>
            <w:tcW w:w="3028" w:type="pct"/>
            <w:noWrap/>
            <w:hideMark/>
          </w:tcPr>
          <w:p w14:paraId="6BE58A33"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Ordinary shares (900000x1)</w:t>
            </w:r>
          </w:p>
        </w:tc>
        <w:tc>
          <w:tcPr>
            <w:tcW w:w="986" w:type="pct"/>
            <w:noWrap/>
            <w:hideMark/>
          </w:tcPr>
          <w:p w14:paraId="5FF3B7BE"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900,000 </w:t>
            </w:r>
          </w:p>
        </w:tc>
        <w:tc>
          <w:tcPr>
            <w:tcW w:w="986" w:type="pct"/>
            <w:noWrap/>
            <w:hideMark/>
          </w:tcPr>
          <w:p w14:paraId="23DCDF8C"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6DB6EE69" w14:textId="77777777" w:rsidTr="00EB609C">
        <w:trPr>
          <w:trHeight w:val="300"/>
        </w:trPr>
        <w:tc>
          <w:tcPr>
            <w:tcW w:w="3028" w:type="pct"/>
            <w:noWrap/>
            <w:hideMark/>
          </w:tcPr>
          <w:p w14:paraId="13FAF698"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Preference shares (500000x1)</w:t>
            </w:r>
          </w:p>
        </w:tc>
        <w:tc>
          <w:tcPr>
            <w:tcW w:w="986" w:type="pct"/>
            <w:noWrap/>
            <w:hideMark/>
          </w:tcPr>
          <w:p w14:paraId="1DD2D8D9"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500,000 </w:t>
            </w:r>
          </w:p>
        </w:tc>
        <w:tc>
          <w:tcPr>
            <w:tcW w:w="986" w:type="pct"/>
            <w:noWrap/>
            <w:hideMark/>
          </w:tcPr>
          <w:p w14:paraId="3CD5B614"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24AB25DF" w14:textId="77777777" w:rsidTr="00EB609C">
        <w:trPr>
          <w:trHeight w:val="300"/>
        </w:trPr>
        <w:tc>
          <w:tcPr>
            <w:tcW w:w="3028" w:type="pct"/>
            <w:noWrap/>
            <w:hideMark/>
          </w:tcPr>
          <w:p w14:paraId="1DE5277C"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Retained profits</w:t>
            </w:r>
          </w:p>
        </w:tc>
        <w:tc>
          <w:tcPr>
            <w:tcW w:w="986" w:type="pct"/>
            <w:noWrap/>
            <w:hideMark/>
          </w:tcPr>
          <w:p w14:paraId="7B2884E7"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135,350 </w:t>
            </w:r>
          </w:p>
        </w:tc>
        <w:tc>
          <w:tcPr>
            <w:tcW w:w="986" w:type="pct"/>
            <w:noWrap/>
            <w:hideMark/>
          </w:tcPr>
          <w:p w14:paraId="5C7F8F59"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755102E7" w14:textId="77777777" w:rsidTr="00EB609C">
        <w:trPr>
          <w:trHeight w:val="300"/>
        </w:trPr>
        <w:tc>
          <w:tcPr>
            <w:tcW w:w="3028" w:type="pct"/>
            <w:noWrap/>
            <w:hideMark/>
          </w:tcPr>
          <w:p w14:paraId="54D89C00"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Total equity</w:t>
            </w:r>
          </w:p>
        </w:tc>
        <w:tc>
          <w:tcPr>
            <w:tcW w:w="986" w:type="pct"/>
            <w:noWrap/>
            <w:hideMark/>
          </w:tcPr>
          <w:p w14:paraId="14E58A7D"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44FE92C2"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1,535,350 </w:t>
            </w:r>
          </w:p>
        </w:tc>
      </w:tr>
      <w:tr w:rsidR="000A4B81" w:rsidRPr="00EB609C" w14:paraId="3B4227C0" w14:textId="77777777" w:rsidTr="00EB609C">
        <w:trPr>
          <w:trHeight w:val="300"/>
        </w:trPr>
        <w:tc>
          <w:tcPr>
            <w:tcW w:w="3028" w:type="pct"/>
            <w:noWrap/>
            <w:hideMark/>
          </w:tcPr>
          <w:p w14:paraId="3FE93D5F"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Liabilities</w:t>
            </w:r>
          </w:p>
        </w:tc>
        <w:tc>
          <w:tcPr>
            <w:tcW w:w="986" w:type="pct"/>
            <w:noWrap/>
            <w:hideMark/>
          </w:tcPr>
          <w:p w14:paraId="71E43D40"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5C0EB4FD"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7757E251" w14:textId="77777777" w:rsidTr="00EB609C">
        <w:trPr>
          <w:trHeight w:val="300"/>
        </w:trPr>
        <w:tc>
          <w:tcPr>
            <w:tcW w:w="3028" w:type="pct"/>
            <w:noWrap/>
            <w:hideMark/>
          </w:tcPr>
          <w:p w14:paraId="73FBC26B"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Non-current liabilities</w:t>
            </w:r>
          </w:p>
        </w:tc>
        <w:tc>
          <w:tcPr>
            <w:tcW w:w="986" w:type="pct"/>
            <w:noWrap/>
            <w:hideMark/>
          </w:tcPr>
          <w:p w14:paraId="1C5E82A0"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70C6026C"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4C9C7C6F" w14:textId="77777777" w:rsidTr="00EB609C">
        <w:trPr>
          <w:trHeight w:val="300"/>
        </w:trPr>
        <w:tc>
          <w:tcPr>
            <w:tcW w:w="3028" w:type="pct"/>
            <w:noWrap/>
            <w:hideMark/>
          </w:tcPr>
          <w:p w14:paraId="01922BA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Debentures</w:t>
            </w:r>
          </w:p>
        </w:tc>
        <w:tc>
          <w:tcPr>
            <w:tcW w:w="986" w:type="pct"/>
            <w:noWrap/>
            <w:hideMark/>
          </w:tcPr>
          <w:p w14:paraId="5FA13A4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200,000 </w:t>
            </w:r>
          </w:p>
        </w:tc>
        <w:tc>
          <w:tcPr>
            <w:tcW w:w="986" w:type="pct"/>
            <w:noWrap/>
            <w:hideMark/>
          </w:tcPr>
          <w:p w14:paraId="4745676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47F744AE" w14:textId="77777777" w:rsidTr="00EB609C">
        <w:trPr>
          <w:trHeight w:val="300"/>
        </w:trPr>
        <w:tc>
          <w:tcPr>
            <w:tcW w:w="3028" w:type="pct"/>
            <w:noWrap/>
            <w:hideMark/>
          </w:tcPr>
          <w:p w14:paraId="2A5E99FF"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Total non-current liabilities</w:t>
            </w:r>
          </w:p>
        </w:tc>
        <w:tc>
          <w:tcPr>
            <w:tcW w:w="986" w:type="pct"/>
            <w:noWrap/>
            <w:hideMark/>
          </w:tcPr>
          <w:p w14:paraId="0A46A627"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5360E9D4"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200,000 </w:t>
            </w:r>
          </w:p>
        </w:tc>
      </w:tr>
      <w:tr w:rsidR="000A4B81" w:rsidRPr="00EB609C" w14:paraId="1749128D" w14:textId="77777777" w:rsidTr="00EB609C">
        <w:trPr>
          <w:trHeight w:val="300"/>
        </w:trPr>
        <w:tc>
          <w:tcPr>
            <w:tcW w:w="3028" w:type="pct"/>
            <w:noWrap/>
            <w:hideMark/>
          </w:tcPr>
          <w:p w14:paraId="741298CE"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Current liabilities</w:t>
            </w:r>
          </w:p>
        </w:tc>
        <w:tc>
          <w:tcPr>
            <w:tcW w:w="986" w:type="pct"/>
            <w:noWrap/>
            <w:hideMark/>
          </w:tcPr>
          <w:p w14:paraId="087D0FA0"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40CD191C"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79EE18ED" w14:textId="77777777" w:rsidTr="00EB609C">
        <w:trPr>
          <w:trHeight w:val="300"/>
        </w:trPr>
        <w:tc>
          <w:tcPr>
            <w:tcW w:w="3028" w:type="pct"/>
            <w:noWrap/>
            <w:hideMark/>
          </w:tcPr>
          <w:p w14:paraId="69597AB8"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Trade payable</w:t>
            </w:r>
          </w:p>
        </w:tc>
        <w:tc>
          <w:tcPr>
            <w:tcW w:w="986" w:type="pct"/>
            <w:noWrap/>
            <w:hideMark/>
          </w:tcPr>
          <w:p w14:paraId="28C5DA55"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188,625 </w:t>
            </w:r>
          </w:p>
        </w:tc>
        <w:tc>
          <w:tcPr>
            <w:tcW w:w="986" w:type="pct"/>
            <w:noWrap/>
            <w:hideMark/>
          </w:tcPr>
          <w:p w14:paraId="4955C18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2E2B3A39" w14:textId="77777777" w:rsidTr="00EB609C">
        <w:trPr>
          <w:trHeight w:val="300"/>
        </w:trPr>
        <w:tc>
          <w:tcPr>
            <w:tcW w:w="3028" w:type="pct"/>
            <w:noWrap/>
            <w:hideMark/>
          </w:tcPr>
          <w:p w14:paraId="3E3F47D7"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Income tax</w:t>
            </w:r>
          </w:p>
        </w:tc>
        <w:tc>
          <w:tcPr>
            <w:tcW w:w="986" w:type="pct"/>
            <w:noWrap/>
            <w:hideMark/>
          </w:tcPr>
          <w:p w14:paraId="1CB3D3CE"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100,000 </w:t>
            </w:r>
          </w:p>
        </w:tc>
        <w:tc>
          <w:tcPr>
            <w:tcW w:w="986" w:type="pct"/>
            <w:noWrap/>
            <w:hideMark/>
          </w:tcPr>
          <w:p w14:paraId="39D1515D"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16BEA90A" w14:textId="77777777" w:rsidTr="00EB609C">
        <w:trPr>
          <w:trHeight w:val="300"/>
        </w:trPr>
        <w:tc>
          <w:tcPr>
            <w:tcW w:w="3028" w:type="pct"/>
            <w:noWrap/>
            <w:hideMark/>
          </w:tcPr>
          <w:p w14:paraId="4B656397"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Sales commission</w:t>
            </w:r>
          </w:p>
        </w:tc>
        <w:tc>
          <w:tcPr>
            <w:tcW w:w="986" w:type="pct"/>
            <w:noWrap/>
            <w:hideMark/>
          </w:tcPr>
          <w:p w14:paraId="0BAA6B41"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3,000 </w:t>
            </w:r>
          </w:p>
        </w:tc>
        <w:tc>
          <w:tcPr>
            <w:tcW w:w="986" w:type="pct"/>
            <w:noWrap/>
            <w:hideMark/>
          </w:tcPr>
          <w:p w14:paraId="23E1567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5C5A3558" w14:textId="77777777" w:rsidTr="00EB609C">
        <w:trPr>
          <w:trHeight w:val="300"/>
        </w:trPr>
        <w:tc>
          <w:tcPr>
            <w:tcW w:w="3028" w:type="pct"/>
            <w:noWrap/>
            <w:hideMark/>
          </w:tcPr>
          <w:p w14:paraId="2B6792A4"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Total current liabilities</w:t>
            </w:r>
          </w:p>
        </w:tc>
        <w:tc>
          <w:tcPr>
            <w:tcW w:w="986" w:type="pct"/>
            <w:noWrap/>
            <w:hideMark/>
          </w:tcPr>
          <w:p w14:paraId="3F716549"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291,625 </w:t>
            </w:r>
          </w:p>
        </w:tc>
        <w:tc>
          <w:tcPr>
            <w:tcW w:w="986" w:type="pct"/>
            <w:noWrap/>
            <w:hideMark/>
          </w:tcPr>
          <w:p w14:paraId="7C4774D6"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r>
      <w:tr w:rsidR="000A4B81" w:rsidRPr="00EB609C" w14:paraId="07344C99" w14:textId="77777777" w:rsidTr="00EB609C">
        <w:trPr>
          <w:trHeight w:val="300"/>
        </w:trPr>
        <w:tc>
          <w:tcPr>
            <w:tcW w:w="3028" w:type="pct"/>
            <w:noWrap/>
            <w:hideMark/>
          </w:tcPr>
          <w:p w14:paraId="0BBD57B3"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Total liabilities</w:t>
            </w:r>
          </w:p>
        </w:tc>
        <w:tc>
          <w:tcPr>
            <w:tcW w:w="986" w:type="pct"/>
            <w:noWrap/>
            <w:hideMark/>
          </w:tcPr>
          <w:p w14:paraId="79DA22A0"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w:t>
            </w:r>
          </w:p>
        </w:tc>
        <w:tc>
          <w:tcPr>
            <w:tcW w:w="986" w:type="pct"/>
            <w:noWrap/>
            <w:hideMark/>
          </w:tcPr>
          <w:p w14:paraId="406F4198" w14:textId="77777777" w:rsidR="000A4B81" w:rsidRPr="00EB609C" w:rsidRDefault="000A4B81" w:rsidP="000A4B81">
            <w:pPr>
              <w:rPr>
                <w:rFonts w:eastAsia="Times New Roman" w:cs="Times New Roman"/>
                <w:b/>
                <w:color w:val="000000"/>
                <w:kern w:val="0"/>
                <w14:ligatures w14:val="none"/>
              </w:rPr>
            </w:pPr>
            <w:r w:rsidRPr="00EB609C">
              <w:rPr>
                <w:rFonts w:eastAsia="Times New Roman" w:cs="Times New Roman"/>
                <w:b/>
                <w:color w:val="000000"/>
                <w:kern w:val="0"/>
                <w14:ligatures w14:val="none"/>
              </w:rPr>
              <w:t xml:space="preserve">      491,625 </w:t>
            </w:r>
          </w:p>
        </w:tc>
      </w:tr>
      <w:tr w:rsidR="000A4B81" w:rsidRPr="00EB609C" w14:paraId="2D45DB8B" w14:textId="77777777" w:rsidTr="00EB609C">
        <w:trPr>
          <w:trHeight w:val="300"/>
        </w:trPr>
        <w:tc>
          <w:tcPr>
            <w:tcW w:w="3028" w:type="pct"/>
            <w:noWrap/>
            <w:hideMark/>
          </w:tcPr>
          <w:p w14:paraId="2F438AA2"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Total liabilities and equity</w:t>
            </w:r>
          </w:p>
        </w:tc>
        <w:tc>
          <w:tcPr>
            <w:tcW w:w="986" w:type="pct"/>
            <w:noWrap/>
            <w:hideMark/>
          </w:tcPr>
          <w:p w14:paraId="4D2A35E1"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w:t>
            </w:r>
          </w:p>
        </w:tc>
        <w:tc>
          <w:tcPr>
            <w:tcW w:w="986" w:type="pct"/>
            <w:noWrap/>
            <w:hideMark/>
          </w:tcPr>
          <w:p w14:paraId="6761C816" w14:textId="77777777" w:rsidR="000A4B81" w:rsidRPr="00EB609C" w:rsidRDefault="000A4B81" w:rsidP="000A4B81">
            <w:pPr>
              <w:rPr>
                <w:rFonts w:eastAsia="Times New Roman" w:cs="Times New Roman"/>
                <w:b/>
                <w:i/>
                <w:iCs/>
                <w:color w:val="000000"/>
                <w:kern w:val="0"/>
                <w14:ligatures w14:val="none"/>
              </w:rPr>
            </w:pPr>
            <w:r w:rsidRPr="00EB609C">
              <w:rPr>
                <w:rFonts w:eastAsia="Times New Roman" w:cs="Times New Roman"/>
                <w:b/>
                <w:i/>
                <w:iCs/>
                <w:color w:val="000000"/>
                <w:kern w:val="0"/>
                <w14:ligatures w14:val="none"/>
              </w:rPr>
              <w:t xml:space="preserve">  2,026,975 </w:t>
            </w:r>
          </w:p>
        </w:tc>
      </w:tr>
    </w:tbl>
    <w:p w14:paraId="71E4E31B" w14:textId="77777777" w:rsidR="002E672A" w:rsidRPr="00EB609C" w:rsidRDefault="002E672A" w:rsidP="002E672A">
      <w:pPr>
        <w:rPr>
          <w:rFonts w:cs="Times New Roman"/>
          <w:lang w:val="en-GB"/>
        </w:rPr>
      </w:pPr>
    </w:p>
    <w:p w14:paraId="43CE74E8" w14:textId="77777777" w:rsidR="00EB609C" w:rsidRDefault="00EB609C">
      <w:pPr>
        <w:spacing w:line="259" w:lineRule="auto"/>
        <w:jc w:val="left"/>
        <w:rPr>
          <w:rFonts w:eastAsiaTheme="majorEastAsia" w:cs="Times New Roman"/>
          <w:b/>
          <w:sz w:val="28"/>
          <w:szCs w:val="32"/>
          <w:lang w:val="en-GB"/>
        </w:rPr>
      </w:pPr>
      <w:r>
        <w:rPr>
          <w:rFonts w:cs="Times New Roman"/>
          <w:lang w:val="en-GB"/>
        </w:rPr>
        <w:br w:type="page"/>
      </w:r>
    </w:p>
    <w:p w14:paraId="54C24D26" w14:textId="12B84F7F" w:rsidR="00BC2474" w:rsidRPr="00EB609C" w:rsidRDefault="00EB609C" w:rsidP="00BC5E91">
      <w:pPr>
        <w:pStyle w:val="Heading1"/>
        <w:rPr>
          <w:rFonts w:cs="Times New Roman"/>
          <w:lang w:val="en-GB"/>
        </w:rPr>
      </w:pPr>
      <w:bookmarkStart w:id="3" w:name="_Toc143861973"/>
      <w:r>
        <w:rPr>
          <w:rFonts w:cs="Times New Roman"/>
          <w:lang w:val="en-GB"/>
        </w:rPr>
        <w:lastRenderedPageBreak/>
        <w:t>Question 2</w:t>
      </w:r>
      <w:bookmarkEnd w:id="3"/>
      <w:r>
        <w:rPr>
          <w:rFonts w:cs="Times New Roman"/>
          <w:lang w:val="en-GB"/>
        </w:rPr>
        <w:t xml:space="preserve"> </w:t>
      </w:r>
    </w:p>
    <w:p w14:paraId="27C7B3D2" w14:textId="2EE3A6AD" w:rsidR="00BC5E91" w:rsidRPr="00EB609C" w:rsidRDefault="00374E36" w:rsidP="00EB609C">
      <w:pPr>
        <w:pStyle w:val="Heading2"/>
        <w:numPr>
          <w:ilvl w:val="0"/>
          <w:numId w:val="4"/>
        </w:numPr>
        <w:rPr>
          <w:lang w:val="en-GB"/>
        </w:rPr>
      </w:pPr>
      <w:bookmarkStart w:id="4" w:name="_Toc143861974"/>
      <w:r w:rsidRPr="00EB609C">
        <w:rPr>
          <w:lang w:val="en-GB"/>
        </w:rPr>
        <w:t>Ratios for Sweets Plc for 2021 &amp; 2020.</w:t>
      </w:r>
      <w:bookmarkEnd w:id="4"/>
    </w:p>
    <w:tbl>
      <w:tblPr>
        <w:tblStyle w:val="TableGrid"/>
        <w:tblW w:w="5000" w:type="pct"/>
        <w:tblLook w:val="04A0" w:firstRow="1" w:lastRow="0" w:firstColumn="1" w:lastColumn="0" w:noHBand="0" w:noVBand="1"/>
      </w:tblPr>
      <w:tblGrid>
        <w:gridCol w:w="1573"/>
        <w:gridCol w:w="3535"/>
        <w:gridCol w:w="1502"/>
        <w:gridCol w:w="590"/>
        <w:gridCol w:w="1560"/>
        <w:gridCol w:w="590"/>
      </w:tblGrid>
      <w:tr w:rsidR="00BC5E91" w:rsidRPr="00EB609C" w14:paraId="67578937" w14:textId="77777777" w:rsidTr="00EB609C">
        <w:trPr>
          <w:trHeight w:val="315"/>
        </w:trPr>
        <w:tc>
          <w:tcPr>
            <w:tcW w:w="767" w:type="pct"/>
            <w:noWrap/>
            <w:hideMark/>
          </w:tcPr>
          <w:p w14:paraId="7A45C295"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 </w:t>
            </w:r>
          </w:p>
        </w:tc>
        <w:tc>
          <w:tcPr>
            <w:tcW w:w="1914" w:type="pct"/>
            <w:noWrap/>
            <w:hideMark/>
          </w:tcPr>
          <w:p w14:paraId="6146BFCB" w14:textId="262A9D03" w:rsidR="00BC5E91" w:rsidRPr="00EB609C" w:rsidRDefault="00BC5E91" w:rsidP="00BC5E91">
            <w:pPr>
              <w:rPr>
                <w:rFonts w:eastAsia="Times New Roman" w:cs="Times New Roman"/>
                <w:b/>
                <w:kern w:val="0"/>
                <w:sz w:val="22"/>
                <w:szCs w:val="16"/>
                <w14:ligatures w14:val="none"/>
              </w:rPr>
            </w:pPr>
          </w:p>
        </w:tc>
        <w:tc>
          <w:tcPr>
            <w:tcW w:w="858" w:type="pct"/>
            <w:noWrap/>
            <w:hideMark/>
          </w:tcPr>
          <w:p w14:paraId="7238BDB6" w14:textId="0B5DC3A8" w:rsidR="00BC5E91" w:rsidRPr="00EB609C" w:rsidRDefault="00BC5E91" w:rsidP="00BC5E91">
            <w:pPr>
              <w:jc w:val="center"/>
              <w:rPr>
                <w:rFonts w:eastAsia="Times New Roman" w:cs="Times New Roman"/>
                <w:b/>
                <w:kern w:val="0"/>
                <w:sz w:val="22"/>
                <w:szCs w:val="16"/>
                <w14:ligatures w14:val="none"/>
              </w:rPr>
            </w:pPr>
          </w:p>
        </w:tc>
        <w:tc>
          <w:tcPr>
            <w:tcW w:w="273" w:type="pct"/>
            <w:noWrap/>
            <w:hideMark/>
          </w:tcPr>
          <w:p w14:paraId="05D2EFB3"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bCs/>
                <w:kern w:val="0"/>
                <w:sz w:val="22"/>
                <w:szCs w:val="16"/>
                <w14:ligatures w14:val="none"/>
              </w:rPr>
              <w:t>2021</w:t>
            </w:r>
          </w:p>
        </w:tc>
        <w:tc>
          <w:tcPr>
            <w:tcW w:w="915" w:type="pct"/>
            <w:noWrap/>
            <w:hideMark/>
          </w:tcPr>
          <w:p w14:paraId="08424DD1" w14:textId="2727BB68" w:rsidR="00BC5E91" w:rsidRPr="00EB609C" w:rsidRDefault="00BC5E91" w:rsidP="00BC5E91">
            <w:pPr>
              <w:jc w:val="center"/>
              <w:rPr>
                <w:rFonts w:eastAsia="Times New Roman" w:cs="Times New Roman"/>
                <w:b/>
                <w:kern w:val="0"/>
                <w:sz w:val="22"/>
                <w:szCs w:val="16"/>
                <w14:ligatures w14:val="none"/>
              </w:rPr>
            </w:pPr>
          </w:p>
        </w:tc>
        <w:tc>
          <w:tcPr>
            <w:tcW w:w="273" w:type="pct"/>
            <w:noWrap/>
            <w:hideMark/>
          </w:tcPr>
          <w:p w14:paraId="72B00FB5"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bCs/>
                <w:kern w:val="0"/>
                <w:sz w:val="22"/>
                <w:szCs w:val="16"/>
                <w14:ligatures w14:val="none"/>
              </w:rPr>
              <w:t>2020</w:t>
            </w:r>
          </w:p>
        </w:tc>
      </w:tr>
      <w:tr w:rsidR="00741F00" w:rsidRPr="00EB609C" w14:paraId="6F17C6A7" w14:textId="77777777" w:rsidTr="00EB609C">
        <w:trPr>
          <w:trHeight w:val="315"/>
        </w:trPr>
        <w:tc>
          <w:tcPr>
            <w:tcW w:w="767" w:type="pct"/>
            <w:noWrap/>
            <w:hideMark/>
          </w:tcPr>
          <w:p w14:paraId="2437E391"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 ROCE</w:t>
            </w:r>
          </w:p>
        </w:tc>
        <w:tc>
          <w:tcPr>
            <w:tcW w:w="1914" w:type="pct"/>
            <w:noWrap/>
            <w:hideMark/>
          </w:tcPr>
          <w:p w14:paraId="0F21EA53"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(Operating Profit / Capital Employed) * 100</w:t>
            </w:r>
          </w:p>
        </w:tc>
        <w:tc>
          <w:tcPr>
            <w:tcW w:w="858" w:type="pct"/>
            <w:noWrap/>
            <w:hideMark/>
          </w:tcPr>
          <w:p w14:paraId="232731EB"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(805/7225)</w:t>
            </w:r>
          </w:p>
        </w:tc>
        <w:tc>
          <w:tcPr>
            <w:tcW w:w="273" w:type="pct"/>
            <w:noWrap/>
            <w:hideMark/>
          </w:tcPr>
          <w:p w14:paraId="31B2CDF4"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11.14%</w:t>
            </w:r>
          </w:p>
        </w:tc>
        <w:tc>
          <w:tcPr>
            <w:tcW w:w="915" w:type="pct"/>
            <w:noWrap/>
            <w:hideMark/>
          </w:tcPr>
          <w:p w14:paraId="3393CB5B"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699/7041</w:t>
            </w:r>
          </w:p>
        </w:tc>
        <w:tc>
          <w:tcPr>
            <w:tcW w:w="273" w:type="pct"/>
            <w:noWrap/>
            <w:hideMark/>
          </w:tcPr>
          <w:p w14:paraId="47ED2100"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9.93%</w:t>
            </w:r>
          </w:p>
        </w:tc>
      </w:tr>
      <w:tr w:rsidR="00741F00" w:rsidRPr="00EB609C" w14:paraId="710C8300" w14:textId="77777777" w:rsidTr="00EB609C">
        <w:trPr>
          <w:trHeight w:val="315"/>
        </w:trPr>
        <w:tc>
          <w:tcPr>
            <w:tcW w:w="767" w:type="pct"/>
            <w:noWrap/>
            <w:hideMark/>
          </w:tcPr>
          <w:p w14:paraId="7E2CE3B5"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2- ROE</w:t>
            </w:r>
          </w:p>
        </w:tc>
        <w:tc>
          <w:tcPr>
            <w:tcW w:w="1914" w:type="pct"/>
            <w:noWrap/>
            <w:hideMark/>
          </w:tcPr>
          <w:p w14:paraId="1B289E74"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(Profit for the Year / Shareholders' Equity) * 100</w:t>
            </w:r>
          </w:p>
        </w:tc>
        <w:tc>
          <w:tcPr>
            <w:tcW w:w="858" w:type="pct"/>
            <w:noWrap/>
            <w:hideMark/>
          </w:tcPr>
          <w:p w14:paraId="005379D3"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431/3088</w:t>
            </w:r>
          </w:p>
        </w:tc>
        <w:tc>
          <w:tcPr>
            <w:tcW w:w="273" w:type="pct"/>
            <w:noWrap/>
            <w:hideMark/>
          </w:tcPr>
          <w:p w14:paraId="1D75312D"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13.96%</w:t>
            </w:r>
          </w:p>
        </w:tc>
        <w:tc>
          <w:tcPr>
            <w:tcW w:w="915" w:type="pct"/>
            <w:noWrap/>
            <w:hideMark/>
          </w:tcPr>
          <w:p w14:paraId="33EC548E"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366/2912</w:t>
            </w:r>
          </w:p>
        </w:tc>
        <w:tc>
          <w:tcPr>
            <w:tcW w:w="273" w:type="pct"/>
            <w:noWrap/>
            <w:hideMark/>
          </w:tcPr>
          <w:p w14:paraId="0C749F36"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12.57%</w:t>
            </w:r>
          </w:p>
        </w:tc>
      </w:tr>
      <w:tr w:rsidR="00741F00" w:rsidRPr="00EB609C" w14:paraId="0F8DCA92" w14:textId="77777777" w:rsidTr="00EB609C">
        <w:trPr>
          <w:trHeight w:val="315"/>
        </w:trPr>
        <w:tc>
          <w:tcPr>
            <w:tcW w:w="767" w:type="pct"/>
            <w:noWrap/>
            <w:hideMark/>
          </w:tcPr>
          <w:p w14:paraId="080A9389"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3- Earnings per share</w:t>
            </w:r>
          </w:p>
        </w:tc>
        <w:tc>
          <w:tcPr>
            <w:tcW w:w="1914" w:type="pct"/>
            <w:noWrap/>
            <w:hideMark/>
          </w:tcPr>
          <w:p w14:paraId="18CA9E0D"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Profit for the Year / Number of Ordinary Shares</w:t>
            </w:r>
          </w:p>
        </w:tc>
        <w:tc>
          <w:tcPr>
            <w:tcW w:w="858" w:type="pct"/>
            <w:noWrap/>
            <w:hideMark/>
          </w:tcPr>
          <w:p w14:paraId="301E23CD"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431/600</w:t>
            </w:r>
          </w:p>
        </w:tc>
        <w:tc>
          <w:tcPr>
            <w:tcW w:w="273" w:type="pct"/>
            <w:noWrap/>
            <w:hideMark/>
          </w:tcPr>
          <w:p w14:paraId="0F504977" w14:textId="40CA1E42"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0.72</w:t>
            </w:r>
          </w:p>
        </w:tc>
        <w:tc>
          <w:tcPr>
            <w:tcW w:w="915" w:type="pct"/>
            <w:noWrap/>
            <w:hideMark/>
          </w:tcPr>
          <w:p w14:paraId="161F137B"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366/600</w:t>
            </w:r>
          </w:p>
        </w:tc>
        <w:tc>
          <w:tcPr>
            <w:tcW w:w="273" w:type="pct"/>
            <w:noWrap/>
            <w:hideMark/>
          </w:tcPr>
          <w:p w14:paraId="413B0078"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0.61</w:t>
            </w:r>
          </w:p>
        </w:tc>
      </w:tr>
      <w:tr w:rsidR="00741F00" w:rsidRPr="00EB609C" w14:paraId="6011DE88" w14:textId="77777777" w:rsidTr="00EB609C">
        <w:trPr>
          <w:trHeight w:val="315"/>
        </w:trPr>
        <w:tc>
          <w:tcPr>
            <w:tcW w:w="767" w:type="pct"/>
            <w:noWrap/>
            <w:hideMark/>
          </w:tcPr>
          <w:p w14:paraId="4DA107BF"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4- Net profit margin</w:t>
            </w:r>
          </w:p>
        </w:tc>
        <w:tc>
          <w:tcPr>
            <w:tcW w:w="1914" w:type="pct"/>
            <w:noWrap/>
            <w:hideMark/>
          </w:tcPr>
          <w:p w14:paraId="35B319E2" w14:textId="1BB72EAB"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Net profit</w:t>
            </w:r>
            <w:r w:rsidR="00466C2B" w:rsidRPr="00EB609C">
              <w:rPr>
                <w:rFonts w:eastAsia="Times New Roman" w:cs="Times New Roman"/>
                <w:b/>
                <w:kern w:val="0"/>
                <w:sz w:val="22"/>
                <w:szCs w:val="16"/>
                <w14:ligatures w14:val="none"/>
              </w:rPr>
              <w:t>/</w:t>
            </w:r>
            <w:r w:rsidRPr="00EB609C">
              <w:rPr>
                <w:rFonts w:eastAsia="Times New Roman" w:cs="Times New Roman"/>
                <w:b/>
                <w:kern w:val="0"/>
                <w:sz w:val="22"/>
                <w:szCs w:val="16"/>
                <w14:ligatures w14:val="none"/>
              </w:rPr>
              <w:t>sales x 100</w:t>
            </w:r>
          </w:p>
        </w:tc>
        <w:tc>
          <w:tcPr>
            <w:tcW w:w="858" w:type="pct"/>
            <w:noWrap/>
            <w:hideMark/>
          </w:tcPr>
          <w:p w14:paraId="32F4B15E"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431/6738</w:t>
            </w:r>
          </w:p>
        </w:tc>
        <w:tc>
          <w:tcPr>
            <w:tcW w:w="273" w:type="pct"/>
            <w:noWrap/>
            <w:hideMark/>
          </w:tcPr>
          <w:p w14:paraId="70453AD0"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6.40%</w:t>
            </w:r>
          </w:p>
        </w:tc>
        <w:tc>
          <w:tcPr>
            <w:tcW w:w="915" w:type="pct"/>
            <w:noWrap/>
            <w:hideMark/>
          </w:tcPr>
          <w:p w14:paraId="2AEE2B56"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366/6441</w:t>
            </w:r>
          </w:p>
        </w:tc>
        <w:tc>
          <w:tcPr>
            <w:tcW w:w="273" w:type="pct"/>
            <w:noWrap/>
            <w:hideMark/>
          </w:tcPr>
          <w:p w14:paraId="0E0139C4"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5.68%</w:t>
            </w:r>
          </w:p>
        </w:tc>
      </w:tr>
      <w:tr w:rsidR="00741F00" w:rsidRPr="00EB609C" w14:paraId="5AB14639" w14:textId="77777777" w:rsidTr="00EB609C">
        <w:trPr>
          <w:trHeight w:val="315"/>
        </w:trPr>
        <w:tc>
          <w:tcPr>
            <w:tcW w:w="767" w:type="pct"/>
            <w:noWrap/>
            <w:hideMark/>
          </w:tcPr>
          <w:p w14:paraId="2892E871"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5- Asset turnover</w:t>
            </w:r>
          </w:p>
        </w:tc>
        <w:tc>
          <w:tcPr>
            <w:tcW w:w="1914" w:type="pct"/>
            <w:noWrap/>
            <w:hideMark/>
          </w:tcPr>
          <w:p w14:paraId="26EBF325"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Revenue / Capital employed</w:t>
            </w:r>
          </w:p>
        </w:tc>
        <w:tc>
          <w:tcPr>
            <w:tcW w:w="858" w:type="pct"/>
            <w:noWrap/>
            <w:hideMark/>
          </w:tcPr>
          <w:p w14:paraId="44DB9FD8"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6738/7225</w:t>
            </w:r>
          </w:p>
        </w:tc>
        <w:tc>
          <w:tcPr>
            <w:tcW w:w="273" w:type="pct"/>
            <w:noWrap/>
            <w:hideMark/>
          </w:tcPr>
          <w:p w14:paraId="388FED4C" w14:textId="4C822D05"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0.93</w:t>
            </w:r>
          </w:p>
        </w:tc>
        <w:tc>
          <w:tcPr>
            <w:tcW w:w="915" w:type="pct"/>
            <w:noWrap/>
            <w:hideMark/>
          </w:tcPr>
          <w:p w14:paraId="048F4F8F"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6441/7041</w:t>
            </w:r>
          </w:p>
        </w:tc>
        <w:tc>
          <w:tcPr>
            <w:tcW w:w="273" w:type="pct"/>
            <w:noWrap/>
            <w:hideMark/>
          </w:tcPr>
          <w:p w14:paraId="08EBD75A" w14:textId="328E9BF9"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0.91</w:t>
            </w:r>
          </w:p>
        </w:tc>
      </w:tr>
      <w:tr w:rsidR="00741F00" w:rsidRPr="00EB609C" w14:paraId="4F3BF77F" w14:textId="77777777" w:rsidTr="00EB609C">
        <w:trPr>
          <w:trHeight w:val="315"/>
        </w:trPr>
        <w:tc>
          <w:tcPr>
            <w:tcW w:w="767" w:type="pct"/>
            <w:noWrap/>
            <w:hideMark/>
          </w:tcPr>
          <w:p w14:paraId="5DDFF131"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 Stock holding days</w:t>
            </w:r>
          </w:p>
        </w:tc>
        <w:tc>
          <w:tcPr>
            <w:tcW w:w="1914" w:type="pct"/>
            <w:noWrap/>
            <w:hideMark/>
          </w:tcPr>
          <w:p w14:paraId="7334C1A2"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(Inventory / Cost of Goods Sold) * 365</w:t>
            </w:r>
          </w:p>
        </w:tc>
        <w:tc>
          <w:tcPr>
            <w:tcW w:w="858" w:type="pct"/>
            <w:noWrap/>
            <w:hideMark/>
          </w:tcPr>
          <w:p w14:paraId="49F56614"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(708/3235)*365</w:t>
            </w:r>
          </w:p>
        </w:tc>
        <w:tc>
          <w:tcPr>
            <w:tcW w:w="273" w:type="pct"/>
            <w:noWrap/>
            <w:hideMark/>
          </w:tcPr>
          <w:p w14:paraId="6659DB6A"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79.883</w:t>
            </w:r>
          </w:p>
        </w:tc>
        <w:tc>
          <w:tcPr>
            <w:tcW w:w="915" w:type="pct"/>
            <w:noWrap/>
            <w:hideMark/>
          </w:tcPr>
          <w:p w14:paraId="20435CA8"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(659/3096)*365</w:t>
            </w:r>
          </w:p>
        </w:tc>
        <w:tc>
          <w:tcPr>
            <w:tcW w:w="273" w:type="pct"/>
            <w:noWrap/>
            <w:hideMark/>
          </w:tcPr>
          <w:p w14:paraId="53466921"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77.692</w:t>
            </w:r>
          </w:p>
        </w:tc>
      </w:tr>
      <w:tr w:rsidR="00741F00" w:rsidRPr="00EB609C" w14:paraId="52EBC93B" w14:textId="77777777" w:rsidTr="00EB609C">
        <w:trPr>
          <w:trHeight w:val="315"/>
        </w:trPr>
        <w:tc>
          <w:tcPr>
            <w:tcW w:w="767" w:type="pct"/>
            <w:noWrap/>
            <w:hideMark/>
          </w:tcPr>
          <w:p w14:paraId="4A929B2D"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7- Debtors collection period</w:t>
            </w:r>
          </w:p>
        </w:tc>
        <w:tc>
          <w:tcPr>
            <w:tcW w:w="1914" w:type="pct"/>
            <w:noWrap/>
            <w:hideMark/>
          </w:tcPr>
          <w:p w14:paraId="7557F798"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(Trade Receivables / Revenue) * 365</w:t>
            </w:r>
          </w:p>
        </w:tc>
        <w:tc>
          <w:tcPr>
            <w:tcW w:w="858" w:type="pct"/>
            <w:noWrap/>
            <w:hideMark/>
          </w:tcPr>
          <w:p w14:paraId="4AC271C9"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(1249/6738)*365</w:t>
            </w:r>
          </w:p>
        </w:tc>
        <w:tc>
          <w:tcPr>
            <w:tcW w:w="273" w:type="pct"/>
            <w:noWrap/>
            <w:hideMark/>
          </w:tcPr>
          <w:p w14:paraId="209417B2"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67.659</w:t>
            </w:r>
          </w:p>
        </w:tc>
        <w:tc>
          <w:tcPr>
            <w:tcW w:w="915" w:type="pct"/>
            <w:noWrap/>
            <w:hideMark/>
          </w:tcPr>
          <w:p w14:paraId="6C5DBBD0"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(1287/6441)*365</w:t>
            </w:r>
          </w:p>
        </w:tc>
        <w:tc>
          <w:tcPr>
            <w:tcW w:w="273" w:type="pct"/>
            <w:noWrap/>
            <w:hideMark/>
          </w:tcPr>
          <w:p w14:paraId="62FB0496"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72.932</w:t>
            </w:r>
          </w:p>
        </w:tc>
      </w:tr>
      <w:tr w:rsidR="00741F00" w:rsidRPr="00EB609C" w14:paraId="249C5C80" w14:textId="77777777" w:rsidTr="00EB609C">
        <w:trPr>
          <w:trHeight w:val="315"/>
        </w:trPr>
        <w:tc>
          <w:tcPr>
            <w:tcW w:w="767" w:type="pct"/>
            <w:noWrap/>
            <w:hideMark/>
          </w:tcPr>
          <w:p w14:paraId="3A93B500"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8- Current ratio</w:t>
            </w:r>
          </w:p>
        </w:tc>
        <w:tc>
          <w:tcPr>
            <w:tcW w:w="1914" w:type="pct"/>
            <w:noWrap/>
            <w:hideMark/>
          </w:tcPr>
          <w:p w14:paraId="4F938F4D"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Current assets / current liabilities</w:t>
            </w:r>
          </w:p>
        </w:tc>
        <w:tc>
          <w:tcPr>
            <w:tcW w:w="858" w:type="pct"/>
            <w:noWrap/>
            <w:hideMark/>
          </w:tcPr>
          <w:p w14:paraId="6AED4FB1"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2303/2511</w:t>
            </w:r>
          </w:p>
        </w:tc>
        <w:tc>
          <w:tcPr>
            <w:tcW w:w="273" w:type="pct"/>
            <w:noWrap/>
            <w:hideMark/>
          </w:tcPr>
          <w:p w14:paraId="2D172786"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0.9172</w:t>
            </w:r>
          </w:p>
        </w:tc>
        <w:tc>
          <w:tcPr>
            <w:tcW w:w="915" w:type="pct"/>
            <w:noWrap/>
            <w:hideMark/>
          </w:tcPr>
          <w:p w14:paraId="6C53FAA5"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2355/3046</w:t>
            </w:r>
          </w:p>
        </w:tc>
        <w:tc>
          <w:tcPr>
            <w:tcW w:w="273" w:type="pct"/>
            <w:noWrap/>
            <w:hideMark/>
          </w:tcPr>
          <w:p w14:paraId="6CC38A45"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0.7731</w:t>
            </w:r>
          </w:p>
        </w:tc>
      </w:tr>
      <w:tr w:rsidR="00741F00" w:rsidRPr="00EB609C" w14:paraId="3743C8C0" w14:textId="77777777" w:rsidTr="00EB609C">
        <w:trPr>
          <w:trHeight w:val="315"/>
        </w:trPr>
        <w:tc>
          <w:tcPr>
            <w:tcW w:w="767" w:type="pct"/>
            <w:noWrap/>
            <w:hideMark/>
          </w:tcPr>
          <w:p w14:paraId="1D954F7A"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9- Gearing ratio</w:t>
            </w:r>
          </w:p>
        </w:tc>
        <w:tc>
          <w:tcPr>
            <w:tcW w:w="1914" w:type="pct"/>
            <w:noWrap/>
            <w:hideMark/>
          </w:tcPr>
          <w:p w14:paraId="0416BEE9"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(Non-Current Liabilities / (Equity + Non-Current Liabilities)) * 100</w:t>
            </w:r>
          </w:p>
        </w:tc>
        <w:tc>
          <w:tcPr>
            <w:tcW w:w="858" w:type="pct"/>
            <w:noWrap/>
            <w:hideMark/>
          </w:tcPr>
          <w:p w14:paraId="77A69DF9"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(4137 / (3088 + 4137))*100</w:t>
            </w:r>
          </w:p>
        </w:tc>
        <w:tc>
          <w:tcPr>
            <w:tcW w:w="273" w:type="pct"/>
            <w:noWrap/>
            <w:hideMark/>
          </w:tcPr>
          <w:p w14:paraId="4E07558A"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57.21%</w:t>
            </w:r>
          </w:p>
        </w:tc>
        <w:tc>
          <w:tcPr>
            <w:tcW w:w="915" w:type="pct"/>
            <w:noWrap/>
            <w:hideMark/>
          </w:tcPr>
          <w:p w14:paraId="0A69612F" w14:textId="24027913"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(4129 / (2912 + 4129)) * 100</w:t>
            </w:r>
          </w:p>
        </w:tc>
        <w:tc>
          <w:tcPr>
            <w:tcW w:w="273" w:type="pct"/>
            <w:noWrap/>
            <w:hideMark/>
          </w:tcPr>
          <w:p w14:paraId="07C1F795"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58.61%</w:t>
            </w:r>
          </w:p>
        </w:tc>
      </w:tr>
      <w:tr w:rsidR="00741F00" w:rsidRPr="00EB609C" w14:paraId="77125CD0" w14:textId="77777777" w:rsidTr="00EB609C">
        <w:trPr>
          <w:trHeight w:val="647"/>
        </w:trPr>
        <w:tc>
          <w:tcPr>
            <w:tcW w:w="767" w:type="pct"/>
            <w:noWrap/>
            <w:hideMark/>
          </w:tcPr>
          <w:p w14:paraId="3E793B60"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10- Interest cover</w:t>
            </w:r>
          </w:p>
        </w:tc>
        <w:tc>
          <w:tcPr>
            <w:tcW w:w="1914" w:type="pct"/>
            <w:noWrap/>
            <w:hideMark/>
          </w:tcPr>
          <w:p w14:paraId="4BE7B29B" w14:textId="77777777" w:rsidR="00BC5E91" w:rsidRPr="00EB609C" w:rsidRDefault="00BC5E91" w:rsidP="00BC5E91">
            <w:pPr>
              <w:rPr>
                <w:rFonts w:eastAsia="Times New Roman" w:cs="Times New Roman"/>
                <w:b/>
                <w:kern w:val="0"/>
                <w:sz w:val="22"/>
                <w:szCs w:val="16"/>
                <w14:ligatures w14:val="none"/>
              </w:rPr>
            </w:pPr>
            <w:r w:rsidRPr="00EB609C">
              <w:rPr>
                <w:rFonts w:eastAsia="Times New Roman" w:cs="Times New Roman"/>
                <w:b/>
                <w:kern w:val="0"/>
                <w:sz w:val="22"/>
                <w:szCs w:val="16"/>
                <w14:ligatures w14:val="none"/>
              </w:rPr>
              <w:t>Operating Profit / Interest Payable</w:t>
            </w:r>
          </w:p>
        </w:tc>
        <w:tc>
          <w:tcPr>
            <w:tcW w:w="858" w:type="pct"/>
            <w:noWrap/>
            <w:hideMark/>
          </w:tcPr>
          <w:p w14:paraId="12BBD142"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805/226</w:t>
            </w:r>
          </w:p>
        </w:tc>
        <w:tc>
          <w:tcPr>
            <w:tcW w:w="273" w:type="pct"/>
            <w:noWrap/>
            <w:hideMark/>
          </w:tcPr>
          <w:p w14:paraId="4A578880"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3.5619</w:t>
            </w:r>
          </w:p>
        </w:tc>
        <w:tc>
          <w:tcPr>
            <w:tcW w:w="915" w:type="pct"/>
            <w:noWrap/>
            <w:hideMark/>
          </w:tcPr>
          <w:p w14:paraId="1B1C60D5"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699/181</w:t>
            </w:r>
          </w:p>
        </w:tc>
        <w:tc>
          <w:tcPr>
            <w:tcW w:w="273" w:type="pct"/>
            <w:noWrap/>
            <w:hideMark/>
          </w:tcPr>
          <w:p w14:paraId="2ABB860D" w14:textId="77777777" w:rsidR="00BC5E91" w:rsidRPr="00EB609C" w:rsidRDefault="00BC5E91" w:rsidP="00BC5E91">
            <w:pPr>
              <w:jc w:val="center"/>
              <w:rPr>
                <w:rFonts w:eastAsia="Times New Roman" w:cs="Times New Roman"/>
                <w:b/>
                <w:kern w:val="0"/>
                <w:sz w:val="22"/>
                <w:szCs w:val="16"/>
                <w14:ligatures w14:val="none"/>
              </w:rPr>
            </w:pPr>
            <w:r w:rsidRPr="00EB609C">
              <w:rPr>
                <w:rFonts w:eastAsia="Times New Roman" w:cs="Times New Roman"/>
                <w:b/>
                <w:kern w:val="0"/>
                <w:sz w:val="22"/>
                <w:szCs w:val="16"/>
                <w14:ligatures w14:val="none"/>
              </w:rPr>
              <w:t>3.8619</w:t>
            </w:r>
          </w:p>
        </w:tc>
      </w:tr>
    </w:tbl>
    <w:p w14:paraId="5F63D8B5" w14:textId="6B22281F" w:rsidR="00EB609C" w:rsidRPr="00EB609C" w:rsidRDefault="00EB609C" w:rsidP="002E672A">
      <w:pPr>
        <w:rPr>
          <w:rFonts w:cs="Times New Roman"/>
          <w:lang w:val="en-GB"/>
        </w:rPr>
      </w:pPr>
    </w:p>
    <w:p w14:paraId="00F5A75C" w14:textId="53382FA7" w:rsidR="00BC5E91" w:rsidRPr="00EB609C" w:rsidRDefault="00EB609C" w:rsidP="002E672A">
      <w:pPr>
        <w:rPr>
          <w:rFonts w:cs="Times New Roman"/>
          <w:lang w:val="en-GB"/>
        </w:rPr>
      </w:pPr>
      <w:r w:rsidRPr="00EB609C">
        <w:rPr>
          <w:rFonts w:cs="Times New Roman"/>
          <w:lang w:val="en-GB"/>
        </w:rPr>
        <w:br w:type="page"/>
      </w:r>
    </w:p>
    <w:p w14:paraId="5B7BA445" w14:textId="4C6C4137" w:rsidR="00374E36" w:rsidRPr="00EB609C" w:rsidRDefault="00374E36" w:rsidP="00EB609C">
      <w:pPr>
        <w:pStyle w:val="ListParagraph"/>
        <w:numPr>
          <w:ilvl w:val="0"/>
          <w:numId w:val="4"/>
        </w:numPr>
        <w:rPr>
          <w:rFonts w:cs="Times New Roman"/>
          <w:b/>
          <w:bCs/>
          <w:lang w:val="en-GB"/>
        </w:rPr>
      </w:pPr>
      <w:r w:rsidRPr="00EB609C">
        <w:rPr>
          <w:rFonts w:cs="Times New Roman"/>
          <w:b/>
          <w:bCs/>
          <w:lang w:val="en-GB"/>
        </w:rPr>
        <w:lastRenderedPageBreak/>
        <w:t>Financial performance position of Sweets plc</w:t>
      </w:r>
    </w:p>
    <w:p w14:paraId="471C88C2" w14:textId="7D47FA2A" w:rsidR="00B45701" w:rsidRPr="00EB609C" w:rsidRDefault="00B45701" w:rsidP="00466C2B">
      <w:pPr>
        <w:rPr>
          <w:rFonts w:cs="Times New Roman"/>
          <w:lang w:val="en-GB"/>
        </w:rPr>
      </w:pPr>
      <w:r w:rsidRPr="00EB609C">
        <w:rPr>
          <w:rFonts w:cs="Times New Roman"/>
          <w:lang w:val="en-GB"/>
        </w:rPr>
        <w:t>The financial performance and standing of Sweets plc improved steadily throughout 2020 and into 2021. Increases in important metrics such as Return on Capital Employed (ROCE) from 2020</w:t>
      </w:r>
      <w:r w:rsidR="00466C2B" w:rsidRPr="00EB609C">
        <w:rPr>
          <w:rFonts w:cs="Times New Roman"/>
          <w:lang w:val="en-GB"/>
        </w:rPr>
        <w:t>'</w:t>
      </w:r>
      <w:r w:rsidRPr="00EB609C">
        <w:rPr>
          <w:rFonts w:cs="Times New Roman"/>
          <w:lang w:val="en-GB"/>
        </w:rPr>
        <w:t>s 9.93% to 2021</w:t>
      </w:r>
      <w:r w:rsidR="00466C2B" w:rsidRPr="00EB609C">
        <w:rPr>
          <w:rFonts w:cs="Times New Roman"/>
          <w:lang w:val="en-GB"/>
        </w:rPr>
        <w:t>'</w:t>
      </w:r>
      <w:r w:rsidRPr="00EB609C">
        <w:rPr>
          <w:rFonts w:cs="Times New Roman"/>
          <w:lang w:val="en-GB"/>
        </w:rPr>
        <w:t xml:space="preserve">s 11.14% </w:t>
      </w:r>
      <w:r w:rsidR="00466C2B" w:rsidRPr="00EB609C">
        <w:rPr>
          <w:rFonts w:cs="Times New Roman"/>
          <w:lang w:val="en-GB"/>
        </w:rPr>
        <w:t>indicate</w:t>
      </w:r>
      <w:r w:rsidRPr="00EB609C">
        <w:rPr>
          <w:rFonts w:cs="Times New Roman"/>
          <w:lang w:val="en-GB"/>
        </w:rPr>
        <w:t xml:space="preserve"> this progress. That's a good sign that the firm made a profit on </w:t>
      </w:r>
      <w:r w:rsidR="00466C2B" w:rsidRPr="00EB609C">
        <w:rPr>
          <w:rFonts w:cs="Times New Roman"/>
          <w:lang w:val="en-GB"/>
        </w:rPr>
        <w:t>its last year's investment</w:t>
      </w:r>
      <w:r w:rsidRPr="00EB609C">
        <w:rPr>
          <w:rFonts w:cs="Times New Roman"/>
          <w:lang w:val="en-GB"/>
        </w:rPr>
        <w:t>. One or more of better resource allocation, operational efficiency, and smarter pricing may have contributed to this uptick.</w:t>
      </w:r>
    </w:p>
    <w:p w14:paraId="0EA66A8F" w14:textId="5082975C" w:rsidR="00B45701" w:rsidRPr="00EB609C" w:rsidRDefault="00466C2B" w:rsidP="00466C2B">
      <w:pPr>
        <w:rPr>
          <w:rFonts w:cs="Times New Roman"/>
          <w:lang w:val="en-GB"/>
        </w:rPr>
      </w:pPr>
      <w:r w:rsidRPr="00EB609C">
        <w:rPr>
          <w:rFonts w:cs="Times New Roman"/>
          <w:lang w:val="en-GB"/>
        </w:rPr>
        <w:t>A similar trend in ROE</w:t>
      </w:r>
      <w:r w:rsidR="00B45701" w:rsidRPr="00EB609C">
        <w:rPr>
          <w:rFonts w:cs="Times New Roman"/>
          <w:lang w:val="en-GB"/>
        </w:rPr>
        <w:t xml:space="preserve"> increased from 12.57% in 2020 to 13.96% the following year. This means that the </w:t>
      </w:r>
      <w:r w:rsidRPr="00EB609C">
        <w:rPr>
          <w:rFonts w:cs="Times New Roman"/>
          <w:lang w:val="en-GB"/>
        </w:rPr>
        <w:t>profits to shareholders' equity ratio</w:t>
      </w:r>
      <w:r w:rsidR="00B45701" w:rsidRPr="00EB609C">
        <w:rPr>
          <w:rFonts w:cs="Times New Roman"/>
          <w:lang w:val="en-GB"/>
        </w:rPr>
        <w:t xml:space="preserve"> at Sweet</w:t>
      </w:r>
      <w:r w:rsidRPr="00EB609C">
        <w:rPr>
          <w:rFonts w:cs="Times New Roman"/>
          <w:lang w:val="en-GB"/>
        </w:rPr>
        <w:t>'</w:t>
      </w:r>
      <w:r w:rsidR="00B45701" w:rsidRPr="00EB609C">
        <w:rPr>
          <w:rFonts w:cs="Times New Roman"/>
          <w:lang w:val="en-GB"/>
        </w:rPr>
        <w:t>s plc has increased. An increase in earnings per share may result from a decline in outstanding shares, an increase in net income, or the efficient use of retained earnings.</w:t>
      </w:r>
    </w:p>
    <w:p w14:paraId="172137A0" w14:textId="1E7A8BA3" w:rsidR="00B45701" w:rsidRPr="00EB609C" w:rsidRDefault="00B45701" w:rsidP="00466C2B">
      <w:pPr>
        <w:rPr>
          <w:rFonts w:cs="Times New Roman"/>
          <w:lang w:val="en-GB"/>
        </w:rPr>
      </w:pPr>
      <w:r w:rsidRPr="00EB609C">
        <w:rPr>
          <w:rFonts w:cs="Times New Roman"/>
          <w:lang w:val="en-GB"/>
        </w:rPr>
        <w:t xml:space="preserve">The company also increased its earnings per share (EPS) from </w:t>
      </w:r>
      <w:r w:rsidR="00466C2B" w:rsidRPr="00EB609C">
        <w:rPr>
          <w:rFonts w:cs="Times New Roman"/>
          <w:lang w:val="en-GB"/>
        </w:rPr>
        <w:t>£</w:t>
      </w:r>
      <w:r w:rsidRPr="00EB609C">
        <w:rPr>
          <w:rFonts w:cs="Times New Roman"/>
          <w:lang w:val="en-GB"/>
        </w:rPr>
        <w:t xml:space="preserve">0.61 in 2020 to </w:t>
      </w:r>
      <w:r w:rsidR="00466C2B" w:rsidRPr="00EB609C">
        <w:rPr>
          <w:rFonts w:cs="Times New Roman"/>
          <w:lang w:val="en-GB"/>
        </w:rPr>
        <w:t>£</w:t>
      </w:r>
      <w:r w:rsidRPr="00EB609C">
        <w:rPr>
          <w:rFonts w:cs="Times New Roman"/>
          <w:lang w:val="en-GB"/>
        </w:rPr>
        <w:t>0.72 in 2021. Increase</w:t>
      </w:r>
      <w:r w:rsidR="00466C2B" w:rsidRPr="00EB609C">
        <w:rPr>
          <w:rFonts w:cs="Times New Roman"/>
          <w:lang w:val="en-GB"/>
        </w:rPr>
        <w:t>d</w:t>
      </w:r>
      <w:r w:rsidRPr="00EB609C">
        <w:rPr>
          <w:rFonts w:cs="Times New Roman"/>
          <w:lang w:val="en-GB"/>
        </w:rPr>
        <w:t xml:space="preserve"> earnings per share for common shareholders may occur </w:t>
      </w:r>
      <w:r w:rsidR="00466C2B" w:rsidRPr="00EB609C">
        <w:rPr>
          <w:rFonts w:cs="Times New Roman"/>
          <w:lang w:val="en-GB"/>
        </w:rPr>
        <w:t>due to</w:t>
      </w:r>
      <w:r w:rsidRPr="00EB609C">
        <w:rPr>
          <w:rFonts w:cs="Times New Roman"/>
          <w:lang w:val="en-GB"/>
        </w:rPr>
        <w:t xml:space="preserve"> increased profitability, better cost control, or lower dividend payments.</w:t>
      </w:r>
    </w:p>
    <w:p w14:paraId="5A07A3EA" w14:textId="3BC96F75" w:rsidR="00B45701" w:rsidRPr="00EB609C" w:rsidRDefault="00B45701" w:rsidP="00466C2B">
      <w:pPr>
        <w:rPr>
          <w:rFonts w:cs="Times New Roman"/>
          <w:lang w:val="en-GB"/>
        </w:rPr>
      </w:pPr>
      <w:r w:rsidRPr="00EB609C">
        <w:rPr>
          <w:rFonts w:cs="Times New Roman"/>
          <w:lang w:val="en-GB"/>
        </w:rPr>
        <w:t>From 2020 to 2021, the Net Profit Margin increased from 5.68% to 6.40%. This growth indicates that Sweets plc become more effective at turning its revenues into a profit. It's possible that efforts to control costs, streamline operations, and implement better pricing strategies contributed to the rise in net profit margin.</w:t>
      </w:r>
    </w:p>
    <w:p w14:paraId="6C3852F3" w14:textId="4EAC1C60" w:rsidR="00B45701" w:rsidRPr="00EB609C" w:rsidRDefault="00B45701" w:rsidP="00466C2B">
      <w:pPr>
        <w:rPr>
          <w:rFonts w:cs="Times New Roman"/>
          <w:lang w:val="en-GB"/>
        </w:rPr>
      </w:pPr>
      <w:r w:rsidRPr="00EB609C">
        <w:rPr>
          <w:rFonts w:cs="Times New Roman"/>
          <w:lang w:val="en-GB"/>
        </w:rPr>
        <w:t xml:space="preserve">In 2021, the Asset Turnover rose from 0.91 in 2020 to 0.93, maintaining a steady state. This indicates that the firm gained a larger profit margin for each dollar of invested capital. While not a huge shift, it </w:t>
      </w:r>
      <w:r w:rsidR="00466C2B" w:rsidRPr="00EB609C">
        <w:rPr>
          <w:rFonts w:cs="Times New Roman"/>
          <w:lang w:val="en-GB"/>
        </w:rPr>
        <w:t>indicates that Sweets plc has continued to make good use of its resources to produce revenue, whether</w:t>
      </w:r>
      <w:r w:rsidRPr="00EB609C">
        <w:rPr>
          <w:rFonts w:cs="Times New Roman"/>
          <w:lang w:val="en-GB"/>
        </w:rPr>
        <w:t xml:space="preserve"> through more efficient production or advertising.</w:t>
      </w:r>
    </w:p>
    <w:p w14:paraId="5205E76E" w14:textId="77777777" w:rsidR="00B45701" w:rsidRPr="00EB609C" w:rsidRDefault="00B45701" w:rsidP="00466C2B">
      <w:pPr>
        <w:rPr>
          <w:rFonts w:cs="Times New Roman"/>
          <w:lang w:val="en-GB"/>
        </w:rPr>
      </w:pPr>
      <w:r w:rsidRPr="00EB609C">
        <w:rPr>
          <w:rFonts w:cs="Times New Roman"/>
          <w:lang w:val="en-GB"/>
        </w:rPr>
        <w:t>The number of days an investor held onto their stock rose from 77.692 in 2020 to 79.883 in 2021. This increase may suggest that it took longer for Sweets plc to turn their inventory into sales. This is not a huge jump, but it does suggest that the business review its inventory management procedures and look for ways to shorten holding periods and free up working capital.</w:t>
      </w:r>
    </w:p>
    <w:p w14:paraId="231E2BDE" w14:textId="280FA832" w:rsidR="00B45701" w:rsidRPr="00EB609C" w:rsidRDefault="00B45701" w:rsidP="00466C2B">
      <w:pPr>
        <w:rPr>
          <w:rFonts w:cs="Times New Roman"/>
          <w:lang w:val="en-GB"/>
        </w:rPr>
      </w:pPr>
      <w:r w:rsidRPr="00EB609C">
        <w:rPr>
          <w:rFonts w:cs="Times New Roman"/>
          <w:lang w:val="en-GB"/>
        </w:rPr>
        <w:t>Debtors Collection Period improved from 2020's 72.932 to 2021's 67.659 days. This means the corporation is getting better at collecting money from clients on schedule. Efficient credit control measures or a shift in the clientele base may explain the decline.</w:t>
      </w:r>
    </w:p>
    <w:p w14:paraId="23EF0933" w14:textId="6E5365EC" w:rsidR="00B45701" w:rsidRPr="00EB609C" w:rsidRDefault="00B45701" w:rsidP="00466C2B">
      <w:pPr>
        <w:rPr>
          <w:rFonts w:cs="Times New Roman"/>
          <w:lang w:val="en-GB"/>
        </w:rPr>
      </w:pPr>
      <w:r w:rsidRPr="00EB609C">
        <w:rPr>
          <w:rFonts w:cs="Times New Roman"/>
          <w:lang w:val="en-GB"/>
        </w:rPr>
        <w:lastRenderedPageBreak/>
        <w:t>In 2021, the company's Current Ratio increased from 2020's 0.7731, showing greater liquidity and a more comfortable ability to meet short-term obligations. Better management of current assets and liabilities may be responsible for the decrease in working capital gaps that ha</w:t>
      </w:r>
      <w:r w:rsidR="00466C2B" w:rsidRPr="00EB609C">
        <w:rPr>
          <w:rFonts w:cs="Times New Roman"/>
          <w:lang w:val="en-GB"/>
        </w:rPr>
        <w:t>ve</w:t>
      </w:r>
      <w:r w:rsidRPr="00EB609C">
        <w:rPr>
          <w:rFonts w:cs="Times New Roman"/>
          <w:lang w:val="en-GB"/>
        </w:rPr>
        <w:t xml:space="preserve"> contributed to the increase in liquidity.</w:t>
      </w:r>
    </w:p>
    <w:p w14:paraId="312E75B6" w14:textId="1D79B116" w:rsidR="00B45701" w:rsidRPr="00EB609C" w:rsidRDefault="00B45701" w:rsidP="00466C2B">
      <w:pPr>
        <w:rPr>
          <w:rFonts w:cs="Times New Roman"/>
          <w:lang w:val="en-GB"/>
        </w:rPr>
      </w:pPr>
      <w:r w:rsidRPr="00EB609C">
        <w:rPr>
          <w:rFonts w:cs="Times New Roman"/>
          <w:lang w:val="en-GB"/>
        </w:rPr>
        <w:t xml:space="preserve">From 2020 to 2021, the Gearing Ratio dropped from 58.61 to 57.21. This suggests that long-term debt is </w:t>
      </w:r>
      <w:r w:rsidR="00466C2B" w:rsidRPr="00EB609C">
        <w:rPr>
          <w:rFonts w:cs="Times New Roman"/>
          <w:lang w:val="en-GB"/>
        </w:rPr>
        <w:t>less crucial than</w:t>
      </w:r>
      <w:r w:rsidRPr="00EB609C">
        <w:rPr>
          <w:rFonts w:cs="Times New Roman"/>
          <w:lang w:val="en-GB"/>
        </w:rPr>
        <w:t xml:space="preserve"> equity and long-term debt combined. This decline could be indicative of an effort to enhance the </w:t>
      </w:r>
      <w:r w:rsidR="00466C2B" w:rsidRPr="00EB609C">
        <w:rPr>
          <w:rFonts w:cs="Times New Roman"/>
          <w:lang w:val="en-GB"/>
        </w:rPr>
        <w:t>organization's capital structure</w:t>
      </w:r>
      <w:r w:rsidRPr="00EB609C">
        <w:rPr>
          <w:rFonts w:cs="Times New Roman"/>
          <w:lang w:val="en-GB"/>
        </w:rPr>
        <w:t xml:space="preserve"> or a general lessening of financial risk.</w:t>
      </w:r>
    </w:p>
    <w:p w14:paraId="21F78BA7" w14:textId="1EA12B87" w:rsidR="00B45701" w:rsidRPr="00EB609C" w:rsidRDefault="00466C2B" w:rsidP="00466C2B">
      <w:pPr>
        <w:rPr>
          <w:rFonts w:cs="Times New Roman"/>
          <w:lang w:val="en-GB"/>
        </w:rPr>
      </w:pPr>
      <w:r w:rsidRPr="00EB609C">
        <w:rPr>
          <w:rFonts w:cs="Times New Roman"/>
          <w:lang w:val="en-GB"/>
        </w:rPr>
        <w:t>Finally</w:t>
      </w:r>
      <w:r w:rsidR="00B45701" w:rsidRPr="00EB609C">
        <w:rPr>
          <w:rFonts w:cs="Times New Roman"/>
          <w:lang w:val="en-GB"/>
        </w:rPr>
        <w:t xml:space="preserve">, the Interest Cover saw a minor drop from 3.8619 in 2020 to 3.5619 in 2021, remaining consistent overall. It appears that </w:t>
      </w:r>
      <w:r w:rsidRPr="00EB609C">
        <w:rPr>
          <w:rFonts w:cs="Times New Roman"/>
          <w:lang w:val="en-GB"/>
        </w:rPr>
        <w:t>the company's operational profits are covering interest cos</w:t>
      </w:r>
      <w:r w:rsidR="00B45701" w:rsidRPr="00EB609C">
        <w:rPr>
          <w:rFonts w:cs="Times New Roman"/>
          <w:lang w:val="en-GB"/>
        </w:rPr>
        <w:t>ts. Possible causes for the small drop include shifts in interest rates and adjustments to the debt structure of the organization.</w:t>
      </w:r>
    </w:p>
    <w:p w14:paraId="3AE8E0F9" w14:textId="1628DBC0" w:rsidR="00B45701" w:rsidRPr="00EB609C" w:rsidRDefault="00B45701" w:rsidP="00466C2B">
      <w:pPr>
        <w:rPr>
          <w:rFonts w:cs="Times New Roman"/>
          <w:lang w:val="en-GB"/>
        </w:rPr>
      </w:pPr>
      <w:r w:rsidRPr="00EB609C">
        <w:rPr>
          <w:rFonts w:cs="Times New Roman"/>
          <w:lang w:val="en-GB"/>
        </w:rPr>
        <w:t>The financial performance and standing of Sweets plc improved in 2021 compared to 2020. Profitability rose, capital use efficiency increased, and the firm's liquidity and financial stability strengthened. The company's strategic initiatives to optimize its operations and make sound financial decisions are reflected in the improvement of several key ratios. However, successful inventory management requires attention to the minor rise in stock holding days. Sweets plc appears to be on the right track to maintain and, hopefully, improve its financial health and performance.</w:t>
      </w:r>
    </w:p>
    <w:p w14:paraId="16945E34" w14:textId="77777777" w:rsidR="00B45701" w:rsidRPr="00EB609C" w:rsidRDefault="00B45701" w:rsidP="00466C2B">
      <w:pPr>
        <w:rPr>
          <w:rFonts w:cs="Times New Roman"/>
          <w:lang w:val="en-GB"/>
        </w:rPr>
      </w:pPr>
    </w:p>
    <w:sectPr w:rsidR="00B45701" w:rsidRPr="00EB60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5FEB9" w14:textId="77777777" w:rsidR="007A2BB4" w:rsidRDefault="007A2BB4" w:rsidP="00EB609C">
      <w:pPr>
        <w:spacing w:after="0" w:line="240" w:lineRule="auto"/>
      </w:pPr>
      <w:r>
        <w:separator/>
      </w:r>
    </w:p>
  </w:endnote>
  <w:endnote w:type="continuationSeparator" w:id="0">
    <w:p w14:paraId="460A751A" w14:textId="77777777" w:rsidR="007A2BB4" w:rsidRDefault="007A2BB4" w:rsidP="00EB6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C2F72" w14:textId="77777777" w:rsidR="007A2BB4" w:rsidRDefault="007A2BB4" w:rsidP="00EB609C">
      <w:pPr>
        <w:spacing w:after="0" w:line="240" w:lineRule="auto"/>
      </w:pPr>
      <w:r>
        <w:separator/>
      </w:r>
    </w:p>
  </w:footnote>
  <w:footnote w:type="continuationSeparator" w:id="0">
    <w:p w14:paraId="09CAAAC5" w14:textId="77777777" w:rsidR="007A2BB4" w:rsidRDefault="007A2BB4" w:rsidP="00EB6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38CA"/>
    <w:multiLevelType w:val="hybridMultilevel"/>
    <w:tmpl w:val="D054E4AA"/>
    <w:lvl w:ilvl="0" w:tplc="150CC5E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B7F7FF7"/>
    <w:multiLevelType w:val="hybridMultilevel"/>
    <w:tmpl w:val="E794AB62"/>
    <w:lvl w:ilvl="0" w:tplc="0FE05F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89763E"/>
    <w:multiLevelType w:val="hybridMultilevel"/>
    <w:tmpl w:val="358E16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7D710C"/>
    <w:multiLevelType w:val="hybridMultilevel"/>
    <w:tmpl w:val="8100416E"/>
    <w:lvl w:ilvl="0" w:tplc="81D65F9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1165921">
    <w:abstractNumId w:val="0"/>
  </w:num>
  <w:num w:numId="2" w16cid:durableId="1205368976">
    <w:abstractNumId w:val="2"/>
  </w:num>
  <w:num w:numId="3" w16cid:durableId="186021732">
    <w:abstractNumId w:val="1"/>
  </w:num>
  <w:num w:numId="4" w16cid:durableId="408119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xNLc0szCwMDI2NDZT0lEKTi0uzszPAykwrAUAYy4BeywAAAA="/>
  </w:docVars>
  <w:rsids>
    <w:rsidRoot w:val="00E80DF3"/>
    <w:rsid w:val="000A4B81"/>
    <w:rsid w:val="002E672A"/>
    <w:rsid w:val="00303E97"/>
    <w:rsid w:val="00374E36"/>
    <w:rsid w:val="00375FF8"/>
    <w:rsid w:val="00466C2B"/>
    <w:rsid w:val="005930B3"/>
    <w:rsid w:val="00685F67"/>
    <w:rsid w:val="00712034"/>
    <w:rsid w:val="00741F00"/>
    <w:rsid w:val="007422BD"/>
    <w:rsid w:val="007A2BB4"/>
    <w:rsid w:val="009E1BC1"/>
    <w:rsid w:val="00A63F22"/>
    <w:rsid w:val="00AF026E"/>
    <w:rsid w:val="00B45701"/>
    <w:rsid w:val="00BC2474"/>
    <w:rsid w:val="00BC5E91"/>
    <w:rsid w:val="00DB0263"/>
    <w:rsid w:val="00DD01C1"/>
    <w:rsid w:val="00E5401C"/>
    <w:rsid w:val="00E80DF3"/>
    <w:rsid w:val="00EB609C"/>
    <w:rsid w:val="00ED12D2"/>
    <w:rsid w:val="00F80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5ECBF"/>
  <w15:chartTrackingRefBased/>
  <w15:docId w15:val="{DEEA1D88-9680-4E2B-A9E0-54D4392DD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09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609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B609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72A"/>
    <w:pPr>
      <w:ind w:left="720"/>
      <w:contextualSpacing/>
    </w:pPr>
  </w:style>
  <w:style w:type="table" w:styleId="ListTable4-Accent6">
    <w:name w:val="List Table 4 Accent 6"/>
    <w:basedOn w:val="TableNormal"/>
    <w:uiPriority w:val="49"/>
    <w:rsid w:val="00DD01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5">
    <w:name w:val="Grid Table 5 Dark Accent 5"/>
    <w:basedOn w:val="TableNormal"/>
    <w:uiPriority w:val="50"/>
    <w:rsid w:val="00DD01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DD01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1Char">
    <w:name w:val="Heading 1 Char"/>
    <w:basedOn w:val="DefaultParagraphFont"/>
    <w:link w:val="Heading1"/>
    <w:uiPriority w:val="9"/>
    <w:rsid w:val="00EB609C"/>
    <w:rPr>
      <w:rFonts w:ascii="Times New Roman" w:eastAsiaTheme="majorEastAsia" w:hAnsi="Times New Roman" w:cstheme="majorBidi"/>
      <w:b/>
      <w:sz w:val="28"/>
      <w:szCs w:val="32"/>
    </w:rPr>
  </w:style>
  <w:style w:type="table" w:styleId="TableGridLight">
    <w:name w:val="Grid Table Light"/>
    <w:basedOn w:val="TableNormal"/>
    <w:uiPriority w:val="40"/>
    <w:rsid w:val="00EB60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EB6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60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09C"/>
  </w:style>
  <w:style w:type="paragraph" w:styleId="Footer">
    <w:name w:val="footer"/>
    <w:basedOn w:val="Normal"/>
    <w:link w:val="FooterChar"/>
    <w:uiPriority w:val="99"/>
    <w:unhideWhenUsed/>
    <w:rsid w:val="00EB60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09C"/>
  </w:style>
  <w:style w:type="character" w:customStyle="1" w:styleId="Heading2Char">
    <w:name w:val="Heading 2 Char"/>
    <w:basedOn w:val="DefaultParagraphFont"/>
    <w:link w:val="Heading2"/>
    <w:uiPriority w:val="9"/>
    <w:rsid w:val="00EB609C"/>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EB609C"/>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EB609C"/>
    <w:pPr>
      <w:spacing w:after="100"/>
    </w:pPr>
  </w:style>
  <w:style w:type="paragraph" w:styleId="TOC2">
    <w:name w:val="toc 2"/>
    <w:basedOn w:val="Normal"/>
    <w:next w:val="Normal"/>
    <w:autoRedefine/>
    <w:uiPriority w:val="39"/>
    <w:unhideWhenUsed/>
    <w:rsid w:val="00EB609C"/>
    <w:pPr>
      <w:spacing w:after="100"/>
      <w:ind w:left="240"/>
    </w:pPr>
  </w:style>
  <w:style w:type="character" w:styleId="Hyperlink">
    <w:name w:val="Hyperlink"/>
    <w:basedOn w:val="DefaultParagraphFont"/>
    <w:uiPriority w:val="99"/>
    <w:unhideWhenUsed/>
    <w:rsid w:val="00EB60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03813">
      <w:bodyDiv w:val="1"/>
      <w:marLeft w:val="0"/>
      <w:marRight w:val="0"/>
      <w:marTop w:val="0"/>
      <w:marBottom w:val="0"/>
      <w:divBdr>
        <w:top w:val="none" w:sz="0" w:space="0" w:color="auto"/>
        <w:left w:val="none" w:sz="0" w:space="0" w:color="auto"/>
        <w:bottom w:val="none" w:sz="0" w:space="0" w:color="auto"/>
        <w:right w:val="none" w:sz="0" w:space="0" w:color="auto"/>
      </w:divBdr>
    </w:div>
    <w:div w:id="700857397">
      <w:bodyDiv w:val="1"/>
      <w:marLeft w:val="0"/>
      <w:marRight w:val="0"/>
      <w:marTop w:val="0"/>
      <w:marBottom w:val="0"/>
      <w:divBdr>
        <w:top w:val="none" w:sz="0" w:space="0" w:color="auto"/>
        <w:left w:val="none" w:sz="0" w:space="0" w:color="auto"/>
        <w:bottom w:val="none" w:sz="0" w:space="0" w:color="auto"/>
        <w:right w:val="none" w:sz="0" w:space="0" w:color="auto"/>
      </w:divBdr>
    </w:div>
    <w:div w:id="851458996">
      <w:bodyDiv w:val="1"/>
      <w:marLeft w:val="0"/>
      <w:marRight w:val="0"/>
      <w:marTop w:val="0"/>
      <w:marBottom w:val="0"/>
      <w:divBdr>
        <w:top w:val="none" w:sz="0" w:space="0" w:color="auto"/>
        <w:left w:val="none" w:sz="0" w:space="0" w:color="auto"/>
        <w:bottom w:val="none" w:sz="0" w:space="0" w:color="auto"/>
        <w:right w:val="none" w:sz="0" w:space="0" w:color="auto"/>
      </w:divBdr>
    </w:div>
    <w:div w:id="13234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Pra191</b:Tag>
    <b:SourceType>JournalArticle</b:SourceType>
    <b:Guid>{31305863-8269-4499-91C6-A5A0180D2947}</b:Guid>
    <b:Author>
      <b:Author>
        <b:NameList>
          <b:Person>
            <b:Last>Prawirodipoero</b:Last>
            <b:First>G.M.,</b:First>
            <b:Middle>Rahadi, R.A. and Hidayat, A</b:Middle>
          </b:Person>
        </b:NameList>
      </b:Author>
    </b:Author>
    <b:Title>The Influence of Financial Ratios Analysis on the Financial Performance of Micro Small Medium Enterprises in Indonesia</b:Title>
    <b:JournalName>Review of Integrative Business and Economics Research</b:JournalName>
    <b:Year>2019</b:Year>
    <b:Pages>393-400</b:Pages>
    <b:Volume>8</b:Volume>
    <b:RefOrder>1</b:RefOrder>
  </b:Source>
  <b:Source>
    <b:Tag>Sar22</b:Tag>
    <b:SourceType>JournalArticle</b:SourceType>
    <b:Guid>{5881423D-D85A-458B-82F1-C0F9CADE3BC1}</b:Guid>
    <b:Author>
      <b:Author>
        <b:NameList>
          <b:Person>
            <b:Last>Sari</b:Last>
            <b:First>D.P.,</b:First>
            <b:Middle>Nabella, S.D. and Fadlilah, A.H</b:Middle>
          </b:Person>
        </b:NameList>
      </b:Author>
    </b:Author>
    <b:Title>The Effect of Profitability, Liquidity, Leverage, and Activity Ratios on Dividend Policy in Manufacturing Companies in the Food and Beverage Industry Sector Listed on the Indonesia Stock Exchange in the 2016-2020 Period</b:Title>
    <b:JournalName>Jurnal Mantik</b:JournalName>
    <b:Year>2022</b:Year>
    <b:Pages>1365-1375</b:Pages>
    <b:Volume>6</b:Volume>
    <b:Issue>2</b:Issue>
    <b:RefOrder>2</b:RefOrder>
  </b:Source>
  <b:Source>
    <b:Tag>Ras21</b:Tag>
    <b:SourceType>JournalArticle</b:SourceType>
    <b:Guid>{B0761283-ADC3-43F9-AB38-299C5F263DB2}</b:Guid>
    <b:Author>
      <b:Author>
        <b:NameList>
          <b:Person>
            <b:Last>Rashid</b:Last>
            <b:First>C.A.</b:First>
          </b:Person>
        </b:NameList>
      </b:Author>
    </b:Author>
    <b:Title>The efficiency of financial ratios analysis to evaluate company’s profitability</b:Title>
    <b:JournalName>Journal of Global Economics and Business</b:JournalName>
    <b:Year>2021</b:Year>
    <b:Pages>119-132</b:Pages>
    <b:Volume>2</b:Volume>
    <b:Issue>4</b:Issue>
    <b:RefOrder>3</b:RefOrder>
  </b:Source>
</b:Sources>
</file>

<file path=customXml/itemProps1.xml><?xml version="1.0" encoding="utf-8"?>
<ds:datastoreItem xmlns:ds="http://schemas.openxmlformats.org/officeDocument/2006/customXml" ds:itemID="{63441AA7-A26A-4488-B815-30589D0167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Davinder Singh</cp:lastModifiedBy>
  <cp:revision>2</cp:revision>
  <dcterms:created xsi:type="dcterms:W3CDTF">2023-08-25T12:09:00Z</dcterms:created>
  <dcterms:modified xsi:type="dcterms:W3CDTF">2023-08-25T12:09:00Z</dcterms:modified>
</cp:coreProperties>
</file>