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C12F87" w14:textId="77777777" w:rsidR="00B61B7B" w:rsidRDefault="009529E2">
      <w:pPr>
        <w:spacing w:after="165" w:line="360" w:lineRule="auto"/>
        <w:rPr>
          <w:sz w:val="24"/>
          <w:szCs w:val="24"/>
        </w:rPr>
      </w:pPr>
      <w:r>
        <w:rPr>
          <w:noProof/>
          <w:sz w:val="24"/>
          <w:szCs w:val="24"/>
        </w:rPr>
        <w:drawing>
          <wp:inline distT="0" distB="0" distL="114300" distR="114300" wp14:anchorId="3EEA864F" wp14:editId="462F5D0A">
            <wp:extent cx="2209165" cy="744220"/>
            <wp:effectExtent l="0" t="0" r="0" b="0"/>
            <wp:docPr id="1" name="image1.jp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jpg" descr="Description: :::::::Desktop:In progress desktop:TRINITY SAINT DAVID:logo:TSD_logo2010.jpg"/>
                    <pic:cNvPicPr preferRelativeResize="0"/>
                  </pic:nvPicPr>
                  <pic:blipFill>
                    <a:blip r:embed="rId5"/>
                    <a:srcRect/>
                    <a:stretch>
                      <a:fillRect/>
                    </a:stretch>
                  </pic:blipFill>
                  <pic:spPr>
                    <a:xfrm>
                      <a:off x="0" y="0"/>
                      <a:ext cx="2209165" cy="744220"/>
                    </a:xfrm>
                    <a:prstGeom prst="rect">
                      <a:avLst/>
                    </a:prstGeom>
                    <a:ln/>
                  </pic:spPr>
                </pic:pic>
              </a:graphicData>
            </a:graphic>
          </wp:inline>
        </w:drawing>
      </w:r>
    </w:p>
    <w:p w14:paraId="51A0B8ED" w14:textId="77777777" w:rsidR="00A17F20" w:rsidRDefault="00A17F20">
      <w:pPr>
        <w:spacing w:after="165" w:line="360" w:lineRule="auto"/>
        <w:rPr>
          <w:sz w:val="24"/>
          <w:szCs w:val="24"/>
        </w:rPr>
      </w:pPr>
    </w:p>
    <w:p w14:paraId="09C560F1" w14:textId="77777777" w:rsidR="0023529D" w:rsidRPr="00A559CF" w:rsidRDefault="009529E2">
      <w:pPr>
        <w:spacing w:after="165" w:line="360" w:lineRule="auto"/>
        <w:rPr>
          <w:sz w:val="28"/>
          <w:szCs w:val="28"/>
        </w:rPr>
      </w:pPr>
      <w:r w:rsidRPr="00A559CF">
        <w:rPr>
          <w:sz w:val="28"/>
          <w:szCs w:val="28"/>
        </w:rPr>
        <w:t xml:space="preserve">Module Assignment Submission </w:t>
      </w:r>
    </w:p>
    <w:tbl>
      <w:tblPr>
        <w:tblStyle w:val="a"/>
        <w:tblpPr w:leftFromText="180" w:rightFromText="180" w:vertAnchor="text" w:horzAnchor="margin" w:tblpXSpec="center" w:tblpY="612"/>
        <w:tblW w:w="1049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106"/>
        <w:gridCol w:w="6385"/>
      </w:tblGrid>
      <w:tr w:rsidR="00083524" w:rsidRPr="00A559CF" w14:paraId="5DD64BDD" w14:textId="77777777" w:rsidTr="00A559CF">
        <w:tc>
          <w:tcPr>
            <w:tcW w:w="4106" w:type="dxa"/>
            <w:shd w:val="clear" w:color="auto" w:fill="D9D9D9"/>
          </w:tcPr>
          <w:p w14:paraId="354E5BC6" w14:textId="77777777" w:rsidR="00083524" w:rsidRPr="00A559CF" w:rsidRDefault="00083524" w:rsidP="00083524">
            <w:pPr>
              <w:spacing w:before="120" w:after="120" w:line="360" w:lineRule="auto"/>
              <w:rPr>
                <w:sz w:val="28"/>
                <w:szCs w:val="28"/>
              </w:rPr>
            </w:pPr>
            <w:r w:rsidRPr="00A559CF">
              <w:rPr>
                <w:sz w:val="28"/>
                <w:szCs w:val="28"/>
              </w:rPr>
              <w:t>Student Name:</w:t>
            </w:r>
          </w:p>
        </w:tc>
        <w:tc>
          <w:tcPr>
            <w:tcW w:w="6385" w:type="dxa"/>
          </w:tcPr>
          <w:p w14:paraId="1A237899" w14:textId="77777777" w:rsidR="00083524" w:rsidRPr="00A559CF" w:rsidRDefault="00083524" w:rsidP="00083524">
            <w:pPr>
              <w:spacing w:before="120" w:after="120" w:line="360" w:lineRule="auto"/>
              <w:rPr>
                <w:sz w:val="28"/>
                <w:szCs w:val="28"/>
              </w:rPr>
            </w:pPr>
            <w:r w:rsidRPr="00A559CF">
              <w:rPr>
                <w:sz w:val="28"/>
                <w:szCs w:val="28"/>
              </w:rPr>
              <w:t>Monir Ahmed</w:t>
            </w:r>
          </w:p>
        </w:tc>
      </w:tr>
      <w:tr w:rsidR="00083524" w:rsidRPr="00A559CF" w14:paraId="7F1FB3C9" w14:textId="77777777" w:rsidTr="00A559CF">
        <w:tc>
          <w:tcPr>
            <w:tcW w:w="4106" w:type="dxa"/>
            <w:shd w:val="clear" w:color="auto" w:fill="D9D9D9"/>
          </w:tcPr>
          <w:p w14:paraId="012945AA" w14:textId="77777777" w:rsidR="00083524" w:rsidRPr="00A559CF" w:rsidRDefault="00083524" w:rsidP="00083524">
            <w:pPr>
              <w:spacing w:before="120" w:after="120" w:line="360" w:lineRule="auto"/>
              <w:rPr>
                <w:sz w:val="28"/>
                <w:szCs w:val="28"/>
              </w:rPr>
            </w:pPr>
            <w:r w:rsidRPr="00A559CF">
              <w:rPr>
                <w:sz w:val="28"/>
                <w:szCs w:val="28"/>
              </w:rPr>
              <w:t>Student Number:</w:t>
            </w:r>
          </w:p>
        </w:tc>
        <w:tc>
          <w:tcPr>
            <w:tcW w:w="6385" w:type="dxa"/>
          </w:tcPr>
          <w:p w14:paraId="27623F36" w14:textId="4FD5FC65" w:rsidR="00083524" w:rsidRPr="00A559CF" w:rsidRDefault="00083524" w:rsidP="00083524">
            <w:pPr>
              <w:spacing w:before="120" w:after="120" w:line="360" w:lineRule="auto"/>
              <w:rPr>
                <w:sz w:val="28"/>
                <w:szCs w:val="28"/>
              </w:rPr>
            </w:pPr>
            <w:r w:rsidRPr="00A559CF">
              <w:rPr>
                <w:sz w:val="28"/>
                <w:szCs w:val="28"/>
              </w:rPr>
              <w:t>1806400@student.uwtsd.ac.</w:t>
            </w:r>
            <w:r w:rsidR="00160A00" w:rsidRPr="00A559CF">
              <w:rPr>
                <w:sz w:val="28"/>
                <w:szCs w:val="28"/>
              </w:rPr>
              <w:t>uk</w:t>
            </w:r>
          </w:p>
        </w:tc>
      </w:tr>
      <w:tr w:rsidR="00083524" w:rsidRPr="00A559CF" w14:paraId="49781FB5" w14:textId="77777777" w:rsidTr="00A559CF">
        <w:tc>
          <w:tcPr>
            <w:tcW w:w="4106" w:type="dxa"/>
            <w:shd w:val="clear" w:color="auto" w:fill="D9D9D9"/>
          </w:tcPr>
          <w:p w14:paraId="7E41220F" w14:textId="016531D8" w:rsidR="00083524" w:rsidRPr="00A559CF" w:rsidRDefault="00083524" w:rsidP="00083524">
            <w:pPr>
              <w:spacing w:before="120" w:after="120" w:line="360" w:lineRule="auto"/>
              <w:rPr>
                <w:sz w:val="28"/>
                <w:szCs w:val="28"/>
              </w:rPr>
            </w:pPr>
            <w:r w:rsidRPr="00A559CF">
              <w:rPr>
                <w:sz w:val="28"/>
                <w:szCs w:val="28"/>
              </w:rPr>
              <w:t>Programme:</w:t>
            </w:r>
          </w:p>
        </w:tc>
        <w:tc>
          <w:tcPr>
            <w:tcW w:w="6385" w:type="dxa"/>
          </w:tcPr>
          <w:p w14:paraId="23C4A199" w14:textId="7498140C" w:rsidR="00083524" w:rsidRPr="00A559CF" w:rsidRDefault="00083524" w:rsidP="00083524">
            <w:pPr>
              <w:spacing w:before="120" w:after="120" w:line="360" w:lineRule="auto"/>
              <w:rPr>
                <w:sz w:val="28"/>
                <w:szCs w:val="28"/>
              </w:rPr>
            </w:pPr>
            <w:r w:rsidRPr="00A559CF">
              <w:rPr>
                <w:sz w:val="28"/>
                <w:szCs w:val="28"/>
              </w:rPr>
              <w:t xml:space="preserve">Cert HE Law and Legal Practice </w:t>
            </w:r>
            <w:r w:rsidR="001313E1" w:rsidRPr="00A559CF">
              <w:rPr>
                <w:sz w:val="28"/>
                <w:szCs w:val="28"/>
              </w:rPr>
              <w:t>(Level 4)</w:t>
            </w:r>
          </w:p>
        </w:tc>
      </w:tr>
      <w:tr w:rsidR="00083524" w:rsidRPr="00A559CF" w14:paraId="5FED6E5A" w14:textId="77777777" w:rsidTr="00A559CF">
        <w:trPr>
          <w:trHeight w:val="413"/>
        </w:trPr>
        <w:tc>
          <w:tcPr>
            <w:tcW w:w="4106" w:type="dxa"/>
            <w:shd w:val="clear" w:color="auto" w:fill="D9D9D9"/>
          </w:tcPr>
          <w:p w14:paraId="20653447" w14:textId="3055499E" w:rsidR="00083524" w:rsidRPr="00A559CF" w:rsidRDefault="00083524" w:rsidP="00083524">
            <w:pPr>
              <w:spacing w:before="120" w:after="120" w:line="360" w:lineRule="auto"/>
              <w:rPr>
                <w:sz w:val="28"/>
                <w:szCs w:val="28"/>
              </w:rPr>
            </w:pPr>
            <w:r w:rsidRPr="00A559CF">
              <w:rPr>
                <w:sz w:val="28"/>
                <w:szCs w:val="28"/>
              </w:rPr>
              <w:t>Module:</w:t>
            </w:r>
          </w:p>
        </w:tc>
        <w:tc>
          <w:tcPr>
            <w:tcW w:w="6385" w:type="dxa"/>
          </w:tcPr>
          <w:p w14:paraId="6593533E" w14:textId="57889D5E" w:rsidR="00083524" w:rsidRPr="00A559CF" w:rsidRDefault="00E24DB4" w:rsidP="00083524">
            <w:pPr>
              <w:rPr>
                <w:sz w:val="28"/>
                <w:szCs w:val="28"/>
              </w:rPr>
            </w:pPr>
            <w:r w:rsidRPr="00A559CF">
              <w:rPr>
                <w:sz w:val="28"/>
                <w:szCs w:val="28"/>
              </w:rPr>
              <w:t>Public Law</w:t>
            </w:r>
          </w:p>
        </w:tc>
      </w:tr>
      <w:tr w:rsidR="00083524" w:rsidRPr="00A559CF" w14:paraId="168DAB1C" w14:textId="77777777" w:rsidTr="00A559CF">
        <w:trPr>
          <w:trHeight w:val="413"/>
        </w:trPr>
        <w:tc>
          <w:tcPr>
            <w:tcW w:w="4106" w:type="dxa"/>
            <w:shd w:val="clear" w:color="auto" w:fill="D9D9D9"/>
          </w:tcPr>
          <w:p w14:paraId="32AF6410" w14:textId="043445CB" w:rsidR="00083524" w:rsidRPr="00A559CF" w:rsidRDefault="00083524" w:rsidP="00083524">
            <w:pPr>
              <w:spacing w:before="120" w:after="120" w:line="360" w:lineRule="auto"/>
              <w:rPr>
                <w:sz w:val="28"/>
                <w:szCs w:val="28"/>
              </w:rPr>
            </w:pPr>
            <w:r w:rsidRPr="00A559CF">
              <w:rPr>
                <w:sz w:val="28"/>
                <w:szCs w:val="28"/>
              </w:rPr>
              <w:t>Module Code:</w:t>
            </w:r>
          </w:p>
        </w:tc>
        <w:tc>
          <w:tcPr>
            <w:tcW w:w="6385" w:type="dxa"/>
          </w:tcPr>
          <w:p w14:paraId="0D9E8CD6" w14:textId="0D0A3AD2" w:rsidR="00083524" w:rsidRPr="00A559CF" w:rsidRDefault="00D816B5" w:rsidP="00083524">
            <w:pPr>
              <w:rPr>
                <w:sz w:val="28"/>
                <w:szCs w:val="28"/>
              </w:rPr>
            </w:pPr>
            <w:r w:rsidRPr="00A559CF">
              <w:rPr>
                <w:sz w:val="28"/>
                <w:szCs w:val="28"/>
              </w:rPr>
              <w:t>BMLW4004</w:t>
            </w:r>
          </w:p>
        </w:tc>
      </w:tr>
      <w:tr w:rsidR="00083524" w:rsidRPr="00A559CF" w14:paraId="21667C76" w14:textId="77777777" w:rsidTr="00A559CF">
        <w:trPr>
          <w:trHeight w:val="413"/>
        </w:trPr>
        <w:tc>
          <w:tcPr>
            <w:tcW w:w="4106" w:type="dxa"/>
            <w:shd w:val="clear" w:color="auto" w:fill="D9D9D9"/>
          </w:tcPr>
          <w:p w14:paraId="53EA21F2" w14:textId="6BAB2C72" w:rsidR="00083524" w:rsidRPr="00A559CF" w:rsidRDefault="00083524" w:rsidP="00083524">
            <w:pPr>
              <w:spacing w:before="120" w:after="120" w:line="360" w:lineRule="auto"/>
              <w:rPr>
                <w:sz w:val="28"/>
                <w:szCs w:val="28"/>
              </w:rPr>
            </w:pPr>
            <w:r w:rsidRPr="00A559CF">
              <w:rPr>
                <w:sz w:val="28"/>
                <w:szCs w:val="28"/>
              </w:rPr>
              <w:t>Lecturer:</w:t>
            </w:r>
          </w:p>
        </w:tc>
        <w:tc>
          <w:tcPr>
            <w:tcW w:w="6385" w:type="dxa"/>
          </w:tcPr>
          <w:p w14:paraId="58251369" w14:textId="738E037E" w:rsidR="00083524" w:rsidRPr="00A559CF" w:rsidRDefault="00E24DB4" w:rsidP="00083524">
            <w:pPr>
              <w:rPr>
                <w:sz w:val="28"/>
                <w:szCs w:val="28"/>
              </w:rPr>
            </w:pPr>
            <w:r w:rsidRPr="00A559CF">
              <w:rPr>
                <w:sz w:val="28"/>
                <w:szCs w:val="28"/>
              </w:rPr>
              <w:t>Laura knight</w:t>
            </w:r>
          </w:p>
        </w:tc>
      </w:tr>
      <w:tr w:rsidR="00083524" w:rsidRPr="00A559CF" w14:paraId="4B705B41" w14:textId="77777777" w:rsidTr="00A559CF">
        <w:trPr>
          <w:trHeight w:val="413"/>
        </w:trPr>
        <w:tc>
          <w:tcPr>
            <w:tcW w:w="4106" w:type="dxa"/>
            <w:shd w:val="clear" w:color="auto" w:fill="D9D9D9"/>
          </w:tcPr>
          <w:p w14:paraId="73C1821F" w14:textId="69D8712C" w:rsidR="00083524" w:rsidRPr="00A559CF" w:rsidRDefault="00083524" w:rsidP="00083524">
            <w:pPr>
              <w:spacing w:before="120" w:after="120" w:line="360" w:lineRule="auto"/>
              <w:rPr>
                <w:sz w:val="28"/>
                <w:szCs w:val="28"/>
              </w:rPr>
            </w:pPr>
            <w:r w:rsidRPr="00A559CF">
              <w:rPr>
                <w:sz w:val="28"/>
                <w:szCs w:val="28"/>
              </w:rPr>
              <w:t>Assignment Title:</w:t>
            </w:r>
          </w:p>
        </w:tc>
        <w:tc>
          <w:tcPr>
            <w:tcW w:w="6385" w:type="dxa"/>
          </w:tcPr>
          <w:p w14:paraId="61A9D57F" w14:textId="7745BDBB" w:rsidR="00083524" w:rsidRPr="00A559CF" w:rsidRDefault="00CA7DC6" w:rsidP="00083524">
            <w:pPr>
              <w:rPr>
                <w:sz w:val="28"/>
                <w:szCs w:val="28"/>
              </w:rPr>
            </w:pPr>
            <w:r w:rsidRPr="00A559CF">
              <w:rPr>
                <w:sz w:val="28"/>
                <w:szCs w:val="28"/>
              </w:rPr>
              <w:t>ASSIGNMENT 2</w:t>
            </w:r>
          </w:p>
        </w:tc>
      </w:tr>
      <w:tr w:rsidR="00083524" w:rsidRPr="00A559CF" w14:paraId="1C555C2F" w14:textId="77777777" w:rsidTr="00A559CF">
        <w:trPr>
          <w:trHeight w:val="413"/>
        </w:trPr>
        <w:tc>
          <w:tcPr>
            <w:tcW w:w="4106" w:type="dxa"/>
            <w:shd w:val="clear" w:color="auto" w:fill="D9D9D9"/>
          </w:tcPr>
          <w:p w14:paraId="30699898" w14:textId="3D06ED32" w:rsidR="00083524" w:rsidRPr="00A559CF" w:rsidRDefault="001313E1" w:rsidP="00083524">
            <w:pPr>
              <w:spacing w:before="120" w:after="120" w:line="360" w:lineRule="auto"/>
              <w:rPr>
                <w:sz w:val="28"/>
                <w:szCs w:val="28"/>
              </w:rPr>
            </w:pPr>
            <w:r w:rsidRPr="00A559CF">
              <w:rPr>
                <w:sz w:val="28"/>
                <w:szCs w:val="28"/>
              </w:rPr>
              <w:t xml:space="preserve">Word count </w:t>
            </w:r>
            <w:r w:rsidR="00CA7DC6" w:rsidRPr="00A559CF">
              <w:rPr>
                <w:sz w:val="28"/>
                <w:szCs w:val="28"/>
              </w:rPr>
              <w:t>(or equivalent words)</w:t>
            </w:r>
          </w:p>
        </w:tc>
        <w:tc>
          <w:tcPr>
            <w:tcW w:w="6385" w:type="dxa"/>
          </w:tcPr>
          <w:p w14:paraId="5E0FB9BC" w14:textId="4E86DC45" w:rsidR="00083524" w:rsidRPr="00A559CF" w:rsidRDefault="00CA7DC6" w:rsidP="00083524">
            <w:pPr>
              <w:rPr>
                <w:sz w:val="28"/>
                <w:szCs w:val="28"/>
              </w:rPr>
            </w:pPr>
            <w:r w:rsidRPr="00A559CF">
              <w:rPr>
                <w:sz w:val="28"/>
                <w:szCs w:val="28"/>
              </w:rPr>
              <w:t>2000</w:t>
            </w:r>
          </w:p>
        </w:tc>
      </w:tr>
    </w:tbl>
    <w:p w14:paraId="7C491D77" w14:textId="52ABB214" w:rsidR="00B61B7B" w:rsidRDefault="0023529D">
      <w:pPr>
        <w:spacing w:after="165" w:line="360" w:lineRule="auto"/>
        <w:rPr>
          <w:sz w:val="24"/>
          <w:szCs w:val="24"/>
        </w:rPr>
      </w:pPr>
      <w:r>
        <w:rPr>
          <w:sz w:val="24"/>
          <w:szCs w:val="24"/>
        </w:rPr>
        <w:t>Assignment</w:t>
      </w:r>
      <w:r w:rsidR="00A559CF">
        <w:rPr>
          <w:sz w:val="24"/>
          <w:szCs w:val="24"/>
        </w:rPr>
        <w:t xml:space="preserve"> 2</w:t>
      </w:r>
      <w:r w:rsidR="00083524">
        <w:rPr>
          <w:sz w:val="24"/>
          <w:szCs w:val="24"/>
        </w:rPr>
        <w:t xml:space="preserve"> </w:t>
      </w:r>
      <w:r w:rsidR="00E24DB4">
        <w:rPr>
          <w:sz w:val="24"/>
          <w:szCs w:val="24"/>
        </w:rPr>
        <w:t xml:space="preserve"> [Re-submission]</w:t>
      </w:r>
      <w:r w:rsidR="009529E2">
        <w:rPr>
          <w:sz w:val="24"/>
          <w:szCs w:val="24"/>
        </w:rPr>
        <w:br/>
      </w:r>
    </w:p>
    <w:p w14:paraId="0677ECCB" w14:textId="77777777" w:rsidR="00B61B7B" w:rsidRDefault="009529E2">
      <w:pPr>
        <w:spacing w:before="120" w:after="120" w:line="360" w:lineRule="auto"/>
        <w:rPr>
          <w:sz w:val="24"/>
          <w:szCs w:val="24"/>
        </w:rPr>
      </w:pPr>
      <w:r>
        <w:rPr>
          <w:sz w:val="24"/>
          <w:szCs w:val="24"/>
        </w:rPr>
        <w:t>Statement of Confirmation of Authenticity</w:t>
      </w:r>
    </w:p>
    <w:p w14:paraId="10061F2B" w14:textId="60DD49FB" w:rsidR="00B61B7B" w:rsidRDefault="009529E2">
      <w:pPr>
        <w:spacing w:before="120" w:after="120" w:line="360" w:lineRule="auto"/>
        <w:rPr>
          <w:sz w:val="24"/>
          <w:szCs w:val="24"/>
        </w:rPr>
      </w:pPr>
      <w:r>
        <w:rPr>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R="00083524">
        <w:rPr>
          <w:sz w:val="24"/>
          <w:szCs w:val="24"/>
        </w:rPr>
        <w:t xml:space="preserve"> </w:t>
      </w:r>
      <w:r>
        <w:rPr>
          <w:sz w:val="24"/>
          <w:szCs w:val="24"/>
        </w:rPr>
        <w:t>Attention is drawn to the plagiarism and unfair practice policies of both the University and of ILM.</w:t>
      </w:r>
    </w:p>
    <w:bookmarkStart w:id="0" w:name="_Toc509481826" w:displacedByCustomXml="next"/>
    <w:bookmarkStart w:id="1" w:name="_Toc512285724" w:displacedByCustomXml="next"/>
    <w:sdt>
      <w:sdtPr>
        <w:rPr>
          <w:rFonts w:eastAsiaTheme="minorHAnsi"/>
          <w:lang w:val="en-GB"/>
        </w:rPr>
        <w:id w:val="401494223"/>
        <w:docPartObj>
          <w:docPartGallery w:val="Cover Pages"/>
          <w:docPartUnique/>
        </w:docPartObj>
      </w:sdtPr>
      <w:sdtEndPr>
        <w:rPr>
          <w:rFonts w:ascii="Times New Roman" w:eastAsiaTheme="minorEastAsia" w:hAnsi="Times New Roman" w:cs="Times New Roman"/>
          <w:sz w:val="28"/>
          <w:szCs w:val="28"/>
          <w:lang w:val="en-US"/>
        </w:rPr>
      </w:sdtEndPr>
      <w:sdtContent>
        <w:p w14:paraId="10BFAF27" w14:textId="50CEEDC4" w:rsidR="001B0692" w:rsidRPr="001B0692" w:rsidRDefault="00083524" w:rsidP="0008333E">
          <w:pPr>
            <w:pStyle w:val="NoSpacing"/>
          </w:pPr>
          <w:r>
            <w:rPr>
              <w:noProof/>
            </w:rPr>
            <mc:AlternateContent>
              <mc:Choice Requires="wps">
                <w:drawing>
                  <wp:anchor distT="0" distB="0" distL="114300" distR="114300" simplePos="0" relativeHeight="251661312" behindDoc="0" locked="0" layoutInCell="1" allowOverlap="1" wp14:anchorId="6A71E5B9" wp14:editId="49AD54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B8ADA8" w14:textId="6AADA655" w:rsidR="00083524" w:rsidRDefault="00083524" w:rsidP="00083524">
                                <w:pPr>
                                  <w:pStyle w:val="NoSpacing"/>
                                  <w:rPr>
                                    <w:color w:val="4F81BD" w:themeColor="accent1"/>
                                    <w:sz w:val="26"/>
                                    <w:szCs w:val="26"/>
                                  </w:rPr>
                                </w:pPr>
                              </w:p>
                              <w:p w14:paraId="42EAE5CA" w14:textId="77777777" w:rsidR="00083524" w:rsidRDefault="00603727" w:rsidP="00083524">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083524">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71E5B9" id="_x0000_t202" coordsize="21600,21600" o:spt="202" path="m,l,21600r21600,l21600,xe">
                    <v:stroke joinstyle="miter"/>
                    <v:path gradientshapeok="t" o:connecttype="rect"/>
                  </v:shapetype>
                  <v:shape id="Text Box 32" o:spid="_x0000_s102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valcQIAAFQ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" filled="f" stroked="f" strokeweight=".5pt">
                    <v:textbox style="mso-fit-shape-to-text:t" inset="0,0,0,0">
                      <w:txbxContent>
                        <w:p w14:paraId="37B8ADA8" w14:textId="6AADA655" w:rsidR="00083524" w:rsidRDefault="00083524" w:rsidP="00083524">
                          <w:pPr>
                            <w:pStyle w:val="NoSpacing"/>
                            <w:rPr>
                              <w:color w:val="4F81BD" w:themeColor="accent1"/>
                              <w:sz w:val="26"/>
                              <w:szCs w:val="26"/>
                            </w:rPr>
                          </w:pPr>
                        </w:p>
                        <w:p w14:paraId="42EAE5CA" w14:textId="77777777" w:rsidR="00083524" w:rsidRDefault="00603727" w:rsidP="00083524">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083524">
                                <w:rPr>
                                  <w:caps/>
                                  <w:color w:val="595959" w:themeColor="text1" w:themeTint="A6"/>
                                  <w:sz w:val="20"/>
                                  <w:szCs w:val="20"/>
                                </w:rPr>
                                <w:t xml:space="preserve">     </w:t>
                              </w:r>
                            </w:sdtContent>
                          </w:sdt>
                        </w:p>
                      </w:txbxContent>
                    </v:textbox>
                    <w10:wrap anchorx="page" anchory="page"/>
                  </v:shape>
                </w:pict>
              </mc:Fallback>
            </mc:AlternateContent>
          </w:r>
        </w:p>
        <w:p w14:paraId="6F429A13" w14:textId="77777777" w:rsidR="001B0692" w:rsidRPr="001B0692" w:rsidRDefault="001B0692" w:rsidP="001B0692">
          <w:pPr>
            <w:rPr>
              <w:lang w:val="en-US" w:eastAsia="en-US"/>
            </w:rPr>
          </w:pPr>
        </w:p>
        <w:sdt>
          <w:sdtPr>
            <w:rPr>
              <w:rFonts w:ascii="Calibri" w:hAnsi="Calibri"/>
              <w:b w:val="0"/>
              <w:bCs w:val="0"/>
              <w:color w:val="auto"/>
              <w:sz w:val="22"/>
              <w:szCs w:val="22"/>
              <w:lang w:eastAsia="zh-CN"/>
            </w:rPr>
            <w:id w:val="-1119908027"/>
            <w:docPartObj>
              <w:docPartGallery w:val="Table of Contents"/>
              <w:docPartUnique/>
            </w:docPartObj>
          </w:sdtPr>
          <w:sdtEndPr>
            <w:rPr>
              <w:rFonts w:eastAsia="Calibri" w:cs="Calibri"/>
              <w:noProof/>
              <w:lang w:val="en-GB" w:eastAsia="en-GB"/>
            </w:rPr>
          </w:sdtEndPr>
          <w:sdtContent>
            <w:p w14:paraId="575407F3" w14:textId="77777777" w:rsidR="0008333E" w:rsidRPr="00A559CF" w:rsidRDefault="0008333E" w:rsidP="0008333E">
              <w:pPr>
                <w:pStyle w:val="TOCHeading"/>
              </w:pPr>
              <w:r w:rsidRPr="00A559CF">
                <w:t>Table of Contents</w:t>
              </w:r>
            </w:p>
            <w:p w14:paraId="4DC1D08A" w14:textId="77777777" w:rsidR="0008333E" w:rsidRPr="00A559CF" w:rsidRDefault="0008333E" w:rsidP="0008333E">
              <w:pPr>
                <w:pStyle w:val="TOC1"/>
                <w:tabs>
                  <w:tab w:val="right" w:leader="dot" w:pos="9350"/>
                </w:tabs>
                <w:rPr>
                  <w:rFonts w:eastAsiaTheme="minorEastAsia" w:cstheme="minorBidi"/>
                  <w:b w:val="0"/>
                  <w:bCs w:val="0"/>
                  <w:i w:val="0"/>
                  <w:iCs w:val="0"/>
                  <w:noProof/>
                  <w:lang w:val="en-GB" w:eastAsia="en-GB"/>
                </w:rPr>
              </w:pPr>
              <w:r w:rsidRPr="00A559CF">
                <w:rPr>
                  <w:b w:val="0"/>
                  <w:bCs w:val="0"/>
                </w:rPr>
                <w:fldChar w:fldCharType="begin"/>
              </w:r>
              <w:r w:rsidRPr="00A559CF">
                <w:instrText xml:space="preserve"> TOC \o "1-3" \h \z \u </w:instrText>
              </w:r>
              <w:r w:rsidRPr="00A559CF">
                <w:rPr>
                  <w:b w:val="0"/>
                  <w:bCs w:val="0"/>
                </w:rPr>
                <w:fldChar w:fldCharType="separate"/>
              </w:r>
              <w:hyperlink w:anchor="_Toc69692876" w:history="1">
                <w:r w:rsidRPr="00A559CF">
                  <w:rPr>
                    <w:rStyle w:val="Hyperlink"/>
                    <w:rFonts w:ascii="Arial" w:hAnsi="Arial" w:cs="Arial"/>
                    <w:noProof/>
                    <w:lang w:val="en-GB"/>
                  </w:rPr>
                  <w:t>TASK: 1</w:t>
                </w:r>
                <w:r w:rsidRPr="00A559CF">
                  <w:rPr>
                    <w:noProof/>
                    <w:webHidden/>
                  </w:rPr>
                  <w:tab/>
                </w:r>
                <w:r w:rsidRPr="00A559CF">
                  <w:rPr>
                    <w:noProof/>
                    <w:webHidden/>
                  </w:rPr>
                  <w:fldChar w:fldCharType="begin"/>
                </w:r>
                <w:r w:rsidRPr="00A559CF">
                  <w:rPr>
                    <w:noProof/>
                    <w:webHidden/>
                  </w:rPr>
                  <w:instrText xml:space="preserve"> PAGEREF _Toc69692876 \h </w:instrText>
                </w:r>
                <w:r w:rsidRPr="00A559CF">
                  <w:rPr>
                    <w:noProof/>
                    <w:webHidden/>
                  </w:rPr>
                </w:r>
                <w:r w:rsidRPr="00A559CF">
                  <w:rPr>
                    <w:noProof/>
                    <w:webHidden/>
                  </w:rPr>
                  <w:fldChar w:fldCharType="separate"/>
                </w:r>
                <w:r w:rsidRPr="00A559CF">
                  <w:rPr>
                    <w:noProof/>
                    <w:webHidden/>
                  </w:rPr>
                  <w:t>3</w:t>
                </w:r>
                <w:r w:rsidRPr="00A559CF">
                  <w:rPr>
                    <w:noProof/>
                    <w:webHidden/>
                  </w:rPr>
                  <w:fldChar w:fldCharType="end"/>
                </w:r>
              </w:hyperlink>
            </w:p>
            <w:p w14:paraId="1F6A211E" w14:textId="77777777" w:rsidR="0008333E" w:rsidRPr="00A559CF" w:rsidRDefault="0008333E" w:rsidP="0008333E">
              <w:pPr>
                <w:pStyle w:val="TOC1"/>
                <w:tabs>
                  <w:tab w:val="right" w:leader="dot" w:pos="9350"/>
                </w:tabs>
                <w:rPr>
                  <w:rFonts w:eastAsiaTheme="minorEastAsia" w:cstheme="minorBidi"/>
                  <w:b w:val="0"/>
                  <w:bCs w:val="0"/>
                  <w:i w:val="0"/>
                  <w:iCs w:val="0"/>
                  <w:noProof/>
                  <w:lang w:val="en-GB" w:eastAsia="en-GB"/>
                </w:rPr>
              </w:pPr>
              <w:hyperlink w:anchor="_Toc69692877" w:history="1">
                <w:r w:rsidRPr="00A559CF">
                  <w:rPr>
                    <w:rStyle w:val="Hyperlink"/>
                    <w:rFonts w:ascii="Arial" w:hAnsi="Arial" w:cs="Arial"/>
                    <w:noProof/>
                    <w:lang w:val="en-GB"/>
                  </w:rPr>
                  <w:t>INTRODUCTION</w:t>
                </w:r>
                <w:r w:rsidRPr="00A559CF">
                  <w:rPr>
                    <w:noProof/>
                    <w:webHidden/>
                  </w:rPr>
                  <w:tab/>
                </w:r>
                <w:r w:rsidRPr="00A559CF">
                  <w:rPr>
                    <w:noProof/>
                    <w:webHidden/>
                  </w:rPr>
                  <w:fldChar w:fldCharType="begin"/>
                </w:r>
                <w:r w:rsidRPr="00A559CF">
                  <w:rPr>
                    <w:noProof/>
                    <w:webHidden/>
                  </w:rPr>
                  <w:instrText xml:space="preserve"> PAGEREF _Toc69692877 \h </w:instrText>
                </w:r>
                <w:r w:rsidRPr="00A559CF">
                  <w:rPr>
                    <w:noProof/>
                    <w:webHidden/>
                  </w:rPr>
                </w:r>
                <w:r w:rsidRPr="00A559CF">
                  <w:rPr>
                    <w:noProof/>
                    <w:webHidden/>
                  </w:rPr>
                  <w:fldChar w:fldCharType="separate"/>
                </w:r>
                <w:r w:rsidRPr="00A559CF">
                  <w:rPr>
                    <w:noProof/>
                    <w:webHidden/>
                  </w:rPr>
                  <w:t>3</w:t>
                </w:r>
                <w:r w:rsidRPr="00A559CF">
                  <w:rPr>
                    <w:noProof/>
                    <w:webHidden/>
                  </w:rPr>
                  <w:fldChar w:fldCharType="end"/>
                </w:r>
              </w:hyperlink>
            </w:p>
            <w:p w14:paraId="45852D5A" w14:textId="77777777" w:rsidR="0008333E" w:rsidRPr="00A559CF" w:rsidRDefault="0008333E" w:rsidP="0008333E">
              <w:pPr>
                <w:pStyle w:val="TOC1"/>
                <w:tabs>
                  <w:tab w:val="right" w:leader="dot" w:pos="9350"/>
                </w:tabs>
                <w:rPr>
                  <w:rFonts w:eastAsiaTheme="minorEastAsia" w:cstheme="minorBidi"/>
                  <w:b w:val="0"/>
                  <w:bCs w:val="0"/>
                  <w:i w:val="0"/>
                  <w:iCs w:val="0"/>
                  <w:noProof/>
                  <w:lang w:val="en-GB" w:eastAsia="en-GB"/>
                </w:rPr>
              </w:pPr>
              <w:hyperlink w:anchor="_Toc69692878" w:history="1">
                <w:r w:rsidRPr="00A559CF">
                  <w:rPr>
                    <w:rStyle w:val="Hyperlink"/>
                    <w:rFonts w:ascii="Arial" w:hAnsi="Arial" w:cs="Arial"/>
                    <w:noProof/>
                    <w:lang w:val="en-GB"/>
                  </w:rPr>
                  <w:t>WHAT DOES THE ACT DO?</w:t>
                </w:r>
                <w:r w:rsidRPr="00A559CF">
                  <w:rPr>
                    <w:noProof/>
                    <w:webHidden/>
                  </w:rPr>
                  <w:tab/>
                </w:r>
                <w:r w:rsidRPr="00A559CF">
                  <w:rPr>
                    <w:noProof/>
                    <w:webHidden/>
                  </w:rPr>
                  <w:fldChar w:fldCharType="begin"/>
                </w:r>
                <w:r w:rsidRPr="00A559CF">
                  <w:rPr>
                    <w:noProof/>
                    <w:webHidden/>
                  </w:rPr>
                  <w:instrText xml:space="preserve"> PAGEREF _Toc69692878 \h </w:instrText>
                </w:r>
                <w:r w:rsidRPr="00A559CF">
                  <w:rPr>
                    <w:noProof/>
                    <w:webHidden/>
                  </w:rPr>
                </w:r>
                <w:r w:rsidRPr="00A559CF">
                  <w:rPr>
                    <w:noProof/>
                    <w:webHidden/>
                  </w:rPr>
                  <w:fldChar w:fldCharType="separate"/>
                </w:r>
                <w:r w:rsidRPr="00A559CF">
                  <w:rPr>
                    <w:noProof/>
                    <w:webHidden/>
                  </w:rPr>
                  <w:t>3</w:t>
                </w:r>
                <w:r w:rsidRPr="00A559CF">
                  <w:rPr>
                    <w:noProof/>
                    <w:webHidden/>
                  </w:rPr>
                  <w:fldChar w:fldCharType="end"/>
                </w:r>
              </w:hyperlink>
            </w:p>
            <w:p w14:paraId="2129AB0A" w14:textId="77777777" w:rsidR="0008333E" w:rsidRPr="00A559CF" w:rsidRDefault="0008333E" w:rsidP="0008333E">
              <w:pPr>
                <w:pStyle w:val="TOC2"/>
                <w:tabs>
                  <w:tab w:val="right" w:leader="dot" w:pos="9350"/>
                </w:tabs>
                <w:rPr>
                  <w:rFonts w:eastAsiaTheme="minorEastAsia" w:cstheme="minorBidi"/>
                  <w:b w:val="0"/>
                  <w:bCs w:val="0"/>
                  <w:noProof/>
                  <w:sz w:val="24"/>
                  <w:szCs w:val="24"/>
                  <w:lang w:val="en-GB" w:eastAsia="en-GB"/>
                </w:rPr>
              </w:pPr>
              <w:hyperlink w:anchor="_Toc69692879" w:history="1">
                <w:r w:rsidRPr="00A559CF">
                  <w:rPr>
                    <w:rStyle w:val="Hyperlink"/>
                    <w:rFonts w:ascii="Arial" w:hAnsi="Arial" w:cs="Arial"/>
                    <w:noProof/>
                    <w:sz w:val="24"/>
                    <w:szCs w:val="24"/>
                    <w:lang w:val="en-GB"/>
                  </w:rPr>
                  <w:t>SECTION 1 - SEVERE DAMAGE</w:t>
                </w:r>
                <w:r w:rsidRPr="00A559CF">
                  <w:rPr>
                    <w:noProof/>
                    <w:webHidden/>
                    <w:sz w:val="24"/>
                    <w:szCs w:val="24"/>
                  </w:rPr>
                  <w:tab/>
                </w:r>
                <w:r w:rsidRPr="00A559CF">
                  <w:rPr>
                    <w:noProof/>
                    <w:webHidden/>
                    <w:sz w:val="24"/>
                    <w:szCs w:val="24"/>
                  </w:rPr>
                  <w:fldChar w:fldCharType="begin"/>
                </w:r>
                <w:r w:rsidRPr="00A559CF">
                  <w:rPr>
                    <w:noProof/>
                    <w:webHidden/>
                    <w:sz w:val="24"/>
                    <w:szCs w:val="24"/>
                  </w:rPr>
                  <w:instrText xml:space="preserve"> PAGEREF _Toc69692879 \h </w:instrText>
                </w:r>
                <w:r w:rsidRPr="00A559CF">
                  <w:rPr>
                    <w:noProof/>
                    <w:webHidden/>
                    <w:sz w:val="24"/>
                    <w:szCs w:val="24"/>
                  </w:rPr>
                </w:r>
                <w:r w:rsidRPr="00A559CF">
                  <w:rPr>
                    <w:noProof/>
                    <w:webHidden/>
                    <w:sz w:val="24"/>
                    <w:szCs w:val="24"/>
                  </w:rPr>
                  <w:fldChar w:fldCharType="separate"/>
                </w:r>
                <w:r w:rsidRPr="00A559CF">
                  <w:rPr>
                    <w:noProof/>
                    <w:webHidden/>
                    <w:sz w:val="24"/>
                    <w:szCs w:val="24"/>
                  </w:rPr>
                  <w:t>3</w:t>
                </w:r>
                <w:r w:rsidRPr="00A559CF">
                  <w:rPr>
                    <w:noProof/>
                    <w:webHidden/>
                    <w:sz w:val="24"/>
                    <w:szCs w:val="24"/>
                  </w:rPr>
                  <w:fldChar w:fldCharType="end"/>
                </w:r>
              </w:hyperlink>
            </w:p>
            <w:p w14:paraId="56937433" w14:textId="77777777" w:rsidR="0008333E" w:rsidRPr="00A559CF" w:rsidRDefault="0008333E" w:rsidP="0008333E">
              <w:pPr>
                <w:pStyle w:val="TOC2"/>
                <w:tabs>
                  <w:tab w:val="right" w:leader="dot" w:pos="9350"/>
                </w:tabs>
                <w:rPr>
                  <w:rFonts w:eastAsiaTheme="minorEastAsia" w:cstheme="minorBidi"/>
                  <w:b w:val="0"/>
                  <w:bCs w:val="0"/>
                  <w:noProof/>
                  <w:sz w:val="24"/>
                  <w:szCs w:val="24"/>
                  <w:lang w:val="en-GB" w:eastAsia="en-GB"/>
                </w:rPr>
              </w:pPr>
              <w:hyperlink w:anchor="_Toc69692880" w:history="1">
                <w:r w:rsidRPr="00A559CF">
                  <w:rPr>
                    <w:rStyle w:val="Hyperlink"/>
                    <w:rFonts w:ascii="Arial" w:hAnsi="Arial" w:cs="Arial"/>
                    <w:noProof/>
                    <w:sz w:val="24"/>
                    <w:szCs w:val="24"/>
                    <w:lang w:val="en-GB"/>
                  </w:rPr>
                  <w:t>SECTION 2 - REALITY PROTECTION</w:t>
                </w:r>
                <w:r w:rsidRPr="00A559CF">
                  <w:rPr>
                    <w:noProof/>
                    <w:webHidden/>
                    <w:sz w:val="24"/>
                    <w:szCs w:val="24"/>
                  </w:rPr>
                  <w:tab/>
                </w:r>
                <w:r w:rsidRPr="00A559CF">
                  <w:rPr>
                    <w:noProof/>
                    <w:webHidden/>
                    <w:sz w:val="24"/>
                    <w:szCs w:val="24"/>
                  </w:rPr>
                  <w:fldChar w:fldCharType="begin"/>
                </w:r>
                <w:r w:rsidRPr="00A559CF">
                  <w:rPr>
                    <w:noProof/>
                    <w:webHidden/>
                    <w:sz w:val="24"/>
                    <w:szCs w:val="24"/>
                  </w:rPr>
                  <w:instrText xml:space="preserve"> PAGEREF _Toc69692880 \h </w:instrText>
                </w:r>
                <w:r w:rsidRPr="00A559CF">
                  <w:rPr>
                    <w:noProof/>
                    <w:webHidden/>
                    <w:sz w:val="24"/>
                    <w:szCs w:val="24"/>
                  </w:rPr>
                </w:r>
                <w:r w:rsidRPr="00A559CF">
                  <w:rPr>
                    <w:noProof/>
                    <w:webHidden/>
                    <w:sz w:val="24"/>
                    <w:szCs w:val="24"/>
                  </w:rPr>
                  <w:fldChar w:fldCharType="separate"/>
                </w:r>
                <w:r w:rsidRPr="00A559CF">
                  <w:rPr>
                    <w:noProof/>
                    <w:webHidden/>
                    <w:sz w:val="24"/>
                    <w:szCs w:val="24"/>
                  </w:rPr>
                  <w:t>3</w:t>
                </w:r>
                <w:r w:rsidRPr="00A559CF">
                  <w:rPr>
                    <w:noProof/>
                    <w:webHidden/>
                    <w:sz w:val="24"/>
                    <w:szCs w:val="24"/>
                  </w:rPr>
                  <w:fldChar w:fldCharType="end"/>
                </w:r>
              </w:hyperlink>
            </w:p>
            <w:p w14:paraId="71DDB2FF" w14:textId="77777777" w:rsidR="0008333E" w:rsidRPr="00A559CF" w:rsidRDefault="0008333E" w:rsidP="0008333E">
              <w:pPr>
                <w:pStyle w:val="TOC2"/>
                <w:tabs>
                  <w:tab w:val="right" w:leader="dot" w:pos="9350"/>
                </w:tabs>
                <w:rPr>
                  <w:rFonts w:eastAsiaTheme="minorEastAsia" w:cstheme="minorBidi"/>
                  <w:b w:val="0"/>
                  <w:bCs w:val="0"/>
                  <w:noProof/>
                  <w:sz w:val="24"/>
                  <w:szCs w:val="24"/>
                  <w:lang w:val="en-GB" w:eastAsia="en-GB"/>
                </w:rPr>
              </w:pPr>
              <w:hyperlink w:anchor="_Toc69692881" w:history="1">
                <w:r w:rsidRPr="00A559CF">
                  <w:rPr>
                    <w:rStyle w:val="Hyperlink"/>
                    <w:rFonts w:ascii="Arial" w:hAnsi="Arial" w:cs="Arial"/>
                    <w:noProof/>
                    <w:sz w:val="24"/>
                    <w:szCs w:val="24"/>
                    <w:lang w:val="en-GB"/>
                  </w:rPr>
                  <w:t>SECTION 3 - THE PROTECTION OF VALID OPINION</w:t>
                </w:r>
                <w:r w:rsidRPr="00A559CF">
                  <w:rPr>
                    <w:noProof/>
                    <w:webHidden/>
                    <w:sz w:val="24"/>
                    <w:szCs w:val="24"/>
                  </w:rPr>
                  <w:tab/>
                </w:r>
                <w:r w:rsidRPr="00A559CF">
                  <w:rPr>
                    <w:noProof/>
                    <w:webHidden/>
                    <w:sz w:val="24"/>
                    <w:szCs w:val="24"/>
                  </w:rPr>
                  <w:fldChar w:fldCharType="begin"/>
                </w:r>
                <w:r w:rsidRPr="00A559CF">
                  <w:rPr>
                    <w:noProof/>
                    <w:webHidden/>
                    <w:sz w:val="24"/>
                    <w:szCs w:val="24"/>
                  </w:rPr>
                  <w:instrText xml:space="preserve"> PAGEREF _Toc69692881 \h </w:instrText>
                </w:r>
                <w:r w:rsidRPr="00A559CF">
                  <w:rPr>
                    <w:noProof/>
                    <w:webHidden/>
                    <w:sz w:val="24"/>
                    <w:szCs w:val="24"/>
                  </w:rPr>
                </w:r>
                <w:r w:rsidRPr="00A559CF">
                  <w:rPr>
                    <w:noProof/>
                    <w:webHidden/>
                    <w:sz w:val="24"/>
                    <w:szCs w:val="24"/>
                  </w:rPr>
                  <w:fldChar w:fldCharType="separate"/>
                </w:r>
                <w:r w:rsidRPr="00A559CF">
                  <w:rPr>
                    <w:noProof/>
                    <w:webHidden/>
                    <w:sz w:val="24"/>
                    <w:szCs w:val="24"/>
                  </w:rPr>
                  <w:t>4</w:t>
                </w:r>
                <w:r w:rsidRPr="00A559CF">
                  <w:rPr>
                    <w:noProof/>
                    <w:webHidden/>
                    <w:sz w:val="24"/>
                    <w:szCs w:val="24"/>
                  </w:rPr>
                  <w:fldChar w:fldCharType="end"/>
                </w:r>
              </w:hyperlink>
            </w:p>
            <w:p w14:paraId="6128E51C" w14:textId="77777777" w:rsidR="0008333E" w:rsidRPr="00A559CF" w:rsidRDefault="0008333E" w:rsidP="0008333E">
              <w:pPr>
                <w:pStyle w:val="TOC2"/>
                <w:tabs>
                  <w:tab w:val="right" w:leader="dot" w:pos="9350"/>
                </w:tabs>
                <w:rPr>
                  <w:rFonts w:eastAsiaTheme="minorEastAsia" w:cstheme="minorBidi"/>
                  <w:b w:val="0"/>
                  <w:bCs w:val="0"/>
                  <w:noProof/>
                  <w:sz w:val="24"/>
                  <w:szCs w:val="24"/>
                  <w:lang w:val="en-GB" w:eastAsia="en-GB"/>
                </w:rPr>
              </w:pPr>
              <w:hyperlink w:anchor="_Toc69692882" w:history="1">
                <w:r w:rsidRPr="00A559CF">
                  <w:rPr>
                    <w:rStyle w:val="Hyperlink"/>
                    <w:rFonts w:ascii="Arial" w:hAnsi="Arial" w:cs="Arial"/>
                    <w:noProof/>
                    <w:sz w:val="24"/>
                    <w:szCs w:val="24"/>
                    <w:lang w:val="en-GB"/>
                  </w:rPr>
                  <w:t>SECTION 4 — PROTECTION OF PUBLISHING OF INTERESTS OF THE COMMUNITY</w:t>
                </w:r>
                <w:r w:rsidRPr="00A559CF">
                  <w:rPr>
                    <w:noProof/>
                    <w:webHidden/>
                    <w:sz w:val="24"/>
                    <w:szCs w:val="24"/>
                  </w:rPr>
                  <w:tab/>
                </w:r>
                <w:r w:rsidRPr="00A559CF">
                  <w:rPr>
                    <w:noProof/>
                    <w:webHidden/>
                    <w:sz w:val="24"/>
                    <w:szCs w:val="24"/>
                  </w:rPr>
                  <w:fldChar w:fldCharType="begin"/>
                </w:r>
                <w:r w:rsidRPr="00A559CF">
                  <w:rPr>
                    <w:noProof/>
                    <w:webHidden/>
                    <w:sz w:val="24"/>
                    <w:szCs w:val="24"/>
                  </w:rPr>
                  <w:instrText xml:space="preserve"> PAGEREF _Toc69692882 \h </w:instrText>
                </w:r>
                <w:r w:rsidRPr="00A559CF">
                  <w:rPr>
                    <w:noProof/>
                    <w:webHidden/>
                    <w:sz w:val="24"/>
                    <w:szCs w:val="24"/>
                  </w:rPr>
                </w:r>
                <w:r w:rsidRPr="00A559CF">
                  <w:rPr>
                    <w:noProof/>
                    <w:webHidden/>
                    <w:sz w:val="24"/>
                    <w:szCs w:val="24"/>
                  </w:rPr>
                  <w:fldChar w:fldCharType="separate"/>
                </w:r>
                <w:r w:rsidRPr="00A559CF">
                  <w:rPr>
                    <w:noProof/>
                    <w:webHidden/>
                    <w:sz w:val="24"/>
                    <w:szCs w:val="24"/>
                  </w:rPr>
                  <w:t>4</w:t>
                </w:r>
                <w:r w:rsidRPr="00A559CF">
                  <w:rPr>
                    <w:noProof/>
                    <w:webHidden/>
                    <w:sz w:val="24"/>
                    <w:szCs w:val="24"/>
                  </w:rPr>
                  <w:fldChar w:fldCharType="end"/>
                </w:r>
              </w:hyperlink>
            </w:p>
            <w:p w14:paraId="78EA4267" w14:textId="77777777" w:rsidR="0008333E" w:rsidRPr="00A559CF" w:rsidRDefault="0008333E" w:rsidP="0008333E">
              <w:pPr>
                <w:pStyle w:val="TOC2"/>
                <w:tabs>
                  <w:tab w:val="right" w:leader="dot" w:pos="9350"/>
                </w:tabs>
                <w:rPr>
                  <w:rFonts w:eastAsiaTheme="minorEastAsia" w:cstheme="minorBidi"/>
                  <w:b w:val="0"/>
                  <w:bCs w:val="0"/>
                  <w:noProof/>
                  <w:sz w:val="24"/>
                  <w:szCs w:val="24"/>
                  <w:lang w:val="en-GB" w:eastAsia="en-GB"/>
                </w:rPr>
              </w:pPr>
              <w:hyperlink w:anchor="_Toc69692883" w:history="1">
                <w:r w:rsidRPr="00A559CF">
                  <w:rPr>
                    <w:rStyle w:val="Hyperlink"/>
                    <w:rFonts w:ascii="Arial" w:hAnsi="Arial" w:cs="Arial"/>
                    <w:noProof/>
                    <w:sz w:val="24"/>
                    <w:szCs w:val="24"/>
                    <w:lang w:val="en-GB"/>
                  </w:rPr>
                  <w:t>SECTION 5 - PROTECTION FOR PLATFORM MANAGERS</w:t>
                </w:r>
                <w:r w:rsidRPr="00A559CF">
                  <w:rPr>
                    <w:noProof/>
                    <w:webHidden/>
                    <w:sz w:val="24"/>
                    <w:szCs w:val="24"/>
                  </w:rPr>
                  <w:tab/>
                </w:r>
                <w:r w:rsidRPr="00A559CF">
                  <w:rPr>
                    <w:noProof/>
                    <w:webHidden/>
                    <w:sz w:val="24"/>
                    <w:szCs w:val="24"/>
                  </w:rPr>
                  <w:fldChar w:fldCharType="begin"/>
                </w:r>
                <w:r w:rsidRPr="00A559CF">
                  <w:rPr>
                    <w:noProof/>
                    <w:webHidden/>
                    <w:sz w:val="24"/>
                    <w:szCs w:val="24"/>
                  </w:rPr>
                  <w:instrText xml:space="preserve"> PAGEREF _Toc69692883 \h </w:instrText>
                </w:r>
                <w:r w:rsidRPr="00A559CF">
                  <w:rPr>
                    <w:noProof/>
                    <w:webHidden/>
                    <w:sz w:val="24"/>
                    <w:szCs w:val="24"/>
                  </w:rPr>
                </w:r>
                <w:r w:rsidRPr="00A559CF">
                  <w:rPr>
                    <w:noProof/>
                    <w:webHidden/>
                    <w:sz w:val="24"/>
                    <w:szCs w:val="24"/>
                  </w:rPr>
                  <w:fldChar w:fldCharType="separate"/>
                </w:r>
                <w:r w:rsidRPr="00A559CF">
                  <w:rPr>
                    <w:noProof/>
                    <w:webHidden/>
                    <w:sz w:val="24"/>
                    <w:szCs w:val="24"/>
                  </w:rPr>
                  <w:t>4</w:t>
                </w:r>
                <w:r w:rsidRPr="00A559CF">
                  <w:rPr>
                    <w:noProof/>
                    <w:webHidden/>
                    <w:sz w:val="24"/>
                    <w:szCs w:val="24"/>
                  </w:rPr>
                  <w:fldChar w:fldCharType="end"/>
                </w:r>
              </w:hyperlink>
            </w:p>
            <w:p w14:paraId="4E026473" w14:textId="77777777" w:rsidR="0008333E" w:rsidRPr="00A559CF" w:rsidRDefault="0008333E" w:rsidP="0008333E">
              <w:pPr>
                <w:pStyle w:val="TOC1"/>
                <w:tabs>
                  <w:tab w:val="right" w:leader="dot" w:pos="9350"/>
                </w:tabs>
                <w:rPr>
                  <w:rFonts w:eastAsiaTheme="minorEastAsia" w:cstheme="minorBidi"/>
                  <w:b w:val="0"/>
                  <w:bCs w:val="0"/>
                  <w:i w:val="0"/>
                  <w:iCs w:val="0"/>
                  <w:noProof/>
                  <w:lang w:val="en-GB" w:eastAsia="en-GB"/>
                </w:rPr>
              </w:pPr>
              <w:hyperlink w:anchor="_Toc69692884" w:history="1">
                <w:r w:rsidRPr="00A559CF">
                  <w:rPr>
                    <w:rStyle w:val="Hyperlink"/>
                    <w:rFonts w:ascii="Arial" w:hAnsi="Arial" w:cs="Arial"/>
                    <w:noProof/>
                    <w:lang w:val="en-GB"/>
                  </w:rPr>
                  <w:t>CONCLUSION</w:t>
                </w:r>
                <w:r w:rsidRPr="00A559CF">
                  <w:rPr>
                    <w:noProof/>
                    <w:webHidden/>
                  </w:rPr>
                  <w:tab/>
                </w:r>
                <w:r w:rsidRPr="00A559CF">
                  <w:rPr>
                    <w:noProof/>
                    <w:webHidden/>
                  </w:rPr>
                  <w:fldChar w:fldCharType="begin"/>
                </w:r>
                <w:r w:rsidRPr="00A559CF">
                  <w:rPr>
                    <w:noProof/>
                    <w:webHidden/>
                  </w:rPr>
                  <w:instrText xml:space="preserve"> PAGEREF _Toc69692884 \h </w:instrText>
                </w:r>
                <w:r w:rsidRPr="00A559CF">
                  <w:rPr>
                    <w:noProof/>
                    <w:webHidden/>
                  </w:rPr>
                </w:r>
                <w:r w:rsidRPr="00A559CF">
                  <w:rPr>
                    <w:noProof/>
                    <w:webHidden/>
                  </w:rPr>
                  <w:fldChar w:fldCharType="separate"/>
                </w:r>
                <w:r w:rsidRPr="00A559CF">
                  <w:rPr>
                    <w:noProof/>
                    <w:webHidden/>
                  </w:rPr>
                  <w:t>5</w:t>
                </w:r>
                <w:r w:rsidRPr="00A559CF">
                  <w:rPr>
                    <w:noProof/>
                    <w:webHidden/>
                  </w:rPr>
                  <w:fldChar w:fldCharType="end"/>
                </w:r>
              </w:hyperlink>
            </w:p>
            <w:p w14:paraId="4CD47382" w14:textId="77777777" w:rsidR="0008333E" w:rsidRPr="00A559CF" w:rsidRDefault="0008333E" w:rsidP="0008333E">
              <w:pPr>
                <w:pStyle w:val="TOC1"/>
                <w:tabs>
                  <w:tab w:val="right" w:leader="dot" w:pos="9350"/>
                </w:tabs>
                <w:rPr>
                  <w:rFonts w:eastAsiaTheme="minorEastAsia" w:cstheme="minorBidi"/>
                  <w:b w:val="0"/>
                  <w:bCs w:val="0"/>
                  <w:i w:val="0"/>
                  <w:iCs w:val="0"/>
                  <w:noProof/>
                  <w:lang w:val="en-GB" w:eastAsia="en-GB"/>
                </w:rPr>
              </w:pPr>
              <w:hyperlink w:anchor="_Toc69692885" w:history="1">
                <w:r w:rsidRPr="00A559CF">
                  <w:rPr>
                    <w:rStyle w:val="Hyperlink"/>
                    <w:rFonts w:ascii="Arial" w:hAnsi="Arial" w:cs="Arial"/>
                    <w:noProof/>
                    <w:lang w:val="en-GB"/>
                  </w:rPr>
                  <w:t>TASK 2:</w:t>
                </w:r>
                <w:r w:rsidRPr="00A559CF">
                  <w:rPr>
                    <w:noProof/>
                    <w:webHidden/>
                  </w:rPr>
                  <w:tab/>
                </w:r>
                <w:r w:rsidRPr="00A559CF">
                  <w:rPr>
                    <w:noProof/>
                    <w:webHidden/>
                  </w:rPr>
                  <w:fldChar w:fldCharType="begin"/>
                </w:r>
                <w:r w:rsidRPr="00A559CF">
                  <w:rPr>
                    <w:noProof/>
                    <w:webHidden/>
                  </w:rPr>
                  <w:instrText xml:space="preserve"> PAGEREF _Toc69692885 \h </w:instrText>
                </w:r>
                <w:r w:rsidRPr="00A559CF">
                  <w:rPr>
                    <w:noProof/>
                    <w:webHidden/>
                  </w:rPr>
                </w:r>
                <w:r w:rsidRPr="00A559CF">
                  <w:rPr>
                    <w:noProof/>
                    <w:webHidden/>
                  </w:rPr>
                  <w:fldChar w:fldCharType="separate"/>
                </w:r>
                <w:r w:rsidRPr="00A559CF">
                  <w:rPr>
                    <w:noProof/>
                    <w:webHidden/>
                  </w:rPr>
                  <w:t>5</w:t>
                </w:r>
                <w:r w:rsidRPr="00A559CF">
                  <w:rPr>
                    <w:noProof/>
                    <w:webHidden/>
                  </w:rPr>
                  <w:fldChar w:fldCharType="end"/>
                </w:r>
              </w:hyperlink>
            </w:p>
            <w:p w14:paraId="0D601301" w14:textId="77777777" w:rsidR="0008333E" w:rsidRDefault="0008333E" w:rsidP="0008333E">
              <w:pPr>
                <w:rPr>
                  <w:noProof/>
                </w:rPr>
              </w:pPr>
              <w:r w:rsidRPr="00A559CF">
                <w:rPr>
                  <w:b/>
                  <w:bCs/>
                  <w:noProof/>
                  <w:sz w:val="24"/>
                  <w:szCs w:val="24"/>
                </w:rPr>
                <w:fldChar w:fldCharType="end"/>
              </w:r>
            </w:p>
          </w:sdtContent>
        </w:sdt>
        <w:p w14:paraId="33C9C1CD" w14:textId="77777777" w:rsidR="001B0692" w:rsidRPr="001B0692" w:rsidRDefault="001B0692" w:rsidP="001B0692">
          <w:pPr>
            <w:rPr>
              <w:lang w:val="en-US" w:eastAsia="en-US"/>
            </w:rPr>
          </w:pPr>
        </w:p>
        <w:p w14:paraId="440D2990" w14:textId="0BDE2883" w:rsidR="001B0692" w:rsidRPr="00A559CF" w:rsidRDefault="001B0692" w:rsidP="001B0692">
          <w:pPr>
            <w:pStyle w:val="Heading1"/>
            <w:spacing w:line="360" w:lineRule="auto"/>
            <w:rPr>
              <w:rFonts w:ascii="Arial" w:eastAsia="SimSun" w:hAnsi="Arial" w:cs="Arial"/>
              <w:color w:val="000000"/>
              <w:u w:val="single"/>
            </w:rPr>
          </w:pPr>
          <w:r w:rsidRPr="00A559CF">
            <w:rPr>
              <w:rFonts w:ascii="Arial" w:eastAsia="SimSun" w:hAnsi="Arial" w:cs="Arial"/>
              <w:color w:val="000000"/>
              <w:u w:val="single"/>
            </w:rPr>
            <w:t>TASK: 1</w:t>
          </w:r>
        </w:p>
        <w:p w14:paraId="4800448A" w14:textId="77777777" w:rsidR="001B0692" w:rsidRPr="00A559CF" w:rsidRDefault="001B0692" w:rsidP="001B0692">
          <w:pPr>
            <w:pStyle w:val="Heading1"/>
            <w:spacing w:line="360" w:lineRule="auto"/>
            <w:jc w:val="both"/>
            <w:rPr>
              <w:rFonts w:ascii="Arial" w:eastAsia="SimSun" w:hAnsi="Arial" w:cs="Arial"/>
              <w:color w:val="000000"/>
            </w:rPr>
          </w:pPr>
          <w:r w:rsidRPr="00A559CF">
            <w:rPr>
              <w:rFonts w:ascii="Arial" w:eastAsia="SimSun" w:hAnsi="Arial" w:cs="Arial"/>
              <w:color w:val="000000"/>
            </w:rPr>
            <w:t>INTRODUCTION</w:t>
          </w:r>
        </w:p>
        <w:p w14:paraId="4D524A0F" w14:textId="77777777" w:rsidR="001B0692" w:rsidRPr="00A559CF" w:rsidRDefault="001B0692" w:rsidP="001B0692">
          <w:pPr>
            <w:spacing w:line="360" w:lineRule="auto"/>
            <w:jc w:val="both"/>
            <w:rPr>
              <w:rFonts w:ascii="Arial" w:eastAsia="SimSun" w:hAnsi="Arial" w:cs="Arial"/>
              <w:color w:val="000000"/>
              <w:sz w:val="28"/>
              <w:szCs w:val="28"/>
            </w:rPr>
          </w:pPr>
          <w:r w:rsidRPr="00A559CF">
            <w:rPr>
              <w:rFonts w:ascii="Arial" w:hAnsi="Arial" w:cs="Arial"/>
              <w:color w:val="000000"/>
              <w:sz w:val="28"/>
              <w:szCs w:val="28"/>
            </w:rPr>
            <w:t xml:space="preserve">On 1 January 2014, the Defamation act 2013 entered into effect. This article provides a brief reference to the different provisions of the Act. This is not a detailed reference to the rule of libel and is not meant to be a replacement for the judicial council (which is not exclusive to the Act). </w:t>
          </w:r>
        </w:p>
        <w:p w14:paraId="68EFF8D0" w14:textId="77777777" w:rsidR="001B0692" w:rsidRPr="00A559CF" w:rsidRDefault="001B0692" w:rsidP="001B0692">
          <w:pPr>
            <w:pStyle w:val="Heading1"/>
            <w:spacing w:line="360" w:lineRule="auto"/>
            <w:rPr>
              <w:rFonts w:ascii="Arial" w:eastAsia="SimSun" w:hAnsi="Arial" w:cs="Arial"/>
              <w:color w:val="000000"/>
            </w:rPr>
          </w:pPr>
          <w:r w:rsidRPr="00A559CF">
            <w:rPr>
              <w:rFonts w:ascii="Arial" w:eastAsia="SimSun" w:hAnsi="Arial" w:cs="Arial"/>
              <w:color w:val="000000"/>
            </w:rPr>
            <w:t>WHAT DOES THE ACT DO?</w:t>
          </w:r>
        </w:p>
        <w:p w14:paraId="59293BD2" w14:textId="77777777" w:rsidR="001B0692" w:rsidRPr="00A559CF" w:rsidRDefault="001B0692" w:rsidP="001B0692">
          <w:pPr>
            <w:spacing w:line="360" w:lineRule="auto"/>
            <w:jc w:val="both"/>
            <w:rPr>
              <w:rFonts w:ascii="Arial" w:eastAsia="SimSun" w:hAnsi="Arial" w:cs="Arial"/>
              <w:color w:val="000000"/>
              <w:sz w:val="28"/>
              <w:szCs w:val="28"/>
            </w:rPr>
          </w:pPr>
          <w:r w:rsidRPr="00A559CF">
            <w:rPr>
              <w:rFonts w:ascii="Arial" w:hAnsi="Arial" w:cs="Arial"/>
              <w:color w:val="000000"/>
              <w:sz w:val="28"/>
              <w:szCs w:val="28"/>
            </w:rPr>
            <w:t xml:space="preserve">The Act enforces and unifies a broad range of the current case law and statutes, in particular with regard to the protections of reason (presently '), eligible journalists (now 'publishing on national good'), and a legitimate comment (now 'actual view'). The two above have been updated and not </w:t>
          </w:r>
          <w:r w:rsidRPr="00A559CF">
            <w:rPr>
              <w:rFonts w:ascii="Arial" w:hAnsi="Arial" w:cs="Arial"/>
              <w:color w:val="000000"/>
              <w:sz w:val="28"/>
              <w:szCs w:val="28"/>
            </w:rPr>
            <w:lastRenderedPageBreak/>
            <w:t>just codified. Among other clauses, the Act sets or formalizes a need for 'actual injury' for a libel lawsuit and incorporates a single (pretty necessary) publishing code and new protection for sites managers. The Act also reverses the presumption of a technique of prosecution – to convict instead of a jury. The Action is explained in more depth further.</w:t>
          </w:r>
        </w:p>
        <w:p w14:paraId="132122B0" w14:textId="77777777" w:rsidR="00603727" w:rsidRDefault="00603727" w:rsidP="001B0692">
          <w:pPr>
            <w:pStyle w:val="Heading2"/>
            <w:spacing w:line="360" w:lineRule="auto"/>
            <w:rPr>
              <w:rFonts w:ascii="Arial" w:eastAsia="SimSun" w:hAnsi="Arial" w:cs="Arial"/>
              <w:color w:val="000000"/>
              <w:sz w:val="28"/>
              <w:szCs w:val="28"/>
            </w:rPr>
          </w:pPr>
        </w:p>
        <w:p w14:paraId="1DE8D596" w14:textId="02BC76AB" w:rsidR="001B0692" w:rsidRPr="00A559CF" w:rsidRDefault="001B0692" w:rsidP="001B0692">
          <w:pPr>
            <w:pStyle w:val="Heading2"/>
            <w:spacing w:line="360" w:lineRule="auto"/>
            <w:rPr>
              <w:rFonts w:ascii="Arial" w:eastAsia="SimSun" w:hAnsi="Arial" w:cs="Arial"/>
              <w:color w:val="000000"/>
              <w:sz w:val="28"/>
              <w:szCs w:val="28"/>
            </w:rPr>
          </w:pPr>
          <w:r w:rsidRPr="00A559CF">
            <w:rPr>
              <w:rFonts w:ascii="Arial" w:eastAsia="SimSun" w:hAnsi="Arial" w:cs="Arial"/>
              <w:color w:val="000000"/>
              <w:sz w:val="28"/>
              <w:szCs w:val="28"/>
            </w:rPr>
            <w:t>SECTION 1 - SEVERE DAMAGE</w:t>
          </w:r>
        </w:p>
        <w:p w14:paraId="08569D5C" w14:textId="77777777" w:rsidR="001B0692" w:rsidRPr="00A559CF" w:rsidRDefault="001B0692" w:rsidP="001B0692">
          <w:pPr>
            <w:spacing w:line="360" w:lineRule="auto"/>
            <w:jc w:val="both"/>
            <w:rPr>
              <w:rFonts w:ascii="Arial" w:eastAsia="SimSun" w:hAnsi="Arial" w:cs="Arial"/>
              <w:color w:val="000000"/>
              <w:sz w:val="28"/>
              <w:szCs w:val="28"/>
            </w:rPr>
          </w:pPr>
          <w:r w:rsidRPr="00A559CF">
            <w:rPr>
              <w:rFonts w:ascii="Arial" w:hAnsi="Arial" w:cs="Arial"/>
              <w:color w:val="000000"/>
              <w:sz w:val="28"/>
              <w:szCs w:val="28"/>
            </w:rPr>
            <w:t xml:space="preserve">A comment is no falser and more misleading until a complainant is able to demonstrate "... that its publishing has or will be seriously harmful to [their] image...' The purpose of this article is to discourage trivial arguments depends upon the case law of Jameel v Dow Jones &amp; Co Inc. [2005] EWCA </w:t>
          </w:r>
          <w:proofErr w:type="spellStart"/>
          <w:r w:rsidRPr="00A559CF">
            <w:rPr>
              <w:rFonts w:ascii="Arial" w:hAnsi="Arial" w:cs="Arial"/>
              <w:color w:val="000000"/>
              <w:sz w:val="28"/>
              <w:szCs w:val="28"/>
            </w:rPr>
            <w:t>Civ</w:t>
          </w:r>
          <w:proofErr w:type="spellEnd"/>
          <w:r w:rsidRPr="00A559CF">
            <w:rPr>
              <w:rFonts w:ascii="Arial" w:hAnsi="Arial" w:cs="Arial"/>
              <w:color w:val="000000"/>
              <w:sz w:val="28"/>
              <w:szCs w:val="28"/>
            </w:rPr>
            <w:t xml:space="preserve"> 75 and Thornton v Telegraph Media Group [2010] EWHC 1414(QB). A plaintiff would have to convince the court that defamation is reasonably severe and that the inference, scope, and essence of the publishing of the terms causes actual reputational harm. An extra test for corporate profits is a provision to prove that a comment has incurred significant economic harm or is likely to be incurred (Carlo, 2018).</w:t>
          </w:r>
        </w:p>
        <w:p w14:paraId="7DDF78EE" w14:textId="77777777" w:rsidR="001B0692" w:rsidRPr="00A559CF" w:rsidRDefault="001B0692" w:rsidP="001B0692">
          <w:pPr>
            <w:spacing w:line="360" w:lineRule="auto"/>
            <w:jc w:val="both"/>
            <w:rPr>
              <w:rFonts w:ascii="Arial" w:hAnsi="Arial" w:cs="Arial"/>
              <w:color w:val="000000"/>
              <w:sz w:val="28"/>
              <w:szCs w:val="28"/>
            </w:rPr>
          </w:pPr>
          <w:r w:rsidRPr="00A559CF">
            <w:rPr>
              <w:rFonts w:ascii="Arial" w:hAnsi="Arial" w:cs="Arial"/>
              <w:color w:val="000000"/>
              <w:sz w:val="28"/>
              <w:szCs w:val="28"/>
            </w:rPr>
            <w:t>It seems likely the strike-out applications rendered are within section 1. It needs to be seen, though, where the law sets the bar and how prepared it would be to participate in an earlier evaluation of the facts.</w:t>
          </w:r>
        </w:p>
        <w:p w14:paraId="012F509B" w14:textId="77777777" w:rsidR="001B0692" w:rsidRPr="00A559CF" w:rsidRDefault="001B0692" w:rsidP="001B0692">
          <w:pPr>
            <w:pStyle w:val="Heading2"/>
            <w:spacing w:line="360" w:lineRule="auto"/>
            <w:rPr>
              <w:rFonts w:ascii="Arial" w:eastAsia="SimSun" w:hAnsi="Arial" w:cs="Arial"/>
              <w:color w:val="000000"/>
              <w:sz w:val="28"/>
              <w:szCs w:val="28"/>
            </w:rPr>
          </w:pPr>
          <w:r w:rsidRPr="00A559CF">
            <w:rPr>
              <w:rFonts w:ascii="Arial" w:eastAsia="SimSun" w:hAnsi="Arial" w:cs="Arial"/>
              <w:color w:val="000000"/>
              <w:sz w:val="28"/>
              <w:szCs w:val="28"/>
            </w:rPr>
            <w:t>SECTION 2 - REALITY PROTECTION</w:t>
          </w:r>
        </w:p>
        <w:p w14:paraId="0F33ED74" w14:textId="77777777" w:rsidR="001B0692" w:rsidRPr="00A559CF" w:rsidRDefault="001B0692" w:rsidP="001B0692">
          <w:pPr>
            <w:spacing w:line="360" w:lineRule="auto"/>
            <w:jc w:val="both"/>
            <w:rPr>
              <w:rFonts w:ascii="Arial" w:eastAsia="SimSun" w:hAnsi="Arial" w:cs="Arial"/>
              <w:color w:val="000000"/>
              <w:sz w:val="28"/>
              <w:szCs w:val="28"/>
            </w:rPr>
          </w:pPr>
          <w:r w:rsidRPr="00A559CF">
            <w:rPr>
              <w:rFonts w:ascii="Arial" w:hAnsi="Arial" w:cs="Arial"/>
              <w:color w:val="000000"/>
              <w:sz w:val="28"/>
              <w:szCs w:val="28"/>
            </w:rPr>
            <w:t>Section two essentially refers to the protection of 'rationale,' in which 'the defence of defamation suit by the complainant shows that the charge expressed by the accused argument is significantly valid.' The old protection and the new protection are essentially the same, except for the terminology.</w:t>
          </w:r>
        </w:p>
        <w:p w14:paraId="3C2105DA" w14:textId="562935E2" w:rsidR="001B0692" w:rsidRPr="00A559CF" w:rsidRDefault="001B0692" w:rsidP="001B0692">
          <w:pPr>
            <w:pStyle w:val="NoSpacing"/>
            <w:tabs>
              <w:tab w:val="left" w:pos="2775"/>
            </w:tabs>
            <w:rPr>
              <w:rFonts w:ascii="Times New Roman" w:hAnsi="Times New Roman" w:cs="Times New Roman"/>
              <w:sz w:val="28"/>
              <w:szCs w:val="28"/>
            </w:rPr>
          </w:pPr>
        </w:p>
        <w:p w14:paraId="1826827C" w14:textId="77777777" w:rsidR="00CB5D1D" w:rsidRPr="00A559CF" w:rsidRDefault="00CB5D1D" w:rsidP="00F32CAC">
          <w:pPr>
            <w:pStyle w:val="NoSpacing"/>
            <w:jc w:val="right"/>
            <w:rPr>
              <w:sz w:val="28"/>
              <w:szCs w:val="28"/>
            </w:rPr>
          </w:pPr>
        </w:p>
        <w:p w14:paraId="7C41A1E6" w14:textId="77777777" w:rsidR="00CB5D1D" w:rsidRPr="00A559CF" w:rsidRDefault="00CB5D1D" w:rsidP="00CB5D1D">
          <w:pPr>
            <w:rPr>
              <w:sz w:val="28"/>
              <w:szCs w:val="28"/>
              <w:lang w:val="en-US" w:eastAsia="en-US"/>
            </w:rPr>
          </w:pPr>
        </w:p>
        <w:p w14:paraId="2B0EB5DC" w14:textId="77777777" w:rsidR="00CB5D1D" w:rsidRPr="00A559CF" w:rsidRDefault="00CB5D1D" w:rsidP="00F32CAC">
          <w:pPr>
            <w:pStyle w:val="NoSpacing"/>
            <w:jc w:val="right"/>
            <w:rPr>
              <w:sz w:val="28"/>
              <w:szCs w:val="28"/>
            </w:rPr>
          </w:pPr>
        </w:p>
        <w:p w14:paraId="7C8959F1" w14:textId="77777777" w:rsidR="00CB5D1D" w:rsidRPr="00A559CF" w:rsidRDefault="00CB5D1D" w:rsidP="00F32CAC">
          <w:pPr>
            <w:pStyle w:val="NoSpacing"/>
            <w:jc w:val="right"/>
            <w:rPr>
              <w:sz w:val="28"/>
              <w:szCs w:val="28"/>
            </w:rPr>
          </w:pPr>
        </w:p>
        <w:p w14:paraId="2515428A" w14:textId="6628009B" w:rsidR="00CB5D1D" w:rsidRPr="00A559CF" w:rsidRDefault="00CB5D1D" w:rsidP="00CB5D1D">
          <w:pPr>
            <w:pStyle w:val="Heading2"/>
            <w:spacing w:line="360" w:lineRule="auto"/>
            <w:rPr>
              <w:rFonts w:ascii="Arial" w:eastAsia="SimSun" w:hAnsi="Arial" w:cs="Arial"/>
              <w:color w:val="000000"/>
              <w:sz w:val="28"/>
              <w:szCs w:val="28"/>
            </w:rPr>
          </w:pPr>
          <w:r w:rsidRPr="00A559CF">
            <w:rPr>
              <w:rFonts w:ascii="Arial" w:eastAsia="SimSun" w:hAnsi="Arial" w:cs="Arial"/>
              <w:color w:val="000000"/>
              <w:sz w:val="28"/>
              <w:szCs w:val="28"/>
            </w:rPr>
            <w:t>SECTION 3 - THE PROTECTION OF VALID OPINION</w:t>
          </w:r>
        </w:p>
        <w:p w14:paraId="3BA67024" w14:textId="77777777" w:rsidR="00CB5D1D" w:rsidRPr="00A559CF" w:rsidRDefault="00CB5D1D" w:rsidP="00CB5D1D">
          <w:pPr>
            <w:spacing w:line="360" w:lineRule="auto"/>
            <w:jc w:val="both"/>
            <w:rPr>
              <w:rFonts w:ascii="Arial" w:eastAsia="SimSun" w:hAnsi="Arial" w:cs="Arial"/>
              <w:color w:val="000000"/>
              <w:sz w:val="28"/>
              <w:szCs w:val="28"/>
            </w:rPr>
          </w:pPr>
          <w:r w:rsidRPr="00A559CF">
            <w:rPr>
              <w:rFonts w:ascii="Arial" w:hAnsi="Arial" w:cs="Arial"/>
              <w:color w:val="000000"/>
              <w:sz w:val="28"/>
              <w:szCs w:val="28"/>
            </w:rPr>
            <w:t xml:space="preserve">The third segment removes the protection of valid questions by general rule and substitutes it with the protection of a fair viewpoint. While the defence of rational expression required language to be in the interest of the public, in the current Act, no appeal is made to the public interest. As in the previous rule, it is necessary to analyse the terms in question carefully to decide whether a comment is an interpretation of view or a claim of reality. There are comprehensive cases of jurisprudence in this field, culminating in Joseph v Spiller [2010] </w:t>
          </w:r>
          <w:proofErr w:type="spellStart"/>
          <w:r w:rsidRPr="00A559CF">
            <w:rPr>
              <w:rFonts w:ascii="Arial" w:hAnsi="Arial" w:cs="Arial"/>
              <w:color w:val="000000"/>
              <w:sz w:val="28"/>
              <w:szCs w:val="28"/>
            </w:rPr>
            <w:t>UKsC</w:t>
          </w:r>
          <w:proofErr w:type="spellEnd"/>
          <w:r w:rsidRPr="00A559CF">
            <w:rPr>
              <w:rFonts w:ascii="Arial" w:hAnsi="Arial" w:cs="Arial"/>
              <w:color w:val="000000"/>
              <w:sz w:val="28"/>
              <w:szCs w:val="28"/>
            </w:rPr>
            <w:t xml:space="preserve"> 53's Supreme Court case, which is likely to be highly convincing, if not legally binding. In this context, it is appropriate to provide the opinion (section 3(3)) and the opinions which an honest individual could hold based on a truth that occurred at the period (section 3(4)) (section 3(4)). Defence of a truthful viewpoint is denied whether the complainant may demonstrate that the offender has not expressed his viewpoint (paragraph 3(5)).</w:t>
          </w:r>
        </w:p>
        <w:p w14:paraId="7B28DDE8" w14:textId="77777777" w:rsidR="00CB5D1D" w:rsidRPr="00A559CF" w:rsidRDefault="00CB5D1D" w:rsidP="00CB5D1D">
          <w:pPr>
            <w:pStyle w:val="Heading2"/>
            <w:spacing w:line="360" w:lineRule="auto"/>
            <w:rPr>
              <w:rFonts w:ascii="Arial" w:eastAsia="SimSun" w:hAnsi="Arial" w:cs="Arial"/>
              <w:color w:val="000000"/>
              <w:sz w:val="28"/>
              <w:szCs w:val="28"/>
            </w:rPr>
          </w:pPr>
          <w:r w:rsidRPr="00A559CF">
            <w:rPr>
              <w:rFonts w:ascii="Arial" w:eastAsia="SimSun" w:hAnsi="Arial" w:cs="Arial"/>
              <w:color w:val="000000"/>
              <w:sz w:val="28"/>
              <w:szCs w:val="28"/>
            </w:rPr>
            <w:t>SECTION 4 — PROTECTION OF PUBLISHING OF INTERESTS OF THE COMMUNITY</w:t>
          </w:r>
        </w:p>
        <w:p w14:paraId="69D5FC66" w14:textId="77777777" w:rsidR="00CB5D1D" w:rsidRPr="00A559CF" w:rsidRDefault="00CB5D1D" w:rsidP="00CB5D1D">
          <w:pPr>
            <w:spacing w:line="360" w:lineRule="auto"/>
            <w:jc w:val="both"/>
            <w:rPr>
              <w:rFonts w:ascii="Arial" w:eastAsia="SimSun" w:hAnsi="Arial" w:cs="Arial"/>
              <w:color w:val="000000"/>
              <w:sz w:val="28"/>
              <w:szCs w:val="28"/>
            </w:rPr>
          </w:pPr>
          <w:r w:rsidRPr="00A559CF">
            <w:rPr>
              <w:rFonts w:ascii="Arial" w:hAnsi="Arial" w:cs="Arial"/>
              <w:color w:val="000000"/>
              <w:sz w:val="28"/>
              <w:szCs w:val="28"/>
            </w:rPr>
            <w:t xml:space="preserve">Chapter four repeals the protection by a popular statute of 'Reynolds sovereign immunity' and substitutes it by defending a good public reporting by qualified rights (evolved from Reynold's v Times Newspapers Ltd [1999] UKHL 45 dictum). In order to be successful in the prosecution, the declaration or portion of it must refer to a subject of community concern, and the claimant must honestly conclude that it is in a common concern to make the declaration available. Where the defender had to </w:t>
          </w:r>
          <w:r w:rsidRPr="00A559CF">
            <w:rPr>
              <w:rFonts w:ascii="Arial" w:hAnsi="Arial" w:cs="Arial"/>
              <w:color w:val="000000"/>
              <w:sz w:val="28"/>
              <w:szCs w:val="28"/>
            </w:rPr>
            <w:lastRenderedPageBreak/>
            <w:t>behave professionally according to the norms of professional reporting within Reynolds, there is no specific clause in the Law or reference to enlist of factors same to those set out in Reynolds. Even so, the Explanatory Notes show that the current defence reflects the common law of the United Kingdom, Flood v Times Newspapers [2012] UK 11, that states "...to release information which is not the product of a responsible journalistic investigation and evaluation" will never be in the national good. The feasibility of protection in accordance with section 4 is by its very existence reality and often impossible to ascertain.</w:t>
          </w:r>
        </w:p>
        <w:p w14:paraId="5140BD47" w14:textId="77777777" w:rsidR="00CB5D1D" w:rsidRPr="00A559CF" w:rsidRDefault="00CB5D1D" w:rsidP="00CB5D1D">
          <w:pPr>
            <w:pStyle w:val="Heading2"/>
            <w:spacing w:line="360" w:lineRule="auto"/>
            <w:rPr>
              <w:rFonts w:ascii="Arial" w:eastAsia="SimSun" w:hAnsi="Arial" w:cs="Arial"/>
              <w:color w:val="000000"/>
              <w:sz w:val="28"/>
              <w:szCs w:val="28"/>
            </w:rPr>
          </w:pPr>
          <w:r w:rsidRPr="00A559CF">
            <w:rPr>
              <w:rFonts w:ascii="Arial" w:eastAsia="SimSun" w:hAnsi="Arial" w:cs="Arial"/>
              <w:color w:val="000000"/>
              <w:sz w:val="28"/>
              <w:szCs w:val="28"/>
            </w:rPr>
            <w:t>SECTION 5 - PROTECTION FOR PLATFORM MANAGERS</w:t>
          </w:r>
        </w:p>
        <w:p w14:paraId="3BAA4009" w14:textId="77777777" w:rsidR="00CB5D1D" w:rsidRPr="00A559CF" w:rsidRDefault="00CB5D1D" w:rsidP="00CB5D1D">
          <w:pPr>
            <w:spacing w:line="360" w:lineRule="auto"/>
            <w:jc w:val="both"/>
            <w:rPr>
              <w:rFonts w:ascii="Arial" w:eastAsia="SimSun" w:hAnsi="Arial" w:cs="Arial"/>
              <w:color w:val="000000"/>
              <w:sz w:val="28"/>
              <w:szCs w:val="28"/>
            </w:rPr>
          </w:pPr>
          <w:r w:rsidRPr="00A559CF">
            <w:rPr>
              <w:rFonts w:ascii="Arial" w:hAnsi="Arial" w:cs="Arial"/>
              <w:color w:val="000000"/>
              <w:sz w:val="28"/>
              <w:szCs w:val="28"/>
            </w:rPr>
            <w:t>Chapter five applies to a cyber libel, which would include site owners with complete protection in such conditions. Since (if not before) the Web is the most prominent battlefield of contemporary libel claims, this segment marks a substantial evolution in the law of defamation (Charles, 2018).</w:t>
          </w:r>
        </w:p>
        <w:p w14:paraId="0D675AAF" w14:textId="77777777" w:rsidR="00CB5D1D" w:rsidRPr="00A559CF" w:rsidRDefault="00CB5D1D" w:rsidP="00CB5D1D">
          <w:pPr>
            <w:spacing w:line="360" w:lineRule="auto"/>
            <w:jc w:val="both"/>
            <w:rPr>
              <w:rFonts w:ascii="Arial" w:hAnsi="Arial" w:cs="Arial"/>
              <w:color w:val="000000"/>
              <w:sz w:val="28"/>
              <w:szCs w:val="28"/>
            </w:rPr>
          </w:pPr>
          <w:r w:rsidRPr="00A559CF">
            <w:rPr>
              <w:rFonts w:ascii="Arial" w:hAnsi="Arial" w:cs="Arial"/>
              <w:color w:val="000000"/>
              <w:sz w:val="28"/>
              <w:szCs w:val="28"/>
            </w:rPr>
            <w:t>Chapter 5(2) stipulates that it would be a protection for a property owner to prove that the comment has not been published by them on the website. The protection is overcome under paragraph 5(3) if any three of the preceding criteria apply: -</w:t>
          </w:r>
        </w:p>
        <w:p w14:paraId="58FB48F7" w14:textId="53FC0DC5" w:rsidR="00CB5D1D" w:rsidRPr="00A559CF" w:rsidRDefault="00CB5D1D" w:rsidP="00CB5D1D">
          <w:pPr>
            <w:pStyle w:val="NoSpacing"/>
            <w:tabs>
              <w:tab w:val="left" w:pos="2460"/>
            </w:tabs>
            <w:rPr>
              <w:sz w:val="28"/>
              <w:szCs w:val="28"/>
            </w:rPr>
          </w:pPr>
        </w:p>
        <w:p w14:paraId="07A926F2" w14:textId="77777777" w:rsidR="00786992" w:rsidRPr="00A559CF" w:rsidRDefault="00786992" w:rsidP="00CB5D1D">
          <w:pPr>
            <w:pStyle w:val="NoSpacing"/>
            <w:tabs>
              <w:tab w:val="left" w:pos="2460"/>
            </w:tabs>
            <w:rPr>
              <w:sz w:val="28"/>
              <w:szCs w:val="28"/>
            </w:rPr>
          </w:pPr>
        </w:p>
        <w:p w14:paraId="2D77FDE7" w14:textId="77777777" w:rsidR="00786992" w:rsidRPr="00A559CF" w:rsidRDefault="00786992" w:rsidP="00786992">
          <w:pPr>
            <w:numPr>
              <w:ilvl w:val="0"/>
              <w:numId w:val="5"/>
            </w:numPr>
            <w:spacing w:line="360" w:lineRule="auto"/>
            <w:jc w:val="both"/>
            <w:rPr>
              <w:rFonts w:ascii="Arial" w:hAnsi="Arial" w:cs="Arial"/>
              <w:color w:val="000000"/>
              <w:sz w:val="28"/>
              <w:szCs w:val="28"/>
            </w:rPr>
          </w:pPr>
          <w:r w:rsidRPr="00A559CF">
            <w:rPr>
              <w:rFonts w:ascii="Arial" w:hAnsi="Arial" w:cs="Arial"/>
              <w:color w:val="000000"/>
              <w:sz w:val="28"/>
              <w:szCs w:val="28"/>
            </w:rPr>
            <w:t xml:space="preserve">The complainant also couldn't define the declaration paper, </w:t>
          </w:r>
        </w:p>
        <w:p w14:paraId="6F5440FC" w14:textId="77777777" w:rsidR="00786992" w:rsidRPr="00A559CF" w:rsidRDefault="00786992" w:rsidP="00786992">
          <w:pPr>
            <w:numPr>
              <w:ilvl w:val="0"/>
              <w:numId w:val="5"/>
            </w:numPr>
            <w:spacing w:line="360" w:lineRule="auto"/>
            <w:jc w:val="both"/>
            <w:rPr>
              <w:rFonts w:ascii="Arial" w:hAnsi="Arial" w:cs="Arial"/>
              <w:color w:val="000000"/>
              <w:sz w:val="28"/>
              <w:szCs w:val="28"/>
            </w:rPr>
          </w:pPr>
          <w:r w:rsidRPr="00A559CF">
            <w:rPr>
              <w:rFonts w:ascii="Arial" w:hAnsi="Arial" w:cs="Arial"/>
              <w:color w:val="000000"/>
              <w:sz w:val="28"/>
              <w:szCs w:val="28"/>
            </w:rPr>
            <w:t>The complainant notified the administrator of his grievance with respect to the declaration, and</w:t>
          </w:r>
        </w:p>
        <w:p w14:paraId="0E4DFAFC" w14:textId="77777777" w:rsidR="00786992" w:rsidRPr="00A559CF" w:rsidRDefault="00786992" w:rsidP="00786992">
          <w:pPr>
            <w:numPr>
              <w:ilvl w:val="0"/>
              <w:numId w:val="5"/>
            </w:numPr>
            <w:spacing w:line="360" w:lineRule="auto"/>
            <w:jc w:val="both"/>
            <w:rPr>
              <w:rFonts w:ascii="Arial" w:hAnsi="Arial" w:cs="Arial"/>
              <w:color w:val="000000"/>
              <w:sz w:val="28"/>
              <w:szCs w:val="28"/>
            </w:rPr>
          </w:pPr>
          <w:r w:rsidRPr="00A559CF">
            <w:rPr>
              <w:rFonts w:ascii="Arial" w:hAnsi="Arial" w:cs="Arial"/>
              <w:color w:val="000000"/>
              <w:sz w:val="28"/>
              <w:szCs w:val="28"/>
            </w:rPr>
            <w:t>In compliance with all clauses in legislation, the operator refused to react to the notification.</w:t>
          </w:r>
        </w:p>
        <w:p w14:paraId="60A25DB3" w14:textId="77777777" w:rsidR="00786992" w:rsidRPr="00A559CF" w:rsidRDefault="00786992" w:rsidP="00786992">
          <w:pPr>
            <w:spacing w:line="360" w:lineRule="auto"/>
            <w:jc w:val="both"/>
            <w:rPr>
              <w:rFonts w:ascii="Arial" w:hAnsi="Arial" w:cs="Arial"/>
              <w:color w:val="000000"/>
              <w:sz w:val="28"/>
              <w:szCs w:val="28"/>
            </w:rPr>
          </w:pPr>
          <w:r w:rsidRPr="00A559CF">
            <w:rPr>
              <w:rFonts w:ascii="Arial" w:hAnsi="Arial" w:cs="Arial"/>
              <w:color w:val="000000"/>
              <w:sz w:val="28"/>
              <w:szCs w:val="28"/>
            </w:rPr>
            <w:t>It is only necessary to identify the complainant where ample evidence is available to bring action against that individual (segment 5(4)).</w:t>
          </w:r>
        </w:p>
        <w:p w14:paraId="4FF19928" w14:textId="77777777" w:rsidR="00786992" w:rsidRPr="00A559CF" w:rsidRDefault="00786992" w:rsidP="00786992">
          <w:pPr>
            <w:pStyle w:val="Heading1"/>
            <w:rPr>
              <w:rFonts w:ascii="Arial" w:eastAsia="SimSun" w:hAnsi="Arial" w:cs="Arial"/>
              <w:color w:val="000000" w:themeColor="text1"/>
            </w:rPr>
          </w:pPr>
          <w:r w:rsidRPr="00A559CF">
            <w:rPr>
              <w:rFonts w:ascii="Arial" w:eastAsia="SimSun" w:hAnsi="Arial" w:cs="Arial"/>
              <w:color w:val="000000" w:themeColor="text1"/>
            </w:rPr>
            <w:lastRenderedPageBreak/>
            <w:t>CONCLUSION</w:t>
          </w:r>
        </w:p>
        <w:p w14:paraId="028D7A69" w14:textId="77777777" w:rsidR="00786992" w:rsidRPr="00A559CF" w:rsidRDefault="00786992" w:rsidP="00786992">
          <w:pPr>
            <w:spacing w:line="360" w:lineRule="auto"/>
            <w:jc w:val="both"/>
            <w:rPr>
              <w:rFonts w:ascii="Arial" w:eastAsia="SimSun" w:hAnsi="Arial" w:cs="Arial"/>
              <w:color w:val="000000"/>
              <w:sz w:val="28"/>
              <w:szCs w:val="28"/>
            </w:rPr>
          </w:pPr>
          <w:r w:rsidRPr="00A559CF">
            <w:rPr>
              <w:rFonts w:ascii="Arial" w:hAnsi="Arial" w:cs="Arial"/>
              <w:color w:val="000000"/>
              <w:sz w:val="28"/>
              <w:szCs w:val="28"/>
            </w:rPr>
            <w:t xml:space="preserve">The Legislation on Defamation Act 2013 has entered into effect on 1 January 2014. The laws provide for the type of warning provided by the applicant and for the corresponding protocol to be pursued by the user of the website whether he or she chooses to take up on defence of sections 5. The details of the rules are outside the reach of this report. They set out what website administrators ought to do to 'maintain protection.' Under the practice, if this notification conforms with the applicable conditions, then the individual experiences must either submit the particulars of the poster to the claimant (with the permission of the posters) or delete the infringing report within a specified period of time if the individual wants to make use of the defence (Michael, 2018). It can be said that the Act does not entirely strike </w:t>
          </w:r>
          <w:proofErr w:type="spellStart"/>
          <w:r w:rsidRPr="00A559CF">
            <w:rPr>
              <w:rFonts w:ascii="Arial" w:hAnsi="Arial" w:cs="Arial"/>
              <w:color w:val="000000"/>
              <w:sz w:val="28"/>
              <w:szCs w:val="28"/>
            </w:rPr>
            <w:t>a</w:t>
          </w:r>
          <w:proofErr w:type="spellEnd"/>
          <w:r w:rsidRPr="00A559CF">
            <w:rPr>
              <w:rFonts w:ascii="Arial" w:hAnsi="Arial" w:cs="Arial"/>
              <w:color w:val="000000"/>
              <w:sz w:val="28"/>
              <w:szCs w:val="28"/>
            </w:rPr>
            <w:t xml:space="preserve"> equal balance between both protection of reputation and freedom of speech. The Act can be said to be much more lenient towards freedom of speech.</w:t>
          </w:r>
        </w:p>
        <w:p w14:paraId="089DD0AF" w14:textId="77777777" w:rsidR="00786992" w:rsidRPr="00A559CF" w:rsidRDefault="00786992" w:rsidP="00786992">
          <w:pPr>
            <w:spacing w:line="360" w:lineRule="auto"/>
            <w:jc w:val="both"/>
            <w:rPr>
              <w:rFonts w:ascii="Arial" w:hAnsi="Arial" w:cs="Arial"/>
              <w:color w:val="000000"/>
              <w:sz w:val="28"/>
              <w:szCs w:val="28"/>
            </w:rPr>
          </w:pPr>
        </w:p>
        <w:p w14:paraId="295B8871" w14:textId="77777777" w:rsidR="00786992" w:rsidRPr="00A559CF" w:rsidRDefault="00786992" w:rsidP="00786992">
          <w:pPr>
            <w:pStyle w:val="Heading1"/>
            <w:spacing w:line="360" w:lineRule="auto"/>
            <w:rPr>
              <w:rFonts w:ascii="Arial" w:eastAsia="SimSun" w:hAnsi="Arial" w:cs="Arial"/>
              <w:color w:val="000000"/>
            </w:rPr>
          </w:pPr>
          <w:r w:rsidRPr="00A559CF">
            <w:rPr>
              <w:rFonts w:ascii="Arial" w:eastAsia="SimSun" w:hAnsi="Arial" w:cs="Arial"/>
              <w:color w:val="000000"/>
            </w:rPr>
            <w:t>TASK 2:</w:t>
          </w:r>
        </w:p>
        <w:p w14:paraId="378E30BB" w14:textId="77777777" w:rsidR="00786992" w:rsidRPr="00A559CF" w:rsidRDefault="00786992" w:rsidP="00786992">
          <w:pPr>
            <w:spacing w:line="360" w:lineRule="auto"/>
            <w:jc w:val="center"/>
            <w:rPr>
              <w:rFonts w:ascii="Arial" w:eastAsia="SimSun" w:hAnsi="Arial" w:cs="Arial"/>
              <w:b/>
              <w:bCs/>
              <w:color w:val="000000"/>
              <w:sz w:val="28"/>
              <w:szCs w:val="28"/>
            </w:rPr>
          </w:pPr>
          <w:r w:rsidRPr="00A559CF">
            <w:rPr>
              <w:rFonts w:ascii="Arial" w:hAnsi="Arial" w:cs="Arial"/>
              <w:b/>
              <w:bCs/>
              <w:color w:val="000000"/>
              <w:sz w:val="28"/>
              <w:szCs w:val="28"/>
            </w:rPr>
            <w:t>(A)</w:t>
          </w:r>
        </w:p>
        <w:p w14:paraId="64F050C8" w14:textId="77777777" w:rsidR="00786992" w:rsidRPr="00A559CF" w:rsidRDefault="00786992" w:rsidP="00786992">
          <w:pPr>
            <w:spacing w:line="360" w:lineRule="auto"/>
            <w:jc w:val="both"/>
            <w:rPr>
              <w:rFonts w:ascii="Arial" w:hAnsi="Arial" w:cs="Arial"/>
              <w:color w:val="000000"/>
              <w:sz w:val="28"/>
              <w:szCs w:val="28"/>
            </w:rPr>
          </w:pPr>
          <w:r w:rsidRPr="00A559CF">
            <w:rPr>
              <w:rFonts w:ascii="Arial" w:hAnsi="Arial" w:cs="Arial"/>
              <w:color w:val="000000"/>
              <w:sz w:val="28"/>
              <w:szCs w:val="28"/>
            </w:rPr>
            <w:t xml:space="preserve">Norton Solutions have been denied a license because the license is already given to West Cross Pic. The question of the case is if Norton Solutions can ask for judicial review on their decision as the company thinks that West Cross is not competent enough to opening a recycling plant. Following are some of the examples that can be used to evaluate the case. </w:t>
          </w:r>
        </w:p>
        <w:p w14:paraId="1477690E" w14:textId="77777777" w:rsidR="00786992" w:rsidRPr="00A559CF" w:rsidRDefault="00786992" w:rsidP="00432FB7">
          <w:pPr>
            <w:pStyle w:val="NoSpacing"/>
            <w:jc w:val="both"/>
            <w:rPr>
              <w:rFonts w:ascii="Arial" w:hAnsi="Arial" w:cs="Arial"/>
              <w:color w:val="000000"/>
              <w:sz w:val="28"/>
              <w:szCs w:val="28"/>
              <w:lang w:val="en-GB"/>
            </w:rPr>
          </w:pPr>
          <w:r w:rsidRPr="00A559CF">
            <w:rPr>
              <w:rFonts w:ascii="Arial" w:hAnsi="Arial" w:cs="Arial"/>
              <w:color w:val="000000"/>
              <w:sz w:val="28"/>
              <w:szCs w:val="28"/>
              <w:lang w:val="en-GB"/>
            </w:rPr>
            <w:t xml:space="preserve">The First District Court ruled that Section 22531 of the Community Services Code unlawfully limited the legal examination of the Energy Resources Management and Creation Panel </w:t>
          </w:r>
        </w:p>
        <w:p w14:paraId="34B4A01B" w14:textId="77777777" w:rsidR="00786992" w:rsidRPr="00A559CF" w:rsidRDefault="00786992" w:rsidP="00432FB7">
          <w:pPr>
            <w:jc w:val="both"/>
            <w:rPr>
              <w:sz w:val="28"/>
              <w:szCs w:val="28"/>
              <w:lang w:val="en-US" w:eastAsia="en-US"/>
            </w:rPr>
          </w:pPr>
        </w:p>
        <w:p w14:paraId="0A393105" w14:textId="77777777" w:rsidR="00786992" w:rsidRPr="00A559CF" w:rsidRDefault="00786992" w:rsidP="00786992">
          <w:pPr>
            <w:rPr>
              <w:sz w:val="28"/>
              <w:szCs w:val="28"/>
              <w:lang w:val="en-US" w:eastAsia="en-US"/>
            </w:rPr>
          </w:pPr>
        </w:p>
        <w:p w14:paraId="6AE90CFD" w14:textId="77777777" w:rsidR="00786992" w:rsidRPr="00A559CF" w:rsidRDefault="00786992" w:rsidP="00786992">
          <w:pPr>
            <w:pStyle w:val="NoSpacing"/>
            <w:jc w:val="right"/>
            <w:rPr>
              <w:rFonts w:ascii="Arial" w:hAnsi="Arial" w:cs="Arial"/>
              <w:color w:val="000000"/>
              <w:sz w:val="28"/>
              <w:szCs w:val="28"/>
              <w:lang w:val="en-GB"/>
            </w:rPr>
          </w:pPr>
        </w:p>
        <w:p w14:paraId="7CFD6578" w14:textId="77777777" w:rsidR="00786992" w:rsidRPr="00A559CF" w:rsidRDefault="00786992" w:rsidP="00786992">
          <w:pPr>
            <w:pStyle w:val="NoSpacing"/>
            <w:jc w:val="right"/>
            <w:rPr>
              <w:rFonts w:ascii="Arial" w:hAnsi="Arial" w:cs="Arial"/>
              <w:color w:val="000000"/>
              <w:sz w:val="28"/>
              <w:szCs w:val="28"/>
              <w:lang w:val="en-GB"/>
            </w:rPr>
          </w:pPr>
        </w:p>
        <w:p w14:paraId="7DA16CF3" w14:textId="77777777" w:rsidR="00786992" w:rsidRPr="00A559CF" w:rsidRDefault="00786992" w:rsidP="00786992">
          <w:pPr>
            <w:spacing w:line="360" w:lineRule="auto"/>
            <w:jc w:val="both"/>
            <w:rPr>
              <w:rFonts w:ascii="Arial" w:hAnsi="Arial" w:cs="Arial"/>
              <w:color w:val="000000"/>
              <w:sz w:val="28"/>
              <w:szCs w:val="28"/>
            </w:rPr>
          </w:pPr>
          <w:r w:rsidRPr="00A559CF">
            <w:rPr>
              <w:rFonts w:ascii="Arial" w:hAnsi="Arial" w:cs="Arial"/>
              <w:color w:val="000000"/>
              <w:sz w:val="28"/>
              <w:szCs w:val="28"/>
            </w:rPr>
            <w:t>judgments concerning heat power stations above 50 megawatts. Prioritizing tasks societies v. Commission for Protection and Sustainable of Energy Supplies, A157299 (1st Dist., Dec. 8, 2020).</w:t>
          </w:r>
        </w:p>
        <w:p w14:paraId="34DDA9ED" w14:textId="77777777" w:rsidR="00786992" w:rsidRPr="00A559CF" w:rsidRDefault="00786992" w:rsidP="00786992">
          <w:pPr>
            <w:spacing w:line="360" w:lineRule="auto"/>
            <w:jc w:val="both"/>
            <w:rPr>
              <w:rFonts w:ascii="Arial" w:hAnsi="Arial" w:cs="Arial"/>
              <w:color w:val="000000"/>
              <w:sz w:val="28"/>
              <w:szCs w:val="28"/>
            </w:rPr>
          </w:pPr>
          <w:r w:rsidRPr="00A559CF">
            <w:rPr>
              <w:rFonts w:ascii="Arial" w:hAnsi="Arial" w:cs="Arial"/>
              <w:color w:val="000000"/>
              <w:sz w:val="28"/>
              <w:szCs w:val="28"/>
            </w:rPr>
            <w:t>Chapter 22531(a) limits the judicial examination of the National Building rulings on the licensing to the California Supreme Court to major thermal power plants. The review is proprietary, and these appeals cannot be heard by any other judge. Section 22531(b) prohibits the investigation by the Supreme Court to determine if the Tribunal has infringed complainants' rights in accordance with California or federal statutes and prevents judges from investigating objective decisions of the Tribunal.</w:t>
          </w:r>
        </w:p>
        <w:p w14:paraId="36CCC87B" w14:textId="77777777" w:rsidR="00786992" w:rsidRPr="00A559CF" w:rsidRDefault="00786992" w:rsidP="00786992">
          <w:pPr>
            <w:spacing w:line="360" w:lineRule="auto"/>
            <w:jc w:val="both"/>
            <w:rPr>
              <w:rFonts w:ascii="Arial" w:hAnsi="Arial" w:cs="Arial"/>
              <w:color w:val="000000"/>
              <w:sz w:val="28"/>
              <w:szCs w:val="28"/>
            </w:rPr>
          </w:pPr>
          <w:r w:rsidRPr="00A559CF">
            <w:rPr>
              <w:rFonts w:ascii="Arial" w:hAnsi="Arial" w:cs="Arial"/>
              <w:color w:val="000000"/>
              <w:sz w:val="28"/>
              <w:szCs w:val="28"/>
            </w:rPr>
            <w:t>Sections 22531 were opposed by two non-profit ecological organizations.  The plaintiffs submitted that (1) Section 25531(a) limited the inferior and appeal courts' authority unlawfully and (2) Section 25531(b) limited unlawfully the capacity of the Court to examine the evidence of such proceedings.</w:t>
          </w:r>
        </w:p>
        <w:p w14:paraId="6933F949" w14:textId="77777777" w:rsidR="00786992" w:rsidRPr="00A559CF" w:rsidRDefault="00786992" w:rsidP="00786992">
          <w:pPr>
            <w:spacing w:line="360" w:lineRule="auto"/>
            <w:jc w:val="both"/>
            <w:rPr>
              <w:rFonts w:ascii="Arial" w:hAnsi="Arial" w:cs="Arial"/>
              <w:color w:val="000000"/>
              <w:sz w:val="28"/>
              <w:szCs w:val="28"/>
            </w:rPr>
          </w:pPr>
          <w:r w:rsidRPr="00A559CF">
            <w:rPr>
              <w:rFonts w:ascii="Arial" w:hAnsi="Arial" w:cs="Arial"/>
              <w:color w:val="000000"/>
              <w:sz w:val="28"/>
              <w:szCs w:val="28"/>
            </w:rPr>
            <w:t>Segment 25531(a)</w:t>
          </w:r>
        </w:p>
        <w:p w14:paraId="09EF6739" w14:textId="77777777" w:rsidR="00786992" w:rsidRPr="00A559CF" w:rsidRDefault="00786992" w:rsidP="00786992">
          <w:pPr>
            <w:spacing w:line="360" w:lineRule="auto"/>
            <w:jc w:val="both"/>
            <w:rPr>
              <w:rFonts w:ascii="Arial" w:hAnsi="Arial" w:cs="Arial"/>
              <w:color w:val="000000"/>
              <w:sz w:val="28"/>
              <w:szCs w:val="28"/>
            </w:rPr>
          </w:pPr>
          <w:r w:rsidRPr="00A559CF">
            <w:rPr>
              <w:rFonts w:ascii="Arial" w:hAnsi="Arial" w:cs="Arial"/>
              <w:color w:val="000000"/>
              <w:sz w:val="28"/>
              <w:szCs w:val="28"/>
            </w:rPr>
            <w:t>The Court of Appeal ruled that Article 25531(a) breached the California Charter as it unconstitutionally transferred the authority of lower courts. The Court depended on law and precedent that, until a further rule of the Constitution authorizes the Legislature to do so, courts could not be divested from their initial authority conferred by Article VI, sections 10 of the California Constitutional.  Section 10 of Article VI shall deal with initial competence in the Supreme Court, appellate courts, and superior courts in matters requiring exceptional relief, like mandamus pleas and ban (Majid, 2018).</w:t>
          </w:r>
        </w:p>
        <w:p w14:paraId="4057B94B" w14:textId="77777777" w:rsidR="00786992" w:rsidRPr="00A559CF" w:rsidRDefault="00786992" w:rsidP="00786992">
          <w:pPr>
            <w:spacing w:line="360" w:lineRule="auto"/>
            <w:jc w:val="center"/>
            <w:rPr>
              <w:rFonts w:ascii="Arial" w:hAnsi="Arial" w:cs="Arial"/>
              <w:i/>
              <w:iCs/>
              <w:color w:val="000000"/>
              <w:sz w:val="28"/>
              <w:szCs w:val="28"/>
            </w:rPr>
          </w:pPr>
          <w:r w:rsidRPr="00A559CF">
            <w:rPr>
              <w:rFonts w:ascii="Arial" w:hAnsi="Arial" w:cs="Arial"/>
              <w:i/>
              <w:iCs/>
              <w:color w:val="000000"/>
              <w:sz w:val="28"/>
              <w:szCs w:val="28"/>
            </w:rPr>
            <w:lastRenderedPageBreak/>
            <w:t>The above analysis shows that it is difficult for Norton Solutions to prove the argument because the judicial decision is based on legal requirements. It is not authentic proofs for claiming that West Cross pic is incompetent.</w:t>
          </w:r>
        </w:p>
        <w:p w14:paraId="329CB133" w14:textId="77777777" w:rsidR="005B0D49" w:rsidRDefault="005B0D49" w:rsidP="00786992">
          <w:pPr>
            <w:spacing w:line="360" w:lineRule="auto"/>
            <w:jc w:val="center"/>
            <w:rPr>
              <w:rFonts w:ascii="Arial" w:hAnsi="Arial" w:cs="Arial"/>
              <w:b/>
              <w:bCs/>
              <w:color w:val="000000"/>
              <w:sz w:val="28"/>
              <w:szCs w:val="28"/>
            </w:rPr>
          </w:pPr>
        </w:p>
        <w:p w14:paraId="006C45F2" w14:textId="6E905869" w:rsidR="00786992" w:rsidRPr="00A559CF" w:rsidRDefault="00786992" w:rsidP="00786992">
          <w:pPr>
            <w:spacing w:line="360" w:lineRule="auto"/>
            <w:jc w:val="center"/>
            <w:rPr>
              <w:rFonts w:ascii="Arial" w:hAnsi="Arial" w:cs="Arial"/>
              <w:b/>
              <w:bCs/>
              <w:color w:val="000000"/>
              <w:sz w:val="28"/>
              <w:szCs w:val="28"/>
            </w:rPr>
          </w:pPr>
          <w:r w:rsidRPr="00A559CF">
            <w:rPr>
              <w:rFonts w:ascii="Arial" w:hAnsi="Arial" w:cs="Arial"/>
              <w:b/>
              <w:bCs/>
              <w:color w:val="000000"/>
              <w:sz w:val="28"/>
              <w:szCs w:val="28"/>
            </w:rPr>
            <w:t>(B)</w:t>
          </w:r>
        </w:p>
        <w:p w14:paraId="54C40445" w14:textId="77777777" w:rsidR="00786992" w:rsidRPr="00A559CF" w:rsidRDefault="00786992" w:rsidP="00786992">
          <w:pPr>
            <w:spacing w:line="360" w:lineRule="auto"/>
            <w:jc w:val="both"/>
            <w:rPr>
              <w:rFonts w:ascii="Arial" w:hAnsi="Arial" w:cs="Arial"/>
              <w:color w:val="000000"/>
              <w:sz w:val="28"/>
              <w:szCs w:val="28"/>
            </w:rPr>
          </w:pPr>
          <w:r w:rsidRPr="00A559CF">
            <w:rPr>
              <w:rFonts w:ascii="Arial" w:hAnsi="Arial" w:cs="Arial"/>
              <w:color w:val="000000"/>
              <w:sz w:val="28"/>
              <w:szCs w:val="28"/>
            </w:rPr>
            <w:t xml:space="preserve">Natural reserve trust has concerns that the news of issuing a license is not published on all media platforms. The question is if they can claim against the judicial decision. Following analysis is related to the question. </w:t>
          </w:r>
        </w:p>
        <w:p w14:paraId="7EE49D1C" w14:textId="2DFC66E5" w:rsidR="00786992" w:rsidRPr="00A559CF" w:rsidRDefault="00786992" w:rsidP="00786992">
          <w:pPr>
            <w:spacing w:line="360" w:lineRule="auto"/>
            <w:jc w:val="both"/>
            <w:rPr>
              <w:rFonts w:ascii="Arial" w:hAnsi="Arial" w:cs="Arial"/>
              <w:color w:val="000000"/>
              <w:sz w:val="28"/>
              <w:szCs w:val="28"/>
            </w:rPr>
          </w:pPr>
          <w:r w:rsidRPr="00A559CF">
            <w:rPr>
              <w:rFonts w:ascii="Arial" w:hAnsi="Arial" w:cs="Arial"/>
              <w:color w:val="000000"/>
              <w:sz w:val="28"/>
              <w:szCs w:val="28"/>
            </w:rPr>
            <w:t xml:space="preserve">The first reason to talk about is 'criminalization.' This basis is interpreted as implying 'that the decision-maker should adequately interpret and implement the law that controls his decision-making capacity. </w:t>
          </w:r>
        </w:p>
        <w:p w14:paraId="4AD40DCE" w14:textId="79D71B5A" w:rsidR="005B0D49" w:rsidRPr="00A559CF" w:rsidRDefault="005B0D49" w:rsidP="005B0D49">
          <w:pPr>
            <w:spacing w:line="360" w:lineRule="auto"/>
            <w:jc w:val="both"/>
            <w:rPr>
              <w:rFonts w:ascii="Arial" w:hAnsi="Arial" w:cs="Arial"/>
              <w:color w:val="000000"/>
              <w:sz w:val="28"/>
              <w:szCs w:val="28"/>
            </w:rPr>
          </w:pPr>
          <w:r w:rsidRPr="00A559CF">
            <w:rPr>
              <w:rFonts w:ascii="Arial" w:hAnsi="Arial" w:cs="Arial"/>
              <w:color w:val="000000"/>
              <w:sz w:val="28"/>
              <w:szCs w:val="28"/>
            </w:rPr>
            <w:t xml:space="preserve">The case that we can use as a means of advice is of Ahmed </w:t>
          </w:r>
          <w:proofErr w:type="spellStart"/>
          <w:r w:rsidRPr="00A559CF">
            <w:rPr>
              <w:rFonts w:ascii="Arial" w:hAnsi="Arial" w:cs="Arial"/>
              <w:color w:val="000000"/>
              <w:sz w:val="28"/>
              <w:szCs w:val="28"/>
            </w:rPr>
            <w:t>Saddique</w:t>
          </w:r>
          <w:proofErr w:type="spellEnd"/>
          <w:r w:rsidRPr="00A559CF">
            <w:rPr>
              <w:rFonts w:ascii="Arial" w:hAnsi="Arial" w:cs="Arial"/>
              <w:color w:val="000000"/>
              <w:sz w:val="28"/>
              <w:szCs w:val="28"/>
            </w:rPr>
            <w:t xml:space="preserve">, who was denied an ammonium nitrate licence. We would question the decisions and steps when the policymaker has not taken these aspects into accounts.  The first topic is essential and unrelated factors. Under this category, the vocabulary of reason can often be overlapped, because deciding in the context of a specific concern will lead to making any decision with a mistaken intent. </w:t>
          </w:r>
        </w:p>
        <w:p w14:paraId="4BEB0071" w14:textId="44227B0B" w:rsidR="005B0D49" w:rsidRDefault="005B0D49" w:rsidP="005B0D49">
          <w:pPr>
            <w:pStyle w:val="NoSpacing"/>
            <w:tabs>
              <w:tab w:val="left" w:pos="2970"/>
            </w:tabs>
            <w:rPr>
              <w:sz w:val="28"/>
              <w:szCs w:val="28"/>
            </w:rPr>
          </w:pPr>
        </w:p>
        <w:p w14:paraId="18A506A5" w14:textId="38B9D346" w:rsidR="009529E2" w:rsidRPr="00A559CF" w:rsidRDefault="00083524" w:rsidP="00A559CF">
          <w:pPr>
            <w:pStyle w:val="NoSpacing"/>
            <w:jc w:val="right"/>
            <w:rPr>
              <w:color w:val="FFFFFF" w:themeColor="background1"/>
              <w:sz w:val="28"/>
              <w:szCs w:val="28"/>
            </w:rPr>
          </w:pPr>
          <w:r w:rsidRPr="005B0D49">
            <w:br w:type="page"/>
          </w:r>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1-01-01T00:00:00Z">
                <w:dateFormat w:val="M/d/yyyy"/>
                <w:lid w:val="en-US"/>
                <w:storeMappedDataAs w:val="dateTime"/>
                <w:calendar w:val="gregorian"/>
              </w:date>
            </w:sdtPr>
            <w:sdtEndPr/>
            <w:sdtContent>
              <w:r w:rsidR="00A559CF" w:rsidRPr="00A559CF">
                <w:rPr>
                  <w:color w:val="FFFFFF" w:themeColor="background1"/>
                  <w:sz w:val="28"/>
                  <w:szCs w:val="28"/>
                </w:rPr>
                <w:t xml:space="preserve">     </w:t>
              </w:r>
            </w:sdtContent>
          </w:sdt>
        </w:p>
      </w:sdtContent>
    </w:sdt>
    <w:bookmarkStart w:id="2" w:name="_gjdgxs" w:colFirst="0" w:colLast="0" w:displacedByCustomXml="prev"/>
    <w:bookmarkEnd w:id="2" w:displacedByCustomXml="prev"/>
    <w:bookmarkEnd w:id="0" w:displacedByCustomXml="prev"/>
    <w:bookmarkEnd w:id="1" w:displacedByCustomXml="prev"/>
    <w:p w14:paraId="3B183CDD" w14:textId="77777777" w:rsidR="00E24DB4" w:rsidRPr="00A559CF" w:rsidRDefault="00E24DB4" w:rsidP="00E24DB4">
      <w:pPr>
        <w:spacing w:line="360" w:lineRule="auto"/>
        <w:jc w:val="both"/>
        <w:rPr>
          <w:rFonts w:ascii="Arial" w:hAnsi="Arial" w:cs="Arial"/>
          <w:color w:val="000000"/>
          <w:sz w:val="28"/>
          <w:szCs w:val="28"/>
        </w:rPr>
      </w:pPr>
      <w:r w:rsidRPr="00A559CF">
        <w:rPr>
          <w:rFonts w:ascii="Arial" w:hAnsi="Arial" w:cs="Arial"/>
          <w:color w:val="000000"/>
          <w:sz w:val="28"/>
          <w:szCs w:val="28"/>
        </w:rPr>
        <w:t>Instances on how the judiciary addresses issues of consideration regarding the provisions of the ruling statute are important [through the instructive legislation]. [6] A lead cases of the Welcome Structure poses questions about consideration of unrelated considerations, where the Minister's authority in licensing medications took note of concerns such as protection and potency of the drugs used, but not of the medication registration marks on which a license had been granted. [7] The argument before the court was then if, taken without reference to the labels, the determination to grant licences had violated the appropriate factor as was, in consequence, ultra vires of the statute.</w:t>
      </w:r>
    </w:p>
    <w:p w14:paraId="2BE3B883" w14:textId="77777777" w:rsidR="00E24DB4" w:rsidRPr="00A559CF" w:rsidRDefault="00E24DB4" w:rsidP="00E24DB4">
      <w:pPr>
        <w:spacing w:line="360" w:lineRule="auto"/>
        <w:jc w:val="both"/>
        <w:rPr>
          <w:rFonts w:ascii="Arial" w:hAnsi="Arial" w:cs="Arial"/>
          <w:color w:val="000000"/>
          <w:sz w:val="28"/>
          <w:szCs w:val="28"/>
        </w:rPr>
      </w:pPr>
      <w:r w:rsidRPr="00A559CF">
        <w:rPr>
          <w:rFonts w:ascii="Arial" w:hAnsi="Arial" w:cs="Arial"/>
          <w:color w:val="000000"/>
          <w:sz w:val="28"/>
          <w:szCs w:val="28"/>
        </w:rPr>
        <w:t xml:space="preserve">The court of appeals Sir John </w:t>
      </w:r>
      <w:proofErr w:type="spellStart"/>
      <w:r w:rsidRPr="00A559CF">
        <w:rPr>
          <w:rFonts w:ascii="Arial" w:hAnsi="Arial" w:cs="Arial"/>
          <w:color w:val="000000"/>
          <w:sz w:val="28"/>
          <w:szCs w:val="28"/>
        </w:rPr>
        <w:t>Donalson</w:t>
      </w:r>
      <w:proofErr w:type="spellEnd"/>
      <w:r w:rsidRPr="00A559CF">
        <w:rPr>
          <w:rFonts w:ascii="Arial" w:hAnsi="Arial" w:cs="Arial"/>
          <w:color w:val="000000"/>
          <w:sz w:val="28"/>
          <w:szCs w:val="28"/>
        </w:rPr>
        <w:t xml:space="preserve"> MR observed that although brand privileges arising from statutes were particular legal protections, the State Government had neither ability nor the means to create these rights (Andrew, 2018). Furthermore, the Act in which the judgment was made dealt with medication control, potency, and effectiveness were reported to indicate that there was no suggestion that the Legislature wished to take into considerations the exclusive interests of persons. The Attorney-general has exerted his power of influence that ammonium nitrate is now known as a "regulated drug" as a 'experiencing home-produced bombs' in Rule 5 of the Law of 2009.</w:t>
      </w:r>
    </w:p>
    <w:p w14:paraId="5A2A4557" w14:textId="77777777" w:rsidR="00E24DB4" w:rsidRPr="00A559CF" w:rsidRDefault="00E24DB4" w:rsidP="00E24DB4">
      <w:pPr>
        <w:spacing w:line="360" w:lineRule="auto"/>
        <w:jc w:val="both"/>
        <w:rPr>
          <w:rFonts w:ascii="Arial" w:hAnsi="Arial" w:cs="Arial"/>
          <w:color w:val="000000"/>
          <w:sz w:val="28"/>
          <w:szCs w:val="28"/>
        </w:rPr>
      </w:pPr>
      <w:r w:rsidRPr="00A559CF">
        <w:rPr>
          <w:rFonts w:ascii="Arial" w:hAnsi="Arial" w:cs="Arial"/>
          <w:color w:val="000000"/>
          <w:sz w:val="28"/>
          <w:szCs w:val="28"/>
        </w:rPr>
        <w:t>Even so, the specific reason for obtaining a license was to convey the material and other products to local contract growing companies on the grounds that they are a 'common fertilizer.' Besides, its experience in 'ordinary' management of the drug before the ban and the credentials of 'fifteen years' on transportation of products led to a thriving transportation sector.</w:t>
      </w:r>
    </w:p>
    <w:p w14:paraId="22B30CF3" w14:textId="77777777" w:rsidR="00E24DB4" w:rsidRPr="00A559CF" w:rsidRDefault="00E24DB4" w:rsidP="00E24DB4">
      <w:pPr>
        <w:spacing w:line="360" w:lineRule="auto"/>
        <w:jc w:val="both"/>
        <w:rPr>
          <w:rFonts w:ascii="Arial" w:hAnsi="Arial" w:cs="Arial"/>
          <w:color w:val="000000"/>
          <w:sz w:val="28"/>
          <w:szCs w:val="28"/>
        </w:rPr>
      </w:pPr>
      <w:r w:rsidRPr="00A559CF">
        <w:rPr>
          <w:rFonts w:ascii="Arial" w:hAnsi="Arial" w:cs="Arial"/>
          <w:color w:val="000000"/>
          <w:sz w:val="28"/>
          <w:szCs w:val="28"/>
        </w:rPr>
        <w:lastRenderedPageBreak/>
        <w:t xml:space="preserve">The Section of Defence is obliged to consider whether the candidate has adequate credentials and experience in handling the regulated substances in accordance with EISA2005 s 15(C). </w:t>
      </w:r>
      <w:proofErr w:type="spellStart"/>
      <w:r w:rsidRPr="00A559CF">
        <w:rPr>
          <w:rFonts w:ascii="Arial" w:hAnsi="Arial" w:cs="Arial"/>
          <w:color w:val="000000"/>
          <w:sz w:val="28"/>
          <w:szCs w:val="28"/>
        </w:rPr>
        <w:t>Saddique</w:t>
      </w:r>
      <w:proofErr w:type="spellEnd"/>
      <w:r w:rsidRPr="00A559CF">
        <w:rPr>
          <w:rFonts w:ascii="Arial" w:hAnsi="Arial" w:cs="Arial"/>
          <w:color w:val="000000"/>
          <w:sz w:val="28"/>
          <w:szCs w:val="28"/>
        </w:rPr>
        <w:t xml:space="preserve"> can argue that the Section of Defence did not attach priority to factors of granting a license that motivated the decision [that also] was incidental to the legal context</w:t>
      </w:r>
    </w:p>
    <w:p w14:paraId="4A0480CC" w14:textId="77777777" w:rsidR="00E24DB4" w:rsidRPr="00A559CF" w:rsidRDefault="00E24DB4" w:rsidP="00E24DB4">
      <w:pPr>
        <w:spacing w:line="360" w:lineRule="auto"/>
        <w:jc w:val="center"/>
        <w:rPr>
          <w:rFonts w:ascii="Arial" w:hAnsi="Arial" w:cs="Arial"/>
          <w:i/>
          <w:iCs/>
          <w:color w:val="000000"/>
          <w:sz w:val="28"/>
          <w:szCs w:val="28"/>
        </w:rPr>
      </w:pPr>
      <w:r w:rsidRPr="00A559CF">
        <w:rPr>
          <w:rFonts w:ascii="Arial" w:hAnsi="Arial" w:cs="Arial"/>
          <w:i/>
          <w:iCs/>
          <w:color w:val="000000"/>
          <w:sz w:val="28"/>
          <w:szCs w:val="28"/>
        </w:rPr>
        <w:t>The analysis shows that natural trust reserve can ask for judicial review based on not following the procedure.</w:t>
      </w:r>
    </w:p>
    <w:p w14:paraId="4E63DCB2" w14:textId="29CDE6A1" w:rsidR="00B61B7B" w:rsidRPr="00A559CF" w:rsidRDefault="00B61B7B">
      <w:pPr>
        <w:rPr>
          <w:sz w:val="28"/>
          <w:szCs w:val="28"/>
        </w:rPr>
      </w:pPr>
    </w:p>
    <w:p w14:paraId="5B158421" w14:textId="637AD76E" w:rsidR="00E24DB4" w:rsidRPr="00A559CF" w:rsidRDefault="00E24DB4">
      <w:pPr>
        <w:rPr>
          <w:sz w:val="28"/>
          <w:szCs w:val="28"/>
        </w:rPr>
      </w:pPr>
    </w:p>
    <w:p w14:paraId="45A540E5" w14:textId="77777777" w:rsidR="00E24DB4" w:rsidRPr="00A559CF" w:rsidRDefault="00E24DB4" w:rsidP="00E24DB4">
      <w:pPr>
        <w:spacing w:line="360" w:lineRule="auto"/>
        <w:rPr>
          <w:rFonts w:ascii="Arial" w:hAnsi="Arial" w:cs="Arial"/>
          <w:b/>
          <w:bCs/>
          <w:color w:val="000000"/>
          <w:sz w:val="28"/>
          <w:szCs w:val="28"/>
          <w:u w:val="single"/>
        </w:rPr>
      </w:pPr>
      <w:r w:rsidRPr="00A559CF">
        <w:rPr>
          <w:rFonts w:ascii="Arial" w:hAnsi="Arial" w:cs="Arial"/>
          <w:b/>
          <w:bCs/>
          <w:color w:val="000000"/>
          <w:sz w:val="28"/>
          <w:szCs w:val="28"/>
          <w:u w:val="single"/>
        </w:rPr>
        <w:t>References:</w:t>
      </w:r>
    </w:p>
    <w:p w14:paraId="6FB765C8" w14:textId="77777777" w:rsidR="00E24DB4" w:rsidRPr="00A559CF" w:rsidRDefault="00E24DB4" w:rsidP="00E24DB4">
      <w:pPr>
        <w:spacing w:line="360" w:lineRule="auto"/>
        <w:ind w:left="720"/>
        <w:jc w:val="both"/>
        <w:rPr>
          <w:rFonts w:ascii="Arial" w:hAnsi="Arial" w:cs="Arial"/>
          <w:color w:val="000000"/>
          <w:sz w:val="28"/>
          <w:szCs w:val="28"/>
        </w:rPr>
      </w:pPr>
      <w:r w:rsidRPr="00A559CF">
        <w:rPr>
          <w:rFonts w:ascii="Arial" w:hAnsi="Arial" w:cs="Arial"/>
          <w:color w:val="000000"/>
          <w:sz w:val="28"/>
          <w:szCs w:val="28"/>
        </w:rPr>
        <w:t>Andrew, T. (2018). Defamation, Privacy and Aspects of Reputation..</w:t>
      </w:r>
      <w:proofErr w:type="spellStart"/>
      <w:r w:rsidRPr="00A559CF">
        <w:rPr>
          <w:rFonts w:ascii="Arial" w:hAnsi="Arial" w:cs="Arial"/>
          <w:color w:val="000000"/>
          <w:sz w:val="28"/>
          <w:szCs w:val="28"/>
        </w:rPr>
        <w:t>Osgoode</w:t>
      </w:r>
      <w:proofErr w:type="spellEnd"/>
      <w:r w:rsidRPr="00A559CF">
        <w:rPr>
          <w:rFonts w:ascii="Arial" w:hAnsi="Arial" w:cs="Arial"/>
          <w:color w:val="000000"/>
          <w:sz w:val="28"/>
          <w:szCs w:val="28"/>
        </w:rPr>
        <w:t xml:space="preserve"> Hall LJ 56, 59.</w:t>
      </w:r>
    </w:p>
    <w:p w14:paraId="69C8ACA1" w14:textId="77777777" w:rsidR="00E24DB4" w:rsidRPr="00A559CF" w:rsidRDefault="00E24DB4" w:rsidP="00E24DB4">
      <w:pPr>
        <w:spacing w:line="360" w:lineRule="auto"/>
        <w:ind w:left="720"/>
        <w:jc w:val="both"/>
        <w:rPr>
          <w:rFonts w:ascii="Arial" w:hAnsi="Arial" w:cs="Arial"/>
          <w:color w:val="000000"/>
          <w:sz w:val="28"/>
          <w:szCs w:val="28"/>
        </w:rPr>
      </w:pPr>
      <w:r w:rsidRPr="00A559CF">
        <w:rPr>
          <w:rFonts w:ascii="Arial" w:hAnsi="Arial" w:cs="Arial"/>
          <w:color w:val="000000"/>
          <w:sz w:val="28"/>
          <w:szCs w:val="28"/>
        </w:rPr>
        <w:t>Carlo, T. (2018). Judicial review of harmonized standards: changing the paradigms of legality and legitimacy of private rulemaking under EU law. Common Market Law Review 55 (4).</w:t>
      </w:r>
    </w:p>
    <w:p w14:paraId="529389CF" w14:textId="77777777" w:rsidR="00E24DB4" w:rsidRPr="00A559CF" w:rsidRDefault="00E24DB4" w:rsidP="00E24DB4">
      <w:pPr>
        <w:spacing w:line="360" w:lineRule="auto"/>
        <w:ind w:left="720"/>
        <w:jc w:val="both"/>
        <w:rPr>
          <w:rFonts w:ascii="Arial" w:hAnsi="Arial" w:cs="Arial"/>
          <w:color w:val="000000"/>
          <w:sz w:val="28"/>
          <w:szCs w:val="28"/>
        </w:rPr>
      </w:pPr>
      <w:r w:rsidRPr="00A559CF">
        <w:rPr>
          <w:rFonts w:ascii="Arial" w:hAnsi="Arial" w:cs="Arial"/>
          <w:color w:val="000000"/>
          <w:sz w:val="28"/>
          <w:szCs w:val="28"/>
        </w:rPr>
        <w:t>Charles, G. (2018). Populism and central bank independence. Open Economies Review 29 (1), 49-68.</w:t>
      </w:r>
    </w:p>
    <w:p w14:paraId="011AA491" w14:textId="77777777" w:rsidR="00E24DB4" w:rsidRPr="00A559CF" w:rsidRDefault="00E24DB4" w:rsidP="00E24DB4">
      <w:pPr>
        <w:spacing w:line="360" w:lineRule="auto"/>
        <w:ind w:left="720"/>
        <w:jc w:val="both"/>
        <w:rPr>
          <w:rFonts w:ascii="Arial" w:hAnsi="Arial" w:cs="Arial"/>
          <w:color w:val="000000"/>
          <w:sz w:val="28"/>
          <w:szCs w:val="28"/>
        </w:rPr>
      </w:pPr>
      <w:r w:rsidRPr="00A559CF">
        <w:rPr>
          <w:rFonts w:ascii="Arial" w:hAnsi="Arial" w:cs="Arial"/>
          <w:color w:val="000000"/>
          <w:sz w:val="28"/>
          <w:szCs w:val="28"/>
        </w:rPr>
        <w:t>Majid, Y. (2018). A failure to regulate? The demands and dilemmas of tackling illegal content and behaviour on social media. International Journal of Cybersecurity Intelligence &amp; Cybercrime 1 (1), 5-20.</w:t>
      </w:r>
    </w:p>
    <w:p w14:paraId="7AA770F2" w14:textId="76280465" w:rsidR="00E24DB4" w:rsidRPr="00A559CF" w:rsidRDefault="00E24DB4" w:rsidP="00E24DB4">
      <w:pPr>
        <w:rPr>
          <w:sz w:val="28"/>
          <w:szCs w:val="28"/>
        </w:rPr>
      </w:pPr>
      <w:r w:rsidRPr="00A559CF">
        <w:rPr>
          <w:rFonts w:ascii="Arial" w:hAnsi="Arial" w:cs="Arial"/>
          <w:color w:val="000000"/>
          <w:sz w:val="28"/>
          <w:szCs w:val="28"/>
        </w:rPr>
        <w:t xml:space="preserve">Michael, D. (2018). Defamatory Capacity in the Digital </w:t>
      </w:r>
      <w:proofErr w:type="spellStart"/>
      <w:r w:rsidRPr="00A559CF">
        <w:rPr>
          <w:rFonts w:ascii="Arial" w:hAnsi="Arial" w:cs="Arial"/>
          <w:color w:val="000000"/>
          <w:sz w:val="28"/>
          <w:szCs w:val="28"/>
        </w:rPr>
        <w:t>Age..Tort</w:t>
      </w:r>
      <w:proofErr w:type="spellEnd"/>
      <w:r w:rsidRPr="00A559CF">
        <w:rPr>
          <w:rFonts w:ascii="Arial" w:hAnsi="Arial" w:cs="Arial"/>
          <w:color w:val="000000"/>
          <w:sz w:val="28"/>
          <w:szCs w:val="28"/>
        </w:rPr>
        <w:t xml:space="preserve"> Law Review</w:t>
      </w:r>
    </w:p>
    <w:p w14:paraId="48134A9D" w14:textId="77777777" w:rsidR="00E24DB4" w:rsidRPr="00A559CF" w:rsidRDefault="00E24DB4">
      <w:pPr>
        <w:rPr>
          <w:sz w:val="28"/>
          <w:szCs w:val="28"/>
        </w:rPr>
      </w:pPr>
    </w:p>
    <w:p w14:paraId="681669ED" w14:textId="77777777" w:rsidR="00B61B7B" w:rsidRDefault="00B61B7B">
      <w:pPr>
        <w:jc w:val="center"/>
        <w:rPr>
          <w:color w:val="000000"/>
          <w:sz w:val="24"/>
          <w:szCs w:val="24"/>
          <w:u w:val="single"/>
        </w:rPr>
      </w:pPr>
    </w:p>
    <w:sectPr w:rsidR="00B61B7B">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007C8"/>
    <w:multiLevelType w:val="hybridMultilevel"/>
    <w:tmpl w:val="8542C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6130A7"/>
    <w:multiLevelType w:val="hybridMultilevel"/>
    <w:tmpl w:val="9E161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2F1FF4"/>
    <w:multiLevelType w:val="hybridMultilevel"/>
    <w:tmpl w:val="3790DB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3875D7"/>
    <w:multiLevelType w:val="hybridMultilevel"/>
    <w:tmpl w:val="276A7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CA3007"/>
    <w:multiLevelType w:val="hybridMultilevel"/>
    <w:tmpl w:val="A5DEC84E"/>
    <w:lvl w:ilvl="0" w:tplc="04090019">
      <w:start w:val="1"/>
      <w:numFmt w:val="lowerLetter"/>
      <w:lvlText w:val="%1."/>
      <w:lvlJc w:val="left"/>
      <w:pPr>
        <w:ind w:left="765" w:hanging="360"/>
      </w:pPr>
    </w:lvl>
    <w:lvl w:ilvl="1" w:tplc="04090019">
      <w:start w:val="1"/>
      <w:numFmt w:val="lowerLetter"/>
      <w:lvlText w:val="%2."/>
      <w:lvlJc w:val="left"/>
      <w:pPr>
        <w:ind w:left="1485" w:hanging="360"/>
      </w:pPr>
    </w:lvl>
    <w:lvl w:ilvl="2" w:tplc="0409001B">
      <w:start w:val="1"/>
      <w:numFmt w:val="lowerRoman"/>
      <w:lvlText w:val="%3."/>
      <w:lvlJc w:val="right"/>
      <w:pPr>
        <w:ind w:left="2205" w:hanging="180"/>
      </w:pPr>
    </w:lvl>
    <w:lvl w:ilvl="3" w:tplc="0409000F">
      <w:start w:val="1"/>
      <w:numFmt w:val="decimal"/>
      <w:lvlText w:val="%4."/>
      <w:lvlJc w:val="left"/>
      <w:pPr>
        <w:ind w:left="2925" w:hanging="360"/>
      </w:pPr>
    </w:lvl>
    <w:lvl w:ilvl="4" w:tplc="04090019">
      <w:start w:val="1"/>
      <w:numFmt w:val="lowerLetter"/>
      <w:lvlText w:val="%5."/>
      <w:lvlJc w:val="left"/>
      <w:pPr>
        <w:ind w:left="3645" w:hanging="360"/>
      </w:pPr>
    </w:lvl>
    <w:lvl w:ilvl="5" w:tplc="0409001B">
      <w:start w:val="1"/>
      <w:numFmt w:val="lowerRoman"/>
      <w:lvlText w:val="%6."/>
      <w:lvlJc w:val="right"/>
      <w:pPr>
        <w:ind w:left="4365" w:hanging="180"/>
      </w:pPr>
    </w:lvl>
    <w:lvl w:ilvl="6" w:tplc="0409000F">
      <w:start w:val="1"/>
      <w:numFmt w:val="decimal"/>
      <w:lvlText w:val="%7."/>
      <w:lvlJc w:val="left"/>
      <w:pPr>
        <w:ind w:left="5085" w:hanging="360"/>
      </w:pPr>
    </w:lvl>
    <w:lvl w:ilvl="7" w:tplc="04090019">
      <w:start w:val="1"/>
      <w:numFmt w:val="lowerLetter"/>
      <w:lvlText w:val="%8."/>
      <w:lvlJc w:val="left"/>
      <w:pPr>
        <w:ind w:left="5805" w:hanging="360"/>
      </w:pPr>
    </w:lvl>
    <w:lvl w:ilvl="8" w:tplc="0409001B">
      <w:start w:val="1"/>
      <w:numFmt w:val="lowerRoman"/>
      <w:lvlText w:val="%9."/>
      <w:lvlJc w:val="right"/>
      <w:pPr>
        <w:ind w:left="6525" w:hanging="180"/>
      </w:pPr>
    </w:lvl>
  </w:abstractNum>
  <w:num w:numId="1">
    <w:abstractNumId w:val="3"/>
  </w:num>
  <w:num w:numId="2">
    <w:abstractNumId w:val="0"/>
  </w:num>
  <w:num w:numId="3">
    <w:abstractNumId w:val="1"/>
  </w:num>
  <w:num w:numId="4">
    <w:abstractNumId w:val="2"/>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1B7B"/>
    <w:rsid w:val="00061447"/>
    <w:rsid w:val="0008333E"/>
    <w:rsid w:val="00083524"/>
    <w:rsid w:val="00087A92"/>
    <w:rsid w:val="00092272"/>
    <w:rsid w:val="000A5E16"/>
    <w:rsid w:val="000B4DBA"/>
    <w:rsid w:val="001313E1"/>
    <w:rsid w:val="00160A00"/>
    <w:rsid w:val="001B0692"/>
    <w:rsid w:val="0021516C"/>
    <w:rsid w:val="0023529D"/>
    <w:rsid w:val="002852D3"/>
    <w:rsid w:val="00310799"/>
    <w:rsid w:val="003A32DE"/>
    <w:rsid w:val="00411FB3"/>
    <w:rsid w:val="00432FB7"/>
    <w:rsid w:val="00435840"/>
    <w:rsid w:val="00453E36"/>
    <w:rsid w:val="0048080B"/>
    <w:rsid w:val="00487352"/>
    <w:rsid w:val="005B0D49"/>
    <w:rsid w:val="00603727"/>
    <w:rsid w:val="006957A3"/>
    <w:rsid w:val="00767B5D"/>
    <w:rsid w:val="00786992"/>
    <w:rsid w:val="007B78E5"/>
    <w:rsid w:val="00825D28"/>
    <w:rsid w:val="0083155B"/>
    <w:rsid w:val="009529E2"/>
    <w:rsid w:val="009D537A"/>
    <w:rsid w:val="00A17F20"/>
    <w:rsid w:val="00A559CF"/>
    <w:rsid w:val="00B45B7D"/>
    <w:rsid w:val="00B61B7B"/>
    <w:rsid w:val="00B76F96"/>
    <w:rsid w:val="00C637FD"/>
    <w:rsid w:val="00CA7DC6"/>
    <w:rsid w:val="00CB5D1D"/>
    <w:rsid w:val="00D816B5"/>
    <w:rsid w:val="00E24DB4"/>
    <w:rsid w:val="00F06A90"/>
    <w:rsid w:val="00F32CAC"/>
    <w:rsid w:val="00FA74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7636A"/>
  <w15:docId w15:val="{6A9A6052-AF12-445B-B754-91AFE15A3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rFonts w:ascii="Cambria" w:eastAsia="Cambria" w:hAnsi="Cambria" w:cs="Cambria"/>
      <w:b/>
      <w:color w:val="365F91"/>
      <w:sz w:val="28"/>
      <w:szCs w:val="28"/>
    </w:rPr>
  </w:style>
  <w:style w:type="paragraph" w:styleId="Heading2">
    <w:name w:val="heading 2"/>
    <w:basedOn w:val="Normal"/>
    <w:next w:val="Normal"/>
    <w:uiPriority w:val="9"/>
    <w:semiHidden/>
    <w:unhideWhenUsed/>
    <w:qFormat/>
    <w:pPr>
      <w:keepNext/>
      <w:keepLines/>
      <w:spacing w:before="200" w:after="0"/>
      <w:outlineLvl w:val="1"/>
    </w:pPr>
    <w:rPr>
      <w:rFonts w:ascii="Cambria" w:eastAsia="Cambria" w:hAnsi="Cambria" w:cs="Cambria"/>
      <w:b/>
      <w:color w:val="4F81BD"/>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paragraph" w:styleId="NoSpacing">
    <w:name w:val="No Spacing"/>
    <w:link w:val="NoSpacingChar"/>
    <w:uiPriority w:val="1"/>
    <w:qFormat/>
    <w:rsid w:val="00083524"/>
    <w:pPr>
      <w:spacing w:after="0"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083524"/>
    <w:rPr>
      <w:rFonts w:asciiTheme="minorHAnsi" w:eastAsiaTheme="minorEastAsia" w:hAnsiTheme="minorHAnsi" w:cstheme="minorBidi"/>
      <w:lang w:val="en-US" w:eastAsia="en-US"/>
    </w:rPr>
  </w:style>
  <w:style w:type="table" w:styleId="TableGrid">
    <w:name w:val="Table Grid"/>
    <w:basedOn w:val="TableNormal"/>
    <w:rsid w:val="00083524"/>
    <w:pPr>
      <w:spacing w:after="0" w:line="240" w:lineRule="auto"/>
    </w:pPr>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08352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083524"/>
  </w:style>
  <w:style w:type="character" w:customStyle="1" w:styleId="eop">
    <w:name w:val="eop"/>
    <w:basedOn w:val="DefaultParagraphFont"/>
    <w:rsid w:val="00083524"/>
  </w:style>
  <w:style w:type="paragraph" w:styleId="ListParagraph">
    <w:name w:val="List Paragraph"/>
    <w:basedOn w:val="Normal"/>
    <w:uiPriority w:val="34"/>
    <w:qFormat/>
    <w:rsid w:val="00083524"/>
    <w:pPr>
      <w:spacing w:after="160" w:line="259" w:lineRule="auto"/>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083524"/>
    <w:rPr>
      <w:color w:val="0000FF" w:themeColor="hyperlink"/>
      <w:u w:val="single"/>
    </w:rPr>
  </w:style>
  <w:style w:type="paragraph" w:styleId="TOC1">
    <w:name w:val="toc 1"/>
    <w:basedOn w:val="Normal"/>
    <w:next w:val="Normal"/>
    <w:autoRedefine/>
    <w:uiPriority w:val="39"/>
    <w:unhideWhenUsed/>
    <w:rsid w:val="00061447"/>
    <w:pPr>
      <w:spacing w:before="120" w:after="0"/>
    </w:pPr>
    <w:rPr>
      <w:rFonts w:asciiTheme="minorHAnsi" w:eastAsia="SimSun" w:hAnsiTheme="minorHAnsi" w:cstheme="minorHAnsi"/>
      <w:b/>
      <w:bCs/>
      <w:i/>
      <w:iCs/>
      <w:sz w:val="24"/>
      <w:szCs w:val="24"/>
      <w:lang w:val="en-US" w:eastAsia="zh-CN"/>
    </w:rPr>
  </w:style>
  <w:style w:type="paragraph" w:styleId="TOC2">
    <w:name w:val="toc 2"/>
    <w:basedOn w:val="Normal"/>
    <w:next w:val="Normal"/>
    <w:autoRedefine/>
    <w:uiPriority w:val="39"/>
    <w:unhideWhenUsed/>
    <w:rsid w:val="00061447"/>
    <w:pPr>
      <w:spacing w:before="120" w:after="0"/>
      <w:ind w:left="220"/>
    </w:pPr>
    <w:rPr>
      <w:rFonts w:asciiTheme="minorHAnsi" w:eastAsia="SimSun" w:hAnsiTheme="minorHAnsi" w:cstheme="minorHAnsi"/>
      <w:b/>
      <w:bCs/>
      <w:lang w:val="en-US" w:eastAsia="zh-CN"/>
    </w:rPr>
  </w:style>
  <w:style w:type="paragraph" w:styleId="TOCHeading">
    <w:name w:val="TOC Heading"/>
    <w:basedOn w:val="Heading1"/>
    <w:next w:val="Normal"/>
    <w:uiPriority w:val="39"/>
    <w:unhideWhenUsed/>
    <w:qFormat/>
    <w:rsid w:val="00061447"/>
    <w:pPr>
      <w:outlineLvl w:val="9"/>
    </w:pPr>
    <w:rPr>
      <w:rFonts w:eastAsia="SimSun" w:cs="Times New Roman"/>
      <w:bCs/>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435137">
      <w:bodyDiv w:val="1"/>
      <w:marLeft w:val="0"/>
      <w:marRight w:val="0"/>
      <w:marTop w:val="0"/>
      <w:marBottom w:val="0"/>
      <w:divBdr>
        <w:top w:val="none" w:sz="0" w:space="0" w:color="auto"/>
        <w:left w:val="none" w:sz="0" w:space="0" w:color="auto"/>
        <w:bottom w:val="none" w:sz="0" w:space="0" w:color="auto"/>
        <w:right w:val="none" w:sz="0" w:space="0" w:color="auto"/>
      </w:divBdr>
    </w:div>
    <w:div w:id="414404288">
      <w:bodyDiv w:val="1"/>
      <w:marLeft w:val="0"/>
      <w:marRight w:val="0"/>
      <w:marTop w:val="0"/>
      <w:marBottom w:val="0"/>
      <w:divBdr>
        <w:top w:val="none" w:sz="0" w:space="0" w:color="auto"/>
        <w:left w:val="none" w:sz="0" w:space="0" w:color="auto"/>
        <w:bottom w:val="none" w:sz="0" w:space="0" w:color="auto"/>
        <w:right w:val="none" w:sz="0" w:space="0" w:color="auto"/>
      </w:divBdr>
    </w:div>
    <w:div w:id="588779963">
      <w:bodyDiv w:val="1"/>
      <w:marLeft w:val="0"/>
      <w:marRight w:val="0"/>
      <w:marTop w:val="0"/>
      <w:marBottom w:val="0"/>
      <w:divBdr>
        <w:top w:val="none" w:sz="0" w:space="0" w:color="auto"/>
        <w:left w:val="none" w:sz="0" w:space="0" w:color="auto"/>
        <w:bottom w:val="none" w:sz="0" w:space="0" w:color="auto"/>
        <w:right w:val="none" w:sz="0" w:space="0" w:color="auto"/>
      </w:divBdr>
    </w:div>
    <w:div w:id="648361175">
      <w:bodyDiv w:val="1"/>
      <w:marLeft w:val="0"/>
      <w:marRight w:val="0"/>
      <w:marTop w:val="0"/>
      <w:marBottom w:val="0"/>
      <w:divBdr>
        <w:top w:val="none" w:sz="0" w:space="0" w:color="auto"/>
        <w:left w:val="none" w:sz="0" w:space="0" w:color="auto"/>
        <w:bottom w:val="none" w:sz="0" w:space="0" w:color="auto"/>
        <w:right w:val="none" w:sz="0" w:space="0" w:color="auto"/>
      </w:divBdr>
    </w:div>
    <w:div w:id="831482586">
      <w:bodyDiv w:val="1"/>
      <w:marLeft w:val="0"/>
      <w:marRight w:val="0"/>
      <w:marTop w:val="0"/>
      <w:marBottom w:val="0"/>
      <w:divBdr>
        <w:top w:val="none" w:sz="0" w:space="0" w:color="auto"/>
        <w:left w:val="none" w:sz="0" w:space="0" w:color="auto"/>
        <w:bottom w:val="none" w:sz="0" w:space="0" w:color="auto"/>
        <w:right w:val="none" w:sz="0" w:space="0" w:color="auto"/>
      </w:divBdr>
    </w:div>
    <w:div w:id="1148857958">
      <w:bodyDiv w:val="1"/>
      <w:marLeft w:val="0"/>
      <w:marRight w:val="0"/>
      <w:marTop w:val="0"/>
      <w:marBottom w:val="0"/>
      <w:divBdr>
        <w:top w:val="none" w:sz="0" w:space="0" w:color="auto"/>
        <w:left w:val="none" w:sz="0" w:space="0" w:color="auto"/>
        <w:bottom w:val="none" w:sz="0" w:space="0" w:color="auto"/>
        <w:right w:val="none" w:sz="0" w:space="0" w:color="auto"/>
      </w:divBdr>
    </w:div>
    <w:div w:id="2085255527">
      <w:bodyDiv w:val="1"/>
      <w:marLeft w:val="0"/>
      <w:marRight w:val="0"/>
      <w:marTop w:val="0"/>
      <w:marBottom w:val="0"/>
      <w:divBdr>
        <w:top w:val="none" w:sz="0" w:space="0" w:color="auto"/>
        <w:left w:val="none" w:sz="0" w:space="0" w:color="auto"/>
        <w:bottom w:val="none" w:sz="0" w:space="0" w:color="auto"/>
        <w:right w:val="none" w:sz="0" w:space="0" w:color="auto"/>
      </w:divBdr>
    </w:div>
    <w:div w:id="21268462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2174</Words>
  <Characters>12394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33</cp:revision>
  <dcterms:created xsi:type="dcterms:W3CDTF">2020-11-05T21:43:00Z</dcterms:created>
  <dcterms:modified xsi:type="dcterms:W3CDTF">2021-04-19T19:13:00Z</dcterms:modified>
</cp:coreProperties>
</file>