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763D3" w14:textId="13367561" w:rsidR="002B6A35" w:rsidRDefault="00FD43FB" w:rsidP="00FD43FB">
      <w:pPr>
        <w:pStyle w:val="Title"/>
        <w:jc w:val="center"/>
        <w:rPr>
          <w:rFonts w:ascii="Times New Roman" w:hAnsi="Times New Roman" w:cs="Times New Roman"/>
          <w:b/>
          <w:bCs/>
        </w:rPr>
      </w:pPr>
      <w:r w:rsidRPr="002B6A35">
        <w:rPr>
          <w:rFonts w:ascii="Times New Roman" w:hAnsi="Times New Roman" w:cs="Times New Roman"/>
          <w:b/>
          <w:bCs/>
        </w:rPr>
        <w:t xml:space="preserve">LCBB5005 </w:t>
      </w:r>
    </w:p>
    <w:p w14:paraId="55524070" w14:textId="77777777" w:rsidR="002B6A35" w:rsidRPr="002B6A35" w:rsidRDefault="002B6A35" w:rsidP="002B6A35"/>
    <w:p w14:paraId="12FE33D4" w14:textId="77777777" w:rsidR="002B6A35" w:rsidRPr="002B6A35" w:rsidRDefault="002B6A35" w:rsidP="002B6A35">
      <w:pPr>
        <w:rPr>
          <w:rFonts w:ascii="Times New Roman" w:hAnsi="Times New Roman" w:cs="Times New Roman"/>
          <w:b/>
          <w:bCs/>
        </w:rPr>
      </w:pPr>
    </w:p>
    <w:p w14:paraId="60A87C4B" w14:textId="099C6B27" w:rsidR="00CB4B3A" w:rsidRPr="002B6A35" w:rsidRDefault="00FD43FB" w:rsidP="00FD43FB">
      <w:pPr>
        <w:pStyle w:val="Title"/>
        <w:jc w:val="center"/>
        <w:rPr>
          <w:rFonts w:ascii="Times New Roman" w:hAnsi="Times New Roman" w:cs="Times New Roman"/>
          <w:b/>
          <w:bCs/>
        </w:rPr>
      </w:pPr>
      <w:r w:rsidRPr="002B6A35">
        <w:rPr>
          <w:rFonts w:ascii="Times New Roman" w:hAnsi="Times New Roman" w:cs="Times New Roman"/>
          <w:b/>
          <w:bCs/>
        </w:rPr>
        <w:t>Project Management Assessment</w:t>
      </w:r>
    </w:p>
    <w:p w14:paraId="190EDB7F" w14:textId="6A076150" w:rsidR="00FD43FB" w:rsidRDefault="00FD43FB" w:rsidP="00FD43FB"/>
    <w:p w14:paraId="382D3386" w14:textId="391E6004" w:rsidR="00FD43FB" w:rsidRDefault="00FD43FB" w:rsidP="00FD43FB"/>
    <w:p w14:paraId="5D56461A" w14:textId="51CC4CAE" w:rsidR="00FD43FB" w:rsidRDefault="00FD43FB" w:rsidP="00FD43FB"/>
    <w:p w14:paraId="25A68501" w14:textId="00495062" w:rsidR="00FD43FB" w:rsidRDefault="00FD43FB" w:rsidP="00FD43FB"/>
    <w:p w14:paraId="179D6AFD" w14:textId="1807901E" w:rsidR="00FD43FB" w:rsidRDefault="00FD43FB" w:rsidP="00FD43FB"/>
    <w:p w14:paraId="75308A8A" w14:textId="623FC073" w:rsidR="00FD43FB" w:rsidRDefault="00FD43FB" w:rsidP="00FD43FB"/>
    <w:p w14:paraId="35B7B057" w14:textId="77777777" w:rsidR="002B6A35" w:rsidRDefault="002B6A35" w:rsidP="002B6A35">
      <w:pPr>
        <w:rPr>
          <w:rFonts w:ascii="Times New Roman" w:hAnsi="Times New Roman" w:cs="Times New Roman"/>
          <w:b/>
          <w:bCs/>
          <w:sz w:val="32"/>
          <w:szCs w:val="32"/>
        </w:rPr>
      </w:pPr>
    </w:p>
    <w:p w14:paraId="65F332F4" w14:textId="77777777" w:rsidR="002B6A35" w:rsidRDefault="002B6A35" w:rsidP="002B6A35">
      <w:pPr>
        <w:rPr>
          <w:rFonts w:ascii="Times New Roman" w:hAnsi="Times New Roman" w:cs="Times New Roman"/>
          <w:b/>
          <w:bCs/>
          <w:sz w:val="32"/>
          <w:szCs w:val="32"/>
        </w:rPr>
      </w:pPr>
    </w:p>
    <w:p w14:paraId="3965B071" w14:textId="77777777" w:rsidR="002B6A35" w:rsidRDefault="002B6A35" w:rsidP="002B6A35">
      <w:pPr>
        <w:rPr>
          <w:rFonts w:ascii="Times New Roman" w:hAnsi="Times New Roman" w:cs="Times New Roman"/>
          <w:b/>
          <w:bCs/>
          <w:sz w:val="32"/>
          <w:szCs w:val="32"/>
        </w:rPr>
      </w:pPr>
    </w:p>
    <w:p w14:paraId="03CBFE79" w14:textId="77777777" w:rsidR="002B6A35" w:rsidRDefault="002B6A35" w:rsidP="002B6A35">
      <w:pPr>
        <w:rPr>
          <w:rFonts w:ascii="Times New Roman" w:hAnsi="Times New Roman" w:cs="Times New Roman"/>
          <w:b/>
          <w:bCs/>
          <w:sz w:val="32"/>
          <w:szCs w:val="32"/>
        </w:rPr>
      </w:pPr>
    </w:p>
    <w:p w14:paraId="1EEA56A8" w14:textId="77777777" w:rsidR="002B6A35" w:rsidRDefault="002B6A35" w:rsidP="002B6A35">
      <w:pPr>
        <w:rPr>
          <w:rFonts w:ascii="Times New Roman" w:hAnsi="Times New Roman" w:cs="Times New Roman"/>
          <w:b/>
          <w:bCs/>
          <w:sz w:val="32"/>
          <w:szCs w:val="32"/>
        </w:rPr>
      </w:pPr>
    </w:p>
    <w:p w14:paraId="2BD156AB" w14:textId="77777777" w:rsidR="002B6A35" w:rsidRPr="002B6A35" w:rsidRDefault="002B6A35" w:rsidP="002B6A35">
      <w:pPr>
        <w:rPr>
          <w:rFonts w:ascii="Times New Roman" w:hAnsi="Times New Roman" w:cs="Times New Roman"/>
          <w:sz w:val="32"/>
          <w:szCs w:val="32"/>
        </w:rPr>
      </w:pPr>
    </w:p>
    <w:p w14:paraId="4839355D" w14:textId="1FF0A680" w:rsidR="002B6A35" w:rsidRPr="002B6A35" w:rsidRDefault="002B6A35" w:rsidP="002B6A35">
      <w:pPr>
        <w:rPr>
          <w:rFonts w:ascii="Times New Roman" w:hAnsi="Times New Roman" w:cs="Times New Roman"/>
          <w:sz w:val="32"/>
          <w:szCs w:val="32"/>
        </w:rPr>
      </w:pPr>
      <w:r w:rsidRPr="002B6A35">
        <w:rPr>
          <w:rFonts w:ascii="Times New Roman" w:hAnsi="Times New Roman" w:cs="Times New Roman"/>
          <w:sz w:val="32"/>
          <w:szCs w:val="32"/>
        </w:rPr>
        <w:t xml:space="preserve">Module Name: Project Management </w:t>
      </w:r>
    </w:p>
    <w:p w14:paraId="1EA1388C" w14:textId="77777777" w:rsidR="002B6A35" w:rsidRPr="002B6A35" w:rsidRDefault="002B6A35" w:rsidP="002B6A35">
      <w:pPr>
        <w:rPr>
          <w:rFonts w:ascii="Times New Roman" w:hAnsi="Times New Roman" w:cs="Times New Roman"/>
          <w:sz w:val="32"/>
          <w:szCs w:val="32"/>
        </w:rPr>
      </w:pPr>
      <w:r w:rsidRPr="002B6A35">
        <w:rPr>
          <w:rFonts w:ascii="Times New Roman" w:hAnsi="Times New Roman" w:cs="Times New Roman"/>
          <w:sz w:val="32"/>
          <w:szCs w:val="32"/>
        </w:rPr>
        <w:t>Module ID: LCBB500</w:t>
      </w:r>
      <w:r w:rsidRPr="002B6A35">
        <w:rPr>
          <w:rFonts w:ascii="Times New Roman" w:hAnsi="Times New Roman" w:cs="Times New Roman"/>
          <w:sz w:val="32"/>
          <w:szCs w:val="32"/>
        </w:rPr>
        <w:t>5</w:t>
      </w:r>
    </w:p>
    <w:p w14:paraId="715A7949" w14:textId="76DCAB84" w:rsidR="002B6A35" w:rsidRPr="002B6A35" w:rsidRDefault="002B6A35" w:rsidP="002B6A35">
      <w:pPr>
        <w:rPr>
          <w:rFonts w:ascii="Times New Roman" w:hAnsi="Times New Roman" w:cs="Times New Roman"/>
          <w:sz w:val="32"/>
          <w:szCs w:val="32"/>
        </w:rPr>
      </w:pPr>
      <w:r w:rsidRPr="002B6A35">
        <w:rPr>
          <w:rFonts w:ascii="Times New Roman" w:hAnsi="Times New Roman" w:cs="Times New Roman"/>
          <w:sz w:val="32"/>
          <w:szCs w:val="32"/>
        </w:rPr>
        <w:t>Assessment Title: Assessment</w:t>
      </w:r>
      <w:r w:rsidRPr="002B6A35">
        <w:rPr>
          <w:rFonts w:ascii="Times New Roman" w:hAnsi="Times New Roman" w:cs="Times New Roman"/>
          <w:sz w:val="32"/>
          <w:szCs w:val="32"/>
        </w:rPr>
        <w:t xml:space="preserve"> 1 </w:t>
      </w:r>
      <w:r w:rsidRPr="002B6A35">
        <w:rPr>
          <w:rFonts w:ascii="Times New Roman" w:hAnsi="Times New Roman" w:cs="Times New Roman"/>
          <w:sz w:val="32"/>
          <w:szCs w:val="32"/>
        </w:rPr>
        <w:t>Project Management</w:t>
      </w:r>
    </w:p>
    <w:p w14:paraId="36EBD610" w14:textId="77777777" w:rsidR="002B6A35" w:rsidRPr="002B6A35" w:rsidRDefault="002B6A35" w:rsidP="002B6A35">
      <w:pPr>
        <w:rPr>
          <w:rFonts w:ascii="Times New Roman" w:hAnsi="Times New Roman" w:cs="Times New Roman"/>
          <w:sz w:val="32"/>
          <w:szCs w:val="32"/>
        </w:rPr>
      </w:pPr>
      <w:r w:rsidRPr="002B6A35">
        <w:rPr>
          <w:rFonts w:ascii="Times New Roman" w:hAnsi="Times New Roman" w:cs="Times New Roman"/>
          <w:sz w:val="32"/>
          <w:szCs w:val="32"/>
        </w:rPr>
        <w:t>Student Name: Florentina Fistoleanu</w:t>
      </w:r>
    </w:p>
    <w:p w14:paraId="107FF710" w14:textId="77777777" w:rsidR="002B6A35" w:rsidRPr="002B6A35" w:rsidRDefault="002B6A35" w:rsidP="002B6A35">
      <w:pPr>
        <w:pStyle w:val="Title"/>
        <w:rPr>
          <w:rFonts w:ascii="Times New Roman" w:hAnsi="Times New Roman" w:cs="Times New Roman"/>
          <w:sz w:val="32"/>
          <w:szCs w:val="32"/>
        </w:rPr>
      </w:pPr>
      <w:r w:rsidRPr="002B6A35">
        <w:rPr>
          <w:rFonts w:ascii="Times New Roman" w:hAnsi="Times New Roman" w:cs="Times New Roman"/>
          <w:sz w:val="32"/>
          <w:szCs w:val="32"/>
        </w:rPr>
        <w:t>Student ID: 2115309</w:t>
      </w:r>
    </w:p>
    <w:p w14:paraId="1835CCB9" w14:textId="77777777" w:rsidR="002B6A35" w:rsidRDefault="002B6A35" w:rsidP="002B6A35">
      <w:pPr>
        <w:pStyle w:val="TOCHeading"/>
      </w:pPr>
    </w:p>
    <w:p w14:paraId="42C6E068" w14:textId="629BCD72" w:rsidR="00FD43FB" w:rsidRDefault="00FD43FB" w:rsidP="00FD43FB"/>
    <w:p w14:paraId="0E257C30" w14:textId="4F19F4E2" w:rsidR="00FD43FB" w:rsidRDefault="00FD43FB" w:rsidP="00FD43FB"/>
    <w:p w14:paraId="31D46BD4" w14:textId="3D3962CE" w:rsidR="00FD43FB" w:rsidRDefault="00FD43FB" w:rsidP="00FD43FB"/>
    <w:p w14:paraId="5D905AEA" w14:textId="05FCBA4C" w:rsidR="00FD43FB" w:rsidRDefault="00FD43FB" w:rsidP="00FD43FB"/>
    <w:p w14:paraId="2D15FFBC" w14:textId="40009B59" w:rsidR="00FD43FB" w:rsidRDefault="00FD43FB" w:rsidP="00FD43FB"/>
    <w:sdt>
      <w:sdtPr>
        <w:rPr>
          <w:rFonts w:asciiTheme="minorHAnsi" w:eastAsiaTheme="minorHAnsi" w:hAnsiTheme="minorHAnsi" w:cstheme="minorBidi"/>
          <w:color w:val="auto"/>
          <w:kern w:val="2"/>
          <w:sz w:val="22"/>
          <w:szCs w:val="22"/>
          <w:lang w:eastAsia="en-US"/>
          <w14:ligatures w14:val="standardContextual"/>
        </w:rPr>
        <w:id w:val="-2104258098"/>
        <w:docPartObj>
          <w:docPartGallery w:val="Table of Contents"/>
          <w:docPartUnique/>
        </w:docPartObj>
      </w:sdtPr>
      <w:sdtEndPr>
        <w:rPr>
          <w:b/>
          <w:bCs/>
        </w:rPr>
      </w:sdtEndPr>
      <w:sdtContent>
        <w:p w14:paraId="53327269" w14:textId="199341A3" w:rsidR="00FD43FB" w:rsidRDefault="00FD43FB">
          <w:pPr>
            <w:pStyle w:val="TOCHeading"/>
          </w:pPr>
          <w:r>
            <w:t>Contents</w:t>
          </w:r>
        </w:p>
        <w:p w14:paraId="712D0C7E" w14:textId="23C51C94" w:rsidR="00254594" w:rsidRDefault="00FD43FB">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52338000" w:history="1">
            <w:r w:rsidR="00254594" w:rsidRPr="009B75CD">
              <w:rPr>
                <w:rStyle w:val="Hyperlink"/>
                <w:noProof/>
              </w:rPr>
              <w:t>Introduction</w:t>
            </w:r>
            <w:r w:rsidR="00254594">
              <w:rPr>
                <w:noProof/>
                <w:webHidden/>
              </w:rPr>
              <w:tab/>
            </w:r>
            <w:r w:rsidR="00254594">
              <w:rPr>
                <w:noProof/>
                <w:webHidden/>
              </w:rPr>
              <w:fldChar w:fldCharType="begin"/>
            </w:r>
            <w:r w:rsidR="00254594">
              <w:rPr>
                <w:noProof/>
                <w:webHidden/>
              </w:rPr>
              <w:instrText xml:space="preserve"> PAGEREF _Toc152338000 \h </w:instrText>
            </w:r>
            <w:r w:rsidR="00254594">
              <w:rPr>
                <w:noProof/>
                <w:webHidden/>
              </w:rPr>
            </w:r>
            <w:r w:rsidR="00254594">
              <w:rPr>
                <w:noProof/>
                <w:webHidden/>
              </w:rPr>
              <w:fldChar w:fldCharType="separate"/>
            </w:r>
            <w:r w:rsidR="00254594">
              <w:rPr>
                <w:noProof/>
                <w:webHidden/>
              </w:rPr>
              <w:t>3</w:t>
            </w:r>
            <w:r w:rsidR="00254594">
              <w:rPr>
                <w:noProof/>
                <w:webHidden/>
              </w:rPr>
              <w:fldChar w:fldCharType="end"/>
            </w:r>
          </w:hyperlink>
        </w:p>
        <w:p w14:paraId="684524B9" w14:textId="65B545FC" w:rsidR="00254594" w:rsidRDefault="00000000">
          <w:pPr>
            <w:pStyle w:val="TOC1"/>
            <w:tabs>
              <w:tab w:val="right" w:leader="dot" w:pos="9016"/>
            </w:tabs>
            <w:rPr>
              <w:rFonts w:eastAsiaTheme="minorEastAsia"/>
              <w:noProof/>
              <w:kern w:val="0"/>
              <w:lang w:eastAsia="en-GB"/>
              <w14:ligatures w14:val="none"/>
            </w:rPr>
          </w:pPr>
          <w:hyperlink w:anchor="_Toc152338001" w:history="1">
            <w:r w:rsidR="00254594" w:rsidRPr="009B75CD">
              <w:rPr>
                <w:rStyle w:val="Hyperlink"/>
                <w:noProof/>
              </w:rPr>
              <w:t>Budget</w:t>
            </w:r>
            <w:r w:rsidR="00254594">
              <w:rPr>
                <w:noProof/>
                <w:webHidden/>
              </w:rPr>
              <w:tab/>
            </w:r>
            <w:r w:rsidR="00254594">
              <w:rPr>
                <w:noProof/>
                <w:webHidden/>
              </w:rPr>
              <w:fldChar w:fldCharType="begin"/>
            </w:r>
            <w:r w:rsidR="00254594">
              <w:rPr>
                <w:noProof/>
                <w:webHidden/>
              </w:rPr>
              <w:instrText xml:space="preserve"> PAGEREF _Toc152338001 \h </w:instrText>
            </w:r>
            <w:r w:rsidR="00254594">
              <w:rPr>
                <w:noProof/>
                <w:webHidden/>
              </w:rPr>
            </w:r>
            <w:r w:rsidR="00254594">
              <w:rPr>
                <w:noProof/>
                <w:webHidden/>
              </w:rPr>
              <w:fldChar w:fldCharType="separate"/>
            </w:r>
            <w:r w:rsidR="00254594">
              <w:rPr>
                <w:noProof/>
                <w:webHidden/>
              </w:rPr>
              <w:t>3</w:t>
            </w:r>
            <w:r w:rsidR="00254594">
              <w:rPr>
                <w:noProof/>
                <w:webHidden/>
              </w:rPr>
              <w:fldChar w:fldCharType="end"/>
            </w:r>
          </w:hyperlink>
        </w:p>
        <w:p w14:paraId="3F9EBD3A" w14:textId="3AAD7D21" w:rsidR="00254594" w:rsidRDefault="00000000">
          <w:pPr>
            <w:pStyle w:val="TOC1"/>
            <w:tabs>
              <w:tab w:val="right" w:leader="dot" w:pos="9016"/>
            </w:tabs>
            <w:rPr>
              <w:rFonts w:eastAsiaTheme="minorEastAsia"/>
              <w:noProof/>
              <w:kern w:val="0"/>
              <w:lang w:eastAsia="en-GB"/>
              <w14:ligatures w14:val="none"/>
            </w:rPr>
          </w:pPr>
          <w:hyperlink w:anchor="_Toc152338002" w:history="1">
            <w:r w:rsidR="00254594" w:rsidRPr="009B75CD">
              <w:rPr>
                <w:rStyle w:val="Hyperlink"/>
                <w:noProof/>
              </w:rPr>
              <w:t>Time</w:t>
            </w:r>
            <w:r w:rsidR="00254594">
              <w:rPr>
                <w:noProof/>
                <w:webHidden/>
              </w:rPr>
              <w:tab/>
            </w:r>
            <w:r w:rsidR="00254594">
              <w:rPr>
                <w:noProof/>
                <w:webHidden/>
              </w:rPr>
              <w:fldChar w:fldCharType="begin"/>
            </w:r>
            <w:r w:rsidR="00254594">
              <w:rPr>
                <w:noProof/>
                <w:webHidden/>
              </w:rPr>
              <w:instrText xml:space="preserve"> PAGEREF _Toc152338002 \h </w:instrText>
            </w:r>
            <w:r w:rsidR="00254594">
              <w:rPr>
                <w:noProof/>
                <w:webHidden/>
              </w:rPr>
            </w:r>
            <w:r w:rsidR="00254594">
              <w:rPr>
                <w:noProof/>
                <w:webHidden/>
              </w:rPr>
              <w:fldChar w:fldCharType="separate"/>
            </w:r>
            <w:r w:rsidR="00254594">
              <w:rPr>
                <w:noProof/>
                <w:webHidden/>
              </w:rPr>
              <w:t>4</w:t>
            </w:r>
            <w:r w:rsidR="00254594">
              <w:rPr>
                <w:noProof/>
                <w:webHidden/>
              </w:rPr>
              <w:fldChar w:fldCharType="end"/>
            </w:r>
          </w:hyperlink>
        </w:p>
        <w:p w14:paraId="47CE22C0" w14:textId="330900D1" w:rsidR="00254594" w:rsidRDefault="00000000">
          <w:pPr>
            <w:pStyle w:val="TOC1"/>
            <w:tabs>
              <w:tab w:val="right" w:leader="dot" w:pos="9016"/>
            </w:tabs>
            <w:rPr>
              <w:rFonts w:eastAsiaTheme="minorEastAsia"/>
              <w:noProof/>
              <w:kern w:val="0"/>
              <w:lang w:eastAsia="en-GB"/>
              <w14:ligatures w14:val="none"/>
            </w:rPr>
          </w:pPr>
          <w:hyperlink w:anchor="_Toc152338003" w:history="1">
            <w:r w:rsidR="00254594" w:rsidRPr="009B75CD">
              <w:rPr>
                <w:rStyle w:val="Hyperlink"/>
                <w:noProof/>
              </w:rPr>
              <w:t>Stakeholders</w:t>
            </w:r>
            <w:r w:rsidR="00254594">
              <w:rPr>
                <w:noProof/>
                <w:webHidden/>
              </w:rPr>
              <w:tab/>
            </w:r>
            <w:r w:rsidR="00254594">
              <w:rPr>
                <w:noProof/>
                <w:webHidden/>
              </w:rPr>
              <w:fldChar w:fldCharType="begin"/>
            </w:r>
            <w:r w:rsidR="00254594">
              <w:rPr>
                <w:noProof/>
                <w:webHidden/>
              </w:rPr>
              <w:instrText xml:space="preserve"> PAGEREF _Toc152338003 \h </w:instrText>
            </w:r>
            <w:r w:rsidR="00254594">
              <w:rPr>
                <w:noProof/>
                <w:webHidden/>
              </w:rPr>
            </w:r>
            <w:r w:rsidR="00254594">
              <w:rPr>
                <w:noProof/>
                <w:webHidden/>
              </w:rPr>
              <w:fldChar w:fldCharType="separate"/>
            </w:r>
            <w:r w:rsidR="00254594">
              <w:rPr>
                <w:noProof/>
                <w:webHidden/>
              </w:rPr>
              <w:t>6</w:t>
            </w:r>
            <w:r w:rsidR="00254594">
              <w:rPr>
                <w:noProof/>
                <w:webHidden/>
              </w:rPr>
              <w:fldChar w:fldCharType="end"/>
            </w:r>
          </w:hyperlink>
        </w:p>
        <w:p w14:paraId="4A1800EF" w14:textId="34294054" w:rsidR="00254594" w:rsidRDefault="00000000">
          <w:pPr>
            <w:pStyle w:val="TOC1"/>
            <w:tabs>
              <w:tab w:val="right" w:leader="dot" w:pos="9016"/>
            </w:tabs>
            <w:rPr>
              <w:rFonts w:eastAsiaTheme="minorEastAsia"/>
              <w:noProof/>
              <w:kern w:val="0"/>
              <w:lang w:eastAsia="en-GB"/>
              <w14:ligatures w14:val="none"/>
            </w:rPr>
          </w:pPr>
          <w:hyperlink w:anchor="_Toc152338004" w:history="1">
            <w:r w:rsidR="00254594" w:rsidRPr="009B75CD">
              <w:rPr>
                <w:rStyle w:val="Hyperlink"/>
                <w:noProof/>
              </w:rPr>
              <w:t>Risk Factors</w:t>
            </w:r>
            <w:r w:rsidR="00254594">
              <w:rPr>
                <w:noProof/>
                <w:webHidden/>
              </w:rPr>
              <w:tab/>
            </w:r>
            <w:r w:rsidR="00254594">
              <w:rPr>
                <w:noProof/>
                <w:webHidden/>
              </w:rPr>
              <w:fldChar w:fldCharType="begin"/>
            </w:r>
            <w:r w:rsidR="00254594">
              <w:rPr>
                <w:noProof/>
                <w:webHidden/>
              </w:rPr>
              <w:instrText xml:space="preserve"> PAGEREF _Toc152338004 \h </w:instrText>
            </w:r>
            <w:r w:rsidR="00254594">
              <w:rPr>
                <w:noProof/>
                <w:webHidden/>
              </w:rPr>
            </w:r>
            <w:r w:rsidR="00254594">
              <w:rPr>
                <w:noProof/>
                <w:webHidden/>
              </w:rPr>
              <w:fldChar w:fldCharType="separate"/>
            </w:r>
            <w:r w:rsidR="00254594">
              <w:rPr>
                <w:noProof/>
                <w:webHidden/>
              </w:rPr>
              <w:t>7</w:t>
            </w:r>
            <w:r w:rsidR="00254594">
              <w:rPr>
                <w:noProof/>
                <w:webHidden/>
              </w:rPr>
              <w:fldChar w:fldCharType="end"/>
            </w:r>
          </w:hyperlink>
        </w:p>
        <w:p w14:paraId="15E89ADB" w14:textId="62BBB477" w:rsidR="00254594" w:rsidRDefault="00000000">
          <w:pPr>
            <w:pStyle w:val="TOC1"/>
            <w:tabs>
              <w:tab w:val="right" w:leader="dot" w:pos="9016"/>
            </w:tabs>
            <w:rPr>
              <w:rFonts w:eastAsiaTheme="minorEastAsia"/>
              <w:noProof/>
              <w:kern w:val="0"/>
              <w:lang w:eastAsia="en-GB"/>
              <w14:ligatures w14:val="none"/>
            </w:rPr>
          </w:pPr>
          <w:hyperlink w:anchor="_Toc152338005" w:history="1">
            <w:r w:rsidR="00254594" w:rsidRPr="009B75CD">
              <w:rPr>
                <w:rStyle w:val="Hyperlink"/>
                <w:noProof/>
              </w:rPr>
              <w:t>Conclusion</w:t>
            </w:r>
            <w:r w:rsidR="00254594">
              <w:rPr>
                <w:noProof/>
                <w:webHidden/>
              </w:rPr>
              <w:tab/>
            </w:r>
            <w:r w:rsidR="00254594">
              <w:rPr>
                <w:noProof/>
                <w:webHidden/>
              </w:rPr>
              <w:fldChar w:fldCharType="begin"/>
            </w:r>
            <w:r w:rsidR="00254594">
              <w:rPr>
                <w:noProof/>
                <w:webHidden/>
              </w:rPr>
              <w:instrText xml:space="preserve"> PAGEREF _Toc152338005 \h </w:instrText>
            </w:r>
            <w:r w:rsidR="00254594">
              <w:rPr>
                <w:noProof/>
                <w:webHidden/>
              </w:rPr>
            </w:r>
            <w:r w:rsidR="00254594">
              <w:rPr>
                <w:noProof/>
                <w:webHidden/>
              </w:rPr>
              <w:fldChar w:fldCharType="separate"/>
            </w:r>
            <w:r w:rsidR="00254594">
              <w:rPr>
                <w:noProof/>
                <w:webHidden/>
              </w:rPr>
              <w:t>7</w:t>
            </w:r>
            <w:r w:rsidR="00254594">
              <w:rPr>
                <w:noProof/>
                <w:webHidden/>
              </w:rPr>
              <w:fldChar w:fldCharType="end"/>
            </w:r>
          </w:hyperlink>
        </w:p>
        <w:p w14:paraId="178988B8" w14:textId="5FA838AC" w:rsidR="00254594" w:rsidRDefault="00000000">
          <w:pPr>
            <w:pStyle w:val="TOC1"/>
            <w:tabs>
              <w:tab w:val="right" w:leader="dot" w:pos="9016"/>
            </w:tabs>
            <w:rPr>
              <w:rFonts w:eastAsiaTheme="minorEastAsia"/>
              <w:noProof/>
              <w:kern w:val="0"/>
              <w:lang w:eastAsia="en-GB"/>
              <w14:ligatures w14:val="none"/>
            </w:rPr>
          </w:pPr>
          <w:hyperlink w:anchor="_Toc152338006" w:history="1">
            <w:r w:rsidR="00254594" w:rsidRPr="009B75CD">
              <w:rPr>
                <w:rStyle w:val="Hyperlink"/>
                <w:noProof/>
              </w:rPr>
              <w:t>References</w:t>
            </w:r>
            <w:r w:rsidR="00254594">
              <w:rPr>
                <w:noProof/>
                <w:webHidden/>
              </w:rPr>
              <w:tab/>
            </w:r>
            <w:r w:rsidR="00254594">
              <w:rPr>
                <w:noProof/>
                <w:webHidden/>
              </w:rPr>
              <w:fldChar w:fldCharType="begin"/>
            </w:r>
            <w:r w:rsidR="00254594">
              <w:rPr>
                <w:noProof/>
                <w:webHidden/>
              </w:rPr>
              <w:instrText xml:space="preserve"> PAGEREF _Toc152338006 \h </w:instrText>
            </w:r>
            <w:r w:rsidR="00254594">
              <w:rPr>
                <w:noProof/>
                <w:webHidden/>
              </w:rPr>
            </w:r>
            <w:r w:rsidR="00254594">
              <w:rPr>
                <w:noProof/>
                <w:webHidden/>
              </w:rPr>
              <w:fldChar w:fldCharType="separate"/>
            </w:r>
            <w:r w:rsidR="00254594">
              <w:rPr>
                <w:noProof/>
                <w:webHidden/>
              </w:rPr>
              <w:t>8</w:t>
            </w:r>
            <w:r w:rsidR="00254594">
              <w:rPr>
                <w:noProof/>
                <w:webHidden/>
              </w:rPr>
              <w:fldChar w:fldCharType="end"/>
            </w:r>
          </w:hyperlink>
        </w:p>
        <w:p w14:paraId="515C15F0" w14:textId="124EC76C" w:rsidR="00FD43FB" w:rsidRDefault="00FD43FB">
          <w:r>
            <w:rPr>
              <w:b/>
              <w:bCs/>
            </w:rPr>
            <w:fldChar w:fldCharType="end"/>
          </w:r>
        </w:p>
      </w:sdtContent>
    </w:sdt>
    <w:p w14:paraId="72548D2E" w14:textId="30B91479" w:rsidR="00FD43FB" w:rsidRDefault="00FD43FB" w:rsidP="00FD43FB"/>
    <w:p w14:paraId="47533C0D" w14:textId="5F338D3F" w:rsidR="00FD43FB" w:rsidRDefault="00FD43FB" w:rsidP="00FD43FB"/>
    <w:p w14:paraId="57BE9183" w14:textId="44E13072" w:rsidR="00FD43FB" w:rsidRDefault="00FD43FB" w:rsidP="00FD43FB"/>
    <w:p w14:paraId="0E0C67CC" w14:textId="0CF6C38C" w:rsidR="00FD43FB" w:rsidRDefault="00FD43FB" w:rsidP="00FD43FB"/>
    <w:p w14:paraId="71B87B71" w14:textId="4D6496FC" w:rsidR="00FD43FB" w:rsidRDefault="00FD43FB" w:rsidP="00FD43FB"/>
    <w:p w14:paraId="270121FB" w14:textId="71816B41" w:rsidR="00FD43FB" w:rsidRDefault="00FD43FB" w:rsidP="00FD43FB"/>
    <w:p w14:paraId="0CFC8AFC" w14:textId="4F6CAE74" w:rsidR="00FD43FB" w:rsidRDefault="00FD43FB" w:rsidP="00FD43FB"/>
    <w:p w14:paraId="176D67DE" w14:textId="5B366D50" w:rsidR="00FD43FB" w:rsidRDefault="00FD43FB" w:rsidP="00FD43FB"/>
    <w:p w14:paraId="520C82B5" w14:textId="44FF4221" w:rsidR="00FD43FB" w:rsidRDefault="00FD43FB" w:rsidP="00FD43FB"/>
    <w:p w14:paraId="0F98C6CE" w14:textId="730F8601" w:rsidR="00FD43FB" w:rsidRDefault="00FD43FB" w:rsidP="00FD43FB"/>
    <w:p w14:paraId="3594C4E8" w14:textId="2752CB87" w:rsidR="00FD43FB" w:rsidRDefault="00FD43FB" w:rsidP="00FD43FB"/>
    <w:p w14:paraId="2E56CC51" w14:textId="52E903D6" w:rsidR="00FD43FB" w:rsidRDefault="00FD43FB" w:rsidP="00FD43FB"/>
    <w:p w14:paraId="5044FC5D" w14:textId="01924A8A" w:rsidR="00FD43FB" w:rsidRDefault="00FD43FB" w:rsidP="00FD43FB"/>
    <w:p w14:paraId="5434EAA6" w14:textId="77777777" w:rsidR="002B6A35" w:rsidRDefault="002B6A35" w:rsidP="00FD43FB"/>
    <w:p w14:paraId="64423FEF" w14:textId="5C9BAFAE" w:rsidR="00FD43FB" w:rsidRDefault="00FD43FB" w:rsidP="00FD43FB"/>
    <w:p w14:paraId="5BAF952E" w14:textId="79FADFEC" w:rsidR="00FD43FB" w:rsidRDefault="00FD43FB" w:rsidP="00FD43FB"/>
    <w:p w14:paraId="286D5540" w14:textId="056C3D1D" w:rsidR="00FD43FB" w:rsidRDefault="00FD43FB" w:rsidP="00FD43FB"/>
    <w:p w14:paraId="2471323E" w14:textId="25A12A8C" w:rsidR="00FD43FB" w:rsidRDefault="00FD43FB" w:rsidP="00FD43FB"/>
    <w:p w14:paraId="32EA1547" w14:textId="593F0528" w:rsidR="00FD43FB" w:rsidRDefault="00FD43FB" w:rsidP="00FD43FB"/>
    <w:p w14:paraId="61B5AA7E" w14:textId="115A913F" w:rsidR="00FD43FB" w:rsidRDefault="00FD43FB" w:rsidP="00FD43FB"/>
    <w:p w14:paraId="2088CBAE" w14:textId="77777777" w:rsidR="00254594" w:rsidRDefault="00254594" w:rsidP="00FD43FB"/>
    <w:p w14:paraId="3B2F776A" w14:textId="77777777" w:rsidR="00FD43FB" w:rsidRDefault="00FD43FB" w:rsidP="00FD43FB">
      <w:pPr>
        <w:pStyle w:val="Heading1"/>
      </w:pPr>
      <w:bookmarkStart w:id="0" w:name="_Toc152338000"/>
      <w:r>
        <w:lastRenderedPageBreak/>
        <w:t>Introduction</w:t>
      </w:r>
      <w:bookmarkEnd w:id="0"/>
    </w:p>
    <w:p w14:paraId="2704F926" w14:textId="2ABF908F" w:rsidR="00FD43FB" w:rsidRDefault="00FD43FB" w:rsidP="00FD43FB">
      <w:r>
        <w:t>Google is currently developing a £1 billion headquarters in London, UK to create an international campus capable of housing up to 7,000 employees (Fuller, 2023). As construction proceeds toward its 2023 completion date, it is prudent to evaluate if their project plan remains on course in terms of meeting key success factors like scope, schedule, budget, quality resources management and risk mitigation (PMI 2021). This paper covers these core components and offers suggestions to ensure continuous delivery per plan.</w:t>
      </w:r>
    </w:p>
    <w:p w14:paraId="35923965" w14:textId="77777777" w:rsidR="00FD43FB" w:rsidRDefault="00FD43FB" w:rsidP="00FD43FB">
      <w:pPr>
        <w:pStyle w:val="Heading1"/>
      </w:pPr>
      <w:bookmarkStart w:id="1" w:name="_Toc152338001"/>
      <w:r>
        <w:t>Budget</w:t>
      </w:r>
      <w:bookmarkEnd w:id="1"/>
      <w:r>
        <w:t xml:space="preserve"> </w:t>
      </w:r>
    </w:p>
    <w:p w14:paraId="04D6DFE7" w14:textId="7A8AB5EE" w:rsidR="00FD43FB" w:rsidRDefault="00FD43FB" w:rsidP="00FD43FB">
      <w:r>
        <w:t>Google UK Headquarters will require an estimated budget of £1 billion (based on average London construction costs; Fuller, 2022). By building in phases using existing Pancras Square buildings and an additional third structure, capital costs may be spread out more evenly with each phase's available funds (Meredith &amp; Shafer, 2019). However, recent inflationary concerns and supply chain issues pose risks which necessitate contingencies through 2023 completion (</w:t>
      </w:r>
      <w:proofErr w:type="spellStart"/>
      <w:r>
        <w:t>ConstructConnect</w:t>
      </w:r>
      <w:proofErr w:type="spellEnd"/>
      <w:r>
        <w:t>, 2022).</w:t>
      </w:r>
    </w:p>
    <w:p w14:paraId="42586421" w14:textId="521C65B6" w:rsidR="00FD43FB" w:rsidRDefault="00FD43FB" w:rsidP="00FD43FB">
      <w:r>
        <w:t>Fuller (2022) suggests comparing cost per square foot metrics against London averages to assess whether Google's budget is reasonable in comparison with London Averages, given the size of their campus at over 60,400 sqm (650,000 square feet). With their budget estimated at £1 billion corresponding to approximately £1,500 per square foot which aligns closely to typical Grade A office construction costs (Fuller, 2022). Dividend budgeting across phased campus builds helps limit upfront capital requirements while having over $100 billion cash reserves provides flexibility in case any overruns arise (Meredith &amp; Shafer, 2019).</w:t>
      </w:r>
    </w:p>
    <w:p w14:paraId="54061D34" w14:textId="646BE44B" w:rsidR="00FD43FB" w:rsidRDefault="00FD43FB" w:rsidP="00FD43FB">
      <w:r>
        <w:t>Budget considerations also need to account for amenities planned within a facility, from cafes and gyms to running tracks, which tend to cost more per square foot compared to typical office accommodations (</w:t>
      </w:r>
      <w:proofErr w:type="spellStart"/>
      <w:r>
        <w:t>ConstructConnect</w:t>
      </w:r>
      <w:proofErr w:type="spellEnd"/>
      <w:r>
        <w:t>, 2022). Accurate cost estimates should be obtained early from contractors as inflationary pressures make securing pricing through contracts essential in mitigating budget risk (Meredith &amp; Shafer, 2019).</w:t>
      </w:r>
    </w:p>
    <w:p w14:paraId="099B3E38" w14:textId="77777777" w:rsidR="00FD43FB" w:rsidRDefault="00FD43FB" w:rsidP="00FD43FB">
      <w:r>
        <w:t>Budget management takes an incremental approach; spreading major expenditures over 2022-2023 in accordance with construction timelines helps smooth cash flow needs and enhance capital allocation planning capabilities (Meredith &amp; Shafer, 2019). Establishing realistic budgets with adequate contingency buffers gives planners flexibility for handling unexpected overages as costs may escalate over time; hence estimating conservatively upfront helps provide budgetary safeguards (</w:t>
      </w:r>
      <w:proofErr w:type="spellStart"/>
      <w:r>
        <w:t>ConstructConnect</w:t>
      </w:r>
      <w:proofErr w:type="spellEnd"/>
      <w:r>
        <w:t>, 2022).</w:t>
      </w:r>
    </w:p>
    <w:p w14:paraId="23AE9428" w14:textId="1BDC2473" w:rsidR="00FD43FB" w:rsidRDefault="00FD43FB" w:rsidP="00FD43FB">
      <w:r>
        <w:t>Google must consider the costs associated with high-end finishings and amenities as an integral factor of its budget (</w:t>
      </w:r>
      <w:proofErr w:type="spellStart"/>
      <w:r>
        <w:t>ConstructConnect</w:t>
      </w:r>
      <w:proofErr w:type="spellEnd"/>
      <w:r>
        <w:t xml:space="preserve">, 2022). While baseline construction costs may fall within its £1 billion envelope, specialty features like AV integration, custom millwork or luxury kitchen equipment could easily drive overages (Emmitt, 2009). By setting clear standards in these domains (AV integration, custom </w:t>
      </w:r>
      <w:proofErr w:type="gramStart"/>
      <w:r>
        <w:t>millwork</w:t>
      </w:r>
      <w:proofErr w:type="gramEnd"/>
      <w:r>
        <w:t xml:space="preserve"> or luxury kitchen equipment), costs could remain under control (Emmitt 2009).</w:t>
      </w:r>
    </w:p>
    <w:p w14:paraId="7B7683A4" w14:textId="77777777" w:rsidR="00FD43FB" w:rsidRDefault="00FD43FB" w:rsidP="00FD43FB">
      <w:r>
        <w:t>Sustainability initiatives may impact budgets if substantial investments are made in upgrades to green building components like HVAC systems, solar installations, EV charging infrastructure or LEED certifications (</w:t>
      </w:r>
      <w:proofErr w:type="spellStart"/>
      <w:r>
        <w:t>ConstructConnect</w:t>
      </w:r>
      <w:proofErr w:type="spellEnd"/>
      <w:r>
        <w:t>, 2022). It is important to determine whether sustainability goals are optional "nice-to-haves" pursued within existing funds or mandatory requirements that require dedicated funding pools (Emmitt, 2009).</w:t>
      </w:r>
    </w:p>
    <w:p w14:paraId="0CA524DD" w14:textId="0F25CC9F" w:rsidR="00FD43FB" w:rsidRDefault="00FD43FB" w:rsidP="00FD43FB">
      <w:r>
        <w:lastRenderedPageBreak/>
        <w:t>As the London buildout team likely has expectations set against Google's impressive California campuses, reigning in scope creep is key for on-target budget delivery (Meredith &amp; Shafer, 2019). While flexibility for innovation should be allowed for, replicating Googleplex offerings doesn't have to be replicated on this scale (Emmitt, 2009). By setting these expectations upfront and communicating them properly to all project team members involved with this buildout in London should not result in misaligning costs to invalid references (Meredith &amp; Shafer, 2019).</w:t>
      </w:r>
    </w:p>
    <w:p w14:paraId="3683F68C" w14:textId="77777777" w:rsidR="00FD43FB" w:rsidRDefault="00FD43FB" w:rsidP="00FD43FB">
      <w:pPr>
        <w:pStyle w:val="Heading1"/>
      </w:pPr>
      <w:bookmarkStart w:id="2" w:name="_Toc152338002"/>
      <w:r>
        <w:t>Time</w:t>
      </w:r>
      <w:bookmarkEnd w:id="2"/>
    </w:p>
    <w:p w14:paraId="7F961E8A" w14:textId="77777777" w:rsidR="00FD43FB" w:rsidRDefault="00FD43FB" w:rsidP="00FD43FB">
      <w:r>
        <w:t>To meet the 2023 project completion goal, its timeline should be closely tracked with phase milestones (Schwalbe, 2015). Delays caused by scope creep resulting from adding amenities like retail spaces, gyms, cafes and running tracks could quickly push timelines out if not properly handled (PMI, 2016). A phased approach helps minimize timeline risks.</w:t>
      </w:r>
    </w:p>
    <w:p w14:paraId="3D1E917D" w14:textId="77777777" w:rsidR="00FD43FB" w:rsidRDefault="00FD43FB" w:rsidP="00FD43FB">
      <w:r>
        <w:t xml:space="preserve">Phased campus buildout with standalone facilities becoming operational over time allows for flexibility if any </w:t>
      </w:r>
      <w:proofErr w:type="gramStart"/>
      <w:r>
        <w:t>single phase</w:t>
      </w:r>
      <w:proofErr w:type="gramEnd"/>
      <w:r>
        <w:t xml:space="preserve"> completion is delayed (Schwalbe, 2015). </w:t>
      </w:r>
      <w:proofErr w:type="gramStart"/>
      <w:r>
        <w:t>As long as</w:t>
      </w:r>
      <w:proofErr w:type="gramEnd"/>
      <w:r>
        <w:t xml:space="preserve"> Pancras buildings and King's Cross' initial building open by 2023, major campus timeline commitment can still be met; each subproject phase should have its own timeline with ample buffer to absorb potential delays without pushing out subsequent ones (PMI, 2016). Should King's Cross tower build take longer than planned, third building phase delivery date can be extended </w:t>
      </w:r>
      <w:proofErr w:type="gramStart"/>
      <w:r>
        <w:t>in order to</w:t>
      </w:r>
      <w:proofErr w:type="gramEnd"/>
      <w:r>
        <w:t xml:space="preserve"> deliver campus by December 2023.</w:t>
      </w:r>
    </w:p>
    <w:p w14:paraId="58C03DE7" w14:textId="2676C68B" w:rsidR="00FD43FB" w:rsidRDefault="00FD43FB" w:rsidP="00FD43FB">
      <w:r>
        <w:t>Construction projects at scale in dense urban locations such as London often face unexpected delays ranging from material delivery issues, weather impacts, permitting challenges and timeline contingency requirements (Emmitt 2009). Anticipating unplanned events by including 10% contingency into your schedule provides cushion for unanticipated events that arise and allow any desired scope additions without delaying campus completion by December 2023 public goal date. To keep on track with public goal date timeline, project team should set an accelerated timeline acknowledging delays could arise (Schwalbe 2015).</w:t>
      </w:r>
    </w:p>
    <w:p w14:paraId="6213AA6C" w14:textId="77777777" w:rsidR="00FD43FB" w:rsidRDefault="00FD43FB" w:rsidP="00FD43FB">
      <w:r>
        <w:t xml:space="preserve">Critical path tasks on the phased rollout should receive </w:t>
      </w:r>
      <w:proofErr w:type="gramStart"/>
      <w:r>
        <w:t>particular consideration</w:t>
      </w:r>
      <w:proofErr w:type="gramEnd"/>
      <w:r>
        <w:t xml:space="preserve"> from a program management standpoint (PMI, 2021). Delays with long lead items like steel or glass facade materials could throw off project timelines considerably and should be monitored closely as this helps mitigate external risk (Schwalbe 2015).</w:t>
      </w:r>
    </w:p>
    <w:p w14:paraId="277DD378" w14:textId="553E2C33" w:rsidR="00FD43FB" w:rsidRDefault="00FD43FB" w:rsidP="00FD43FB">
      <w:r>
        <w:t>Time risk management requires taking measures to address likely delays such as material shortages, labour disputes, adverse weather delays and productivity losses, permitting issues, subcontractor delays and pandemic impacts (Schwalbe 2015). Proactive steps like selecting secondary vendors before an issue arises (shift work planning for weather delays for instance), expedited permit processes, sub backfill plans enhanced PPE stocks or offsite modular fabrication can help minimize schedule slippage (PMI 2021).</w:t>
      </w:r>
    </w:p>
    <w:p w14:paraId="21265B18" w14:textId="77777777" w:rsidR="00FD43FB" w:rsidRDefault="00FD43FB" w:rsidP="00FD43FB">
      <w:r>
        <w:t>From a contingency planning standpoint, schedule sensitivity analyses identify which parameters have the greatest influence so more buffer can be built into these project areas (PMI, 2021). If glass facade panel production is essential to meeting deadlines on time, adding extra timeline padding for subcontracts with single point of failure risks such as subcontractors is highly advised (Schwalbe 2015). Establishing strategic slack areas into baseline schedules also help avoid feeling pressured to meet unrealistic deadlines when delays eventually do arise (Emmitt 2009).</w:t>
      </w:r>
    </w:p>
    <w:p w14:paraId="5781598C" w14:textId="4D32896D" w:rsidR="00FD43FB" w:rsidRDefault="00FD43FB" w:rsidP="00FD43FB">
      <w:r>
        <w:t>Quality at Google has set an extremely high bar when it comes to their HQ quality as their first wholly owned and designed facility outside the United States (</w:t>
      </w:r>
      <w:proofErr w:type="spellStart"/>
      <w:r>
        <w:t>Gillespies</w:t>
      </w:r>
      <w:proofErr w:type="spellEnd"/>
      <w:r>
        <w:t xml:space="preserve">, 2023). Quality measures </w:t>
      </w:r>
      <w:r>
        <w:lastRenderedPageBreak/>
        <w:t xml:space="preserve">should be put into effect during construction (Emmitt, 2009) while facility usage upon completion requires quality walkthroughs </w:t>
      </w:r>
      <w:proofErr w:type="gramStart"/>
      <w:r>
        <w:t>in order to</w:t>
      </w:r>
      <w:proofErr w:type="gramEnd"/>
      <w:r>
        <w:t xml:space="preserve"> identify any heating or cafeteria function issues which require repair under warranty agreements with contractors (Bassioni et al., 2006).</w:t>
      </w:r>
    </w:p>
    <w:p w14:paraId="185521AF" w14:textId="77777777" w:rsidR="00FD43FB" w:rsidRDefault="00FD43FB" w:rsidP="00FD43FB">
      <w:r>
        <w:t xml:space="preserve">Google will likely have higher quality expectations for their corporate headquarters facility than typical London office spaces (Emmitt, 2009). Technology infrastructure must meet advanced computing and connectivity needs while interior finishes and amenities should reflect Google's brand. Ensuring contractors understand and can meet elevated quality targets is vital </w:t>
      </w:r>
      <w:proofErr w:type="gramStart"/>
      <w:r>
        <w:t>in order to</w:t>
      </w:r>
      <w:proofErr w:type="gramEnd"/>
      <w:r>
        <w:t xml:space="preserve"> avoid costly rework (Bassioni et al., 2006).</w:t>
      </w:r>
    </w:p>
    <w:p w14:paraId="14F9F78A" w14:textId="72724EDC" w:rsidR="00FD43FB" w:rsidRDefault="00FD43FB" w:rsidP="00FD43FB">
      <w:r>
        <w:t>Acceptance criteria must be established across all aspects of project scopes with inspector signoffs to confirm work complies with standards (PMI, 2021). Any deficiencies should be immediately flagged to minimise impact - given the rapid pace of construction projects, quality issues can escalate quickly if left unaddressed (Bassioni et al.</w:t>
      </w:r>
      <w:r w:rsidR="00254594">
        <w:t>,</w:t>
      </w:r>
      <w:r>
        <w:t xml:space="preserve"> 2006). Establishing robust quality processes upfront helps align all parties on defect identification and correction protocols.</w:t>
      </w:r>
    </w:p>
    <w:p w14:paraId="549A2F1D" w14:textId="77777777" w:rsidR="00FD43FB" w:rsidRDefault="00FD43FB" w:rsidP="00FD43FB">
      <w:r>
        <w:t xml:space="preserve">Once construction is complete, comprehensive inspections should take place to identify any outstanding quality issues covered under warranty (Bassioni et al., 2006). Such issues include heating/cooling gaps, material finish flaws, food services operation deficiencies or technology connectivity issues that surface after final signoff (Emmitt, 2009). </w:t>
      </w:r>
      <w:proofErr w:type="gramStart"/>
      <w:r>
        <w:t>Planning ahead</w:t>
      </w:r>
      <w:proofErr w:type="gramEnd"/>
      <w:r>
        <w:t xml:space="preserve"> for this post-acceptance inspection period ensures Google can tour through and use each space thoroughly to confirm all elements are operating according to plan (Bassioni et al., 2006).</w:t>
      </w:r>
    </w:p>
    <w:p w14:paraId="3A0E5E67" w14:textId="77777777" w:rsidR="00FD43FB" w:rsidRDefault="00FD43FB" w:rsidP="00FD43FB">
      <w:r>
        <w:t xml:space="preserve">Google corporate offices are known for their luxurious ambience and therefore additional quality assurance efforts must be placed on amenity spaces such as cafes, gyms and showcase presentation rooms (Bassioni et al., 2006). Since these high-visibility areas serve to reflect company brand image, ensuring defect-free execution is </w:t>
      </w:r>
      <w:proofErr w:type="gramStart"/>
      <w:r>
        <w:t>absolutely crucial</w:t>
      </w:r>
      <w:proofErr w:type="gramEnd"/>
      <w:r>
        <w:t>. While spending more up front may help avoid delays later, using premium materials and highly experienced subcontractors pays dividends in terms of defect avoidance (Emmitt, 2009).</w:t>
      </w:r>
    </w:p>
    <w:p w14:paraId="54485A5A" w14:textId="77777777" w:rsidR="00FD43FB" w:rsidRDefault="00FD43FB" w:rsidP="00FD43FB">
      <w:r>
        <w:t xml:space="preserve">Sustainability elements like advanced glass facades, electric vehicle (EV) charging stations, solar panel installations, greywater </w:t>
      </w:r>
      <w:proofErr w:type="gramStart"/>
      <w:r>
        <w:t>plumbing</w:t>
      </w:r>
      <w:proofErr w:type="gramEnd"/>
      <w:r>
        <w:t xml:space="preserve"> or smart building sensors need specialized quality validation before implementation and ongoing operation (Bassioni et al., 2006). Google likely employs subject matter experts from its global sustainability programs who can conduct periodic quality audits to ensure specifications are being met (Emmitt, 2009).</w:t>
      </w:r>
    </w:p>
    <w:p w14:paraId="76BF0CBA" w14:textId="77777777" w:rsidR="00FD43FB" w:rsidRDefault="00FD43FB" w:rsidP="00FD43FB">
      <w:r>
        <w:t>Technology infrastructure at Google warranties will require extensive verification that uptime reliability, help desk response times, connectivity bandwidth and other metrics meet quality thresholds after tenant occupancy (Bassioni et al., 2006). Employing both in-house and third-party quality inspectors provides dual accountability on conducting rigorous validation to prevent key stakeholder disappointment down the line (PMI, 2021).</w:t>
      </w:r>
    </w:p>
    <w:p w14:paraId="434C4FB0" w14:textId="77777777" w:rsidR="00254594" w:rsidRDefault="00FD43FB" w:rsidP="00254594">
      <w:pPr>
        <w:pStyle w:val="Heading1"/>
      </w:pPr>
      <w:bookmarkStart w:id="3" w:name="_Toc152338003"/>
      <w:r>
        <w:t>Stakeholders</w:t>
      </w:r>
      <w:bookmarkEnd w:id="3"/>
      <w:r>
        <w:t xml:space="preserve"> </w:t>
      </w:r>
    </w:p>
    <w:p w14:paraId="1A583A34" w14:textId="78933B06" w:rsidR="00FD43FB" w:rsidRDefault="00FD43FB" w:rsidP="00FD43FB">
      <w:r>
        <w:t>Key project stakeholders for Google include employees and executives that will utilize their new campus, investors who provide capital to fund its multi-billion investment, the London community impacted by King's Cross Station, London officials providing permits and approvals, contractors such as architects, engineers and builders executing its phased campus rollout (Sutterfield et al.</w:t>
      </w:r>
      <w:r w:rsidR="00254594">
        <w:t>,</w:t>
      </w:r>
      <w:r>
        <w:t xml:space="preserve"> 2006). Engaging </w:t>
      </w:r>
      <w:proofErr w:type="gramStart"/>
      <w:r>
        <w:t>all of</w:t>
      </w:r>
      <w:proofErr w:type="gramEnd"/>
      <w:r>
        <w:t xml:space="preserve"> these stakeholders effectively is paramount to overall project satisfaction; conducting stakeholder analysis helps tailor communications and engagement approaches accordingly (Cleland</w:t>
      </w:r>
      <w:r w:rsidR="00254594">
        <w:t>,</w:t>
      </w:r>
      <w:r>
        <w:t xml:space="preserve"> 1988).</w:t>
      </w:r>
    </w:p>
    <w:p w14:paraId="45BD8F78" w14:textId="0CB737A7" w:rsidR="00FD43FB" w:rsidRDefault="00FD43FB" w:rsidP="00FD43FB">
      <w:r>
        <w:lastRenderedPageBreak/>
        <w:t>Google leadership has an interest in campus facilities reflecting their brand while supporting future vision and workforce expansion (Sutterfield et al., 2006). Understanding these underlying interests enables project team to translate HQ needs during planning and development accordingly. Investors want assurances capital is allocated wisely delivering shareholder value with acceptable risk thresholds (Loosemore</w:t>
      </w:r>
      <w:r w:rsidR="00254594">
        <w:t>,</w:t>
      </w:r>
      <w:r>
        <w:t xml:space="preserve"> 2000); </w:t>
      </w:r>
      <w:proofErr w:type="gramStart"/>
      <w:r>
        <w:t>therefore</w:t>
      </w:r>
      <w:proofErr w:type="gramEnd"/>
      <w:r>
        <w:t xml:space="preserve"> project finances, timelines and risk mitigation must align to these criteria.</w:t>
      </w:r>
    </w:p>
    <w:p w14:paraId="1435B960" w14:textId="77777777" w:rsidR="00FD43FB" w:rsidRDefault="00FD43FB" w:rsidP="00FD43FB">
      <w:r>
        <w:t>London stakeholders' goals extend far beyond Google to community integration and enhancement (Sutterfield et al., 2006). Ensuring proper traffic flow, local access, safety protections, and community space considerations requires working collaboratively with public officials and local groups - which requires working cooperatively on large campus introduction. As this stakeholder group has the political clout to greatly affect public perception that can directly affect overall project success, understanding their interests is of critical importance (Loosemore, 2000).</w:t>
      </w:r>
    </w:p>
    <w:p w14:paraId="6C1555FD" w14:textId="77777777" w:rsidR="00FD43FB" w:rsidRDefault="00FD43FB" w:rsidP="00FD43FB">
      <w:r>
        <w:t>Execution stakeholders ranging from architects to contractors require incentives and contract structures tailored to their business success criteria (Cleland, 1988). Payment terms, risk clauses such as price escalation, timeline buffer acceptance, change order management etc must all be carefully negotiated to achieve win-win arrangements that lead to positive project outcomes (Sutterfield et al. 2006). Getting contract details right at the outset builds productive relationships while instilling trust essential for handling unexpected events that inevitably arise during large multi-year initiatives.</w:t>
      </w:r>
    </w:p>
    <w:p w14:paraId="0990BB02" w14:textId="77777777" w:rsidR="00FD43FB" w:rsidRDefault="00FD43FB" w:rsidP="00FD43FB">
      <w:r>
        <w:t>Google project teams must work in close cooperation with corporate real estate teams that specialize in site selection and portfolio management (Sutterfield et al., 2006). London campus delivery must align with Google's overall global workplace strategy for sales offices, engineering hubs and business operations accommodations (Cleland 1988). Assuring these broader interests is vital to ensure smooth transition post construction rather than becoming an operational vacuum.</w:t>
      </w:r>
    </w:p>
    <w:p w14:paraId="1062E504" w14:textId="0EF0FF8D" w:rsidR="00FD43FB" w:rsidRDefault="00FD43FB" w:rsidP="00FD43FB">
      <w:r>
        <w:t>External industry partners ranging from technology vendors, retail operators, and adjacent developers whose success depends on a positive London campus reception are crucial to its success. Therefore, keeping them aligned through progress updates and milestone celebrations helps maintain supportive voices to overcome inevitable hurdles (Loosemore</w:t>
      </w:r>
      <w:r w:rsidR="00254594">
        <w:t>,</w:t>
      </w:r>
      <w:r>
        <w:t xml:space="preserve"> 2000). Establishing open channels so influencers feel heard makes quick activation possible when political needs such as expediting permits or approving variances arise (Sutterfield et al</w:t>
      </w:r>
      <w:r w:rsidR="00254594">
        <w:t>.,</w:t>
      </w:r>
      <w:r>
        <w:t xml:space="preserve"> 2006)--their networks either </w:t>
      </w:r>
      <w:r w:rsidR="00254594">
        <w:t>fuelling</w:t>
      </w:r>
      <w:r>
        <w:t xml:space="preserve"> or derailing momentum depending on which way their networks contribute.</w:t>
      </w:r>
    </w:p>
    <w:p w14:paraId="3CF88127" w14:textId="66CC0405" w:rsidR="00FD43FB" w:rsidRDefault="00FD43FB" w:rsidP="00FD43FB">
      <w:r>
        <w:t>As media scrutiny of the 2023 campus opening is likely to intensify, more public relations and communications resources should be allocated (Cleland, 1988). Emphasizing sustainability features, local job creation, community enhancements, architectural aesthetics and other project virtues helps overcome disruption detractors may voice in response (Sutterfield et al.</w:t>
      </w:r>
      <w:r w:rsidR="00254594">
        <w:t>,</w:t>
      </w:r>
      <w:r>
        <w:t xml:space="preserve"> 2006). Addressing potential reactions on issues from traffic to noise with proper crisis communications planning could potentially prevent costly responses (Loosemore</w:t>
      </w:r>
      <w:r w:rsidR="00254594">
        <w:t>,</w:t>
      </w:r>
      <w:r>
        <w:t xml:space="preserve"> 2000).</w:t>
      </w:r>
    </w:p>
    <w:p w14:paraId="247F7F93" w14:textId="77777777" w:rsidR="00FD43FB" w:rsidRDefault="00FD43FB" w:rsidP="00254594">
      <w:pPr>
        <w:pStyle w:val="Heading1"/>
      </w:pPr>
      <w:bookmarkStart w:id="4" w:name="_Toc152338004"/>
      <w:r>
        <w:t>Risk Factors</w:t>
      </w:r>
      <w:bookmarkEnd w:id="4"/>
    </w:p>
    <w:p w14:paraId="4A4DEC0A" w14:textId="77777777" w:rsidR="00FD43FB" w:rsidRDefault="00FD43FB" w:rsidP="00FD43FB">
      <w:r>
        <w:t>Risk factors range from material and labour cost increases reducing available contingency funds, workplace safety incidents delaying work, local groups opposing development plans or technology advancements shifting facility requirements midstream (Loosemore, 2000). With established risk management processes outlining mitigation actions for identified risks helps limit impacts (Woodward, 1997) while periodic risk refresh reviews ensure new issues such as economic instability or competitor dynamics can quickly be addressed (Sanchez et al., 2017).</w:t>
      </w:r>
    </w:p>
    <w:p w14:paraId="2A6519F8" w14:textId="4AAF757D" w:rsidR="00FD43FB" w:rsidRDefault="00FD43FB" w:rsidP="00FD43FB">
      <w:r>
        <w:lastRenderedPageBreak/>
        <w:t>From a cost risk perspective, monitoring key macroeconomic indicators on material pricing and labour rate trajectory provides foresight that allows one to adapt mitigation tactics from expedited procurement to contract negotiations (Woodward</w:t>
      </w:r>
      <w:r w:rsidR="00254594">
        <w:t>,</w:t>
      </w:r>
      <w:r>
        <w:t xml:space="preserve"> 1997). Cost estimation accuracy determines contingency plans so being accurate with projections requires considering historical norms as well as environmental scanning in real-time for adjustments (Loosemore</w:t>
      </w:r>
      <w:r w:rsidR="00254594">
        <w:t>,</w:t>
      </w:r>
      <w:r>
        <w:t xml:space="preserve"> 2000). Building trusted supplier relationships helps provide candid feedback when tentative cost calendars diverge from actual expectations.</w:t>
      </w:r>
    </w:p>
    <w:p w14:paraId="03A20CE0" w14:textId="6FBFC9C7" w:rsidR="00FD43FB" w:rsidRDefault="00FD43FB" w:rsidP="00FD43FB">
      <w:r>
        <w:t>Identifying project risks should differentiate between internal project risks such as staffing continuity, decision bottlenecks from headquarters misalignment or poor contractor selection; and external risks like political turmoil, commodity shortages adverse weather or broad economic shifts (Sanchez et al</w:t>
      </w:r>
      <w:r w:rsidR="00254594">
        <w:t>.</w:t>
      </w:r>
      <w:r>
        <w:t>, 2017). Mitigation tactics for internal risks should seek to either reduce likelihood or impact; for external ones preparing contingency plans may provide adequate prevention (Woodward</w:t>
      </w:r>
      <w:r w:rsidR="00254594">
        <w:t>,</w:t>
      </w:r>
      <w:r>
        <w:t xml:space="preserve"> 1997). Delineations helps focus risk responses and clarify accountability between project team and management layers (Loosemore</w:t>
      </w:r>
      <w:r w:rsidR="00254594">
        <w:t>,</w:t>
      </w:r>
      <w:r>
        <w:t xml:space="preserve"> 2000).</w:t>
      </w:r>
    </w:p>
    <w:p w14:paraId="7AD48F50" w14:textId="44FC875A" w:rsidR="00FD43FB" w:rsidRDefault="00FD43FB" w:rsidP="00FD43FB">
      <w:r>
        <w:t xml:space="preserve">Probabilistic Monte Carlo simulations that stress test budget and timeline attainment over thousands of project simulations provide data-driven risk analysis (Sanchez et al., 2017). </w:t>
      </w:r>
      <w:r w:rsidR="00254594">
        <w:t>Analysing</w:t>
      </w:r>
      <w:r>
        <w:t xml:space="preserve"> severity and correlation among different cascading risks allows quantification of contingency/buffer needs that ensure on time/on budget delivery (Woodward</w:t>
      </w:r>
      <w:r w:rsidR="00254594">
        <w:t>,</w:t>
      </w:r>
      <w:r>
        <w:t xml:space="preserve"> 1997). Modelling likelihood that material delays trigger labour cost premiums which draw down contingency pools provides scenario planning insights (Loosemore</w:t>
      </w:r>
      <w:r w:rsidR="00254594">
        <w:t>,</w:t>
      </w:r>
      <w:r>
        <w:t xml:space="preserve"> 2000).</w:t>
      </w:r>
    </w:p>
    <w:p w14:paraId="478AFB21" w14:textId="77777777" w:rsidR="00FD43FB" w:rsidRDefault="00FD43FB" w:rsidP="00254594">
      <w:pPr>
        <w:pStyle w:val="Heading1"/>
      </w:pPr>
      <w:bookmarkStart w:id="5" w:name="_Toc152338005"/>
      <w:r>
        <w:t>Conclusion</w:t>
      </w:r>
      <w:bookmarkEnd w:id="5"/>
    </w:p>
    <w:p w14:paraId="668F6A12" w14:textId="2693ECE3" w:rsidR="00FD43FB" w:rsidRDefault="00FD43FB" w:rsidP="00FD43FB">
      <w:r>
        <w:t xml:space="preserve">Overall, Google has established effective core project plan foundations across budget, timeline, quality assurance standards, </w:t>
      </w:r>
      <w:r w:rsidR="00254594">
        <w:t>stakeholders’</w:t>
      </w:r>
      <w:r>
        <w:t xml:space="preserve"> </w:t>
      </w:r>
      <w:proofErr w:type="gramStart"/>
      <w:r>
        <w:t>engagement</w:t>
      </w:r>
      <w:proofErr w:type="gramEnd"/>
      <w:r>
        <w:t xml:space="preserve"> and risk management to deliver an impressive London headquarters campus by 2023. Tracking each stream with clear accountability, high </w:t>
      </w:r>
      <w:proofErr w:type="gramStart"/>
      <w:r>
        <w:t>transparency</w:t>
      </w:r>
      <w:proofErr w:type="gramEnd"/>
      <w:r>
        <w:t xml:space="preserve"> and willingness to address issues early while making financial commitments for resource contingency mitigation will ensure the initiative stays on course despite political and economic volatility. By employing the phased buildout strategy, schedule delays or budget overruns can be accommodated without jeopardizing overall program success. Delivering amenity-rich, sustainable structures that meet Google brand expectations requires managing stakeholder alignments and mitigating risks; however, all available metrics suggest that all essential organizational competencies and leadership vision have been established and are in place. Assimilation of recommendations regarding contingency planning, advanced risk quantifications, integrated change control processes, quality rigor enforcement measures, and proactive communications could greatly strengthen program resilience and ultimately operational excellence in London for Google's new campus project. With their strategic commitment and aligned capabilities Google stands ready to drive successful project delivery </w:t>
      </w:r>
      <w:proofErr w:type="gramStart"/>
      <w:r>
        <w:t>in spite of</w:t>
      </w:r>
      <w:proofErr w:type="gramEnd"/>
      <w:r>
        <w:t xml:space="preserve"> hostile macro conditions.</w:t>
      </w:r>
    </w:p>
    <w:p w14:paraId="3CFDCA0E" w14:textId="6F3D603D" w:rsidR="00FD43FB" w:rsidRDefault="00FD43FB" w:rsidP="00FD43FB"/>
    <w:p w14:paraId="20A1E63E" w14:textId="7E0AA984" w:rsidR="00FD43FB" w:rsidRDefault="00FD43FB" w:rsidP="00FD43FB"/>
    <w:p w14:paraId="7A163AB7" w14:textId="41D771CC" w:rsidR="00FD43FB" w:rsidRDefault="00FD43FB" w:rsidP="00FD43FB"/>
    <w:p w14:paraId="01356792" w14:textId="78D2F1F3" w:rsidR="00FD43FB" w:rsidRDefault="00FD43FB" w:rsidP="00FD43FB"/>
    <w:p w14:paraId="4F98F409" w14:textId="77777777" w:rsidR="00FD43FB" w:rsidRDefault="00FD43FB" w:rsidP="00FD43FB"/>
    <w:p w14:paraId="04512317" w14:textId="77777777" w:rsidR="00FD43FB" w:rsidRDefault="00FD43FB" w:rsidP="00FD43FB">
      <w:pPr>
        <w:pStyle w:val="Heading1"/>
      </w:pPr>
      <w:bookmarkStart w:id="6" w:name="_Toc152338006"/>
      <w:r w:rsidRPr="00FD43FB">
        <w:lastRenderedPageBreak/>
        <w:t>References</w:t>
      </w:r>
      <w:bookmarkEnd w:id="6"/>
      <w:r w:rsidRPr="00FD43FB">
        <w:t xml:space="preserve"> </w:t>
      </w:r>
    </w:p>
    <w:p w14:paraId="52E792EB" w14:textId="6403E410" w:rsidR="00FD43FB" w:rsidRPr="00FD43FB" w:rsidRDefault="00FD43FB" w:rsidP="00FD43FB">
      <w:pPr>
        <w:pStyle w:val="ListParagraph"/>
        <w:numPr>
          <w:ilvl w:val="0"/>
          <w:numId w:val="1"/>
        </w:numPr>
      </w:pPr>
      <w:r w:rsidRPr="00FD43FB">
        <w:t>Bassioni, Hesham, et al. "Performance improvement of construction projects: taxonomies and praxes." Journal of Management in Engineering 22.4 (2006): 197-204.</w:t>
      </w:r>
    </w:p>
    <w:p w14:paraId="18FC2421" w14:textId="77777777" w:rsidR="00FD43FB" w:rsidRPr="00FD43FB" w:rsidRDefault="00FD43FB" w:rsidP="00FD43FB">
      <w:pPr>
        <w:pStyle w:val="ListParagraph"/>
        <w:numPr>
          <w:ilvl w:val="0"/>
          <w:numId w:val="1"/>
        </w:numPr>
      </w:pPr>
      <w:r w:rsidRPr="00FD43FB">
        <w:t>Cleland, David I. "Stakeholder management." Project management handbook 1 (1988): 49-60.</w:t>
      </w:r>
    </w:p>
    <w:p w14:paraId="1C02C8E7" w14:textId="77777777" w:rsidR="00FD43FB" w:rsidRPr="00FD43FB" w:rsidRDefault="00FD43FB" w:rsidP="00FD43FB">
      <w:pPr>
        <w:pStyle w:val="ListParagraph"/>
        <w:numPr>
          <w:ilvl w:val="0"/>
          <w:numId w:val="1"/>
        </w:numPr>
      </w:pPr>
      <w:proofErr w:type="spellStart"/>
      <w:r w:rsidRPr="00FD43FB">
        <w:t>ConstructConnect</w:t>
      </w:r>
      <w:proofErr w:type="spellEnd"/>
      <w:r w:rsidRPr="00FD43FB">
        <w:t xml:space="preserve">. “Evaluating the Impact of Cost Escalation in the Construction Industry”, 14 June 2022, </w:t>
      </w:r>
      <w:hyperlink r:id="rId5" w:history="1">
        <w:r w:rsidRPr="00FD43FB">
          <w:rPr>
            <w:rStyle w:val="Hyperlink"/>
          </w:rPr>
          <w:t>https://www.constructconnect.com/blog/economy/impact-cost-escalation-construction-industry</w:t>
        </w:r>
      </w:hyperlink>
      <w:r w:rsidRPr="00FD43FB">
        <w:t>. Accessed 1 Dec 2023.</w:t>
      </w:r>
    </w:p>
    <w:p w14:paraId="31E20143" w14:textId="77777777" w:rsidR="00FD43FB" w:rsidRPr="00FD43FB" w:rsidRDefault="00FD43FB" w:rsidP="00FD43FB">
      <w:pPr>
        <w:pStyle w:val="ListParagraph"/>
        <w:numPr>
          <w:ilvl w:val="0"/>
          <w:numId w:val="1"/>
        </w:numPr>
      </w:pPr>
      <w:r w:rsidRPr="00FD43FB">
        <w:t xml:space="preserve">Emmitt, Stephen. Design Management for Architects. John Wiley &amp; Sons, Incorporated, 2009. ProQuest </w:t>
      </w:r>
      <w:proofErr w:type="spellStart"/>
      <w:r w:rsidRPr="00FD43FB">
        <w:t>Ebook</w:t>
      </w:r>
      <w:proofErr w:type="spellEnd"/>
      <w:r w:rsidRPr="00FD43FB">
        <w:t xml:space="preserve"> Central, </w:t>
      </w:r>
      <w:hyperlink r:id="rId6" w:history="1">
        <w:r w:rsidRPr="00FD43FB">
          <w:rPr>
            <w:rStyle w:val="Hyperlink"/>
          </w:rPr>
          <w:t>https://ebookcentral-proquest-com.ezproxy.libproxy.db.erau.edu/lib/erau/detail.action?docID=481656</w:t>
        </w:r>
      </w:hyperlink>
      <w:r w:rsidRPr="00FD43FB">
        <w:t>.</w:t>
      </w:r>
    </w:p>
    <w:p w14:paraId="46573BC9" w14:textId="77777777" w:rsidR="00FD43FB" w:rsidRPr="00FD43FB" w:rsidRDefault="00FD43FB" w:rsidP="00FD43FB">
      <w:pPr>
        <w:pStyle w:val="ListParagraph"/>
        <w:numPr>
          <w:ilvl w:val="0"/>
          <w:numId w:val="1"/>
        </w:numPr>
      </w:pPr>
      <w:r w:rsidRPr="00FD43FB">
        <w:t xml:space="preserve">Fuller, Jack. “Construction Cost per Square Foot for Office Buildings.” </w:t>
      </w:r>
      <w:proofErr w:type="spellStart"/>
      <w:r w:rsidRPr="00FD43FB">
        <w:t>CommercialCafe</w:t>
      </w:r>
      <w:proofErr w:type="spellEnd"/>
      <w:r w:rsidRPr="00FD43FB">
        <w:t xml:space="preserve">, 25 Apr. 2022, </w:t>
      </w:r>
      <w:hyperlink r:id="rId7" w:history="1">
        <w:r w:rsidRPr="00FD43FB">
          <w:rPr>
            <w:rStyle w:val="Hyperlink"/>
          </w:rPr>
          <w:t>https://www.commercialcafe.com/blog/office-construction-cost-per-square-foot/</w:t>
        </w:r>
      </w:hyperlink>
      <w:r w:rsidRPr="00FD43FB">
        <w:t>. Accessed 1 Dec. 2023.</w:t>
      </w:r>
    </w:p>
    <w:p w14:paraId="1B9D5CB2" w14:textId="77777777" w:rsidR="00FD43FB" w:rsidRPr="00FD43FB" w:rsidRDefault="00FD43FB" w:rsidP="00FD43FB">
      <w:pPr>
        <w:pStyle w:val="ListParagraph"/>
        <w:numPr>
          <w:ilvl w:val="0"/>
          <w:numId w:val="1"/>
        </w:numPr>
      </w:pPr>
      <w:proofErr w:type="spellStart"/>
      <w:r w:rsidRPr="00FD43FB">
        <w:t>Gillespies</w:t>
      </w:r>
      <w:proofErr w:type="spellEnd"/>
      <w:r w:rsidRPr="00FD43FB">
        <w:t xml:space="preserve">. “Google Headquarters - Projects”. </w:t>
      </w:r>
      <w:hyperlink r:id="rId8" w:history="1">
        <w:r w:rsidRPr="00FD43FB">
          <w:rPr>
            <w:rStyle w:val="Hyperlink"/>
          </w:rPr>
          <w:t>https://gillespies.co.uk/project/google-hq/</w:t>
        </w:r>
      </w:hyperlink>
      <w:r w:rsidRPr="00FD43FB">
        <w:t>. Accessed 1 Dec. 2023.</w:t>
      </w:r>
    </w:p>
    <w:p w14:paraId="7EF9E7DC" w14:textId="77777777" w:rsidR="00FD43FB" w:rsidRPr="00FD43FB" w:rsidRDefault="00FD43FB" w:rsidP="00FD43FB">
      <w:pPr>
        <w:pStyle w:val="ListParagraph"/>
        <w:numPr>
          <w:ilvl w:val="0"/>
          <w:numId w:val="1"/>
        </w:numPr>
      </w:pPr>
      <w:r w:rsidRPr="00FD43FB">
        <w:t>Loosemore, Mike. "Risk allocation in the private provision of public infrastructure." International journal of project management 18.1 (2000): 66-76.</w:t>
      </w:r>
    </w:p>
    <w:p w14:paraId="5440E2E6" w14:textId="77777777" w:rsidR="00FD43FB" w:rsidRPr="00FD43FB" w:rsidRDefault="00FD43FB" w:rsidP="00FD43FB">
      <w:pPr>
        <w:pStyle w:val="ListParagraph"/>
        <w:numPr>
          <w:ilvl w:val="0"/>
          <w:numId w:val="1"/>
        </w:numPr>
      </w:pPr>
      <w:r w:rsidRPr="00FD43FB">
        <w:t>Meredith, Jack R., and Scott M. Shafer. Operations management for MBAs. John Wiley &amp; Sons, 2019.</w:t>
      </w:r>
    </w:p>
    <w:p w14:paraId="584D74AF" w14:textId="77777777" w:rsidR="00FD43FB" w:rsidRPr="00FD43FB" w:rsidRDefault="00FD43FB" w:rsidP="00FD43FB">
      <w:pPr>
        <w:pStyle w:val="ListParagraph"/>
        <w:numPr>
          <w:ilvl w:val="0"/>
          <w:numId w:val="1"/>
        </w:numPr>
      </w:pPr>
      <w:r w:rsidRPr="00FD43FB">
        <w:t>PMI. Practice Standard for Work Breakdown Structures. Project Management Institute, 2016.</w:t>
      </w:r>
    </w:p>
    <w:p w14:paraId="2E824354" w14:textId="77777777" w:rsidR="00FD43FB" w:rsidRPr="00FD43FB" w:rsidRDefault="00FD43FB" w:rsidP="00FD43FB">
      <w:pPr>
        <w:pStyle w:val="ListParagraph"/>
        <w:numPr>
          <w:ilvl w:val="0"/>
          <w:numId w:val="1"/>
        </w:numPr>
      </w:pPr>
      <w:r w:rsidRPr="00FD43FB">
        <w:t>PMI. Project Management Institute. A Guide to the Project Management Body of Knowledge (PMBOK® Guide) – Seventh Edition and The Standard for Project Management. Project Management Institute, 2021.</w:t>
      </w:r>
    </w:p>
    <w:p w14:paraId="565DBA9E" w14:textId="77777777" w:rsidR="00FD43FB" w:rsidRPr="00FD43FB" w:rsidRDefault="00FD43FB" w:rsidP="00FD43FB">
      <w:pPr>
        <w:pStyle w:val="ListParagraph"/>
        <w:numPr>
          <w:ilvl w:val="0"/>
          <w:numId w:val="1"/>
        </w:numPr>
      </w:pPr>
      <w:r w:rsidRPr="00FD43FB">
        <w:t>Sanchez, Hugo, Teresa Terlizzi, and Leiser de Oliveira. "Project risk management model based on PRINCE2 and Scrum frameworks." International Journal of Managing Projects in Business 10.2 (2017): 379-396.</w:t>
      </w:r>
    </w:p>
    <w:p w14:paraId="64CD15B7" w14:textId="77777777" w:rsidR="00FD43FB" w:rsidRPr="00FD43FB" w:rsidRDefault="00FD43FB" w:rsidP="00FD43FB">
      <w:pPr>
        <w:pStyle w:val="ListParagraph"/>
        <w:numPr>
          <w:ilvl w:val="0"/>
          <w:numId w:val="1"/>
        </w:numPr>
      </w:pPr>
      <w:r w:rsidRPr="00FD43FB">
        <w:t>Schwalbe, Kathy. Information technology project management. Cengage Learning, 2015.</w:t>
      </w:r>
    </w:p>
    <w:p w14:paraId="2AC6F0E9" w14:textId="77777777" w:rsidR="00FD43FB" w:rsidRPr="00FD43FB" w:rsidRDefault="00FD43FB" w:rsidP="00FD43FB">
      <w:pPr>
        <w:pStyle w:val="ListParagraph"/>
        <w:numPr>
          <w:ilvl w:val="0"/>
          <w:numId w:val="1"/>
        </w:numPr>
      </w:pPr>
      <w:r w:rsidRPr="00FD43FB">
        <w:t>Sutterfield, J. S., Friday-Stroud, S. S., &amp; Shivers-Blackwell, S. L. (2006). A case study of project and stakeholder management failures: Lessons learned. Project Management Journal, 37(5), 26-35.</w:t>
      </w:r>
    </w:p>
    <w:p w14:paraId="2D14F5E9" w14:textId="77777777" w:rsidR="00FD43FB" w:rsidRPr="00FD43FB" w:rsidRDefault="00FD43FB" w:rsidP="00FD43FB">
      <w:pPr>
        <w:pStyle w:val="ListParagraph"/>
        <w:numPr>
          <w:ilvl w:val="0"/>
          <w:numId w:val="1"/>
        </w:numPr>
      </w:pPr>
      <w:r w:rsidRPr="00FD43FB">
        <w:t>Woodward, David G. "Life cycle costing—Theory, information acquisition and application." International Journal of project management 15.6 (1997): 335-344.</w:t>
      </w:r>
    </w:p>
    <w:p w14:paraId="58A10DC0" w14:textId="77777777" w:rsidR="00FD43FB" w:rsidRPr="00FD43FB" w:rsidRDefault="00FD43FB" w:rsidP="00FD43FB"/>
    <w:sectPr w:rsidR="00FD43FB" w:rsidRPr="00FD4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290B3A"/>
    <w:multiLevelType w:val="hybridMultilevel"/>
    <w:tmpl w:val="D7489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5018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3A"/>
    <w:rsid w:val="00254594"/>
    <w:rsid w:val="002B6A35"/>
    <w:rsid w:val="00CB4B3A"/>
    <w:rsid w:val="00FD43FB"/>
    <w:rsid w:val="00FE0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D408"/>
  <w15:chartTrackingRefBased/>
  <w15:docId w15:val="{3D39D526-8F5A-40A2-936B-9E558665B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3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3FB"/>
    <w:rPr>
      <w:color w:val="0563C1" w:themeColor="hyperlink"/>
      <w:u w:val="single"/>
    </w:rPr>
  </w:style>
  <w:style w:type="character" w:styleId="UnresolvedMention">
    <w:name w:val="Unresolved Mention"/>
    <w:basedOn w:val="DefaultParagraphFont"/>
    <w:uiPriority w:val="99"/>
    <w:semiHidden/>
    <w:unhideWhenUsed/>
    <w:rsid w:val="00FD43FB"/>
    <w:rPr>
      <w:color w:val="605E5C"/>
      <w:shd w:val="clear" w:color="auto" w:fill="E1DFDD"/>
    </w:rPr>
  </w:style>
  <w:style w:type="paragraph" w:styleId="ListParagraph">
    <w:name w:val="List Paragraph"/>
    <w:basedOn w:val="Normal"/>
    <w:uiPriority w:val="34"/>
    <w:qFormat/>
    <w:rsid w:val="00FD43FB"/>
    <w:pPr>
      <w:ind w:left="720"/>
      <w:contextualSpacing/>
    </w:pPr>
  </w:style>
  <w:style w:type="character" w:customStyle="1" w:styleId="Heading1Char">
    <w:name w:val="Heading 1 Char"/>
    <w:basedOn w:val="DefaultParagraphFont"/>
    <w:link w:val="Heading1"/>
    <w:uiPriority w:val="9"/>
    <w:rsid w:val="00FD43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43FB"/>
    <w:pPr>
      <w:outlineLvl w:val="9"/>
    </w:pPr>
    <w:rPr>
      <w:kern w:val="0"/>
      <w:lang w:eastAsia="en-GB"/>
      <w14:ligatures w14:val="none"/>
    </w:rPr>
  </w:style>
  <w:style w:type="paragraph" w:styleId="TOC1">
    <w:name w:val="toc 1"/>
    <w:basedOn w:val="Normal"/>
    <w:next w:val="Normal"/>
    <w:autoRedefine/>
    <w:uiPriority w:val="39"/>
    <w:unhideWhenUsed/>
    <w:rsid w:val="00FD43FB"/>
    <w:pPr>
      <w:spacing w:after="100"/>
    </w:pPr>
  </w:style>
  <w:style w:type="paragraph" w:styleId="Title">
    <w:name w:val="Title"/>
    <w:basedOn w:val="Normal"/>
    <w:next w:val="Normal"/>
    <w:link w:val="TitleChar"/>
    <w:uiPriority w:val="10"/>
    <w:qFormat/>
    <w:rsid w:val="00FD43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3F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23522">
      <w:bodyDiv w:val="1"/>
      <w:marLeft w:val="0"/>
      <w:marRight w:val="0"/>
      <w:marTop w:val="0"/>
      <w:marBottom w:val="0"/>
      <w:divBdr>
        <w:top w:val="none" w:sz="0" w:space="0" w:color="auto"/>
        <w:left w:val="none" w:sz="0" w:space="0" w:color="auto"/>
        <w:bottom w:val="none" w:sz="0" w:space="0" w:color="auto"/>
        <w:right w:val="none" w:sz="0" w:space="0" w:color="auto"/>
      </w:divBdr>
    </w:div>
    <w:div w:id="947078352">
      <w:bodyDiv w:val="1"/>
      <w:marLeft w:val="0"/>
      <w:marRight w:val="0"/>
      <w:marTop w:val="0"/>
      <w:marBottom w:val="0"/>
      <w:divBdr>
        <w:top w:val="none" w:sz="0" w:space="0" w:color="auto"/>
        <w:left w:val="none" w:sz="0" w:space="0" w:color="auto"/>
        <w:bottom w:val="none" w:sz="0" w:space="0" w:color="auto"/>
        <w:right w:val="none" w:sz="0" w:space="0" w:color="auto"/>
      </w:divBdr>
    </w:div>
    <w:div w:id="1050031541">
      <w:bodyDiv w:val="1"/>
      <w:marLeft w:val="0"/>
      <w:marRight w:val="0"/>
      <w:marTop w:val="0"/>
      <w:marBottom w:val="0"/>
      <w:divBdr>
        <w:top w:val="none" w:sz="0" w:space="0" w:color="auto"/>
        <w:left w:val="none" w:sz="0" w:space="0" w:color="auto"/>
        <w:bottom w:val="none" w:sz="0" w:space="0" w:color="auto"/>
        <w:right w:val="none" w:sz="0" w:space="0" w:color="auto"/>
      </w:divBdr>
    </w:div>
    <w:div w:id="1129277047">
      <w:bodyDiv w:val="1"/>
      <w:marLeft w:val="0"/>
      <w:marRight w:val="0"/>
      <w:marTop w:val="0"/>
      <w:marBottom w:val="0"/>
      <w:divBdr>
        <w:top w:val="none" w:sz="0" w:space="0" w:color="auto"/>
        <w:left w:val="none" w:sz="0" w:space="0" w:color="auto"/>
        <w:bottom w:val="none" w:sz="0" w:space="0" w:color="auto"/>
        <w:right w:val="none" w:sz="0" w:space="0" w:color="auto"/>
      </w:divBdr>
    </w:div>
    <w:div w:id="1258056615">
      <w:bodyDiv w:val="1"/>
      <w:marLeft w:val="0"/>
      <w:marRight w:val="0"/>
      <w:marTop w:val="0"/>
      <w:marBottom w:val="0"/>
      <w:divBdr>
        <w:top w:val="none" w:sz="0" w:space="0" w:color="auto"/>
        <w:left w:val="none" w:sz="0" w:space="0" w:color="auto"/>
        <w:bottom w:val="none" w:sz="0" w:space="0" w:color="auto"/>
        <w:right w:val="none" w:sz="0" w:space="0" w:color="auto"/>
      </w:divBdr>
    </w:div>
    <w:div w:id="1773625005">
      <w:bodyDiv w:val="1"/>
      <w:marLeft w:val="0"/>
      <w:marRight w:val="0"/>
      <w:marTop w:val="0"/>
      <w:marBottom w:val="0"/>
      <w:divBdr>
        <w:top w:val="none" w:sz="0" w:space="0" w:color="auto"/>
        <w:left w:val="none" w:sz="0" w:space="0" w:color="auto"/>
        <w:bottom w:val="none" w:sz="0" w:space="0" w:color="auto"/>
        <w:right w:val="none" w:sz="0" w:space="0" w:color="auto"/>
      </w:divBdr>
    </w:div>
    <w:div w:id="193763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llespies.co.uk/project/google-hq/" TargetMode="External"/><Relationship Id="rId3" Type="http://schemas.openxmlformats.org/officeDocument/2006/relationships/settings" Target="settings.xml"/><Relationship Id="rId7" Type="http://schemas.openxmlformats.org/officeDocument/2006/relationships/hyperlink" Target="https://www.commercialcafe.com/blog/office-construction-cost-per-square-foo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bookcentral-proquest-com.ezproxy.libproxy.db.erau.edu/lib/erau/detail.action?docID=481656" TargetMode="External"/><Relationship Id="rId5" Type="http://schemas.openxmlformats.org/officeDocument/2006/relationships/hyperlink" Target="https://www.constructconnect.com/blog/economy/impact-cost-escalation-construction-indust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3206</Words>
  <Characters>18276</Characters>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2023-12-01T15:12:00Z</dcterms:created>
  <dcterms:modified xsi:type="dcterms:W3CDTF">2023-12-03T10:46:00Z</dcterms:modified>
</cp:coreProperties>
</file>