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1B5A64" w14:textId="77777777" w:rsidR="00E464AF" w:rsidRDefault="00E464AF" w:rsidP="00E464AF">
      <w:pPr>
        <w:spacing w:line="360" w:lineRule="auto"/>
        <w:rPr>
          <w:rFonts w:ascii="Arial" w:hAnsi="Arial" w:cs="Arial"/>
          <w:b/>
          <w:bCs/>
          <w:sz w:val="32"/>
          <w:szCs w:val="32"/>
        </w:rPr>
      </w:pPr>
      <w:r>
        <w:rPr>
          <w:rFonts w:ascii="Arial" w:hAnsi="Arial" w:cs="Arial"/>
          <w:b/>
          <w:bCs/>
          <w:noProof/>
          <w:sz w:val="32"/>
          <w:szCs w:val="32"/>
        </w:rPr>
        <w:drawing>
          <wp:inline distT="0" distB="0" distL="0" distR="0" wp14:anchorId="37C1A34C" wp14:editId="1AA271D4">
            <wp:extent cx="2210354" cy="829733"/>
            <wp:effectExtent l="0" t="0" r="0" b="0"/>
            <wp:docPr id="352744535" name="Picture 3"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744535" name="Picture 3" descr="A close up of black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5064" cy="835255"/>
                    </a:xfrm>
                    <a:prstGeom prst="rect">
                      <a:avLst/>
                    </a:prstGeom>
                  </pic:spPr>
                </pic:pic>
              </a:graphicData>
            </a:graphic>
          </wp:inline>
        </w:drawing>
      </w:r>
    </w:p>
    <w:p w14:paraId="01677896" w14:textId="77777777" w:rsidR="00E464AF" w:rsidRDefault="00E464AF" w:rsidP="00E464AF">
      <w:pPr>
        <w:spacing w:line="360" w:lineRule="auto"/>
        <w:rPr>
          <w:rFonts w:ascii="Arial" w:hAnsi="Arial" w:cs="Arial"/>
          <w:b/>
          <w:bCs/>
          <w:sz w:val="32"/>
          <w:szCs w:val="32"/>
        </w:rPr>
      </w:pPr>
    </w:p>
    <w:p w14:paraId="7989C631" w14:textId="5AD41981" w:rsidR="00E464AF" w:rsidRDefault="00E464AF" w:rsidP="00E464AF">
      <w:pPr>
        <w:pStyle w:val="NormalWeb"/>
        <w:jc w:val="right"/>
      </w:pPr>
      <w:r>
        <w:rPr>
          <w:rFonts w:ascii="Arial" w:hAnsi="Arial" w:cs="Arial"/>
          <w:b/>
          <w:bCs/>
          <w:sz w:val="48"/>
          <w:szCs w:val="48"/>
        </w:rPr>
        <w:t xml:space="preserve">Foreign Languages and Cultural Awareness </w:t>
      </w:r>
    </w:p>
    <w:p w14:paraId="35852C61" w14:textId="77777777" w:rsidR="00E464AF" w:rsidRDefault="00E464AF" w:rsidP="00E464AF">
      <w:pPr>
        <w:spacing w:line="360" w:lineRule="auto"/>
        <w:jc w:val="right"/>
        <w:rPr>
          <w:rFonts w:ascii="Arial" w:hAnsi="Arial" w:cs="Arial"/>
          <w:b/>
          <w:bCs/>
          <w:sz w:val="32"/>
          <w:szCs w:val="32"/>
        </w:rPr>
      </w:pPr>
    </w:p>
    <w:p w14:paraId="51045DE1" w14:textId="77777777" w:rsidR="00E464AF" w:rsidRPr="00F80A44" w:rsidRDefault="00E464AF" w:rsidP="00E464AF">
      <w:pPr>
        <w:pStyle w:val="NormalWeb"/>
        <w:jc w:val="right"/>
        <w:rPr>
          <w:lang w:val="en-US"/>
        </w:rPr>
      </w:pPr>
      <w:r w:rsidRPr="00F80A44">
        <w:rPr>
          <w:rFonts w:ascii="Arial" w:hAnsi="Arial" w:cs="Arial"/>
          <w:b/>
          <w:bCs/>
          <w:sz w:val="36"/>
          <w:szCs w:val="36"/>
          <w:lang w:val="en-US"/>
        </w:rPr>
        <w:t xml:space="preserve">Module Lead </w:t>
      </w:r>
    </w:p>
    <w:p w14:paraId="2F925602" w14:textId="77777777" w:rsidR="00E464AF" w:rsidRPr="007F3BC3" w:rsidRDefault="00E464AF" w:rsidP="00E464AF">
      <w:pPr>
        <w:pStyle w:val="NormalWeb"/>
        <w:jc w:val="right"/>
        <w:rPr>
          <w:rFonts w:ascii="Arial" w:hAnsi="Arial" w:cs="Arial"/>
          <w:b/>
          <w:bCs/>
          <w:sz w:val="32"/>
          <w:szCs w:val="32"/>
          <w:lang w:val="it-IT"/>
        </w:rPr>
      </w:pPr>
      <w:r w:rsidRPr="007F3BC3">
        <w:rPr>
          <w:rFonts w:ascii="Arial" w:hAnsi="Arial" w:cs="Arial"/>
          <w:b/>
          <w:bCs/>
          <w:sz w:val="32"/>
          <w:szCs w:val="32"/>
          <w:lang w:val="it-IT"/>
        </w:rPr>
        <w:t xml:space="preserve">Giulia Chifari </w:t>
      </w:r>
    </w:p>
    <w:p w14:paraId="1BFA5954" w14:textId="77777777" w:rsidR="00E464AF" w:rsidRPr="007F3BC3" w:rsidRDefault="00E464AF" w:rsidP="00E464AF">
      <w:pPr>
        <w:pStyle w:val="NormalWeb"/>
        <w:jc w:val="right"/>
        <w:rPr>
          <w:rFonts w:ascii="Arial" w:hAnsi="Arial" w:cs="Arial"/>
          <w:b/>
          <w:bCs/>
          <w:sz w:val="32"/>
          <w:szCs w:val="32"/>
          <w:lang w:val="it-IT"/>
        </w:rPr>
      </w:pPr>
      <w:r w:rsidRPr="007F3BC3">
        <w:rPr>
          <w:rFonts w:ascii="Arial" w:hAnsi="Arial" w:cs="Arial"/>
          <w:b/>
          <w:bCs/>
          <w:sz w:val="32"/>
          <w:szCs w:val="32"/>
          <w:lang w:val="it-IT"/>
        </w:rPr>
        <w:t>Student Lavinia Mihaloiu</w:t>
      </w:r>
    </w:p>
    <w:p w14:paraId="6E41B3BE" w14:textId="77777777" w:rsidR="00E464AF" w:rsidRPr="00F80A44" w:rsidRDefault="00E464AF" w:rsidP="00E464AF">
      <w:pPr>
        <w:pStyle w:val="NormalWeb"/>
        <w:jc w:val="right"/>
        <w:rPr>
          <w:rFonts w:ascii="Arial" w:hAnsi="Arial" w:cs="Arial"/>
          <w:b/>
          <w:bCs/>
          <w:sz w:val="32"/>
          <w:szCs w:val="32"/>
          <w:lang w:val="it-IT"/>
        </w:rPr>
      </w:pPr>
      <w:r w:rsidRPr="00F80A44">
        <w:rPr>
          <w:rFonts w:ascii="Arial" w:hAnsi="Arial" w:cs="Arial"/>
          <w:b/>
          <w:bCs/>
          <w:sz w:val="32"/>
          <w:szCs w:val="32"/>
          <w:lang w:val="it-IT"/>
        </w:rPr>
        <w:t xml:space="preserve">2113467 </w:t>
      </w:r>
    </w:p>
    <w:p w14:paraId="6999841F" w14:textId="77777777" w:rsidR="00E464AF" w:rsidRPr="00F80A44" w:rsidRDefault="00E464AF" w:rsidP="00E464AF">
      <w:pPr>
        <w:pStyle w:val="NormalWeb"/>
        <w:jc w:val="right"/>
        <w:rPr>
          <w:lang w:val="it-IT"/>
        </w:rPr>
      </w:pPr>
    </w:p>
    <w:p w14:paraId="416E7C18" w14:textId="77777777" w:rsidR="00E464AF" w:rsidRPr="00F80A44" w:rsidRDefault="00E464AF" w:rsidP="00E464AF">
      <w:pPr>
        <w:spacing w:line="360" w:lineRule="auto"/>
        <w:jc w:val="center"/>
        <w:rPr>
          <w:rFonts w:ascii="Arial" w:hAnsi="Arial" w:cs="Arial"/>
          <w:b/>
          <w:bCs/>
          <w:sz w:val="32"/>
          <w:szCs w:val="32"/>
          <w:lang w:val="it-IT"/>
        </w:rPr>
      </w:pPr>
    </w:p>
    <w:p w14:paraId="469B6E99" w14:textId="77777777" w:rsidR="00E464AF" w:rsidRPr="00F80A44" w:rsidRDefault="00E464AF" w:rsidP="00E464AF">
      <w:pPr>
        <w:spacing w:line="360" w:lineRule="auto"/>
        <w:jc w:val="center"/>
        <w:rPr>
          <w:rFonts w:ascii="Arial" w:hAnsi="Arial" w:cs="Arial"/>
          <w:b/>
          <w:bCs/>
          <w:sz w:val="32"/>
          <w:szCs w:val="32"/>
          <w:lang w:val="it-IT"/>
        </w:rPr>
      </w:pPr>
    </w:p>
    <w:p w14:paraId="53EEC12B" w14:textId="77777777" w:rsidR="00E464AF" w:rsidRPr="00C92059" w:rsidRDefault="00E464AF" w:rsidP="00E464AF">
      <w:pPr>
        <w:spacing w:line="360" w:lineRule="auto"/>
        <w:jc w:val="center"/>
        <w:rPr>
          <w:rFonts w:ascii="Arial" w:hAnsi="Arial" w:cs="Arial"/>
          <w:b/>
          <w:bCs/>
          <w:sz w:val="32"/>
          <w:szCs w:val="32"/>
        </w:rPr>
      </w:pPr>
      <w:r w:rsidRPr="00C92059">
        <w:rPr>
          <w:rFonts w:ascii="Arial" w:hAnsi="Arial" w:cs="Arial"/>
          <w:b/>
          <w:bCs/>
          <w:sz w:val="32"/>
          <w:szCs w:val="32"/>
        </w:rPr>
        <w:t>Report on Intercultural Leadership in the Hospitality Industry</w:t>
      </w:r>
    </w:p>
    <w:p w14:paraId="09756372" w14:textId="77777777" w:rsidR="00E464AF" w:rsidRPr="00C92059" w:rsidRDefault="00E464AF" w:rsidP="00E464AF">
      <w:pPr>
        <w:spacing w:line="360" w:lineRule="auto"/>
        <w:jc w:val="center"/>
        <w:rPr>
          <w:rFonts w:ascii="Arial" w:hAnsi="Arial" w:cs="Arial"/>
          <w:b/>
          <w:bCs/>
          <w:sz w:val="32"/>
          <w:szCs w:val="32"/>
        </w:rPr>
      </w:pPr>
      <w:r w:rsidRPr="00C92059">
        <w:rPr>
          <w:rFonts w:ascii="Arial" w:hAnsi="Arial" w:cs="Arial"/>
          <w:b/>
          <w:bCs/>
          <w:sz w:val="32"/>
          <w:szCs w:val="32"/>
        </w:rPr>
        <w:t>A Comparison of England and Italy</w:t>
      </w:r>
    </w:p>
    <w:p w14:paraId="7774B133" w14:textId="77777777" w:rsidR="00E464AF" w:rsidRDefault="00E464AF" w:rsidP="00E464AF">
      <w:pPr>
        <w:spacing w:line="360" w:lineRule="auto"/>
        <w:jc w:val="both"/>
        <w:rPr>
          <w:rFonts w:ascii="Arial" w:hAnsi="Arial" w:cs="Arial"/>
          <w:b/>
          <w:bCs/>
          <w:sz w:val="22"/>
          <w:szCs w:val="22"/>
        </w:rPr>
      </w:pPr>
    </w:p>
    <w:p w14:paraId="52BEF8D9" w14:textId="77777777" w:rsidR="00E464AF" w:rsidRDefault="00E464AF" w:rsidP="00E464AF">
      <w:pPr>
        <w:spacing w:line="360" w:lineRule="auto"/>
        <w:jc w:val="both"/>
        <w:rPr>
          <w:rFonts w:ascii="Arial" w:hAnsi="Arial" w:cs="Arial"/>
          <w:b/>
          <w:bCs/>
          <w:sz w:val="22"/>
          <w:szCs w:val="22"/>
        </w:rPr>
      </w:pPr>
    </w:p>
    <w:p w14:paraId="035D7879" w14:textId="77777777" w:rsidR="00E464AF" w:rsidRDefault="00E464AF" w:rsidP="00E464AF">
      <w:pPr>
        <w:spacing w:line="360" w:lineRule="auto"/>
        <w:jc w:val="both"/>
        <w:rPr>
          <w:rFonts w:ascii="Arial" w:hAnsi="Arial" w:cs="Arial"/>
          <w:b/>
          <w:bCs/>
          <w:sz w:val="22"/>
          <w:szCs w:val="22"/>
        </w:rPr>
      </w:pPr>
    </w:p>
    <w:p w14:paraId="33E3730E" w14:textId="77777777" w:rsidR="00E464AF" w:rsidRDefault="00E464AF" w:rsidP="00E464AF">
      <w:pPr>
        <w:spacing w:line="360" w:lineRule="auto"/>
        <w:jc w:val="both"/>
        <w:rPr>
          <w:rFonts w:ascii="Arial" w:hAnsi="Arial" w:cs="Arial"/>
          <w:b/>
          <w:bCs/>
          <w:sz w:val="22"/>
          <w:szCs w:val="22"/>
        </w:rPr>
      </w:pPr>
    </w:p>
    <w:p w14:paraId="013B2EE9" w14:textId="77777777" w:rsidR="00181B95" w:rsidRDefault="00181B95"/>
    <w:p w14:paraId="0C8E9389" w14:textId="77777777" w:rsidR="00E464AF" w:rsidRPr="00957B17" w:rsidRDefault="00E464AF" w:rsidP="00E464AF">
      <w:pPr>
        <w:spacing w:line="360" w:lineRule="auto"/>
        <w:jc w:val="both"/>
        <w:rPr>
          <w:rFonts w:ascii="Arial" w:hAnsi="Arial" w:cs="Arial"/>
          <w:b/>
          <w:bCs/>
          <w:sz w:val="22"/>
          <w:szCs w:val="22"/>
        </w:rPr>
      </w:pPr>
      <w:r w:rsidRPr="00957B17">
        <w:rPr>
          <w:rFonts w:ascii="Arial" w:hAnsi="Arial" w:cs="Arial"/>
          <w:b/>
          <w:bCs/>
          <w:sz w:val="22"/>
          <w:szCs w:val="22"/>
        </w:rPr>
        <w:lastRenderedPageBreak/>
        <w:t>Executive Summary</w:t>
      </w:r>
    </w:p>
    <w:p w14:paraId="54BE9DD3" w14:textId="77777777" w:rsidR="00E464AF" w:rsidRDefault="00E464AF" w:rsidP="00E464AF">
      <w:pPr>
        <w:spacing w:line="360" w:lineRule="auto"/>
        <w:jc w:val="both"/>
        <w:rPr>
          <w:rFonts w:ascii="Arial" w:hAnsi="Arial" w:cs="Arial"/>
          <w:sz w:val="22"/>
          <w:szCs w:val="22"/>
        </w:rPr>
      </w:pPr>
      <w:r w:rsidRPr="00957B17">
        <w:rPr>
          <w:rFonts w:ascii="Arial" w:hAnsi="Arial" w:cs="Arial"/>
          <w:sz w:val="22"/>
          <w:szCs w:val="22"/>
        </w:rPr>
        <w:t>This report delves into the operational intricacies and intercultural relations between Italy and England teams in the hospitality industry, providing insights for seamless integration as Italian employees join the London team in July 2024. It examines key cultural differences in power distance, individualism, communication styles, work ethic, decision-making processes, and work-life balance. Cultural diversity training and recommendations for implementing workplace diversity initiatives are proposed to foster inclusivity and enhance organizational success. Understanding cultural nuances facilitates effective collaboration between diverse teams and promotes a healthier work environment.</w:t>
      </w:r>
    </w:p>
    <w:sdt>
      <w:sdtPr>
        <w:rPr>
          <w:rFonts w:asciiTheme="minorHAnsi" w:eastAsiaTheme="minorHAnsi" w:hAnsiTheme="minorHAnsi" w:cstheme="minorBidi"/>
          <w:b w:val="0"/>
          <w:bCs w:val="0"/>
          <w:color w:val="auto"/>
          <w:kern w:val="2"/>
          <w:sz w:val="24"/>
          <w:szCs w:val="24"/>
          <w:lang w:val="en-GB"/>
          <w14:ligatures w14:val="standardContextual"/>
        </w:rPr>
        <w:id w:val="1671133291"/>
        <w:docPartObj>
          <w:docPartGallery w:val="Table of Contents"/>
          <w:docPartUnique/>
        </w:docPartObj>
      </w:sdtPr>
      <w:sdtEndPr>
        <w:rPr>
          <w:noProof/>
        </w:rPr>
      </w:sdtEndPr>
      <w:sdtContent>
        <w:p w14:paraId="4D475DFA" w14:textId="77777777" w:rsidR="00E464AF" w:rsidRDefault="00E464AF" w:rsidP="00E464AF">
          <w:pPr>
            <w:pStyle w:val="TOCHeading"/>
          </w:pPr>
          <w:r>
            <w:t>Table of Contents</w:t>
          </w:r>
        </w:p>
        <w:p w14:paraId="45ED2BF1" w14:textId="77777777" w:rsidR="00E464AF" w:rsidRDefault="00E464AF" w:rsidP="00E464AF">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66516813" w:history="1">
            <w:r w:rsidRPr="009A6DC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_Toc166516813 \h </w:instrText>
            </w:r>
            <w:r>
              <w:rPr>
                <w:noProof/>
                <w:webHidden/>
              </w:rPr>
            </w:r>
            <w:r>
              <w:rPr>
                <w:noProof/>
                <w:webHidden/>
              </w:rPr>
              <w:fldChar w:fldCharType="separate"/>
            </w:r>
            <w:r>
              <w:rPr>
                <w:noProof/>
                <w:webHidden/>
              </w:rPr>
              <w:t>3</w:t>
            </w:r>
            <w:r>
              <w:rPr>
                <w:noProof/>
                <w:webHidden/>
              </w:rPr>
              <w:fldChar w:fldCharType="end"/>
            </w:r>
          </w:hyperlink>
        </w:p>
        <w:p w14:paraId="36BB9A83" w14:textId="77777777" w:rsidR="00E464AF" w:rsidRDefault="00000000" w:rsidP="00E464AF">
          <w:pPr>
            <w:pStyle w:val="TOC1"/>
            <w:tabs>
              <w:tab w:val="right" w:leader="dot" w:pos="9016"/>
            </w:tabs>
            <w:rPr>
              <w:rFonts w:eastAsiaTheme="minorEastAsia"/>
              <w:b w:val="0"/>
              <w:bCs w:val="0"/>
              <w:i w:val="0"/>
              <w:iCs w:val="0"/>
              <w:noProof/>
              <w:lang w:eastAsia="en-GB"/>
            </w:rPr>
          </w:pPr>
          <w:hyperlink w:anchor="_Toc166516814" w:history="1">
            <w:r w:rsidR="00E464AF" w:rsidRPr="009A6DCA">
              <w:rPr>
                <w:rStyle w:val="Hyperlink"/>
                <w:rFonts w:ascii="Arial" w:hAnsi="Arial" w:cs="Arial"/>
                <w:noProof/>
              </w:rPr>
              <w:t>Main Body</w:t>
            </w:r>
            <w:r w:rsidR="00E464AF">
              <w:rPr>
                <w:noProof/>
                <w:webHidden/>
              </w:rPr>
              <w:tab/>
            </w:r>
            <w:r w:rsidR="00E464AF">
              <w:rPr>
                <w:noProof/>
                <w:webHidden/>
              </w:rPr>
              <w:fldChar w:fldCharType="begin"/>
            </w:r>
            <w:r w:rsidR="00E464AF">
              <w:rPr>
                <w:noProof/>
                <w:webHidden/>
              </w:rPr>
              <w:instrText xml:space="preserve"> PAGEREF _Toc166516814 \h </w:instrText>
            </w:r>
            <w:r w:rsidR="00E464AF">
              <w:rPr>
                <w:noProof/>
                <w:webHidden/>
              </w:rPr>
            </w:r>
            <w:r w:rsidR="00E464AF">
              <w:rPr>
                <w:noProof/>
                <w:webHidden/>
              </w:rPr>
              <w:fldChar w:fldCharType="separate"/>
            </w:r>
            <w:r w:rsidR="00E464AF">
              <w:rPr>
                <w:noProof/>
                <w:webHidden/>
              </w:rPr>
              <w:t>4</w:t>
            </w:r>
            <w:r w:rsidR="00E464AF">
              <w:rPr>
                <w:noProof/>
                <w:webHidden/>
              </w:rPr>
              <w:fldChar w:fldCharType="end"/>
            </w:r>
          </w:hyperlink>
        </w:p>
        <w:p w14:paraId="562364E3" w14:textId="77777777" w:rsidR="00E464AF" w:rsidRDefault="00000000" w:rsidP="00E464AF">
          <w:pPr>
            <w:pStyle w:val="TOC2"/>
            <w:tabs>
              <w:tab w:val="right" w:leader="dot" w:pos="9016"/>
            </w:tabs>
            <w:rPr>
              <w:rFonts w:eastAsiaTheme="minorEastAsia"/>
              <w:b w:val="0"/>
              <w:bCs w:val="0"/>
              <w:noProof/>
              <w:sz w:val="24"/>
              <w:szCs w:val="24"/>
              <w:lang w:eastAsia="en-GB"/>
            </w:rPr>
          </w:pPr>
          <w:hyperlink w:anchor="_Toc166516815" w:history="1">
            <w:r w:rsidR="00E464AF" w:rsidRPr="009A6DCA">
              <w:rPr>
                <w:rStyle w:val="Hyperlink"/>
                <w:rFonts w:ascii="Arial" w:hAnsi="Arial" w:cs="Arial"/>
                <w:noProof/>
              </w:rPr>
              <w:t>Key Differences Between England and Italy</w:t>
            </w:r>
            <w:r w:rsidR="00E464AF">
              <w:rPr>
                <w:noProof/>
                <w:webHidden/>
              </w:rPr>
              <w:tab/>
            </w:r>
            <w:r w:rsidR="00E464AF">
              <w:rPr>
                <w:noProof/>
                <w:webHidden/>
              </w:rPr>
              <w:fldChar w:fldCharType="begin"/>
            </w:r>
            <w:r w:rsidR="00E464AF">
              <w:rPr>
                <w:noProof/>
                <w:webHidden/>
              </w:rPr>
              <w:instrText xml:space="preserve"> PAGEREF _Toc166516815 \h </w:instrText>
            </w:r>
            <w:r w:rsidR="00E464AF">
              <w:rPr>
                <w:noProof/>
                <w:webHidden/>
              </w:rPr>
            </w:r>
            <w:r w:rsidR="00E464AF">
              <w:rPr>
                <w:noProof/>
                <w:webHidden/>
              </w:rPr>
              <w:fldChar w:fldCharType="separate"/>
            </w:r>
            <w:r w:rsidR="00E464AF">
              <w:rPr>
                <w:noProof/>
                <w:webHidden/>
              </w:rPr>
              <w:t>4</w:t>
            </w:r>
            <w:r w:rsidR="00E464AF">
              <w:rPr>
                <w:noProof/>
                <w:webHidden/>
              </w:rPr>
              <w:fldChar w:fldCharType="end"/>
            </w:r>
          </w:hyperlink>
        </w:p>
        <w:p w14:paraId="26E23561" w14:textId="77777777" w:rsidR="00E464AF" w:rsidRDefault="00000000" w:rsidP="00E464AF">
          <w:pPr>
            <w:pStyle w:val="TOC2"/>
            <w:tabs>
              <w:tab w:val="right" w:leader="dot" w:pos="9016"/>
            </w:tabs>
            <w:rPr>
              <w:rFonts w:eastAsiaTheme="minorEastAsia"/>
              <w:b w:val="0"/>
              <w:bCs w:val="0"/>
              <w:noProof/>
              <w:sz w:val="24"/>
              <w:szCs w:val="24"/>
              <w:lang w:eastAsia="en-GB"/>
            </w:rPr>
          </w:pPr>
          <w:hyperlink w:anchor="_Toc166516816" w:history="1">
            <w:r w:rsidR="00E464AF" w:rsidRPr="009A6DCA">
              <w:rPr>
                <w:rStyle w:val="Hyperlink"/>
                <w:rFonts w:ascii="Arial" w:hAnsi="Arial" w:cs="Arial"/>
                <w:noProof/>
              </w:rPr>
              <w:t>Communication styles</w:t>
            </w:r>
            <w:r w:rsidR="00E464AF">
              <w:rPr>
                <w:noProof/>
                <w:webHidden/>
              </w:rPr>
              <w:tab/>
            </w:r>
            <w:r w:rsidR="00E464AF">
              <w:rPr>
                <w:noProof/>
                <w:webHidden/>
              </w:rPr>
              <w:fldChar w:fldCharType="begin"/>
            </w:r>
            <w:r w:rsidR="00E464AF">
              <w:rPr>
                <w:noProof/>
                <w:webHidden/>
              </w:rPr>
              <w:instrText xml:space="preserve"> PAGEREF _Toc166516816 \h </w:instrText>
            </w:r>
            <w:r w:rsidR="00E464AF">
              <w:rPr>
                <w:noProof/>
                <w:webHidden/>
              </w:rPr>
            </w:r>
            <w:r w:rsidR="00E464AF">
              <w:rPr>
                <w:noProof/>
                <w:webHidden/>
              </w:rPr>
              <w:fldChar w:fldCharType="separate"/>
            </w:r>
            <w:r w:rsidR="00E464AF">
              <w:rPr>
                <w:noProof/>
                <w:webHidden/>
              </w:rPr>
              <w:t>4</w:t>
            </w:r>
            <w:r w:rsidR="00E464AF">
              <w:rPr>
                <w:noProof/>
                <w:webHidden/>
              </w:rPr>
              <w:fldChar w:fldCharType="end"/>
            </w:r>
          </w:hyperlink>
        </w:p>
        <w:p w14:paraId="4F2686B4" w14:textId="77777777" w:rsidR="00E464AF" w:rsidRDefault="00000000" w:rsidP="00E464AF">
          <w:pPr>
            <w:pStyle w:val="TOC2"/>
            <w:tabs>
              <w:tab w:val="right" w:leader="dot" w:pos="9016"/>
            </w:tabs>
            <w:rPr>
              <w:rFonts w:eastAsiaTheme="minorEastAsia"/>
              <w:b w:val="0"/>
              <w:bCs w:val="0"/>
              <w:noProof/>
              <w:sz w:val="24"/>
              <w:szCs w:val="24"/>
              <w:lang w:eastAsia="en-GB"/>
            </w:rPr>
          </w:pPr>
          <w:hyperlink w:anchor="_Toc166516817" w:history="1">
            <w:r w:rsidR="00E464AF" w:rsidRPr="009A6DCA">
              <w:rPr>
                <w:rStyle w:val="Hyperlink"/>
                <w:rFonts w:ascii="Arial" w:hAnsi="Arial" w:cs="Arial"/>
                <w:noProof/>
              </w:rPr>
              <w:t>Work Ethic &amp; Perception of Time</w:t>
            </w:r>
            <w:r w:rsidR="00E464AF">
              <w:rPr>
                <w:noProof/>
                <w:webHidden/>
              </w:rPr>
              <w:tab/>
            </w:r>
            <w:r w:rsidR="00E464AF">
              <w:rPr>
                <w:noProof/>
                <w:webHidden/>
              </w:rPr>
              <w:fldChar w:fldCharType="begin"/>
            </w:r>
            <w:r w:rsidR="00E464AF">
              <w:rPr>
                <w:noProof/>
                <w:webHidden/>
              </w:rPr>
              <w:instrText xml:space="preserve"> PAGEREF _Toc166516817 \h </w:instrText>
            </w:r>
            <w:r w:rsidR="00E464AF">
              <w:rPr>
                <w:noProof/>
                <w:webHidden/>
              </w:rPr>
            </w:r>
            <w:r w:rsidR="00E464AF">
              <w:rPr>
                <w:noProof/>
                <w:webHidden/>
              </w:rPr>
              <w:fldChar w:fldCharType="separate"/>
            </w:r>
            <w:r w:rsidR="00E464AF">
              <w:rPr>
                <w:noProof/>
                <w:webHidden/>
              </w:rPr>
              <w:t>5</w:t>
            </w:r>
            <w:r w:rsidR="00E464AF">
              <w:rPr>
                <w:noProof/>
                <w:webHidden/>
              </w:rPr>
              <w:fldChar w:fldCharType="end"/>
            </w:r>
          </w:hyperlink>
        </w:p>
        <w:p w14:paraId="140A97A3" w14:textId="77777777" w:rsidR="00E464AF" w:rsidRDefault="00000000" w:rsidP="00E464AF">
          <w:pPr>
            <w:pStyle w:val="TOC2"/>
            <w:tabs>
              <w:tab w:val="right" w:leader="dot" w:pos="9016"/>
            </w:tabs>
            <w:rPr>
              <w:rFonts w:eastAsiaTheme="minorEastAsia"/>
              <w:b w:val="0"/>
              <w:bCs w:val="0"/>
              <w:noProof/>
              <w:sz w:val="24"/>
              <w:szCs w:val="24"/>
              <w:lang w:eastAsia="en-GB"/>
            </w:rPr>
          </w:pPr>
          <w:hyperlink w:anchor="_Toc166516818" w:history="1">
            <w:r w:rsidR="00E464AF" w:rsidRPr="009A6DCA">
              <w:rPr>
                <w:rStyle w:val="Hyperlink"/>
                <w:rFonts w:ascii="Arial" w:hAnsi="Arial" w:cs="Arial"/>
                <w:noProof/>
              </w:rPr>
              <w:t>Decision-Making Process</w:t>
            </w:r>
            <w:r w:rsidR="00E464AF">
              <w:rPr>
                <w:noProof/>
                <w:webHidden/>
              </w:rPr>
              <w:tab/>
            </w:r>
            <w:r w:rsidR="00E464AF">
              <w:rPr>
                <w:noProof/>
                <w:webHidden/>
              </w:rPr>
              <w:fldChar w:fldCharType="begin"/>
            </w:r>
            <w:r w:rsidR="00E464AF">
              <w:rPr>
                <w:noProof/>
                <w:webHidden/>
              </w:rPr>
              <w:instrText xml:space="preserve"> PAGEREF _Toc166516818 \h </w:instrText>
            </w:r>
            <w:r w:rsidR="00E464AF">
              <w:rPr>
                <w:noProof/>
                <w:webHidden/>
              </w:rPr>
            </w:r>
            <w:r w:rsidR="00E464AF">
              <w:rPr>
                <w:noProof/>
                <w:webHidden/>
              </w:rPr>
              <w:fldChar w:fldCharType="separate"/>
            </w:r>
            <w:r w:rsidR="00E464AF">
              <w:rPr>
                <w:noProof/>
                <w:webHidden/>
              </w:rPr>
              <w:t>5</w:t>
            </w:r>
            <w:r w:rsidR="00E464AF">
              <w:rPr>
                <w:noProof/>
                <w:webHidden/>
              </w:rPr>
              <w:fldChar w:fldCharType="end"/>
            </w:r>
          </w:hyperlink>
        </w:p>
        <w:p w14:paraId="7567FF6F" w14:textId="77777777" w:rsidR="00E464AF" w:rsidRDefault="00000000" w:rsidP="00E464AF">
          <w:pPr>
            <w:pStyle w:val="TOC2"/>
            <w:tabs>
              <w:tab w:val="right" w:leader="dot" w:pos="9016"/>
            </w:tabs>
            <w:rPr>
              <w:rFonts w:eastAsiaTheme="minorEastAsia"/>
              <w:b w:val="0"/>
              <w:bCs w:val="0"/>
              <w:noProof/>
              <w:sz w:val="24"/>
              <w:szCs w:val="24"/>
              <w:lang w:eastAsia="en-GB"/>
            </w:rPr>
          </w:pPr>
          <w:hyperlink w:anchor="_Toc166516819" w:history="1">
            <w:r w:rsidR="00E464AF" w:rsidRPr="009A6DCA">
              <w:rPr>
                <w:rStyle w:val="Hyperlink"/>
                <w:rFonts w:ascii="Arial" w:hAnsi="Arial" w:cs="Arial"/>
                <w:noProof/>
              </w:rPr>
              <w:t>Work-Life Balance</w:t>
            </w:r>
            <w:r w:rsidR="00E464AF">
              <w:rPr>
                <w:noProof/>
                <w:webHidden/>
              </w:rPr>
              <w:tab/>
            </w:r>
            <w:r w:rsidR="00E464AF">
              <w:rPr>
                <w:noProof/>
                <w:webHidden/>
              </w:rPr>
              <w:fldChar w:fldCharType="begin"/>
            </w:r>
            <w:r w:rsidR="00E464AF">
              <w:rPr>
                <w:noProof/>
                <w:webHidden/>
              </w:rPr>
              <w:instrText xml:space="preserve"> PAGEREF _Toc166516819 \h </w:instrText>
            </w:r>
            <w:r w:rsidR="00E464AF">
              <w:rPr>
                <w:noProof/>
                <w:webHidden/>
              </w:rPr>
            </w:r>
            <w:r w:rsidR="00E464AF">
              <w:rPr>
                <w:noProof/>
                <w:webHidden/>
              </w:rPr>
              <w:fldChar w:fldCharType="separate"/>
            </w:r>
            <w:r w:rsidR="00E464AF">
              <w:rPr>
                <w:noProof/>
                <w:webHidden/>
              </w:rPr>
              <w:t>6</w:t>
            </w:r>
            <w:r w:rsidR="00E464AF">
              <w:rPr>
                <w:noProof/>
                <w:webHidden/>
              </w:rPr>
              <w:fldChar w:fldCharType="end"/>
            </w:r>
          </w:hyperlink>
        </w:p>
        <w:p w14:paraId="31BF4082" w14:textId="77777777" w:rsidR="00E464AF" w:rsidRDefault="00000000" w:rsidP="00E464AF">
          <w:pPr>
            <w:pStyle w:val="TOC1"/>
            <w:tabs>
              <w:tab w:val="right" w:leader="dot" w:pos="9016"/>
            </w:tabs>
            <w:rPr>
              <w:rFonts w:eastAsiaTheme="minorEastAsia"/>
              <w:b w:val="0"/>
              <w:bCs w:val="0"/>
              <w:i w:val="0"/>
              <w:iCs w:val="0"/>
              <w:noProof/>
              <w:lang w:eastAsia="en-GB"/>
            </w:rPr>
          </w:pPr>
          <w:hyperlink w:anchor="_Toc166516820" w:history="1">
            <w:r w:rsidR="00E464AF" w:rsidRPr="009A6DCA">
              <w:rPr>
                <w:rStyle w:val="Hyperlink"/>
                <w:rFonts w:ascii="Arial" w:hAnsi="Arial" w:cs="Arial"/>
                <w:noProof/>
              </w:rPr>
              <w:t>Conclusion</w:t>
            </w:r>
            <w:r w:rsidR="00E464AF">
              <w:rPr>
                <w:noProof/>
                <w:webHidden/>
              </w:rPr>
              <w:tab/>
            </w:r>
            <w:r w:rsidR="00E464AF">
              <w:rPr>
                <w:noProof/>
                <w:webHidden/>
              </w:rPr>
              <w:fldChar w:fldCharType="begin"/>
            </w:r>
            <w:r w:rsidR="00E464AF">
              <w:rPr>
                <w:noProof/>
                <w:webHidden/>
              </w:rPr>
              <w:instrText xml:space="preserve"> PAGEREF _Toc166516820 \h </w:instrText>
            </w:r>
            <w:r w:rsidR="00E464AF">
              <w:rPr>
                <w:noProof/>
                <w:webHidden/>
              </w:rPr>
            </w:r>
            <w:r w:rsidR="00E464AF">
              <w:rPr>
                <w:noProof/>
                <w:webHidden/>
              </w:rPr>
              <w:fldChar w:fldCharType="separate"/>
            </w:r>
            <w:r w:rsidR="00E464AF">
              <w:rPr>
                <w:noProof/>
                <w:webHidden/>
              </w:rPr>
              <w:t>6</w:t>
            </w:r>
            <w:r w:rsidR="00E464AF">
              <w:rPr>
                <w:noProof/>
                <w:webHidden/>
              </w:rPr>
              <w:fldChar w:fldCharType="end"/>
            </w:r>
          </w:hyperlink>
        </w:p>
        <w:p w14:paraId="111A8662" w14:textId="77777777" w:rsidR="00E464AF" w:rsidRDefault="00000000" w:rsidP="00E464AF">
          <w:pPr>
            <w:pStyle w:val="TOC1"/>
            <w:tabs>
              <w:tab w:val="right" w:leader="dot" w:pos="9016"/>
            </w:tabs>
            <w:rPr>
              <w:rFonts w:eastAsiaTheme="minorEastAsia"/>
              <w:b w:val="0"/>
              <w:bCs w:val="0"/>
              <w:i w:val="0"/>
              <w:iCs w:val="0"/>
              <w:noProof/>
              <w:lang w:eastAsia="en-GB"/>
            </w:rPr>
          </w:pPr>
          <w:hyperlink w:anchor="_Toc166516821" w:history="1">
            <w:r w:rsidR="00E464AF" w:rsidRPr="009A6DCA">
              <w:rPr>
                <w:rStyle w:val="Hyperlink"/>
                <w:rFonts w:ascii="Arial" w:hAnsi="Arial" w:cs="Arial"/>
                <w:noProof/>
              </w:rPr>
              <w:t>Recommendations</w:t>
            </w:r>
            <w:r w:rsidR="00E464AF">
              <w:rPr>
                <w:noProof/>
                <w:webHidden/>
              </w:rPr>
              <w:tab/>
            </w:r>
            <w:r w:rsidR="00E464AF">
              <w:rPr>
                <w:noProof/>
                <w:webHidden/>
              </w:rPr>
              <w:fldChar w:fldCharType="begin"/>
            </w:r>
            <w:r w:rsidR="00E464AF">
              <w:rPr>
                <w:noProof/>
                <w:webHidden/>
              </w:rPr>
              <w:instrText xml:space="preserve"> PAGEREF _Toc166516821 \h </w:instrText>
            </w:r>
            <w:r w:rsidR="00E464AF">
              <w:rPr>
                <w:noProof/>
                <w:webHidden/>
              </w:rPr>
            </w:r>
            <w:r w:rsidR="00E464AF">
              <w:rPr>
                <w:noProof/>
                <w:webHidden/>
              </w:rPr>
              <w:fldChar w:fldCharType="separate"/>
            </w:r>
            <w:r w:rsidR="00E464AF">
              <w:rPr>
                <w:noProof/>
                <w:webHidden/>
              </w:rPr>
              <w:t>6</w:t>
            </w:r>
            <w:r w:rsidR="00E464AF">
              <w:rPr>
                <w:noProof/>
                <w:webHidden/>
              </w:rPr>
              <w:fldChar w:fldCharType="end"/>
            </w:r>
          </w:hyperlink>
        </w:p>
        <w:p w14:paraId="41A21832" w14:textId="77777777" w:rsidR="00E464AF" w:rsidRDefault="00000000" w:rsidP="00E464AF">
          <w:pPr>
            <w:pStyle w:val="TOC1"/>
            <w:tabs>
              <w:tab w:val="right" w:leader="dot" w:pos="9016"/>
            </w:tabs>
            <w:rPr>
              <w:rFonts w:eastAsiaTheme="minorEastAsia"/>
              <w:b w:val="0"/>
              <w:bCs w:val="0"/>
              <w:i w:val="0"/>
              <w:iCs w:val="0"/>
              <w:noProof/>
              <w:lang w:eastAsia="en-GB"/>
            </w:rPr>
          </w:pPr>
          <w:hyperlink w:anchor="_Toc166516822" w:history="1">
            <w:r w:rsidR="00E464AF" w:rsidRPr="009A6DCA">
              <w:rPr>
                <w:rStyle w:val="Hyperlink"/>
                <w:rFonts w:ascii="Arial" w:hAnsi="Arial" w:cs="Arial"/>
                <w:noProof/>
              </w:rPr>
              <w:t>References:</w:t>
            </w:r>
            <w:r w:rsidR="00E464AF">
              <w:rPr>
                <w:noProof/>
                <w:webHidden/>
              </w:rPr>
              <w:tab/>
            </w:r>
            <w:r w:rsidR="00E464AF">
              <w:rPr>
                <w:noProof/>
                <w:webHidden/>
              </w:rPr>
              <w:fldChar w:fldCharType="begin"/>
            </w:r>
            <w:r w:rsidR="00E464AF">
              <w:rPr>
                <w:noProof/>
                <w:webHidden/>
              </w:rPr>
              <w:instrText xml:space="preserve"> PAGEREF _Toc166516822 \h </w:instrText>
            </w:r>
            <w:r w:rsidR="00E464AF">
              <w:rPr>
                <w:noProof/>
                <w:webHidden/>
              </w:rPr>
            </w:r>
            <w:r w:rsidR="00E464AF">
              <w:rPr>
                <w:noProof/>
                <w:webHidden/>
              </w:rPr>
              <w:fldChar w:fldCharType="separate"/>
            </w:r>
            <w:r w:rsidR="00E464AF">
              <w:rPr>
                <w:noProof/>
                <w:webHidden/>
              </w:rPr>
              <w:t>7</w:t>
            </w:r>
            <w:r w:rsidR="00E464AF">
              <w:rPr>
                <w:noProof/>
                <w:webHidden/>
              </w:rPr>
              <w:fldChar w:fldCharType="end"/>
            </w:r>
          </w:hyperlink>
        </w:p>
        <w:p w14:paraId="028711A8" w14:textId="77777777" w:rsidR="00E464AF" w:rsidRDefault="00000000" w:rsidP="00E464AF">
          <w:pPr>
            <w:pStyle w:val="TOC1"/>
            <w:tabs>
              <w:tab w:val="right" w:leader="dot" w:pos="9016"/>
            </w:tabs>
            <w:rPr>
              <w:rFonts w:eastAsiaTheme="minorEastAsia"/>
              <w:b w:val="0"/>
              <w:bCs w:val="0"/>
              <w:i w:val="0"/>
              <w:iCs w:val="0"/>
              <w:noProof/>
              <w:lang w:eastAsia="en-GB"/>
            </w:rPr>
          </w:pPr>
          <w:hyperlink w:anchor="_Toc166516823" w:history="1">
            <w:r w:rsidR="00E464AF" w:rsidRPr="009A6DCA">
              <w:rPr>
                <w:rStyle w:val="Hyperlink"/>
                <w:rFonts w:ascii="Arial" w:hAnsi="Arial" w:cs="Arial"/>
                <w:noProof/>
              </w:rPr>
              <w:t>Appendix</w:t>
            </w:r>
            <w:r w:rsidR="00E464AF">
              <w:rPr>
                <w:noProof/>
                <w:webHidden/>
              </w:rPr>
              <w:tab/>
            </w:r>
            <w:r w:rsidR="00E464AF">
              <w:rPr>
                <w:noProof/>
                <w:webHidden/>
              </w:rPr>
              <w:fldChar w:fldCharType="begin"/>
            </w:r>
            <w:r w:rsidR="00E464AF">
              <w:rPr>
                <w:noProof/>
                <w:webHidden/>
              </w:rPr>
              <w:instrText xml:space="preserve"> PAGEREF _Toc166516823 \h </w:instrText>
            </w:r>
            <w:r w:rsidR="00E464AF">
              <w:rPr>
                <w:noProof/>
                <w:webHidden/>
              </w:rPr>
            </w:r>
            <w:r w:rsidR="00E464AF">
              <w:rPr>
                <w:noProof/>
                <w:webHidden/>
              </w:rPr>
              <w:fldChar w:fldCharType="separate"/>
            </w:r>
            <w:r w:rsidR="00E464AF">
              <w:rPr>
                <w:noProof/>
                <w:webHidden/>
              </w:rPr>
              <w:t>9</w:t>
            </w:r>
            <w:r w:rsidR="00E464AF">
              <w:rPr>
                <w:noProof/>
                <w:webHidden/>
              </w:rPr>
              <w:fldChar w:fldCharType="end"/>
            </w:r>
          </w:hyperlink>
        </w:p>
        <w:p w14:paraId="12BD0531" w14:textId="77777777" w:rsidR="00E464AF" w:rsidRDefault="00E464AF" w:rsidP="00E464AF">
          <w:r>
            <w:rPr>
              <w:b/>
              <w:bCs/>
              <w:noProof/>
            </w:rPr>
            <w:fldChar w:fldCharType="end"/>
          </w:r>
        </w:p>
      </w:sdtContent>
    </w:sdt>
    <w:p w14:paraId="787CF441" w14:textId="77777777" w:rsidR="00E464AF" w:rsidRDefault="00E464AF" w:rsidP="00E464AF">
      <w:pPr>
        <w:pStyle w:val="Heading1"/>
        <w:rPr>
          <w:rFonts w:ascii="Arial" w:hAnsi="Arial" w:cs="Arial"/>
          <w:b/>
          <w:bCs/>
          <w:color w:val="000000" w:themeColor="text1"/>
          <w:sz w:val="22"/>
          <w:szCs w:val="22"/>
        </w:rPr>
      </w:pPr>
      <w:bookmarkStart w:id="0" w:name="_Toc166516813"/>
    </w:p>
    <w:p w14:paraId="6CB34F15" w14:textId="77777777" w:rsidR="00E464AF" w:rsidRDefault="00E464AF" w:rsidP="00E464AF">
      <w:pPr>
        <w:pStyle w:val="Heading1"/>
        <w:rPr>
          <w:rFonts w:ascii="Arial" w:hAnsi="Arial" w:cs="Arial"/>
          <w:b/>
          <w:bCs/>
          <w:color w:val="000000" w:themeColor="text1"/>
          <w:sz w:val="22"/>
          <w:szCs w:val="22"/>
        </w:rPr>
      </w:pPr>
    </w:p>
    <w:p w14:paraId="35EDC101" w14:textId="77777777" w:rsidR="00E464AF" w:rsidRPr="00DE5291" w:rsidRDefault="00E464AF" w:rsidP="00E464AF">
      <w:pPr>
        <w:pStyle w:val="Heading1"/>
        <w:rPr>
          <w:rFonts w:ascii="Arial" w:hAnsi="Arial" w:cs="Arial"/>
          <w:b/>
          <w:bCs/>
          <w:color w:val="000000" w:themeColor="text1"/>
          <w:sz w:val="22"/>
          <w:szCs w:val="22"/>
        </w:rPr>
      </w:pPr>
      <w:r w:rsidRPr="00DE5291">
        <w:rPr>
          <w:rFonts w:ascii="Arial" w:hAnsi="Arial" w:cs="Arial"/>
          <w:b/>
          <w:bCs/>
          <w:color w:val="000000" w:themeColor="text1"/>
          <w:sz w:val="22"/>
          <w:szCs w:val="22"/>
        </w:rPr>
        <w:t>Introduction</w:t>
      </w:r>
      <w:bookmarkEnd w:id="0"/>
    </w:p>
    <w:p w14:paraId="7D121E3F" w14:textId="77777777" w:rsidR="00E464AF" w:rsidRDefault="00E464AF" w:rsidP="00E464AF">
      <w:pPr>
        <w:spacing w:line="360" w:lineRule="auto"/>
        <w:jc w:val="both"/>
        <w:rPr>
          <w:rFonts w:ascii="Arial" w:hAnsi="Arial" w:cs="Arial"/>
          <w:sz w:val="22"/>
          <w:szCs w:val="22"/>
        </w:rPr>
      </w:pPr>
      <w:r w:rsidRPr="00957B17">
        <w:rPr>
          <w:rFonts w:ascii="Arial" w:hAnsi="Arial" w:cs="Arial"/>
          <w:sz w:val="22"/>
          <w:szCs w:val="22"/>
        </w:rPr>
        <w:t>This report, commissioned by the General Manager, provides an investigation into the operational complexities and intercultural relations between Italy and England teams. The report explores operational intricacies and intercultural dynamics between Italy and England, offering insights and strategies for seamless integration as Italian employees join the London team in July 2024.</w:t>
      </w:r>
    </w:p>
    <w:p w14:paraId="3B1F63C1" w14:textId="77777777" w:rsidR="00E464AF" w:rsidRPr="00DE5291" w:rsidRDefault="00E464AF" w:rsidP="00E464AF">
      <w:pPr>
        <w:pStyle w:val="Heading1"/>
        <w:rPr>
          <w:rFonts w:ascii="Arial" w:hAnsi="Arial" w:cs="Arial"/>
          <w:b/>
          <w:bCs/>
          <w:color w:val="000000" w:themeColor="text1"/>
          <w:sz w:val="22"/>
          <w:szCs w:val="22"/>
        </w:rPr>
      </w:pPr>
      <w:bookmarkStart w:id="1" w:name="_Toc166516814"/>
      <w:r w:rsidRPr="00DE5291">
        <w:rPr>
          <w:rFonts w:ascii="Arial" w:hAnsi="Arial" w:cs="Arial"/>
          <w:b/>
          <w:bCs/>
          <w:color w:val="000000" w:themeColor="text1"/>
          <w:sz w:val="22"/>
          <w:szCs w:val="22"/>
        </w:rPr>
        <w:lastRenderedPageBreak/>
        <w:t>Main Body</w:t>
      </w:r>
      <w:bookmarkEnd w:id="1"/>
    </w:p>
    <w:p w14:paraId="3E42A92C" w14:textId="77777777" w:rsidR="00E464AF" w:rsidRPr="00DE5291" w:rsidRDefault="00E464AF" w:rsidP="00E464AF">
      <w:pPr>
        <w:spacing w:line="360" w:lineRule="auto"/>
        <w:jc w:val="both"/>
        <w:rPr>
          <w:rFonts w:ascii="Arial" w:hAnsi="Arial" w:cs="Arial"/>
          <w:color w:val="000000" w:themeColor="text1"/>
          <w:sz w:val="22"/>
          <w:szCs w:val="22"/>
        </w:rPr>
      </w:pPr>
      <w:r w:rsidRPr="00957B17">
        <w:rPr>
          <w:rFonts w:ascii="Arial" w:hAnsi="Arial" w:cs="Arial"/>
          <w:sz w:val="22"/>
          <w:szCs w:val="22"/>
        </w:rPr>
        <w:t xml:space="preserve">This report will just present a few features of the two cultures, only those that are relevant to the purpose. From Hofstede's dimensions of Power Distance (PDI) and Individualism (IND) are particularly relevant for analysis. These dimensions provide insights into the cultural values and preferences regarding hierarchy, authority, and individual autonomy, which are crucial for understanding leadership behaviour and effectiveness across cultures. They are also </w:t>
      </w:r>
      <w:r w:rsidRPr="00DE5291">
        <w:rPr>
          <w:rFonts w:ascii="Arial" w:hAnsi="Arial" w:cs="Arial"/>
          <w:color w:val="000000" w:themeColor="text1"/>
          <w:sz w:val="22"/>
          <w:szCs w:val="22"/>
        </w:rPr>
        <w:t>essential for understanding human resource management practices. (Hauff &amp; Richter, 2015)</w:t>
      </w:r>
    </w:p>
    <w:p w14:paraId="1E60D075" w14:textId="77777777" w:rsidR="00E464AF" w:rsidRPr="00F3013E" w:rsidRDefault="00E464AF" w:rsidP="00E464AF">
      <w:pPr>
        <w:pStyle w:val="Heading2"/>
        <w:rPr>
          <w:rFonts w:ascii="Arial" w:hAnsi="Arial" w:cs="Arial"/>
          <w:i/>
          <w:iCs/>
          <w:color w:val="000000" w:themeColor="text1"/>
          <w:sz w:val="22"/>
          <w:szCs w:val="22"/>
        </w:rPr>
      </w:pPr>
      <w:bookmarkStart w:id="2" w:name="_Toc166516815"/>
      <w:r w:rsidRPr="00F3013E">
        <w:rPr>
          <w:rFonts w:ascii="Arial" w:hAnsi="Arial" w:cs="Arial"/>
          <w:i/>
          <w:iCs/>
          <w:color w:val="000000" w:themeColor="text1"/>
          <w:sz w:val="22"/>
          <w:szCs w:val="22"/>
        </w:rPr>
        <w:t>Key Differences Between England and Italy</w:t>
      </w:r>
      <w:bookmarkEnd w:id="2"/>
    </w:p>
    <w:p w14:paraId="0329D952" w14:textId="77777777" w:rsidR="00E464AF" w:rsidRDefault="00E464AF" w:rsidP="00E464AF">
      <w:pPr>
        <w:spacing w:line="360" w:lineRule="auto"/>
        <w:jc w:val="both"/>
        <w:rPr>
          <w:rFonts w:ascii="Arial" w:hAnsi="Arial" w:cs="Arial"/>
          <w:color w:val="000000"/>
          <w:sz w:val="22"/>
          <w:szCs w:val="22"/>
        </w:rPr>
      </w:pPr>
      <w:r w:rsidRPr="00957B17">
        <w:rPr>
          <w:rFonts w:ascii="Arial" w:hAnsi="Arial" w:cs="Arial"/>
          <w:sz w:val="22"/>
          <w:szCs w:val="22"/>
        </w:rPr>
        <w:t xml:space="preserve">In terms of Power Distance, Italy has two different characteristics: Northern Italy tends to favour equality and decentralisation of power, with a dislike for formal supervision. The younger generation prefers teamwork and open management due to high individualism. In contrast, Southern Italy exhibits high Power Distance consequences. Britain, emphasises minimising inequalities, driven by a sense of fair play and belief in social mobility despite historical class system tensions. </w:t>
      </w:r>
      <w:r w:rsidRPr="00957B17">
        <w:rPr>
          <w:rFonts w:ascii="Arial" w:hAnsi="Arial" w:cs="Arial"/>
          <w:color w:val="000000"/>
          <w:sz w:val="22"/>
          <w:szCs w:val="22"/>
        </w:rPr>
        <w:t>(Hofstede Insights, 2023)</w:t>
      </w:r>
    </w:p>
    <w:p w14:paraId="7782D6D5" w14:textId="57CB075E" w:rsidR="00E464AF" w:rsidRDefault="00E464AF" w:rsidP="00E464AF">
      <w:pPr>
        <w:spacing w:line="360" w:lineRule="auto"/>
        <w:jc w:val="both"/>
        <w:rPr>
          <w:rFonts w:ascii="Arial" w:hAnsi="Arial" w:cs="Arial"/>
          <w:color w:val="000000"/>
          <w:sz w:val="22"/>
          <w:szCs w:val="22"/>
        </w:rPr>
      </w:pPr>
      <w:r w:rsidRPr="00957B17">
        <w:rPr>
          <w:rFonts w:ascii="Arial" w:hAnsi="Arial" w:cs="Arial"/>
          <w:sz w:val="22"/>
          <w:szCs w:val="22"/>
        </w:rPr>
        <w:t xml:space="preserve">For </w:t>
      </w:r>
      <w:r w:rsidR="00F80A44">
        <w:rPr>
          <w:rFonts w:ascii="Arial" w:hAnsi="Arial" w:cs="Arial"/>
          <w:sz w:val="22"/>
          <w:szCs w:val="22"/>
        </w:rPr>
        <w:t xml:space="preserve">the </w:t>
      </w:r>
      <w:r w:rsidRPr="00957B17">
        <w:rPr>
          <w:rFonts w:ascii="Arial" w:hAnsi="Arial" w:cs="Arial"/>
          <w:sz w:val="22"/>
          <w:szCs w:val="22"/>
        </w:rPr>
        <w:t>Individualism dimension, Italy again exhibits a regional divide, this time with Northern and Central regions leaning towards individualism, emphasizing personal fulfilment and autonomy. Southern Italy, more collectivistic, prioritizes family and group belonging. In contrast, the UK is highly individualistic, emphasising personal autonomy and unique contributions to society, with concerns over consumerism and a 'ME' culture.</w:t>
      </w:r>
      <w:r w:rsidRPr="00957B17">
        <w:rPr>
          <w:rFonts w:ascii="Arial" w:hAnsi="Arial" w:cs="Arial"/>
          <w:color w:val="000000"/>
          <w:sz w:val="22"/>
          <w:szCs w:val="22"/>
        </w:rPr>
        <w:t xml:space="preserve"> (Hofstede Insights, 2023)</w:t>
      </w:r>
    </w:p>
    <w:p w14:paraId="7178A47C" w14:textId="77777777" w:rsidR="00E464AF" w:rsidRDefault="00E464AF" w:rsidP="00E464AF">
      <w:pPr>
        <w:spacing w:line="360" w:lineRule="auto"/>
        <w:jc w:val="both"/>
        <w:rPr>
          <w:rFonts w:ascii="Arial" w:hAnsi="Arial" w:cs="Arial"/>
          <w:color w:val="000000"/>
          <w:sz w:val="22"/>
          <w:szCs w:val="22"/>
        </w:rPr>
      </w:pPr>
      <w:r w:rsidRPr="00957B17">
        <w:rPr>
          <w:rFonts w:ascii="Arial" w:hAnsi="Arial" w:cs="Arial"/>
          <w:sz w:val="22"/>
          <w:szCs w:val="22"/>
        </w:rPr>
        <w:t xml:space="preserve">In the context of this discussion, the "ME" culture refers to a cultural emphasis on individualism, self-centeredness, and personal fulfilment. It implies a societal shift in which individuals prioritise their personal ambitions, needs, and interests over community well-being or communal values. This concentration on "me" can show in behaviours such as materialism, self-promotion, and a focus on personal achievement and fulfilment without much regard for the impact on others or broader society concerns. </w:t>
      </w:r>
      <w:r w:rsidRPr="00957B17">
        <w:rPr>
          <w:rFonts w:ascii="Arial" w:hAnsi="Arial" w:cs="Arial"/>
          <w:color w:val="000000"/>
          <w:sz w:val="22"/>
          <w:szCs w:val="22"/>
        </w:rPr>
        <w:t>(Chen &amp; Unal, 2023)</w:t>
      </w:r>
    </w:p>
    <w:p w14:paraId="3C4B2A99" w14:textId="77777777" w:rsidR="00E464AF" w:rsidRPr="00F3013E" w:rsidRDefault="00E464AF" w:rsidP="00E464AF">
      <w:pPr>
        <w:pStyle w:val="Heading2"/>
        <w:rPr>
          <w:rFonts w:ascii="Arial" w:hAnsi="Arial" w:cs="Arial"/>
          <w:i/>
          <w:iCs/>
          <w:color w:val="000000" w:themeColor="text1"/>
          <w:sz w:val="22"/>
          <w:szCs w:val="22"/>
        </w:rPr>
      </w:pPr>
      <w:bookmarkStart w:id="3" w:name="_Toc166516816"/>
      <w:r w:rsidRPr="00F3013E">
        <w:rPr>
          <w:rFonts w:ascii="Arial" w:hAnsi="Arial" w:cs="Arial"/>
          <w:i/>
          <w:iCs/>
          <w:color w:val="000000" w:themeColor="text1"/>
          <w:sz w:val="22"/>
          <w:szCs w:val="22"/>
        </w:rPr>
        <w:t>Communication styles</w:t>
      </w:r>
      <w:bookmarkEnd w:id="3"/>
    </w:p>
    <w:p w14:paraId="2AAE0BAC" w14:textId="77777777" w:rsidR="00E464AF" w:rsidRPr="00DE5291" w:rsidRDefault="00E464AF" w:rsidP="00E464AF">
      <w:pPr>
        <w:spacing w:line="360" w:lineRule="auto"/>
        <w:jc w:val="both"/>
        <w:rPr>
          <w:rFonts w:ascii="Arial" w:hAnsi="Arial" w:cs="Arial"/>
          <w:color w:val="000000" w:themeColor="text1"/>
          <w:sz w:val="22"/>
          <w:szCs w:val="22"/>
        </w:rPr>
      </w:pPr>
      <w:r w:rsidRPr="00957B17">
        <w:rPr>
          <w:rFonts w:ascii="Arial" w:hAnsi="Arial" w:cs="Arial"/>
          <w:color w:val="000000"/>
          <w:sz w:val="22"/>
          <w:szCs w:val="22"/>
        </w:rPr>
        <w:t xml:space="preserve">There are notable differences between Italian and British cultures across various aspects of daily life. Italians exhibit more pronounced physical contact and are comfortable with closer interpersonal distances compared to the British, who prefer more personal space. Italian communication involves extensive hand gestures, reflecting a more expressive style, while the British tend to be more reserved in their non-verbal communication. Dining customs in Italy emphasize socialization and leisure, contrasted with the British preference for efficiency and simplicity. Furthermore, Italian bureaucracy in clubs and associations contrasts with the British tendency for more informal decision-making. While both cultures exhibit unique characteristics, </w:t>
      </w:r>
      <w:r w:rsidRPr="00957B17">
        <w:rPr>
          <w:rFonts w:ascii="Arial" w:hAnsi="Arial" w:cs="Arial"/>
          <w:color w:val="000000"/>
          <w:sz w:val="22"/>
          <w:szCs w:val="22"/>
        </w:rPr>
        <w:lastRenderedPageBreak/>
        <w:t xml:space="preserve">these observations suggest contrasting approaches to social interaction, </w:t>
      </w:r>
      <w:r w:rsidRPr="00DE5291">
        <w:rPr>
          <w:rFonts w:ascii="Arial" w:hAnsi="Arial" w:cs="Arial"/>
          <w:color w:val="000000" w:themeColor="text1"/>
          <w:sz w:val="22"/>
          <w:szCs w:val="22"/>
        </w:rPr>
        <w:t>communication, and everyday behaviours. (Singh, 2009)</w:t>
      </w:r>
    </w:p>
    <w:p w14:paraId="72028206" w14:textId="77777777" w:rsidR="00E464AF" w:rsidRPr="00F3013E" w:rsidRDefault="00E464AF" w:rsidP="00E464AF">
      <w:pPr>
        <w:pStyle w:val="Heading2"/>
        <w:rPr>
          <w:rFonts w:ascii="Arial" w:hAnsi="Arial" w:cs="Arial"/>
          <w:i/>
          <w:iCs/>
          <w:color w:val="000000" w:themeColor="text1"/>
          <w:sz w:val="22"/>
          <w:szCs w:val="22"/>
        </w:rPr>
      </w:pPr>
      <w:bookmarkStart w:id="4" w:name="_Toc166516817"/>
      <w:r w:rsidRPr="00F3013E">
        <w:rPr>
          <w:rFonts w:ascii="Arial" w:hAnsi="Arial" w:cs="Arial"/>
          <w:i/>
          <w:iCs/>
          <w:color w:val="000000" w:themeColor="text1"/>
          <w:sz w:val="22"/>
          <w:szCs w:val="22"/>
        </w:rPr>
        <w:t>Work Ethic &amp; Perception of Time</w:t>
      </w:r>
      <w:bookmarkEnd w:id="4"/>
    </w:p>
    <w:p w14:paraId="65431763" w14:textId="77777777" w:rsidR="00E464AF" w:rsidRPr="00957B17" w:rsidRDefault="00E464AF" w:rsidP="00E464AF">
      <w:pPr>
        <w:spacing w:line="360" w:lineRule="auto"/>
        <w:jc w:val="both"/>
        <w:rPr>
          <w:rFonts w:ascii="Arial" w:hAnsi="Arial" w:cs="Arial"/>
          <w:color w:val="000000"/>
          <w:sz w:val="22"/>
          <w:szCs w:val="22"/>
        </w:rPr>
      </w:pPr>
      <w:r w:rsidRPr="00957B17">
        <w:rPr>
          <w:rFonts w:ascii="Arial" w:hAnsi="Arial" w:cs="Arial"/>
          <w:color w:val="000000"/>
          <w:sz w:val="22"/>
          <w:szCs w:val="22"/>
        </w:rPr>
        <w:t>In Italy, the standard working week is 40 hours, with overtime defined beyond this. Paid employees work around 35 hours, while self-employed individuals work about 46 hours. Lunch breaks can last up to two hours, with the typical workday from 09:00–18:00. Employees typically receive four weeks of annual leave. Despite the lack of statutory annual leave, collective agreements often provide protection. Flexibility is valued over punctuality, especially in business meetings, though timeliness is crucial for job interviews and significant appointments. (Buswell, 2024)</w:t>
      </w:r>
    </w:p>
    <w:p w14:paraId="59E530DE" w14:textId="77777777" w:rsidR="00E464AF" w:rsidRPr="00957B17" w:rsidRDefault="00E464AF" w:rsidP="00E464AF">
      <w:pPr>
        <w:spacing w:line="360" w:lineRule="auto"/>
        <w:jc w:val="both"/>
        <w:rPr>
          <w:rFonts w:ascii="Arial" w:hAnsi="Arial" w:cs="Arial"/>
          <w:color w:val="000000"/>
          <w:sz w:val="22"/>
          <w:szCs w:val="22"/>
        </w:rPr>
      </w:pPr>
      <w:r w:rsidRPr="00957B17">
        <w:rPr>
          <w:rFonts w:ascii="Arial" w:hAnsi="Arial" w:cs="Arial"/>
          <w:color w:val="000000"/>
          <w:sz w:val="22"/>
          <w:szCs w:val="22"/>
        </w:rPr>
        <w:t>In the UK, a strong work ethic is evident, with 75% of adults aged 15 to 64 engaged in paid work. However, concerns arise regarding long work hours, with 11% of employees working excessively. Gender disparities exist, with 15% of men working very long hours compared to 6% of women. Leisure time is compromised by extensive work commitments. (OECD, 2020)</w:t>
      </w:r>
    </w:p>
    <w:p w14:paraId="489090CF" w14:textId="77777777" w:rsidR="00E464AF" w:rsidRDefault="00E464AF" w:rsidP="00E464AF">
      <w:pPr>
        <w:spacing w:line="360" w:lineRule="auto"/>
        <w:jc w:val="both"/>
        <w:rPr>
          <w:rFonts w:ascii="Arial" w:hAnsi="Arial" w:cs="Arial"/>
          <w:color w:val="000000"/>
          <w:sz w:val="22"/>
          <w:szCs w:val="22"/>
        </w:rPr>
      </w:pPr>
      <w:r w:rsidRPr="00957B17">
        <w:rPr>
          <w:rFonts w:ascii="Arial" w:hAnsi="Arial" w:cs="Arial"/>
          <w:sz w:val="22"/>
          <w:szCs w:val="22"/>
        </w:rPr>
        <w:t xml:space="preserve">In British culture, punctuality is paramount, reflecting respect for others' time. Formal events, dinners, and appointments require strict adherence to scheduled times, with being a few minutes early preferred. Even casual invitations like "drop in anytime" expect punctuality. Deviations, like lateness due to emergencies, are acceptable but necessitate prior communication. This emphasis on punctuality contrasts with Italian's culture's more relaxed attitude towards time. British punctuality is deeply ingrained, evident in social norms and expectations. </w:t>
      </w:r>
      <w:r w:rsidRPr="00957B17">
        <w:rPr>
          <w:rFonts w:ascii="Arial" w:hAnsi="Arial" w:cs="Arial"/>
          <w:color w:val="000000"/>
          <w:sz w:val="22"/>
          <w:szCs w:val="22"/>
        </w:rPr>
        <w:t>(Zhang, 2019)</w:t>
      </w:r>
    </w:p>
    <w:p w14:paraId="6D103F12" w14:textId="77777777" w:rsidR="00E464AF" w:rsidRPr="00F3013E" w:rsidRDefault="00E464AF" w:rsidP="00E464AF">
      <w:pPr>
        <w:pStyle w:val="Heading2"/>
        <w:rPr>
          <w:rFonts w:ascii="Arial" w:hAnsi="Arial" w:cs="Arial"/>
          <w:i/>
          <w:iCs/>
          <w:color w:val="000000" w:themeColor="text1"/>
          <w:sz w:val="22"/>
          <w:szCs w:val="22"/>
        </w:rPr>
      </w:pPr>
      <w:bookmarkStart w:id="5" w:name="_Toc166516818"/>
      <w:r w:rsidRPr="00F3013E">
        <w:rPr>
          <w:rFonts w:ascii="Arial" w:hAnsi="Arial" w:cs="Arial"/>
          <w:i/>
          <w:iCs/>
          <w:color w:val="000000" w:themeColor="text1"/>
          <w:sz w:val="22"/>
          <w:szCs w:val="22"/>
        </w:rPr>
        <w:t>Decision-Making Process</w:t>
      </w:r>
      <w:bookmarkEnd w:id="5"/>
      <w:r w:rsidRPr="00F3013E">
        <w:rPr>
          <w:rFonts w:ascii="Arial" w:hAnsi="Arial" w:cs="Arial"/>
          <w:i/>
          <w:iCs/>
          <w:color w:val="000000" w:themeColor="text1"/>
          <w:sz w:val="22"/>
          <w:szCs w:val="22"/>
        </w:rPr>
        <w:t xml:space="preserve"> </w:t>
      </w:r>
    </w:p>
    <w:p w14:paraId="235088A2" w14:textId="77777777" w:rsidR="00E464AF" w:rsidRDefault="00E464AF" w:rsidP="00E464AF">
      <w:pPr>
        <w:spacing w:line="360" w:lineRule="auto"/>
        <w:jc w:val="both"/>
        <w:rPr>
          <w:rFonts w:ascii="Arial" w:hAnsi="Arial" w:cs="Arial"/>
          <w:color w:val="000000"/>
          <w:sz w:val="22"/>
          <w:szCs w:val="22"/>
        </w:rPr>
      </w:pPr>
      <w:r w:rsidRPr="00957B17">
        <w:rPr>
          <w:rFonts w:ascii="Arial" w:hAnsi="Arial" w:cs="Arial"/>
          <w:sz w:val="22"/>
          <w:szCs w:val="22"/>
        </w:rPr>
        <w:t xml:space="preserve">The "Anglo-Saxon approach" to decision-making follows a linear model where each step leads incrementally to the end-result, allowing for easy replication and understanding of the logic. Internal and external variables impact the process but can be managed. Conversely, the "Italian approach" also follows a linear process but lacks reciprocal steps, making it difficult to retrace the decision-making logic. Internal variables dominate each step, leading to disjointed discussions and fragmented outcomes. Simultaneous and successive steps further complicate the process, resulting in disconnected meetings and irreproducible results. Overall, the Anglo-Saxon approach fosters replicable and creative solutions, while the Italian approach lacks coherence and replicability, leading to lost opportunities. </w:t>
      </w:r>
      <w:r w:rsidRPr="00957B17">
        <w:rPr>
          <w:rFonts w:ascii="Arial" w:hAnsi="Arial" w:cs="Arial"/>
          <w:color w:val="000000"/>
          <w:sz w:val="22"/>
          <w:szCs w:val="22"/>
        </w:rPr>
        <w:t>(Galdi, 2018)</w:t>
      </w:r>
    </w:p>
    <w:p w14:paraId="63966253" w14:textId="77777777" w:rsidR="00E464AF" w:rsidRPr="00F3013E" w:rsidRDefault="00E464AF" w:rsidP="00E464AF">
      <w:pPr>
        <w:pStyle w:val="Heading2"/>
        <w:rPr>
          <w:rFonts w:ascii="Arial" w:hAnsi="Arial" w:cs="Arial"/>
          <w:i/>
          <w:iCs/>
          <w:color w:val="000000" w:themeColor="text1"/>
          <w:sz w:val="22"/>
          <w:szCs w:val="22"/>
        </w:rPr>
      </w:pPr>
      <w:bookmarkStart w:id="6" w:name="_Toc166516819"/>
      <w:r w:rsidRPr="00F3013E">
        <w:rPr>
          <w:rFonts w:ascii="Arial" w:hAnsi="Arial" w:cs="Arial"/>
          <w:i/>
          <w:iCs/>
          <w:color w:val="000000" w:themeColor="text1"/>
          <w:sz w:val="22"/>
          <w:szCs w:val="22"/>
        </w:rPr>
        <w:t>Work-Life Balance</w:t>
      </w:r>
      <w:bookmarkEnd w:id="6"/>
    </w:p>
    <w:p w14:paraId="1B470231" w14:textId="77777777" w:rsidR="00E464AF" w:rsidRPr="00957B17" w:rsidRDefault="00E464AF" w:rsidP="00E464AF">
      <w:pPr>
        <w:spacing w:line="360" w:lineRule="auto"/>
        <w:jc w:val="both"/>
        <w:rPr>
          <w:rFonts w:ascii="Arial" w:hAnsi="Arial" w:cs="Arial"/>
          <w:color w:val="000000"/>
          <w:sz w:val="22"/>
          <w:szCs w:val="22"/>
        </w:rPr>
      </w:pPr>
      <w:r w:rsidRPr="00957B17">
        <w:rPr>
          <w:rFonts w:ascii="Arial" w:hAnsi="Arial" w:cs="Arial"/>
          <w:sz w:val="22"/>
          <w:szCs w:val="22"/>
        </w:rPr>
        <w:t>In Italy, family time is highly valued, with employees seeking a work-life balance that includes long vacations and time off. Social security benefits cover healthcare, leave, and pensions, but self-employed individuals may not qualify. In the UK, employers and employees prioritize work-</w:t>
      </w:r>
      <w:r w:rsidRPr="00957B17">
        <w:rPr>
          <w:rFonts w:ascii="Arial" w:hAnsi="Arial" w:cs="Arial"/>
          <w:sz w:val="22"/>
          <w:szCs w:val="22"/>
        </w:rPr>
        <w:lastRenderedPageBreak/>
        <w:t xml:space="preserve">life balance, with flexible working options and wellness programs promoting overall wellbeing. </w:t>
      </w:r>
      <w:r w:rsidRPr="00957B17">
        <w:rPr>
          <w:rFonts w:ascii="Arial" w:hAnsi="Arial" w:cs="Arial"/>
          <w:color w:val="000000"/>
          <w:sz w:val="22"/>
          <w:szCs w:val="22"/>
        </w:rPr>
        <w:t>(20 Countries, 2024)</w:t>
      </w:r>
    </w:p>
    <w:p w14:paraId="0E2BC4D5" w14:textId="77777777" w:rsidR="00E464AF" w:rsidRDefault="00E464AF" w:rsidP="00E464AF">
      <w:pPr>
        <w:spacing w:line="360" w:lineRule="auto"/>
        <w:jc w:val="both"/>
        <w:rPr>
          <w:rFonts w:ascii="Arial" w:hAnsi="Arial" w:cs="Arial"/>
          <w:color w:val="000000"/>
          <w:sz w:val="22"/>
          <w:szCs w:val="22"/>
        </w:rPr>
      </w:pPr>
      <w:r w:rsidRPr="00957B17">
        <w:rPr>
          <w:rFonts w:ascii="Arial" w:hAnsi="Arial" w:cs="Arial"/>
          <w:sz w:val="22"/>
          <w:szCs w:val="22"/>
        </w:rPr>
        <w:t xml:space="preserve">Two-thirds of UK employees prioritize work-life balance when job hunting. Over half seek employers supporting mental health. Remote work is expected by half of employees. Ages 24-44 value work-life balance over salary. In 2002, 50% switched jobs for better balance. Burnout affects a third of UK workers, with most citing lack of balance as the cause. </w:t>
      </w:r>
      <w:r w:rsidRPr="00957B17">
        <w:rPr>
          <w:rFonts w:ascii="Arial" w:hAnsi="Arial" w:cs="Arial"/>
          <w:color w:val="000000"/>
          <w:sz w:val="22"/>
          <w:szCs w:val="22"/>
        </w:rPr>
        <w:t>(Fennell, 2023)</w:t>
      </w:r>
    </w:p>
    <w:p w14:paraId="402AC73E" w14:textId="77777777" w:rsidR="00E464AF" w:rsidRPr="00DE5291" w:rsidRDefault="00E464AF" w:rsidP="00E464AF">
      <w:pPr>
        <w:pStyle w:val="Heading1"/>
        <w:rPr>
          <w:rFonts w:ascii="Arial" w:hAnsi="Arial" w:cs="Arial"/>
          <w:b/>
          <w:bCs/>
          <w:color w:val="000000" w:themeColor="text1"/>
          <w:sz w:val="22"/>
          <w:szCs w:val="22"/>
        </w:rPr>
      </w:pPr>
      <w:bookmarkStart w:id="7" w:name="_Toc166516820"/>
      <w:r w:rsidRPr="00DE5291">
        <w:rPr>
          <w:rFonts w:ascii="Arial" w:hAnsi="Arial" w:cs="Arial"/>
          <w:b/>
          <w:bCs/>
          <w:color w:val="000000" w:themeColor="text1"/>
          <w:sz w:val="22"/>
          <w:szCs w:val="22"/>
        </w:rPr>
        <w:t>Conclusion</w:t>
      </w:r>
      <w:bookmarkEnd w:id="7"/>
    </w:p>
    <w:p w14:paraId="442A6147" w14:textId="77777777" w:rsidR="00E464AF" w:rsidRDefault="00E464AF" w:rsidP="00E464AF">
      <w:pPr>
        <w:spacing w:line="360" w:lineRule="auto"/>
        <w:jc w:val="both"/>
        <w:rPr>
          <w:rFonts w:ascii="Arial" w:hAnsi="Arial" w:cs="Arial"/>
          <w:color w:val="000000"/>
          <w:sz w:val="22"/>
          <w:szCs w:val="22"/>
        </w:rPr>
      </w:pPr>
      <w:r w:rsidRPr="00957B17">
        <w:rPr>
          <w:rFonts w:ascii="Arial" w:hAnsi="Arial" w:cs="Arial"/>
          <w:sz w:val="22"/>
          <w:szCs w:val="22"/>
        </w:rPr>
        <w:t xml:space="preserve">Cultural diversity in the workplace acknowledges and values various cultural backgrounds, skills, and identities. It fosters appreciation and mutual respect among employees, promoting collaboration and organizational success. Cultural diversity training reduces conflicts, creating a healthier work environment. Understanding nuances like power distance and individualism facilitates effective collaboration between diverse teams. </w:t>
      </w:r>
      <w:r w:rsidRPr="00957B17">
        <w:rPr>
          <w:rFonts w:ascii="Arial" w:hAnsi="Arial" w:cs="Arial"/>
          <w:color w:val="000000"/>
          <w:sz w:val="22"/>
          <w:szCs w:val="22"/>
        </w:rPr>
        <w:t xml:space="preserve">(Get </w:t>
      </w:r>
      <w:proofErr w:type="spellStart"/>
      <w:r w:rsidRPr="00957B17">
        <w:rPr>
          <w:rFonts w:ascii="Arial" w:hAnsi="Arial" w:cs="Arial"/>
          <w:color w:val="000000"/>
          <w:sz w:val="22"/>
          <w:szCs w:val="22"/>
        </w:rPr>
        <w:t>Impactly</w:t>
      </w:r>
      <w:proofErr w:type="spellEnd"/>
      <w:r w:rsidRPr="00957B17">
        <w:rPr>
          <w:rFonts w:ascii="Arial" w:hAnsi="Arial" w:cs="Arial"/>
          <w:color w:val="000000"/>
          <w:sz w:val="22"/>
          <w:szCs w:val="22"/>
        </w:rPr>
        <w:t>, 2023)</w:t>
      </w:r>
    </w:p>
    <w:p w14:paraId="28E2ACC6" w14:textId="77777777" w:rsidR="00E464AF" w:rsidRPr="00DE5291" w:rsidRDefault="00E464AF" w:rsidP="00E464AF">
      <w:pPr>
        <w:pStyle w:val="Heading1"/>
        <w:rPr>
          <w:rFonts w:ascii="Arial" w:hAnsi="Arial" w:cs="Arial"/>
          <w:b/>
          <w:bCs/>
          <w:color w:val="000000" w:themeColor="text1"/>
          <w:sz w:val="22"/>
          <w:szCs w:val="22"/>
        </w:rPr>
      </w:pPr>
      <w:bookmarkStart w:id="8" w:name="_Toc166516821"/>
      <w:r w:rsidRPr="00DE5291">
        <w:rPr>
          <w:rFonts w:ascii="Arial" w:hAnsi="Arial" w:cs="Arial"/>
          <w:b/>
          <w:bCs/>
          <w:color w:val="000000" w:themeColor="text1"/>
          <w:sz w:val="22"/>
          <w:szCs w:val="22"/>
        </w:rPr>
        <w:t>Recommendations</w:t>
      </w:r>
      <w:bookmarkEnd w:id="8"/>
    </w:p>
    <w:p w14:paraId="1B0AE274" w14:textId="77777777" w:rsidR="00E464AF" w:rsidRDefault="00E464AF" w:rsidP="00E464AF">
      <w:pPr>
        <w:spacing w:line="360" w:lineRule="auto"/>
        <w:jc w:val="both"/>
        <w:rPr>
          <w:rFonts w:ascii="Arial" w:hAnsi="Arial" w:cs="Arial"/>
          <w:color w:val="000000"/>
          <w:sz w:val="22"/>
          <w:szCs w:val="22"/>
        </w:rPr>
      </w:pPr>
      <w:r w:rsidRPr="00957B17">
        <w:rPr>
          <w:rFonts w:ascii="Arial" w:hAnsi="Arial" w:cs="Arial"/>
          <w:sz w:val="22"/>
          <w:szCs w:val="22"/>
        </w:rPr>
        <w:t xml:space="preserve">Implement comprehensive workplace diversity training covering equity, inclusion, unconscious bias, microaggressions, cultural competency, and religious sensitivity. Emphasize recognition of biases, fostering an inclusive culture, and providing tools to address unconscious biases and microaggressions. Regularly assess and update training programs to ensure relevance and effectiveness in promoting diversity and inclusion. </w:t>
      </w:r>
      <w:r w:rsidRPr="00957B17">
        <w:rPr>
          <w:rFonts w:ascii="Arial" w:hAnsi="Arial" w:cs="Arial"/>
          <w:color w:val="000000"/>
          <w:sz w:val="22"/>
          <w:szCs w:val="22"/>
        </w:rPr>
        <w:t>(Toll, 2024)</w:t>
      </w:r>
    </w:p>
    <w:p w14:paraId="0B9E2A4D" w14:textId="77777777" w:rsidR="00E464AF" w:rsidRDefault="00E464AF" w:rsidP="00E464AF">
      <w:pPr>
        <w:spacing w:line="360" w:lineRule="auto"/>
        <w:jc w:val="both"/>
        <w:rPr>
          <w:rFonts w:ascii="Arial" w:hAnsi="Arial" w:cs="Arial"/>
          <w:color w:val="000000"/>
          <w:sz w:val="22"/>
          <w:szCs w:val="22"/>
        </w:rPr>
      </w:pPr>
    </w:p>
    <w:p w14:paraId="28740792" w14:textId="7BC2E2D7" w:rsidR="00E464AF" w:rsidRPr="00DE5291" w:rsidRDefault="00F80A44" w:rsidP="00E464AF">
      <w:pPr>
        <w:pStyle w:val="Heading1"/>
        <w:rPr>
          <w:rFonts w:ascii="Arial" w:hAnsi="Arial" w:cs="Arial"/>
          <w:b/>
          <w:bCs/>
          <w:sz w:val="22"/>
          <w:szCs w:val="22"/>
        </w:rPr>
      </w:pPr>
      <w:r>
        <w:rPr>
          <w:rFonts w:ascii="Arial" w:hAnsi="Arial" w:cs="Arial"/>
          <w:b/>
          <w:bCs/>
          <w:color w:val="000000" w:themeColor="text1"/>
          <w:sz w:val="22"/>
          <w:szCs w:val="22"/>
        </w:rPr>
        <w:t xml:space="preserve">                                                     </w:t>
      </w:r>
      <w:r w:rsidR="00E464AF" w:rsidRPr="00DE5291">
        <w:rPr>
          <w:rFonts w:ascii="Arial" w:hAnsi="Arial" w:cs="Arial"/>
          <w:b/>
          <w:bCs/>
          <w:color w:val="000000" w:themeColor="text1"/>
          <w:sz w:val="22"/>
          <w:szCs w:val="22"/>
        </w:rPr>
        <w:t>References:</w:t>
      </w:r>
      <w:r w:rsidR="00E464AF" w:rsidRPr="00DE5291">
        <w:rPr>
          <w:rFonts w:ascii="Arial" w:hAnsi="Arial" w:cs="Arial"/>
          <w:b/>
          <w:bCs/>
          <w:sz w:val="22"/>
          <w:szCs w:val="22"/>
        </w:rPr>
        <w:t xml:space="preserve"> </w:t>
      </w:r>
    </w:p>
    <w:p w14:paraId="06533672" w14:textId="77777777" w:rsidR="00E464AF" w:rsidRPr="00957B17" w:rsidRDefault="00E464AF" w:rsidP="00E464AF">
      <w:pPr>
        <w:spacing w:line="360" w:lineRule="auto"/>
        <w:jc w:val="both"/>
        <w:rPr>
          <w:rStyle w:val="apple-converted-space"/>
          <w:rFonts w:ascii="Arial" w:hAnsi="Arial" w:cs="Arial"/>
          <w:color w:val="000000"/>
          <w:sz w:val="22"/>
          <w:szCs w:val="22"/>
        </w:rPr>
      </w:pPr>
      <w:r w:rsidRPr="00957B17">
        <w:rPr>
          <w:rFonts w:ascii="Arial" w:hAnsi="Arial" w:cs="Arial"/>
          <w:color w:val="000000"/>
          <w:sz w:val="22"/>
          <w:szCs w:val="22"/>
        </w:rPr>
        <w:t>20 Countries (2024)</w:t>
      </w:r>
      <w:r w:rsidRPr="00957B17">
        <w:rPr>
          <w:rStyle w:val="apple-converted-space"/>
          <w:rFonts w:ascii="Arial" w:hAnsi="Arial" w:cs="Arial"/>
          <w:color w:val="000000"/>
          <w:sz w:val="22"/>
          <w:szCs w:val="22"/>
        </w:rPr>
        <w:t> </w:t>
      </w:r>
      <w:r w:rsidRPr="00957B17">
        <w:rPr>
          <w:rFonts w:ascii="Arial" w:hAnsi="Arial" w:cs="Arial"/>
          <w:i/>
          <w:iCs/>
          <w:color w:val="000000"/>
          <w:sz w:val="22"/>
          <w:szCs w:val="22"/>
        </w:rPr>
        <w:t>Italy archives</w:t>
      </w:r>
      <w:r w:rsidRPr="00957B17">
        <w:rPr>
          <w:rFonts w:ascii="Arial" w:hAnsi="Arial" w:cs="Arial"/>
          <w:color w:val="000000"/>
          <w:sz w:val="22"/>
          <w:szCs w:val="22"/>
        </w:rPr>
        <w:t>,</w:t>
      </w:r>
      <w:r w:rsidRPr="00957B17">
        <w:rPr>
          <w:rStyle w:val="apple-converted-space"/>
          <w:rFonts w:ascii="Arial" w:hAnsi="Arial" w:cs="Arial"/>
          <w:color w:val="000000"/>
          <w:sz w:val="22"/>
          <w:szCs w:val="22"/>
        </w:rPr>
        <w:t> </w:t>
      </w:r>
      <w:r w:rsidRPr="00957B17">
        <w:rPr>
          <w:rFonts w:ascii="Arial" w:hAnsi="Arial" w:cs="Arial"/>
          <w:i/>
          <w:iCs/>
          <w:color w:val="000000"/>
          <w:sz w:val="22"/>
          <w:szCs w:val="22"/>
        </w:rPr>
        <w:t>20 Countries</w:t>
      </w:r>
      <w:r w:rsidRPr="00957B17">
        <w:rPr>
          <w:rFonts w:ascii="Arial" w:hAnsi="Arial" w:cs="Arial"/>
          <w:color w:val="000000"/>
          <w:sz w:val="22"/>
          <w:szCs w:val="22"/>
        </w:rPr>
        <w:t>. Available at: https://20countries.com/topics/italy/ (Accessed: 12 May 2024).</w:t>
      </w:r>
    </w:p>
    <w:p w14:paraId="415C750D" w14:textId="77777777" w:rsidR="00E464AF" w:rsidRPr="00957B17" w:rsidRDefault="00E464AF" w:rsidP="00E464AF">
      <w:pPr>
        <w:spacing w:line="360" w:lineRule="auto"/>
        <w:jc w:val="both"/>
        <w:rPr>
          <w:rStyle w:val="apple-converted-space"/>
          <w:rFonts w:ascii="Arial" w:hAnsi="Arial" w:cs="Arial"/>
          <w:color w:val="000000"/>
          <w:sz w:val="22"/>
          <w:szCs w:val="22"/>
        </w:rPr>
      </w:pPr>
      <w:r w:rsidRPr="00957B17">
        <w:rPr>
          <w:rFonts w:ascii="Arial" w:hAnsi="Arial" w:cs="Arial"/>
          <w:color w:val="000000"/>
          <w:sz w:val="22"/>
          <w:szCs w:val="22"/>
        </w:rPr>
        <w:t>Buswell, G. (2024)</w:t>
      </w:r>
      <w:r w:rsidRPr="00957B17">
        <w:rPr>
          <w:rStyle w:val="apple-converted-space"/>
          <w:rFonts w:ascii="Arial" w:hAnsi="Arial" w:cs="Arial"/>
          <w:color w:val="000000"/>
          <w:sz w:val="22"/>
          <w:szCs w:val="22"/>
        </w:rPr>
        <w:t> </w:t>
      </w:r>
      <w:r w:rsidRPr="00957B17">
        <w:rPr>
          <w:rFonts w:ascii="Arial" w:hAnsi="Arial" w:cs="Arial"/>
          <w:i/>
          <w:iCs/>
          <w:color w:val="000000"/>
          <w:sz w:val="22"/>
          <w:szCs w:val="22"/>
        </w:rPr>
        <w:t>Business culture and etiquette in Italy</w:t>
      </w:r>
      <w:r w:rsidRPr="00957B17">
        <w:rPr>
          <w:rFonts w:ascii="Arial" w:hAnsi="Arial" w:cs="Arial"/>
          <w:color w:val="000000"/>
          <w:sz w:val="22"/>
          <w:szCs w:val="22"/>
        </w:rPr>
        <w:t>,</w:t>
      </w:r>
      <w:r w:rsidRPr="00957B17">
        <w:rPr>
          <w:rStyle w:val="apple-converted-space"/>
          <w:rFonts w:ascii="Arial" w:hAnsi="Arial" w:cs="Arial"/>
          <w:color w:val="000000"/>
          <w:sz w:val="22"/>
          <w:szCs w:val="22"/>
        </w:rPr>
        <w:t> </w:t>
      </w:r>
      <w:r w:rsidRPr="00957B17">
        <w:rPr>
          <w:rFonts w:ascii="Arial" w:hAnsi="Arial" w:cs="Arial"/>
          <w:i/>
          <w:iCs/>
          <w:color w:val="000000"/>
          <w:sz w:val="22"/>
          <w:szCs w:val="22"/>
        </w:rPr>
        <w:t>Expatica Italy</w:t>
      </w:r>
      <w:r w:rsidRPr="00957B17">
        <w:rPr>
          <w:rFonts w:ascii="Arial" w:hAnsi="Arial" w:cs="Arial"/>
          <w:color w:val="000000"/>
          <w:sz w:val="22"/>
          <w:szCs w:val="22"/>
        </w:rPr>
        <w:t>. Available at: https://www.expatica.com/it/working/employment-basics/business-etiquette-in-italy-80089/#time-space (Accessed: 11 May 2024).</w:t>
      </w:r>
    </w:p>
    <w:p w14:paraId="1303520F" w14:textId="77777777" w:rsidR="00E464AF" w:rsidRPr="00957B17" w:rsidRDefault="00E464AF" w:rsidP="00E464AF">
      <w:pPr>
        <w:spacing w:line="360" w:lineRule="auto"/>
        <w:jc w:val="both"/>
        <w:rPr>
          <w:rFonts w:ascii="Arial" w:hAnsi="Arial" w:cs="Arial"/>
          <w:color w:val="000000"/>
          <w:sz w:val="22"/>
          <w:szCs w:val="22"/>
        </w:rPr>
      </w:pPr>
      <w:r w:rsidRPr="00957B17">
        <w:rPr>
          <w:rFonts w:ascii="Arial" w:hAnsi="Arial" w:cs="Arial"/>
          <w:color w:val="000000"/>
          <w:sz w:val="22"/>
          <w:szCs w:val="22"/>
        </w:rPr>
        <w:t>Chen, C.C. and Unal, A.F. (2023) ‘Individualism-collectivism: A review of conceptualization and measurement’,</w:t>
      </w:r>
      <w:r w:rsidRPr="00957B17">
        <w:rPr>
          <w:rStyle w:val="apple-converted-space"/>
          <w:rFonts w:ascii="Arial" w:hAnsi="Arial" w:cs="Arial"/>
          <w:color w:val="000000"/>
          <w:sz w:val="22"/>
          <w:szCs w:val="22"/>
        </w:rPr>
        <w:t> </w:t>
      </w:r>
      <w:r w:rsidRPr="00957B17">
        <w:rPr>
          <w:rFonts w:ascii="Arial" w:hAnsi="Arial" w:cs="Arial"/>
          <w:i/>
          <w:iCs/>
          <w:color w:val="000000"/>
          <w:sz w:val="22"/>
          <w:szCs w:val="22"/>
        </w:rPr>
        <w:t xml:space="preserve">Oxford Research </w:t>
      </w:r>
      <w:proofErr w:type="spellStart"/>
      <w:r w:rsidRPr="00957B17">
        <w:rPr>
          <w:rFonts w:ascii="Arial" w:hAnsi="Arial" w:cs="Arial"/>
          <w:i/>
          <w:iCs/>
          <w:color w:val="000000"/>
          <w:sz w:val="22"/>
          <w:szCs w:val="22"/>
        </w:rPr>
        <w:t>Encyclopedia</w:t>
      </w:r>
      <w:proofErr w:type="spellEnd"/>
      <w:r w:rsidRPr="00957B17">
        <w:rPr>
          <w:rFonts w:ascii="Arial" w:hAnsi="Arial" w:cs="Arial"/>
          <w:i/>
          <w:iCs/>
          <w:color w:val="000000"/>
          <w:sz w:val="22"/>
          <w:szCs w:val="22"/>
        </w:rPr>
        <w:t xml:space="preserve"> of Business and Management</w:t>
      </w:r>
      <w:r w:rsidRPr="00957B17">
        <w:rPr>
          <w:rStyle w:val="apple-converted-space"/>
          <w:rFonts w:ascii="Arial" w:hAnsi="Arial" w:cs="Arial"/>
          <w:color w:val="000000"/>
          <w:sz w:val="22"/>
          <w:szCs w:val="22"/>
        </w:rPr>
        <w:t> </w:t>
      </w:r>
      <w:r w:rsidRPr="00957B17">
        <w:rPr>
          <w:rFonts w:ascii="Arial" w:hAnsi="Arial" w:cs="Arial"/>
          <w:color w:val="000000"/>
          <w:sz w:val="22"/>
          <w:szCs w:val="22"/>
        </w:rPr>
        <w:t>[Preprint]. doi:10.1093/</w:t>
      </w:r>
      <w:proofErr w:type="spellStart"/>
      <w:r w:rsidRPr="00957B17">
        <w:rPr>
          <w:rFonts w:ascii="Arial" w:hAnsi="Arial" w:cs="Arial"/>
          <w:color w:val="000000"/>
          <w:sz w:val="22"/>
          <w:szCs w:val="22"/>
        </w:rPr>
        <w:t>acrefore</w:t>
      </w:r>
      <w:proofErr w:type="spellEnd"/>
      <w:r w:rsidRPr="00957B17">
        <w:rPr>
          <w:rFonts w:ascii="Arial" w:hAnsi="Arial" w:cs="Arial"/>
          <w:color w:val="000000"/>
          <w:sz w:val="22"/>
          <w:szCs w:val="22"/>
        </w:rPr>
        <w:t>/9780190224851.013.350.</w:t>
      </w:r>
    </w:p>
    <w:p w14:paraId="016FD73B" w14:textId="77777777" w:rsidR="00E464AF" w:rsidRPr="00957B17" w:rsidRDefault="00E464AF" w:rsidP="00E464AF">
      <w:pPr>
        <w:spacing w:line="360" w:lineRule="auto"/>
        <w:jc w:val="both"/>
        <w:rPr>
          <w:rStyle w:val="apple-converted-space"/>
          <w:rFonts w:ascii="Arial" w:hAnsi="Arial" w:cs="Arial"/>
          <w:sz w:val="22"/>
          <w:szCs w:val="22"/>
        </w:rPr>
      </w:pPr>
      <w:r w:rsidRPr="00957B17">
        <w:rPr>
          <w:rFonts w:ascii="Arial" w:hAnsi="Arial" w:cs="Arial"/>
          <w:color w:val="000000"/>
          <w:sz w:val="22"/>
          <w:szCs w:val="22"/>
        </w:rPr>
        <w:t>Fennell, A. (2023)</w:t>
      </w:r>
      <w:r w:rsidRPr="00957B17">
        <w:rPr>
          <w:rStyle w:val="apple-converted-space"/>
          <w:rFonts w:ascii="Arial" w:hAnsi="Arial" w:cs="Arial"/>
          <w:color w:val="000000"/>
          <w:sz w:val="22"/>
          <w:szCs w:val="22"/>
        </w:rPr>
        <w:t> </w:t>
      </w:r>
      <w:r w:rsidRPr="00957B17">
        <w:rPr>
          <w:rFonts w:ascii="Arial" w:hAnsi="Arial" w:cs="Arial"/>
          <w:i/>
          <w:iCs/>
          <w:color w:val="000000"/>
          <w:sz w:val="22"/>
          <w:szCs w:val="22"/>
        </w:rPr>
        <w:t>Work life balance statistics UK - latest data for 2024</w:t>
      </w:r>
      <w:r w:rsidRPr="00957B17">
        <w:rPr>
          <w:rFonts w:ascii="Arial" w:hAnsi="Arial" w:cs="Arial"/>
          <w:color w:val="000000"/>
          <w:sz w:val="22"/>
          <w:szCs w:val="22"/>
        </w:rPr>
        <w:t>,</w:t>
      </w:r>
      <w:r w:rsidRPr="00957B17">
        <w:rPr>
          <w:rStyle w:val="apple-converted-space"/>
          <w:rFonts w:ascii="Arial" w:hAnsi="Arial" w:cs="Arial"/>
          <w:color w:val="000000"/>
          <w:sz w:val="22"/>
          <w:szCs w:val="22"/>
        </w:rPr>
        <w:t> </w:t>
      </w:r>
      <w:proofErr w:type="spellStart"/>
      <w:r w:rsidRPr="00957B17">
        <w:rPr>
          <w:rFonts w:ascii="Arial" w:hAnsi="Arial" w:cs="Arial"/>
          <w:i/>
          <w:iCs/>
          <w:color w:val="000000"/>
          <w:sz w:val="22"/>
          <w:szCs w:val="22"/>
        </w:rPr>
        <w:t>StandOut</w:t>
      </w:r>
      <w:proofErr w:type="spellEnd"/>
      <w:r w:rsidRPr="00957B17">
        <w:rPr>
          <w:rFonts w:ascii="Arial" w:hAnsi="Arial" w:cs="Arial"/>
          <w:i/>
          <w:iCs/>
          <w:color w:val="000000"/>
          <w:sz w:val="22"/>
          <w:szCs w:val="22"/>
        </w:rPr>
        <w:t xml:space="preserve"> CV | Create a winning CV in minutes with our simple CV builder</w:t>
      </w:r>
      <w:r w:rsidRPr="00957B17">
        <w:rPr>
          <w:rFonts w:ascii="Arial" w:hAnsi="Arial" w:cs="Arial"/>
          <w:color w:val="000000"/>
          <w:sz w:val="22"/>
          <w:szCs w:val="22"/>
        </w:rPr>
        <w:t>. Available at: https://standout-cv.com/work-life-balance-statistics-uk (Accessed: 12 May 2024).</w:t>
      </w:r>
    </w:p>
    <w:p w14:paraId="3AA09460" w14:textId="77777777" w:rsidR="00E464AF" w:rsidRPr="00957B17" w:rsidRDefault="00E464AF" w:rsidP="00E464AF">
      <w:pPr>
        <w:spacing w:line="360" w:lineRule="auto"/>
        <w:jc w:val="both"/>
        <w:rPr>
          <w:rStyle w:val="apple-converted-space"/>
          <w:rFonts w:ascii="Arial" w:hAnsi="Arial" w:cs="Arial"/>
          <w:color w:val="000000"/>
          <w:sz w:val="22"/>
          <w:szCs w:val="22"/>
        </w:rPr>
      </w:pPr>
      <w:r w:rsidRPr="00957B17">
        <w:rPr>
          <w:rFonts w:ascii="Arial" w:hAnsi="Arial" w:cs="Arial"/>
          <w:color w:val="000000"/>
          <w:sz w:val="22"/>
          <w:szCs w:val="22"/>
        </w:rPr>
        <w:lastRenderedPageBreak/>
        <w:t>Galdi, A. (2018)</w:t>
      </w:r>
      <w:r w:rsidRPr="00957B17">
        <w:rPr>
          <w:rStyle w:val="apple-converted-space"/>
          <w:rFonts w:ascii="Arial" w:hAnsi="Arial" w:cs="Arial"/>
          <w:color w:val="000000"/>
          <w:sz w:val="22"/>
          <w:szCs w:val="22"/>
        </w:rPr>
        <w:t> </w:t>
      </w:r>
      <w:r w:rsidRPr="00957B17">
        <w:rPr>
          <w:rFonts w:ascii="Arial" w:hAnsi="Arial" w:cs="Arial"/>
          <w:i/>
          <w:iCs/>
          <w:color w:val="000000"/>
          <w:sz w:val="22"/>
          <w:szCs w:val="22"/>
        </w:rPr>
        <w:t>‘why the Italian decision-making process does not make sense’</w:t>
      </w:r>
      <w:r w:rsidRPr="00957B17">
        <w:rPr>
          <w:rFonts w:ascii="Arial" w:hAnsi="Arial" w:cs="Arial"/>
          <w:color w:val="000000"/>
          <w:sz w:val="22"/>
          <w:szCs w:val="22"/>
        </w:rPr>
        <w:t>,</w:t>
      </w:r>
      <w:r w:rsidRPr="00957B17">
        <w:rPr>
          <w:rStyle w:val="apple-converted-space"/>
          <w:rFonts w:ascii="Arial" w:hAnsi="Arial" w:cs="Arial"/>
          <w:color w:val="000000"/>
          <w:sz w:val="22"/>
          <w:szCs w:val="22"/>
        </w:rPr>
        <w:t> </w:t>
      </w:r>
      <w:r w:rsidRPr="00957B17">
        <w:rPr>
          <w:rFonts w:ascii="Arial" w:hAnsi="Arial" w:cs="Arial"/>
          <w:i/>
          <w:iCs/>
          <w:color w:val="000000"/>
          <w:sz w:val="22"/>
          <w:szCs w:val="22"/>
        </w:rPr>
        <w:t>LinkedIn</w:t>
      </w:r>
      <w:r w:rsidRPr="00957B17">
        <w:rPr>
          <w:rFonts w:ascii="Arial" w:hAnsi="Arial" w:cs="Arial"/>
          <w:color w:val="000000"/>
          <w:sz w:val="22"/>
          <w:szCs w:val="22"/>
        </w:rPr>
        <w:t>. Available at: https://www.linkedin.com/pulse/why-italian-decision-making-process-does-make-sense-antonello-galdi/ (Accessed: 12 May 2024).</w:t>
      </w:r>
    </w:p>
    <w:p w14:paraId="3D690B95" w14:textId="77777777" w:rsidR="00E464AF" w:rsidRPr="00957B17" w:rsidRDefault="00E464AF" w:rsidP="00E464AF">
      <w:pPr>
        <w:spacing w:line="360" w:lineRule="auto"/>
        <w:jc w:val="both"/>
        <w:rPr>
          <w:rFonts w:ascii="Arial" w:hAnsi="Arial" w:cs="Arial"/>
          <w:sz w:val="22"/>
          <w:szCs w:val="22"/>
        </w:rPr>
      </w:pPr>
      <w:r w:rsidRPr="00957B17">
        <w:rPr>
          <w:rFonts w:ascii="Arial" w:hAnsi="Arial" w:cs="Arial"/>
          <w:color w:val="000000"/>
          <w:sz w:val="22"/>
          <w:szCs w:val="22"/>
        </w:rPr>
        <w:t xml:space="preserve">Get </w:t>
      </w:r>
      <w:proofErr w:type="spellStart"/>
      <w:r w:rsidRPr="00957B17">
        <w:rPr>
          <w:rFonts w:ascii="Arial" w:hAnsi="Arial" w:cs="Arial"/>
          <w:color w:val="000000"/>
          <w:sz w:val="22"/>
          <w:szCs w:val="22"/>
        </w:rPr>
        <w:t>Impactly</w:t>
      </w:r>
      <w:proofErr w:type="spellEnd"/>
      <w:r w:rsidRPr="00957B17">
        <w:rPr>
          <w:rFonts w:ascii="Arial" w:hAnsi="Arial" w:cs="Arial"/>
          <w:color w:val="000000"/>
          <w:sz w:val="22"/>
          <w:szCs w:val="22"/>
        </w:rPr>
        <w:t xml:space="preserve"> (2023)</w:t>
      </w:r>
      <w:r w:rsidRPr="00957B17">
        <w:rPr>
          <w:rStyle w:val="apple-converted-space"/>
          <w:rFonts w:ascii="Arial" w:hAnsi="Arial" w:cs="Arial"/>
          <w:color w:val="000000"/>
          <w:sz w:val="22"/>
          <w:szCs w:val="22"/>
        </w:rPr>
        <w:t> </w:t>
      </w:r>
      <w:r w:rsidRPr="00957B17">
        <w:rPr>
          <w:rFonts w:ascii="Arial" w:hAnsi="Arial" w:cs="Arial"/>
          <w:i/>
          <w:iCs/>
          <w:color w:val="000000"/>
          <w:sz w:val="22"/>
          <w:szCs w:val="22"/>
        </w:rPr>
        <w:t>Cultural diversity training in the workplace: 4 tips to apply in your training</w:t>
      </w:r>
      <w:r w:rsidRPr="00957B17">
        <w:rPr>
          <w:rFonts w:ascii="Arial" w:hAnsi="Arial" w:cs="Arial"/>
          <w:color w:val="000000"/>
          <w:sz w:val="22"/>
          <w:szCs w:val="22"/>
        </w:rPr>
        <w:t>,</w:t>
      </w:r>
      <w:r w:rsidRPr="00957B17">
        <w:rPr>
          <w:rStyle w:val="apple-converted-space"/>
          <w:rFonts w:ascii="Arial" w:hAnsi="Arial" w:cs="Arial"/>
          <w:color w:val="000000"/>
          <w:sz w:val="22"/>
          <w:szCs w:val="22"/>
        </w:rPr>
        <w:t> </w:t>
      </w:r>
      <w:r w:rsidRPr="00957B17">
        <w:rPr>
          <w:rFonts w:ascii="Arial" w:hAnsi="Arial" w:cs="Arial"/>
          <w:i/>
          <w:iCs/>
          <w:color w:val="000000"/>
          <w:sz w:val="22"/>
          <w:szCs w:val="22"/>
        </w:rPr>
        <w:t>Online Diversity and Sexual Harassment Training for Companies</w:t>
      </w:r>
      <w:r w:rsidRPr="00957B17">
        <w:rPr>
          <w:rFonts w:ascii="Arial" w:hAnsi="Arial" w:cs="Arial"/>
          <w:color w:val="000000"/>
          <w:sz w:val="22"/>
          <w:szCs w:val="22"/>
        </w:rPr>
        <w:t>. Available at: https://www.getimpactly.com/post/cultural-diversity-training-in-the-workplace (Accessed: 13 May 2024).</w:t>
      </w:r>
    </w:p>
    <w:p w14:paraId="01EE16DE" w14:textId="77777777" w:rsidR="00E464AF" w:rsidRPr="00957B17" w:rsidRDefault="00E464AF" w:rsidP="00E464AF">
      <w:pPr>
        <w:spacing w:line="360" w:lineRule="auto"/>
        <w:jc w:val="both"/>
        <w:rPr>
          <w:rStyle w:val="apple-converted-space"/>
          <w:rFonts w:ascii="Arial" w:hAnsi="Arial" w:cs="Arial"/>
          <w:sz w:val="22"/>
          <w:szCs w:val="22"/>
        </w:rPr>
      </w:pPr>
      <w:r w:rsidRPr="00957B17">
        <w:rPr>
          <w:rFonts w:ascii="Arial" w:hAnsi="Arial" w:cs="Arial"/>
          <w:color w:val="000000"/>
          <w:sz w:val="22"/>
          <w:szCs w:val="22"/>
        </w:rPr>
        <w:t>Globe Project (2020)</w:t>
      </w:r>
      <w:r w:rsidRPr="00957B17">
        <w:rPr>
          <w:rStyle w:val="apple-converted-space"/>
          <w:rFonts w:ascii="Arial" w:hAnsi="Arial" w:cs="Arial"/>
          <w:color w:val="000000"/>
          <w:sz w:val="22"/>
          <w:szCs w:val="22"/>
        </w:rPr>
        <w:t> </w:t>
      </w:r>
      <w:r w:rsidRPr="00957B17">
        <w:rPr>
          <w:rFonts w:ascii="Arial" w:hAnsi="Arial" w:cs="Arial"/>
          <w:i/>
          <w:iCs/>
          <w:color w:val="000000"/>
          <w:sz w:val="22"/>
          <w:szCs w:val="22"/>
        </w:rPr>
        <w:t>United Kingdom results</w:t>
      </w:r>
      <w:r w:rsidRPr="00957B17">
        <w:rPr>
          <w:rFonts w:ascii="Arial" w:hAnsi="Arial" w:cs="Arial"/>
          <w:color w:val="000000"/>
          <w:sz w:val="22"/>
          <w:szCs w:val="22"/>
        </w:rPr>
        <w:t>,</w:t>
      </w:r>
      <w:r w:rsidRPr="00957B17">
        <w:rPr>
          <w:rStyle w:val="apple-converted-space"/>
          <w:rFonts w:ascii="Arial" w:hAnsi="Arial" w:cs="Arial"/>
          <w:color w:val="000000"/>
          <w:sz w:val="22"/>
          <w:szCs w:val="22"/>
        </w:rPr>
        <w:t> </w:t>
      </w:r>
      <w:r w:rsidRPr="00957B17">
        <w:rPr>
          <w:rFonts w:ascii="Arial" w:hAnsi="Arial" w:cs="Arial"/>
          <w:i/>
          <w:iCs/>
          <w:color w:val="000000"/>
          <w:sz w:val="22"/>
          <w:szCs w:val="22"/>
        </w:rPr>
        <w:t>GLOBE Project</w:t>
      </w:r>
      <w:r w:rsidRPr="00957B17">
        <w:rPr>
          <w:rFonts w:ascii="Arial" w:hAnsi="Arial" w:cs="Arial"/>
          <w:color w:val="000000"/>
          <w:sz w:val="22"/>
          <w:szCs w:val="22"/>
        </w:rPr>
        <w:t>. Available at: https://globeproject.com/results/countries/GBR%3Fmenu=list.html#list (Accessed: 10 May 2024).</w:t>
      </w:r>
    </w:p>
    <w:p w14:paraId="25EFFDEB" w14:textId="77777777" w:rsidR="00E464AF" w:rsidRPr="00957B17" w:rsidRDefault="00E464AF" w:rsidP="00E464AF">
      <w:pPr>
        <w:spacing w:line="360" w:lineRule="auto"/>
        <w:jc w:val="both"/>
        <w:rPr>
          <w:rStyle w:val="apple-converted-space"/>
          <w:rFonts w:ascii="Arial" w:hAnsi="Arial" w:cs="Arial"/>
          <w:color w:val="000000"/>
          <w:sz w:val="22"/>
          <w:szCs w:val="22"/>
        </w:rPr>
      </w:pPr>
      <w:r w:rsidRPr="00957B17">
        <w:rPr>
          <w:rFonts w:ascii="Arial" w:hAnsi="Arial" w:cs="Arial"/>
          <w:color w:val="000000"/>
          <w:sz w:val="22"/>
          <w:szCs w:val="22"/>
        </w:rPr>
        <w:t>Hauff, S. and Richter, N. (2015) ‘Power distance and its moderating role in the relationship between situational job characteristics and job satisfaction’,</w:t>
      </w:r>
      <w:r w:rsidRPr="00957B17">
        <w:rPr>
          <w:rStyle w:val="apple-converted-space"/>
          <w:rFonts w:ascii="Arial" w:hAnsi="Arial" w:cs="Arial"/>
          <w:color w:val="000000"/>
          <w:sz w:val="22"/>
          <w:szCs w:val="22"/>
        </w:rPr>
        <w:t> </w:t>
      </w:r>
      <w:r w:rsidRPr="00957B17">
        <w:rPr>
          <w:rFonts w:ascii="Arial" w:hAnsi="Arial" w:cs="Arial"/>
          <w:i/>
          <w:iCs/>
          <w:color w:val="000000"/>
          <w:sz w:val="22"/>
          <w:szCs w:val="22"/>
        </w:rPr>
        <w:t>Cross Cultural Management</w:t>
      </w:r>
      <w:r w:rsidRPr="00957B17">
        <w:rPr>
          <w:rFonts w:ascii="Arial" w:hAnsi="Arial" w:cs="Arial"/>
          <w:color w:val="000000"/>
          <w:sz w:val="22"/>
          <w:szCs w:val="22"/>
        </w:rPr>
        <w:t>, 22(1), pp. 68–89. doi:10.1108/ccm-11-2013-0164.</w:t>
      </w:r>
    </w:p>
    <w:p w14:paraId="02ECEDDA" w14:textId="77777777" w:rsidR="00E464AF" w:rsidRPr="00957B17" w:rsidRDefault="00E464AF" w:rsidP="00E464AF">
      <w:pPr>
        <w:spacing w:line="360" w:lineRule="auto"/>
        <w:jc w:val="both"/>
        <w:rPr>
          <w:rFonts w:ascii="Arial" w:hAnsi="Arial" w:cs="Arial"/>
          <w:color w:val="000000"/>
          <w:sz w:val="22"/>
          <w:szCs w:val="22"/>
        </w:rPr>
      </w:pPr>
      <w:r w:rsidRPr="00957B17">
        <w:rPr>
          <w:rFonts w:ascii="Arial" w:hAnsi="Arial" w:cs="Arial"/>
          <w:color w:val="000000"/>
          <w:sz w:val="22"/>
          <w:szCs w:val="22"/>
        </w:rPr>
        <w:t>Hofstede Insights (2023)</w:t>
      </w:r>
      <w:r w:rsidRPr="00957B17">
        <w:rPr>
          <w:rStyle w:val="apple-converted-space"/>
          <w:rFonts w:ascii="Arial" w:hAnsi="Arial" w:cs="Arial"/>
          <w:color w:val="000000"/>
          <w:sz w:val="22"/>
          <w:szCs w:val="22"/>
        </w:rPr>
        <w:t> </w:t>
      </w:r>
      <w:r w:rsidRPr="00957B17">
        <w:rPr>
          <w:rFonts w:ascii="Arial" w:hAnsi="Arial" w:cs="Arial"/>
          <w:i/>
          <w:iCs/>
          <w:color w:val="000000"/>
          <w:sz w:val="22"/>
          <w:szCs w:val="22"/>
        </w:rPr>
        <w:t>Country comparison tool</w:t>
      </w:r>
      <w:r w:rsidRPr="00957B17">
        <w:rPr>
          <w:rFonts w:ascii="Arial" w:hAnsi="Arial" w:cs="Arial"/>
          <w:color w:val="000000"/>
          <w:sz w:val="22"/>
          <w:szCs w:val="22"/>
        </w:rPr>
        <w:t>,</w:t>
      </w:r>
      <w:r w:rsidRPr="00957B17">
        <w:rPr>
          <w:rStyle w:val="apple-converted-space"/>
          <w:rFonts w:ascii="Arial" w:hAnsi="Arial" w:cs="Arial"/>
          <w:color w:val="000000"/>
          <w:sz w:val="22"/>
          <w:szCs w:val="22"/>
        </w:rPr>
        <w:t> </w:t>
      </w:r>
      <w:r w:rsidRPr="00957B17">
        <w:rPr>
          <w:rFonts w:ascii="Arial" w:hAnsi="Arial" w:cs="Arial"/>
          <w:i/>
          <w:iCs/>
          <w:color w:val="000000"/>
          <w:sz w:val="22"/>
          <w:szCs w:val="22"/>
        </w:rPr>
        <w:t>Hofstede Insights</w:t>
      </w:r>
      <w:r w:rsidRPr="00957B17">
        <w:rPr>
          <w:rFonts w:ascii="Arial" w:hAnsi="Arial" w:cs="Arial"/>
          <w:color w:val="000000"/>
          <w:sz w:val="22"/>
          <w:szCs w:val="22"/>
        </w:rPr>
        <w:t>. Available at: https://www.hofstede-insights.com/country-comparison-tool?countries=italy%2Cunited%2Bkingdom (Accessed: 10 May 2024).</w:t>
      </w:r>
    </w:p>
    <w:p w14:paraId="566D87A1" w14:textId="77777777" w:rsidR="00E464AF" w:rsidRPr="00957B17" w:rsidRDefault="00E464AF" w:rsidP="00E464AF">
      <w:pPr>
        <w:spacing w:line="360" w:lineRule="auto"/>
        <w:jc w:val="both"/>
        <w:rPr>
          <w:rStyle w:val="apple-converted-space"/>
          <w:rFonts w:ascii="Arial" w:hAnsi="Arial" w:cs="Arial"/>
          <w:sz w:val="22"/>
          <w:szCs w:val="22"/>
        </w:rPr>
      </w:pPr>
      <w:r w:rsidRPr="00957B17">
        <w:rPr>
          <w:rFonts w:ascii="Arial" w:hAnsi="Arial" w:cs="Arial"/>
          <w:color w:val="000000"/>
          <w:sz w:val="22"/>
          <w:szCs w:val="22"/>
        </w:rPr>
        <w:t>OECD (2020)</w:t>
      </w:r>
      <w:r w:rsidRPr="00957B17">
        <w:rPr>
          <w:rStyle w:val="apple-converted-space"/>
          <w:rFonts w:ascii="Arial" w:hAnsi="Arial" w:cs="Arial"/>
          <w:color w:val="000000"/>
          <w:sz w:val="22"/>
          <w:szCs w:val="22"/>
        </w:rPr>
        <w:t> </w:t>
      </w:r>
      <w:r w:rsidRPr="00957B17">
        <w:rPr>
          <w:rFonts w:ascii="Arial" w:hAnsi="Arial" w:cs="Arial"/>
          <w:i/>
          <w:iCs/>
          <w:color w:val="000000"/>
          <w:sz w:val="22"/>
          <w:szCs w:val="22"/>
        </w:rPr>
        <w:t>United Kingdom</w:t>
      </w:r>
      <w:r w:rsidRPr="00957B17">
        <w:rPr>
          <w:rFonts w:ascii="Arial" w:hAnsi="Arial" w:cs="Arial"/>
          <w:color w:val="000000"/>
          <w:sz w:val="22"/>
          <w:szCs w:val="22"/>
        </w:rPr>
        <w:t>,</w:t>
      </w:r>
      <w:r w:rsidRPr="00957B17">
        <w:rPr>
          <w:rStyle w:val="apple-converted-space"/>
          <w:rFonts w:ascii="Arial" w:hAnsi="Arial" w:cs="Arial"/>
          <w:color w:val="000000"/>
          <w:sz w:val="22"/>
          <w:szCs w:val="22"/>
        </w:rPr>
        <w:t> </w:t>
      </w:r>
      <w:r w:rsidRPr="00957B17">
        <w:rPr>
          <w:rFonts w:ascii="Arial" w:hAnsi="Arial" w:cs="Arial"/>
          <w:i/>
          <w:iCs/>
          <w:color w:val="000000"/>
          <w:sz w:val="22"/>
          <w:szCs w:val="22"/>
        </w:rPr>
        <w:t>OECD Better Life Index</w:t>
      </w:r>
      <w:r w:rsidRPr="00957B17">
        <w:rPr>
          <w:rFonts w:ascii="Arial" w:hAnsi="Arial" w:cs="Arial"/>
          <w:color w:val="000000"/>
          <w:sz w:val="22"/>
          <w:szCs w:val="22"/>
        </w:rPr>
        <w:t>. Available at: https://www.oecdbetterlifeindex.org/countries/united-kingdom/ (Accessed: 12 May 2024).</w:t>
      </w:r>
    </w:p>
    <w:p w14:paraId="42F9179D" w14:textId="77777777" w:rsidR="00E464AF" w:rsidRPr="00957B17" w:rsidRDefault="00E464AF" w:rsidP="00E464AF">
      <w:pPr>
        <w:spacing w:line="360" w:lineRule="auto"/>
        <w:jc w:val="both"/>
        <w:rPr>
          <w:rFonts w:ascii="Arial" w:hAnsi="Arial" w:cs="Arial"/>
          <w:color w:val="000000"/>
          <w:sz w:val="22"/>
          <w:szCs w:val="22"/>
        </w:rPr>
      </w:pPr>
      <w:r w:rsidRPr="00957B17">
        <w:rPr>
          <w:rFonts w:ascii="Arial" w:hAnsi="Arial" w:cs="Arial"/>
          <w:color w:val="000000"/>
          <w:sz w:val="22"/>
          <w:szCs w:val="22"/>
        </w:rPr>
        <w:t>Singh, D. (2009)</w:t>
      </w:r>
      <w:r w:rsidRPr="00957B17">
        <w:rPr>
          <w:rStyle w:val="apple-converted-space"/>
          <w:rFonts w:ascii="Arial" w:hAnsi="Arial" w:cs="Arial"/>
          <w:color w:val="000000"/>
          <w:sz w:val="22"/>
          <w:szCs w:val="22"/>
        </w:rPr>
        <w:t> </w:t>
      </w:r>
      <w:r w:rsidRPr="00957B17">
        <w:rPr>
          <w:rFonts w:ascii="Arial" w:hAnsi="Arial" w:cs="Arial"/>
          <w:i/>
          <w:iCs/>
          <w:color w:val="000000"/>
          <w:sz w:val="22"/>
          <w:szCs w:val="22"/>
        </w:rPr>
        <w:t>Cultural Differences: England vs. Italy</w:t>
      </w:r>
      <w:r w:rsidRPr="00957B17">
        <w:rPr>
          <w:rFonts w:ascii="Arial" w:hAnsi="Arial" w:cs="Arial"/>
          <w:color w:val="000000"/>
          <w:sz w:val="22"/>
          <w:szCs w:val="22"/>
        </w:rPr>
        <w:t>,</w:t>
      </w:r>
      <w:r w:rsidRPr="00957B17">
        <w:rPr>
          <w:rStyle w:val="apple-converted-space"/>
          <w:rFonts w:ascii="Arial" w:hAnsi="Arial" w:cs="Arial"/>
          <w:color w:val="000000"/>
          <w:sz w:val="22"/>
          <w:szCs w:val="22"/>
        </w:rPr>
        <w:t> </w:t>
      </w:r>
      <w:r w:rsidRPr="00957B17">
        <w:rPr>
          <w:rFonts w:ascii="Arial" w:hAnsi="Arial" w:cs="Arial"/>
          <w:i/>
          <w:iCs/>
          <w:color w:val="000000"/>
          <w:sz w:val="22"/>
          <w:szCs w:val="22"/>
        </w:rPr>
        <w:t>Humanising language teaching magazine for teachers and teacher trainers</w:t>
      </w:r>
      <w:r w:rsidRPr="00957B17">
        <w:rPr>
          <w:rFonts w:ascii="Arial" w:hAnsi="Arial" w:cs="Arial"/>
          <w:color w:val="000000"/>
          <w:sz w:val="22"/>
          <w:szCs w:val="22"/>
        </w:rPr>
        <w:t>. Available at: http://old.hltmag.co.uk/jun09/sart10.htm (Accessed: 11 May 2024).</w:t>
      </w:r>
    </w:p>
    <w:p w14:paraId="690BB0A2" w14:textId="77777777" w:rsidR="00E464AF" w:rsidRPr="00957B17" w:rsidRDefault="00E464AF" w:rsidP="00E464AF">
      <w:pPr>
        <w:spacing w:line="360" w:lineRule="auto"/>
        <w:jc w:val="both"/>
        <w:rPr>
          <w:rStyle w:val="apple-converted-space"/>
          <w:rFonts w:ascii="Arial" w:hAnsi="Arial" w:cs="Arial"/>
          <w:sz w:val="22"/>
          <w:szCs w:val="22"/>
        </w:rPr>
      </w:pPr>
      <w:r w:rsidRPr="00957B17">
        <w:rPr>
          <w:rFonts w:ascii="Arial" w:hAnsi="Arial" w:cs="Arial"/>
          <w:color w:val="000000"/>
          <w:sz w:val="22"/>
          <w:szCs w:val="22"/>
        </w:rPr>
        <w:t>Toll, E. (2024)</w:t>
      </w:r>
      <w:r w:rsidRPr="00957B17">
        <w:rPr>
          <w:rStyle w:val="apple-converted-space"/>
          <w:rFonts w:ascii="Arial" w:hAnsi="Arial" w:cs="Arial"/>
          <w:color w:val="000000"/>
          <w:sz w:val="22"/>
          <w:szCs w:val="22"/>
        </w:rPr>
        <w:t> </w:t>
      </w:r>
      <w:r w:rsidRPr="00957B17">
        <w:rPr>
          <w:rFonts w:ascii="Arial" w:hAnsi="Arial" w:cs="Arial"/>
          <w:i/>
          <w:iCs/>
          <w:color w:val="000000"/>
          <w:sz w:val="22"/>
          <w:szCs w:val="22"/>
        </w:rPr>
        <w:t>5 types of diversity training in the Workplace</w:t>
      </w:r>
      <w:r w:rsidRPr="00957B17">
        <w:rPr>
          <w:rFonts w:ascii="Arial" w:hAnsi="Arial" w:cs="Arial"/>
          <w:color w:val="000000"/>
          <w:sz w:val="22"/>
          <w:szCs w:val="22"/>
        </w:rPr>
        <w:t>,</w:t>
      </w:r>
      <w:r w:rsidRPr="00957B17">
        <w:rPr>
          <w:rStyle w:val="apple-converted-space"/>
          <w:rFonts w:ascii="Arial" w:hAnsi="Arial" w:cs="Arial"/>
          <w:color w:val="000000"/>
          <w:sz w:val="22"/>
          <w:szCs w:val="22"/>
        </w:rPr>
        <w:t> </w:t>
      </w:r>
      <w:r w:rsidRPr="00957B17">
        <w:rPr>
          <w:rFonts w:ascii="Arial" w:hAnsi="Arial" w:cs="Arial"/>
          <w:i/>
          <w:iCs/>
          <w:color w:val="000000"/>
          <w:sz w:val="22"/>
          <w:szCs w:val="22"/>
        </w:rPr>
        <w:t>Diversity Resources</w:t>
      </w:r>
      <w:r w:rsidRPr="00957B17">
        <w:rPr>
          <w:rFonts w:ascii="Arial" w:hAnsi="Arial" w:cs="Arial"/>
          <w:color w:val="000000"/>
          <w:sz w:val="22"/>
          <w:szCs w:val="22"/>
        </w:rPr>
        <w:t>. Available at: https://www.diversityresources.com/types-of-diversity-training-in-the-workplace/ (Accessed: 13 May 2024).</w:t>
      </w:r>
    </w:p>
    <w:p w14:paraId="00842573" w14:textId="77777777" w:rsidR="00E464AF" w:rsidRDefault="00E464AF" w:rsidP="00E464AF">
      <w:pPr>
        <w:spacing w:line="360" w:lineRule="auto"/>
        <w:jc w:val="both"/>
        <w:rPr>
          <w:rStyle w:val="apple-converted-space"/>
          <w:rFonts w:ascii="Arial" w:hAnsi="Arial" w:cs="Arial"/>
          <w:color w:val="000000"/>
          <w:sz w:val="22"/>
          <w:szCs w:val="22"/>
        </w:rPr>
      </w:pPr>
      <w:r w:rsidRPr="00957B17">
        <w:rPr>
          <w:rFonts w:ascii="Arial" w:hAnsi="Arial" w:cs="Arial"/>
          <w:color w:val="000000"/>
          <w:sz w:val="22"/>
          <w:szCs w:val="22"/>
        </w:rPr>
        <w:t>Zhang, J. (2019)</w:t>
      </w:r>
      <w:r w:rsidRPr="00957B17">
        <w:rPr>
          <w:rStyle w:val="apple-converted-space"/>
          <w:rFonts w:ascii="Arial" w:hAnsi="Arial" w:cs="Arial"/>
          <w:color w:val="000000"/>
          <w:sz w:val="22"/>
          <w:szCs w:val="22"/>
        </w:rPr>
        <w:t> </w:t>
      </w:r>
      <w:r w:rsidRPr="00957B17">
        <w:rPr>
          <w:rFonts w:ascii="Arial" w:hAnsi="Arial" w:cs="Arial"/>
          <w:i/>
          <w:iCs/>
          <w:color w:val="000000"/>
          <w:sz w:val="22"/>
          <w:szCs w:val="22"/>
        </w:rPr>
        <w:t>Time and punctuality</w:t>
      </w:r>
      <w:r w:rsidRPr="00957B17">
        <w:rPr>
          <w:rFonts w:ascii="Arial" w:hAnsi="Arial" w:cs="Arial"/>
          <w:color w:val="000000"/>
          <w:sz w:val="22"/>
          <w:szCs w:val="22"/>
        </w:rPr>
        <w:t>,</w:t>
      </w:r>
      <w:r w:rsidRPr="00957B17">
        <w:rPr>
          <w:rStyle w:val="apple-converted-space"/>
          <w:rFonts w:ascii="Arial" w:hAnsi="Arial" w:cs="Arial"/>
          <w:color w:val="000000"/>
          <w:sz w:val="22"/>
          <w:szCs w:val="22"/>
        </w:rPr>
        <w:t> </w:t>
      </w:r>
      <w:r w:rsidRPr="00957B17">
        <w:rPr>
          <w:rFonts w:ascii="Arial" w:hAnsi="Arial" w:cs="Arial"/>
          <w:i/>
          <w:iCs/>
          <w:color w:val="000000"/>
          <w:sz w:val="22"/>
          <w:szCs w:val="22"/>
        </w:rPr>
        <w:t>Manners</w:t>
      </w:r>
      <w:r w:rsidRPr="00957B17">
        <w:rPr>
          <w:rFonts w:ascii="Arial" w:hAnsi="Arial" w:cs="Arial"/>
          <w:color w:val="000000"/>
          <w:sz w:val="22"/>
          <w:szCs w:val="22"/>
        </w:rPr>
        <w:t>. Available at: https://blogs.brighton.ac.uk/cathyecp2019/2019/02/21/time-and-punctuality/ (Accessed: 12 May 2024).</w:t>
      </w:r>
    </w:p>
    <w:p w14:paraId="4DC97B40" w14:textId="72F3BDE6" w:rsidR="00E464AF" w:rsidRDefault="00E464AF" w:rsidP="00E464AF">
      <w:pPr>
        <w:spacing w:line="360" w:lineRule="auto"/>
        <w:jc w:val="both"/>
        <w:rPr>
          <w:rFonts w:ascii="Arial" w:hAnsi="Arial" w:cs="Arial"/>
          <w:color w:val="000000"/>
          <w:sz w:val="22"/>
          <w:szCs w:val="22"/>
        </w:rPr>
      </w:pPr>
    </w:p>
    <w:p w14:paraId="458A37B1" w14:textId="77777777" w:rsidR="00E464AF" w:rsidRDefault="00E464AF" w:rsidP="00E464AF">
      <w:pPr>
        <w:spacing w:line="360" w:lineRule="auto"/>
        <w:jc w:val="both"/>
        <w:rPr>
          <w:rFonts w:ascii="Arial" w:hAnsi="Arial" w:cs="Arial"/>
          <w:color w:val="000000"/>
          <w:sz w:val="22"/>
          <w:szCs w:val="22"/>
        </w:rPr>
      </w:pPr>
    </w:p>
    <w:p w14:paraId="62875B4A" w14:textId="77777777" w:rsidR="00E464AF" w:rsidRDefault="00E464AF" w:rsidP="00E464AF">
      <w:pPr>
        <w:spacing w:line="360" w:lineRule="auto"/>
        <w:jc w:val="both"/>
      </w:pPr>
    </w:p>
    <w:p w14:paraId="7DC6057D" w14:textId="77777777" w:rsidR="00E464AF" w:rsidRDefault="00E464AF" w:rsidP="00E464AF">
      <w:pPr>
        <w:spacing w:line="360" w:lineRule="auto"/>
        <w:jc w:val="both"/>
      </w:pPr>
    </w:p>
    <w:p w14:paraId="6AE6303C" w14:textId="77777777" w:rsidR="00E464AF" w:rsidRPr="00DE5291" w:rsidRDefault="00E464AF" w:rsidP="00E464AF">
      <w:pPr>
        <w:pStyle w:val="Heading1"/>
        <w:rPr>
          <w:rFonts w:ascii="Arial" w:hAnsi="Arial" w:cs="Arial"/>
          <w:b/>
          <w:bCs/>
          <w:color w:val="000000" w:themeColor="text1"/>
          <w:sz w:val="22"/>
          <w:szCs w:val="22"/>
        </w:rPr>
      </w:pPr>
      <w:bookmarkStart w:id="9" w:name="_Toc166516823"/>
      <w:r w:rsidRPr="00DE5291">
        <w:rPr>
          <w:rFonts w:ascii="Arial" w:hAnsi="Arial" w:cs="Arial"/>
          <w:b/>
          <w:bCs/>
          <w:color w:val="000000" w:themeColor="text1"/>
          <w:sz w:val="22"/>
          <w:szCs w:val="22"/>
        </w:rPr>
        <w:lastRenderedPageBreak/>
        <w:t>Appendix</w:t>
      </w:r>
      <w:bookmarkEnd w:id="9"/>
    </w:p>
    <w:p w14:paraId="1BD54EAF" w14:textId="77777777" w:rsidR="00E464AF" w:rsidRPr="00957B17" w:rsidRDefault="00E464AF" w:rsidP="00E464AF">
      <w:pPr>
        <w:jc w:val="both"/>
        <w:rPr>
          <w:rFonts w:ascii="Arial" w:hAnsi="Arial" w:cs="Arial"/>
          <w:sz w:val="22"/>
          <w:szCs w:val="22"/>
        </w:rPr>
      </w:pPr>
      <w:r w:rsidRPr="00957B17">
        <w:rPr>
          <w:rFonts w:ascii="Arial" w:hAnsi="Arial" w:cs="Arial"/>
          <w:sz w:val="22"/>
          <w:szCs w:val="22"/>
        </w:rPr>
        <w:t>While the Globe website provides comprehensive information about the United Kingdom, it lacks comparable data for Italy.</w:t>
      </w:r>
    </w:p>
    <w:p w14:paraId="30CD83EC" w14:textId="40DA271F" w:rsidR="00E464AF" w:rsidRDefault="00E464AF" w:rsidP="00E464AF">
      <w:pPr>
        <w:spacing w:line="360" w:lineRule="auto"/>
        <w:jc w:val="both"/>
      </w:pPr>
    </w:p>
    <w:p w14:paraId="574AC3C8" w14:textId="50A1A07C" w:rsidR="00E464AF" w:rsidRDefault="00E464AF" w:rsidP="00E464AF">
      <w:pPr>
        <w:spacing w:line="360" w:lineRule="auto"/>
        <w:jc w:val="both"/>
      </w:pPr>
      <w:r w:rsidRPr="00957B17">
        <w:rPr>
          <w:rFonts w:ascii="Arial" w:hAnsi="Arial" w:cs="Arial"/>
          <w:b/>
          <w:bCs/>
          <w:noProof/>
          <w:sz w:val="22"/>
          <w:szCs w:val="22"/>
        </w:rPr>
        <w:drawing>
          <wp:inline distT="0" distB="0" distL="0" distR="0" wp14:anchorId="63969F85" wp14:editId="24728F6E">
            <wp:extent cx="5731510" cy="7203440"/>
            <wp:effectExtent l="0" t="0" r="0" b="0"/>
            <wp:docPr id="109969294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692941" name="Picture 1" descr="A screenshot of a computer scree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7203440"/>
                    </a:xfrm>
                    <a:prstGeom prst="rect">
                      <a:avLst/>
                    </a:prstGeom>
                  </pic:spPr>
                </pic:pic>
              </a:graphicData>
            </a:graphic>
          </wp:inline>
        </w:drawing>
      </w:r>
    </w:p>
    <w:p w14:paraId="63B233AB" w14:textId="77777777" w:rsidR="00E464AF" w:rsidRDefault="00E464AF"/>
    <w:sectPr w:rsidR="00E464AF" w:rsidSect="008C0782">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43A9C5" w14:textId="77777777" w:rsidR="00DD2C79" w:rsidRDefault="00DD2C79" w:rsidP="00F80A44">
      <w:pPr>
        <w:spacing w:after="0" w:line="240" w:lineRule="auto"/>
      </w:pPr>
      <w:r>
        <w:separator/>
      </w:r>
    </w:p>
  </w:endnote>
  <w:endnote w:type="continuationSeparator" w:id="0">
    <w:p w14:paraId="5480497E" w14:textId="77777777" w:rsidR="00DD2C79" w:rsidRDefault="00DD2C79" w:rsidP="00F80A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16083812"/>
      <w:docPartObj>
        <w:docPartGallery w:val="Page Numbers (Bottom of Page)"/>
        <w:docPartUnique/>
      </w:docPartObj>
    </w:sdtPr>
    <w:sdtEndPr>
      <w:rPr>
        <w:noProof/>
      </w:rPr>
    </w:sdtEndPr>
    <w:sdtContent>
      <w:p w14:paraId="6A1B1EC2" w14:textId="6EA5DBB7" w:rsidR="00F80A44" w:rsidRDefault="00F80A44">
        <w:pPr>
          <w:pStyle w:val="Footer"/>
        </w:pPr>
        <w:r>
          <w:fldChar w:fldCharType="begin"/>
        </w:r>
        <w:r>
          <w:instrText xml:space="preserve"> PAGE   \* MERGEFORMAT </w:instrText>
        </w:r>
        <w:r>
          <w:fldChar w:fldCharType="separate"/>
        </w:r>
        <w:r>
          <w:rPr>
            <w:noProof/>
          </w:rPr>
          <w:t>2</w:t>
        </w:r>
        <w:r>
          <w:rPr>
            <w:noProof/>
          </w:rPr>
          <w:fldChar w:fldCharType="end"/>
        </w:r>
      </w:p>
    </w:sdtContent>
  </w:sdt>
  <w:p w14:paraId="468A3DE4" w14:textId="77777777" w:rsidR="00F80A44" w:rsidRDefault="00F80A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0084D4" w14:textId="77777777" w:rsidR="00DD2C79" w:rsidRDefault="00DD2C79" w:rsidP="00F80A44">
      <w:pPr>
        <w:spacing w:after="0" w:line="240" w:lineRule="auto"/>
      </w:pPr>
      <w:r>
        <w:separator/>
      </w:r>
    </w:p>
  </w:footnote>
  <w:footnote w:type="continuationSeparator" w:id="0">
    <w:p w14:paraId="0E3FB268" w14:textId="77777777" w:rsidR="00DD2C79" w:rsidRDefault="00DD2C79" w:rsidP="00F80A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4AF"/>
    <w:rsid w:val="00181B95"/>
    <w:rsid w:val="002B2728"/>
    <w:rsid w:val="00353F12"/>
    <w:rsid w:val="008C0782"/>
    <w:rsid w:val="00A73DFB"/>
    <w:rsid w:val="00C81B1A"/>
    <w:rsid w:val="00DD2C79"/>
    <w:rsid w:val="00E464AF"/>
    <w:rsid w:val="00F3013E"/>
    <w:rsid w:val="00F80A4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435DDB"/>
  <w15:chartTrackingRefBased/>
  <w15:docId w15:val="{B6235295-600B-4C8C-9DAA-8D9DED360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4AF"/>
    <w:pPr>
      <w:spacing w:line="278" w:lineRule="auto"/>
    </w:pPr>
    <w:rPr>
      <w:kern w:val="2"/>
      <w:sz w:val="24"/>
      <w:szCs w:val="24"/>
      <w:lang w:val="en-GB"/>
      <w14:ligatures w14:val="standardContextual"/>
    </w:rPr>
  </w:style>
  <w:style w:type="paragraph" w:styleId="Heading1">
    <w:name w:val="heading 1"/>
    <w:basedOn w:val="Normal"/>
    <w:next w:val="Normal"/>
    <w:link w:val="Heading1Char"/>
    <w:uiPriority w:val="9"/>
    <w:qFormat/>
    <w:rsid w:val="00E464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464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464A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Heading1Char">
    <w:name w:val="Heading 1 Char"/>
    <w:basedOn w:val="DefaultParagraphFont"/>
    <w:link w:val="Heading1"/>
    <w:uiPriority w:val="9"/>
    <w:rsid w:val="00E464AF"/>
    <w:rPr>
      <w:rFonts w:asciiTheme="majorHAnsi" w:eastAsiaTheme="majorEastAsia" w:hAnsiTheme="majorHAnsi" w:cstheme="majorBidi"/>
      <w:color w:val="2F5496" w:themeColor="accent1" w:themeShade="BF"/>
      <w:kern w:val="2"/>
      <w:sz w:val="40"/>
      <w:szCs w:val="40"/>
      <w:lang w:val="en-GB"/>
      <w14:ligatures w14:val="standardContextual"/>
    </w:rPr>
  </w:style>
  <w:style w:type="character" w:customStyle="1" w:styleId="Heading2Char">
    <w:name w:val="Heading 2 Char"/>
    <w:basedOn w:val="DefaultParagraphFont"/>
    <w:link w:val="Heading2"/>
    <w:uiPriority w:val="9"/>
    <w:rsid w:val="00E464AF"/>
    <w:rPr>
      <w:rFonts w:asciiTheme="majorHAnsi" w:eastAsiaTheme="majorEastAsia" w:hAnsiTheme="majorHAnsi" w:cstheme="majorBidi"/>
      <w:color w:val="2F5496" w:themeColor="accent1" w:themeShade="BF"/>
      <w:kern w:val="2"/>
      <w:sz w:val="32"/>
      <w:szCs w:val="32"/>
      <w:lang w:val="en-GB"/>
      <w14:ligatures w14:val="standardContextual"/>
    </w:rPr>
  </w:style>
  <w:style w:type="paragraph" w:styleId="TOCHeading">
    <w:name w:val="TOC Heading"/>
    <w:basedOn w:val="Heading1"/>
    <w:next w:val="Normal"/>
    <w:uiPriority w:val="39"/>
    <w:unhideWhenUsed/>
    <w:qFormat/>
    <w:rsid w:val="00E464A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E464AF"/>
    <w:pPr>
      <w:spacing w:before="120" w:after="0"/>
    </w:pPr>
    <w:rPr>
      <w:b/>
      <w:bCs/>
      <w:i/>
      <w:iCs/>
    </w:rPr>
  </w:style>
  <w:style w:type="paragraph" w:styleId="TOC2">
    <w:name w:val="toc 2"/>
    <w:basedOn w:val="Normal"/>
    <w:next w:val="Normal"/>
    <w:autoRedefine/>
    <w:uiPriority w:val="39"/>
    <w:unhideWhenUsed/>
    <w:rsid w:val="00E464AF"/>
    <w:pPr>
      <w:spacing w:before="120" w:after="0"/>
      <w:ind w:left="240"/>
    </w:pPr>
    <w:rPr>
      <w:b/>
      <w:bCs/>
      <w:sz w:val="22"/>
      <w:szCs w:val="22"/>
    </w:rPr>
  </w:style>
  <w:style w:type="character" w:styleId="Hyperlink">
    <w:name w:val="Hyperlink"/>
    <w:basedOn w:val="DefaultParagraphFont"/>
    <w:uiPriority w:val="99"/>
    <w:unhideWhenUsed/>
    <w:rsid w:val="00E464AF"/>
    <w:rPr>
      <w:color w:val="0563C1" w:themeColor="hyperlink"/>
      <w:u w:val="single"/>
    </w:rPr>
  </w:style>
  <w:style w:type="character" w:customStyle="1" w:styleId="apple-converted-space">
    <w:name w:val="apple-converted-space"/>
    <w:basedOn w:val="DefaultParagraphFont"/>
    <w:rsid w:val="00E464AF"/>
  </w:style>
  <w:style w:type="paragraph" w:styleId="Header">
    <w:name w:val="header"/>
    <w:basedOn w:val="Normal"/>
    <w:link w:val="HeaderChar"/>
    <w:uiPriority w:val="99"/>
    <w:unhideWhenUsed/>
    <w:rsid w:val="00F80A44"/>
    <w:pPr>
      <w:tabs>
        <w:tab w:val="center" w:pos="4536"/>
        <w:tab w:val="right" w:pos="9072"/>
      </w:tabs>
      <w:spacing w:after="0" w:line="240" w:lineRule="auto"/>
    </w:pPr>
  </w:style>
  <w:style w:type="character" w:customStyle="1" w:styleId="HeaderChar">
    <w:name w:val="Header Char"/>
    <w:basedOn w:val="DefaultParagraphFont"/>
    <w:link w:val="Header"/>
    <w:uiPriority w:val="99"/>
    <w:rsid w:val="00F80A44"/>
    <w:rPr>
      <w:kern w:val="2"/>
      <w:sz w:val="24"/>
      <w:szCs w:val="24"/>
      <w:lang w:val="en-GB"/>
      <w14:ligatures w14:val="standardContextual"/>
    </w:rPr>
  </w:style>
  <w:style w:type="paragraph" w:styleId="Footer">
    <w:name w:val="footer"/>
    <w:basedOn w:val="Normal"/>
    <w:link w:val="FooterChar"/>
    <w:uiPriority w:val="99"/>
    <w:unhideWhenUsed/>
    <w:rsid w:val="00F80A44"/>
    <w:pPr>
      <w:tabs>
        <w:tab w:val="center" w:pos="4536"/>
        <w:tab w:val="right" w:pos="9072"/>
      </w:tabs>
      <w:spacing w:after="0" w:line="240" w:lineRule="auto"/>
    </w:pPr>
  </w:style>
  <w:style w:type="character" w:customStyle="1" w:styleId="FooterChar">
    <w:name w:val="Footer Char"/>
    <w:basedOn w:val="DefaultParagraphFont"/>
    <w:link w:val="Footer"/>
    <w:uiPriority w:val="99"/>
    <w:rsid w:val="00F80A44"/>
    <w:rPr>
      <w:kern w:val="2"/>
      <w:sz w:val="24"/>
      <w:szCs w:val="24"/>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7</Pages>
  <Words>1563</Words>
  <Characters>10661</Characters>
  <Application>Microsoft Office Word</Application>
  <DocSecurity>0</DocSecurity>
  <Lines>201</Lines>
  <Paragraphs>73</Paragraphs>
  <ScaleCrop>false</ScaleCrop>
  <Company/>
  <LinksUpToDate>false</LinksUpToDate>
  <CharactersWithSpaces>12151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costa costa</dc:creator>
  <cp:keywords/>
  <dc:description/>
  <cp:lastModifiedBy>costa costa</cp:lastModifiedBy>
  <cp:revision>7</cp:revision>
  <dcterms:created xsi:type="dcterms:W3CDTF">2024-06-04T13:04:00Z</dcterms:created>
  <dcterms:modified xsi:type="dcterms:W3CDTF">2024-06-05T18:06:00Z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052da81b-3f41-4911-aed5-ae02ee2e16e1</vt:lpwstr>
  </property>
</Properties>
</file>