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4218" w14:textId="7E927015" w:rsidR="00CE7B11" w:rsidRPr="00CE7B11" w:rsidRDefault="00CE7B11" w:rsidP="00CE7B11">
      <w:pPr>
        <w:spacing w:line="360" w:lineRule="auto"/>
        <w:jc w:val="both"/>
        <w:rPr>
          <w:rFonts w:ascii="Times New Roman" w:eastAsia="Times New Roman" w:hAnsi="Times New Roman" w:cs="Times New Roman"/>
          <w:b/>
          <w:sz w:val="24"/>
          <w:szCs w:val="24"/>
        </w:rPr>
      </w:pPr>
      <w:r w:rsidRPr="00CE7B11">
        <w:rPr>
          <w:rFonts w:ascii="Times New Roman" w:hAnsi="Times New Roman" w:cs="Times New Roman"/>
          <w:noProof/>
          <w:color w:val="000000"/>
          <w:sz w:val="24"/>
          <w:szCs w:val="24"/>
          <w:bdr w:val="none" w:sz="0" w:space="0" w:color="auto" w:frame="1"/>
        </w:rPr>
        <w:drawing>
          <wp:inline distT="0" distB="0" distL="0" distR="0" wp14:anchorId="4312B615" wp14:editId="03AC685A">
            <wp:extent cx="1394460" cy="548640"/>
            <wp:effectExtent l="0" t="0" r="0" b="3810"/>
            <wp:docPr id="206354387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43875" name="Picture 1" descr="A black background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4460" cy="548640"/>
                    </a:xfrm>
                    <a:prstGeom prst="rect">
                      <a:avLst/>
                    </a:prstGeom>
                    <a:noFill/>
                    <a:ln>
                      <a:noFill/>
                    </a:ln>
                  </pic:spPr>
                </pic:pic>
              </a:graphicData>
            </a:graphic>
          </wp:inline>
        </w:drawing>
      </w:r>
    </w:p>
    <w:p w14:paraId="35DBC90E" w14:textId="77777777" w:rsidR="00CE7B11" w:rsidRPr="00CE7B11" w:rsidRDefault="00CE7B11" w:rsidP="00CE7B11">
      <w:pPr>
        <w:spacing w:line="360" w:lineRule="auto"/>
        <w:jc w:val="both"/>
        <w:rPr>
          <w:rFonts w:ascii="Times New Roman" w:eastAsia="Times New Roman" w:hAnsi="Times New Roman" w:cs="Times New Roman"/>
          <w:b/>
          <w:sz w:val="24"/>
          <w:szCs w:val="24"/>
        </w:rPr>
      </w:pPr>
    </w:p>
    <w:p w14:paraId="286C7435" w14:textId="77777777" w:rsidR="00CE7B11" w:rsidRPr="00CE7B11" w:rsidRDefault="00CE7B11" w:rsidP="00CE7B11">
      <w:pPr>
        <w:spacing w:line="360" w:lineRule="auto"/>
        <w:jc w:val="both"/>
        <w:rPr>
          <w:rFonts w:ascii="Times New Roman" w:eastAsia="Times New Roman" w:hAnsi="Times New Roman" w:cs="Times New Roman"/>
          <w:b/>
          <w:sz w:val="24"/>
          <w:szCs w:val="24"/>
        </w:rPr>
      </w:pPr>
    </w:p>
    <w:p w14:paraId="5F3863AB" w14:textId="77777777" w:rsidR="00CE7B11" w:rsidRPr="00CE7B11" w:rsidRDefault="00CE7B11" w:rsidP="00CE7B11">
      <w:pPr>
        <w:spacing w:line="360" w:lineRule="auto"/>
        <w:jc w:val="both"/>
        <w:rPr>
          <w:rFonts w:ascii="Times New Roman" w:eastAsia="Times New Roman" w:hAnsi="Times New Roman" w:cs="Times New Roman"/>
          <w:b/>
          <w:sz w:val="24"/>
          <w:szCs w:val="24"/>
        </w:rPr>
      </w:pPr>
    </w:p>
    <w:p w14:paraId="7401EB0C" w14:textId="77777777" w:rsidR="00CE7B11" w:rsidRPr="00CE7B11" w:rsidRDefault="00CE7B11" w:rsidP="00CE7B11">
      <w:pPr>
        <w:spacing w:line="360" w:lineRule="auto"/>
        <w:jc w:val="both"/>
        <w:rPr>
          <w:rFonts w:ascii="Times New Roman" w:eastAsia="Times New Roman" w:hAnsi="Times New Roman" w:cs="Times New Roman"/>
          <w:b/>
          <w:sz w:val="24"/>
          <w:szCs w:val="24"/>
        </w:rPr>
      </w:pPr>
    </w:p>
    <w:p w14:paraId="75AB91FD" w14:textId="77777777" w:rsidR="00CE7B11" w:rsidRPr="00D9636F" w:rsidRDefault="00CE7B11" w:rsidP="00D9636F">
      <w:pPr>
        <w:spacing w:line="360" w:lineRule="auto"/>
        <w:jc w:val="center"/>
        <w:rPr>
          <w:rFonts w:ascii="Times New Roman" w:eastAsia="Times New Roman" w:hAnsi="Times New Roman" w:cs="Times New Roman"/>
          <w:b/>
          <w:sz w:val="32"/>
          <w:szCs w:val="32"/>
        </w:rPr>
      </w:pPr>
    </w:p>
    <w:p w14:paraId="478CAB2D" w14:textId="77777777" w:rsidR="00CE7B11" w:rsidRPr="00D9636F" w:rsidRDefault="00CE7B11" w:rsidP="00D9636F">
      <w:pPr>
        <w:spacing w:line="360" w:lineRule="auto"/>
        <w:jc w:val="center"/>
        <w:rPr>
          <w:rFonts w:ascii="Times New Roman" w:eastAsia="Times New Roman" w:hAnsi="Times New Roman" w:cs="Times New Roman"/>
          <w:b/>
          <w:sz w:val="32"/>
          <w:szCs w:val="32"/>
        </w:rPr>
      </w:pPr>
    </w:p>
    <w:p w14:paraId="107297D5" w14:textId="77777777" w:rsidR="00CE7B11" w:rsidRPr="00D9636F" w:rsidRDefault="00CE7B11" w:rsidP="00D9636F">
      <w:pPr>
        <w:spacing w:line="360" w:lineRule="auto"/>
        <w:jc w:val="center"/>
        <w:rPr>
          <w:rFonts w:ascii="Times New Roman" w:eastAsia="Times New Roman" w:hAnsi="Times New Roman" w:cs="Times New Roman"/>
          <w:b/>
          <w:bCs/>
          <w:color w:val="000000"/>
          <w:sz w:val="32"/>
          <w:szCs w:val="32"/>
          <w:lang w:val="en-IN" w:eastAsia="zh-CN"/>
        </w:rPr>
      </w:pPr>
    </w:p>
    <w:p w14:paraId="17377CB4" w14:textId="77777777" w:rsidR="00CE7B11" w:rsidRPr="00D9636F" w:rsidRDefault="00CE7B11" w:rsidP="00D9636F">
      <w:pPr>
        <w:pStyle w:val="NormalWeb"/>
        <w:spacing w:before="0" w:beforeAutospacing="0" w:after="0" w:afterAutospacing="0" w:line="360" w:lineRule="auto"/>
        <w:jc w:val="center"/>
        <w:rPr>
          <w:sz w:val="32"/>
          <w:szCs w:val="32"/>
        </w:rPr>
      </w:pPr>
      <w:r w:rsidRPr="00D9636F">
        <w:rPr>
          <w:b/>
          <w:bCs/>
          <w:color w:val="000000"/>
          <w:sz w:val="32"/>
          <w:szCs w:val="32"/>
        </w:rPr>
        <w:t>International Business Communications</w:t>
      </w:r>
    </w:p>
    <w:p w14:paraId="46B7D351" w14:textId="369891E8" w:rsidR="00CE7B11" w:rsidRDefault="002E05A7" w:rsidP="00D9636F">
      <w:pPr>
        <w:pStyle w:val="NormalWeb"/>
        <w:spacing w:before="0" w:beforeAutospacing="0" w:after="0" w:afterAutospacing="0" w:line="360" w:lineRule="auto"/>
        <w:jc w:val="center"/>
        <w:rPr>
          <w:b/>
          <w:bCs/>
          <w:color w:val="000000"/>
          <w:sz w:val="32"/>
          <w:szCs w:val="32"/>
        </w:rPr>
      </w:pPr>
      <w:r>
        <w:rPr>
          <w:b/>
          <w:bCs/>
          <w:color w:val="000000"/>
          <w:sz w:val="32"/>
          <w:szCs w:val="32"/>
        </w:rPr>
        <w:t xml:space="preserve">Name: Remus Nicolae </w:t>
      </w:r>
      <w:proofErr w:type="spellStart"/>
      <w:r>
        <w:rPr>
          <w:b/>
          <w:bCs/>
          <w:color w:val="000000"/>
          <w:sz w:val="32"/>
          <w:szCs w:val="32"/>
        </w:rPr>
        <w:t>Pirvu</w:t>
      </w:r>
      <w:proofErr w:type="spellEnd"/>
    </w:p>
    <w:p w14:paraId="1622323F" w14:textId="0B5D07F1" w:rsidR="002E05A7" w:rsidRDefault="002E05A7" w:rsidP="00D9636F">
      <w:pPr>
        <w:pStyle w:val="NormalWeb"/>
        <w:spacing w:before="0" w:beforeAutospacing="0" w:after="0" w:afterAutospacing="0" w:line="360" w:lineRule="auto"/>
        <w:jc w:val="center"/>
        <w:rPr>
          <w:b/>
          <w:bCs/>
          <w:color w:val="000000"/>
          <w:sz w:val="32"/>
          <w:szCs w:val="32"/>
        </w:rPr>
      </w:pPr>
      <w:r>
        <w:rPr>
          <w:b/>
          <w:bCs/>
          <w:color w:val="000000"/>
          <w:sz w:val="32"/>
          <w:szCs w:val="32"/>
        </w:rPr>
        <w:t>Student Id: 2112416</w:t>
      </w:r>
    </w:p>
    <w:p w14:paraId="0B065F41" w14:textId="259A57CC" w:rsidR="002E05A7" w:rsidRPr="00D9636F" w:rsidRDefault="002E05A7" w:rsidP="00D9636F">
      <w:pPr>
        <w:pStyle w:val="NormalWeb"/>
        <w:spacing w:before="0" w:beforeAutospacing="0" w:after="0" w:afterAutospacing="0" w:line="360" w:lineRule="auto"/>
        <w:jc w:val="center"/>
        <w:rPr>
          <w:b/>
          <w:bCs/>
          <w:color w:val="000000"/>
          <w:sz w:val="32"/>
          <w:szCs w:val="32"/>
        </w:rPr>
      </w:pPr>
      <w:r>
        <w:rPr>
          <w:b/>
          <w:bCs/>
          <w:color w:val="000000"/>
          <w:sz w:val="32"/>
          <w:szCs w:val="32"/>
        </w:rPr>
        <w:t>Module Code: LCBB600</w:t>
      </w:r>
      <w:r w:rsidR="00FB490B">
        <w:rPr>
          <w:b/>
          <w:bCs/>
          <w:color w:val="000000"/>
          <w:sz w:val="32"/>
          <w:szCs w:val="32"/>
        </w:rPr>
        <w:t>1</w:t>
      </w:r>
    </w:p>
    <w:p w14:paraId="0D1D354B" w14:textId="1B1B6481" w:rsidR="00CE7B11" w:rsidRPr="00CE7B11" w:rsidRDefault="00CE7B11" w:rsidP="00CE7B11">
      <w:pPr>
        <w:spacing w:line="360" w:lineRule="auto"/>
        <w:jc w:val="both"/>
        <w:rPr>
          <w:rFonts w:ascii="Times New Roman" w:eastAsia="Times New Roman" w:hAnsi="Times New Roman" w:cs="Times New Roman"/>
          <w:b/>
          <w:bCs/>
          <w:color w:val="000000"/>
          <w:sz w:val="24"/>
          <w:szCs w:val="24"/>
          <w:lang w:val="en-IN" w:eastAsia="zh-CN"/>
        </w:rPr>
      </w:pPr>
      <w:r w:rsidRPr="00CE7B11">
        <w:rPr>
          <w:rFonts w:ascii="Times New Roman" w:hAnsi="Times New Roman" w:cs="Times New Roman"/>
          <w:b/>
          <w:bCs/>
          <w:color w:val="000000"/>
          <w:sz w:val="24"/>
          <w:szCs w:val="24"/>
        </w:rPr>
        <w:br w:type="page"/>
      </w:r>
    </w:p>
    <w:p w14:paraId="6A7F1347" w14:textId="77777777" w:rsidR="00CE7B11" w:rsidRPr="00CE7B11" w:rsidRDefault="00CE7B11" w:rsidP="00CE7B11">
      <w:pPr>
        <w:spacing w:line="360" w:lineRule="auto"/>
        <w:jc w:val="both"/>
        <w:rPr>
          <w:rFonts w:ascii="Times New Roman" w:eastAsia="Times New Roman" w:hAnsi="Times New Roman" w:cs="Times New Roman"/>
          <w:b/>
          <w:sz w:val="24"/>
          <w:szCs w:val="24"/>
        </w:rPr>
      </w:pPr>
    </w:p>
    <w:p w14:paraId="43C0B344" w14:textId="4E353BC8" w:rsidR="00406EE0" w:rsidRPr="00CE7B11" w:rsidRDefault="00000000" w:rsidP="00CE7B11">
      <w:pPr>
        <w:pStyle w:val="Normal1"/>
        <w:spacing w:line="360" w:lineRule="auto"/>
        <w:jc w:val="both"/>
        <w:rPr>
          <w:rFonts w:ascii="Times New Roman" w:eastAsia="Times New Roman" w:hAnsi="Times New Roman" w:cs="Times New Roman"/>
          <w:b/>
          <w:sz w:val="24"/>
          <w:szCs w:val="24"/>
        </w:rPr>
      </w:pPr>
      <w:r w:rsidRPr="00CE7B11">
        <w:rPr>
          <w:rFonts w:ascii="Times New Roman" w:eastAsia="Times New Roman" w:hAnsi="Times New Roman" w:cs="Times New Roman"/>
          <w:b/>
          <w:sz w:val="24"/>
          <w:szCs w:val="24"/>
        </w:rPr>
        <w:t xml:space="preserve">Introduction </w:t>
      </w:r>
    </w:p>
    <w:p w14:paraId="52AA1583"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The main aim of the essay is to discuss the matter of business communication as it is significant information before establishing business within two  European nations such as Azerbaijan and Malta. The study focuses on providing information like cultural differences, social differences, and different labour markets which allows the company to expand its business in different European countries. Business communication is important for establishing business as through communication it becomes easier to communicate by learning the language, understanding the cultural difference and then working in harmony by highlighting the unity among themselves. The study continues discussing the communication barrier and how the company overcomes those barriers to establish the business effectively. Towards the end of the study, there are certain recommendations which are given to the company Linde Plc for establishing the business more effectively. It is important for the business to overcome some of the obstacles in order to sustain itself among the competitors. </w:t>
      </w:r>
    </w:p>
    <w:p w14:paraId="62082C50" w14:textId="7E1C98CE" w:rsidR="00406EE0" w:rsidRPr="00CE7B11" w:rsidRDefault="00CE7B11" w:rsidP="00CE7B11">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 Body</w:t>
      </w:r>
    </w:p>
    <w:p w14:paraId="6E98DE37"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b/>
          <w:sz w:val="24"/>
          <w:szCs w:val="24"/>
        </w:rPr>
        <w:t>Linde Plc</w:t>
      </w:r>
      <w:r w:rsidRPr="00CE7B11">
        <w:rPr>
          <w:rFonts w:ascii="Times New Roman" w:eastAsia="Times New Roman" w:hAnsi="Times New Roman" w:cs="Times New Roman"/>
          <w:sz w:val="24"/>
          <w:szCs w:val="24"/>
        </w:rPr>
        <w:t xml:space="preserve"> is a British company established in Germany which prepares industrial gas and engineering companies. The company prepares gases like nitrogen, carbon dioxide, oxygen, and electronic gases. Acetylene and others. Apart from this, the company makes equipment which prepares gases which processes services. The industrial sectors also use this equipment, especially those industries like petroleum, food, beverage carbonation, fibre-optics, electronics, aerospace, and chemicals which help in water treatment. The headquarters of Linde is located in Guildford, Surrey (Globaldata, 2023). The total revenue of Linde was  33 billion British euro. It is a public limited company which has a presence in America, Europe, Africa and the Middle East. The company also operates in Canada, Brazil and Mexico. The production region of Linde Plc is mainly in Italy, Spain, the Benelux region, Russia and many more. The equipment manufactured is mostly common in Korea, China, Thailand and some other places (Forbes, 2023). </w:t>
      </w:r>
    </w:p>
    <w:p w14:paraId="7991C60F"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In 2022 the total number of employees will be more than 65,000. The customers of the Linde are chemicals and energy, healthcare, metals and mining, beverage and food and many more. The company use a carbon capture system for preparing life-saving oxygen cylinders, high-quality and purified electronic gases, and reducing emission machines which helps to keep the atmosphere clean and safe. </w:t>
      </w:r>
    </w:p>
    <w:p w14:paraId="686824CF"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b/>
          <w:sz w:val="24"/>
          <w:szCs w:val="24"/>
        </w:rPr>
        <w:lastRenderedPageBreak/>
        <w:t>International business communication</w:t>
      </w:r>
      <w:r w:rsidRPr="00CE7B11">
        <w:rPr>
          <w:rFonts w:ascii="Times New Roman" w:eastAsia="Times New Roman" w:hAnsi="Times New Roman" w:cs="Times New Roman"/>
          <w:sz w:val="24"/>
          <w:szCs w:val="24"/>
        </w:rPr>
        <w:t xml:space="preserve"> is nothing special except that this business communication takes place beyond boundaries, across cultures. Business is about working collaboratively within different places where the business faces differences in cultures. There are different languages which makes communication easier for the companies as the rules and strategies are decided based on mutual agreement through the understanding of intercultural and interdisciplinary perspectives of each other (</w:t>
      </w:r>
      <w:r w:rsidRPr="00CE7B11">
        <w:rPr>
          <w:rFonts w:ascii="Times New Roman" w:hAnsi="Times New Roman" w:cs="Times New Roman"/>
          <w:color w:val="222222"/>
          <w:sz w:val="24"/>
          <w:szCs w:val="24"/>
          <w:highlight w:val="white"/>
        </w:rPr>
        <w:t>Cosman, 2021</w:t>
      </w:r>
      <w:r w:rsidRPr="00CE7B11">
        <w:rPr>
          <w:rFonts w:ascii="Times New Roman" w:eastAsia="Times New Roman" w:hAnsi="Times New Roman" w:cs="Times New Roman"/>
          <w:sz w:val="24"/>
          <w:szCs w:val="24"/>
        </w:rPr>
        <w:t xml:space="preserve">). The benefits of establishing relationships with international companies along with British companies improve understanding and reduce miscommunication and conflicts. It is clear from the beginning that in order to expand business in other parts of the nation it is important to communicate and understand the requirements and imply a suitable solution based on the location of the workplace. The Britishers follow a conventional style of business and for them trusting others is an essential factor for which the Britishers rely on high-quality performance from the company and the place. While expanding a business within the European countries it becomes a necessity to have complete knowledge about the spoken language as the people of the EU are very specific about their communicating language and they prefer their local language or their second preference is English (Simonandsimon, 2022). Another significant matter that the Britishers follow during establishing business is that they make a face-to-face conversation with the officials along with making a legal contract where all the terms and conditions are well discussed which clearly about the idea of future misunderstanding among the parties involved in pursuing business with them. </w:t>
      </w:r>
    </w:p>
    <w:p w14:paraId="7E5900AC"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b/>
          <w:sz w:val="24"/>
          <w:szCs w:val="24"/>
        </w:rPr>
        <w:t xml:space="preserve">Linde Plc </w:t>
      </w:r>
      <w:r w:rsidRPr="00CE7B11">
        <w:rPr>
          <w:rFonts w:ascii="Times New Roman" w:eastAsia="Times New Roman" w:hAnsi="Times New Roman" w:cs="Times New Roman"/>
          <w:sz w:val="24"/>
          <w:szCs w:val="24"/>
        </w:rPr>
        <w:t xml:space="preserve">is a multinational British company established in 2018 and they are the largest producer of chemicals and industrial gas production. The average revenue of Linde plc is around 33 billion British pounds. The main idea of the company is to make the earth a better place to live as the company has taken more productive methods to maintain sustainability while producing different gases and equipment for maintaining the level of pollution outside as the main agenda is to protect the planet from harmful methods and through carbon emission. There are around 65,000 employees working for Linde in different countries and the services they provide are important for the local people they try to encourage the people around them to reduce the harmful impact of climate change and reduce using the harmful chemicals which impact the natural elements of the nature rather tries to work towards protecting the nature by reducing the carbon emission (Linde, 2023). </w:t>
      </w:r>
    </w:p>
    <w:p w14:paraId="377BC0C5"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lastRenderedPageBreak/>
        <w:t xml:space="preserve">The multinational UK-based company Linde plc established in 2018 is expanding its business to Azerbaijan and Malta which are within European territory. The multinational company has already uplifted its presence in most of the European countries already. There are very few countries left which include Azerbaijan and Malta. Linde plc might face cultural differences while establishing a business in these two countries as there are differences on the bases of language, context, risk factors, labour market and the essential factors which are essential elements for establishing the business. </w:t>
      </w:r>
    </w:p>
    <w:p w14:paraId="219F09D4"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One of the significant problems between Azerbaijan and Malta is the existing </w:t>
      </w:r>
      <w:r w:rsidRPr="00CE7B11">
        <w:rPr>
          <w:rFonts w:ascii="Times New Roman" w:eastAsia="Times New Roman" w:hAnsi="Times New Roman" w:cs="Times New Roman"/>
          <w:b/>
          <w:sz w:val="24"/>
          <w:szCs w:val="24"/>
        </w:rPr>
        <w:t>cultural difference</w:t>
      </w:r>
      <w:r w:rsidRPr="00CE7B11">
        <w:rPr>
          <w:rFonts w:ascii="Times New Roman" w:eastAsia="Times New Roman" w:hAnsi="Times New Roman" w:cs="Times New Roman"/>
          <w:sz w:val="24"/>
          <w:szCs w:val="24"/>
        </w:rPr>
        <w:t xml:space="preserve"> as Azerbaijan is a 97% Muslim state whereas Maltese people follow Catholicism. In terms of Britishers, they always like face-to-face communication which includes formal interaction with people but the meeting and greeting in Azerbaijan is much informal as most of the people speak Azeri which is a Turkic language which is an informal way of communicating. The normal style of meeting the people from the United Kingdom is through a formal handshake but in Azerbaijan, the conversation starts with a "Salaam" or by kissing the hand.  While dealing with business, the people of Azerbaijan are very welcoming even while communicating with the people office personnel. For establishing business with Azerbaijan the British companies must send out the details of the business then sit in a positive gesture and have to follow the protocols of fair conducting meetings with the officials. Politeness is the key point for associating with the people of Azerbaijan. Any business-related discussion is always held on some tea. It is very difficult other than Islamic states to establish business with Azerbaijan, especially the Britishers as the nature, etiquette, formal approach, and methods are paradoxical. It is very important for the people of Azerbaijan to maintain their ethics while performing their business but Brishers mainly refers to the point of formal meetings which becomes very aggressive and the matter of urgency is very much prominent and the Britisgers approach their work materialistically rather than taking it slow and making some good relations with the new country they are trying to establish a business (Commisceo-global, 2023).</w:t>
      </w:r>
    </w:p>
    <w:p w14:paraId="6D48CFB2"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Since the Britishers follow catholicism and Azerbaijan is an Islamic country there are huge cultural differences which might be faced while establishing the business by Linde Plc. Nagorno-Karabakh. Cultural diplomacy is still practised between Azerbaijan and the UK which creates tension between the Islamic state and the catholic state as the ideology is completely different </w:t>
      </w:r>
      <w:r w:rsidRPr="00CE7B11">
        <w:rPr>
          <w:rFonts w:ascii="Times New Roman" w:eastAsia="Times New Roman" w:hAnsi="Times New Roman" w:cs="Times New Roman"/>
          <w:sz w:val="24"/>
          <w:szCs w:val="24"/>
        </w:rPr>
        <w:lastRenderedPageBreak/>
        <w:t>between the two countries which can be a big factor for establishing business in Azerbaijan (</w:t>
      </w:r>
      <w:r w:rsidRPr="00CE7B11">
        <w:rPr>
          <w:rFonts w:ascii="Times New Roman" w:hAnsi="Times New Roman" w:cs="Times New Roman"/>
          <w:color w:val="222222"/>
          <w:sz w:val="24"/>
          <w:szCs w:val="24"/>
          <w:highlight w:val="white"/>
        </w:rPr>
        <w:t>Cavanaugh, 2017</w:t>
      </w:r>
      <w:r w:rsidRPr="00CE7B11">
        <w:rPr>
          <w:rFonts w:ascii="Times New Roman" w:eastAsia="Times New Roman" w:hAnsi="Times New Roman" w:cs="Times New Roman"/>
          <w:sz w:val="24"/>
          <w:szCs w:val="24"/>
        </w:rPr>
        <w:t xml:space="preserve">). </w:t>
      </w:r>
    </w:p>
    <w:p w14:paraId="1D54DD06"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The total workforce of Azerbaijan is nearly  5 million and the targeted age of working is 15-35. Mostly the worker in Azerbaijan works for low income as the wage range is not well mannered within the country. The rate of unemployment is very high for the people of Azerbaijan it is important that they allocate more individual jobs in order to provide impurities to the people of the country. Therefore while Linde plc will think of investing in the market of Azerbaijan it will be very helpful for the people of the country and the people who will get jobs within the company which will help them to reduce their employment rate (</w:t>
      </w:r>
      <w:r w:rsidRPr="00CE7B11">
        <w:rPr>
          <w:rFonts w:ascii="Times New Roman" w:hAnsi="Times New Roman" w:cs="Times New Roman"/>
          <w:color w:val="222222"/>
          <w:sz w:val="24"/>
          <w:szCs w:val="24"/>
          <w:highlight w:val="white"/>
        </w:rPr>
        <w:t>Babayev, 2021</w:t>
      </w:r>
      <w:r w:rsidRPr="00CE7B11">
        <w:rPr>
          <w:rFonts w:ascii="Times New Roman" w:eastAsia="Times New Roman" w:hAnsi="Times New Roman" w:cs="Times New Roman"/>
          <w:sz w:val="24"/>
          <w:szCs w:val="24"/>
        </w:rPr>
        <w:t xml:space="preserve">). </w:t>
      </w:r>
    </w:p>
    <w:p w14:paraId="5BAFDE4F"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The geographical location of Malta makes it different from all other places as the country is in the heart of the Mediterranean Sea. There are several opportunities and people are willing to join at any position. If Linde Plc is willing to expand their business in Malta they will have to keep in mind the weather of the country which is mild in winter and hot in summer. The people of Malta are very enthusiastic workers and they are very hardworking. Therefore if Linde plc develops infrastructure and machine-building work in Malta, it will be easier for them to find workers. Malta is a small place and the unemployment rate of Malta is 2.52% as the total number of people living there is also very low (Ceicdata, 2023). </w:t>
      </w:r>
    </w:p>
    <w:p w14:paraId="04F06035"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noProof/>
          <w:sz w:val="24"/>
          <w:szCs w:val="24"/>
        </w:rPr>
        <w:drawing>
          <wp:inline distT="114300" distB="114300" distL="114300" distR="114300" wp14:anchorId="25757E4C" wp14:editId="564BE91D">
            <wp:extent cx="5699760" cy="3162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699760" cy="3162300"/>
                    </a:xfrm>
                    <a:prstGeom prst="rect">
                      <a:avLst/>
                    </a:prstGeom>
                  </pic:spPr>
                </pic:pic>
              </a:graphicData>
            </a:graphic>
          </wp:inline>
        </w:drawing>
      </w:r>
    </w:p>
    <w:p w14:paraId="14A78D20" w14:textId="77777777" w:rsidR="00406EE0" w:rsidRPr="00CE7B11" w:rsidRDefault="00000000" w:rsidP="00CE7B11">
      <w:pPr>
        <w:pStyle w:val="Normal1"/>
        <w:spacing w:line="360" w:lineRule="auto"/>
        <w:jc w:val="center"/>
        <w:rPr>
          <w:rFonts w:ascii="Times New Roman" w:eastAsia="Times New Roman" w:hAnsi="Times New Roman" w:cs="Times New Roman"/>
          <w:b/>
          <w:sz w:val="24"/>
          <w:szCs w:val="24"/>
        </w:rPr>
      </w:pPr>
      <w:r w:rsidRPr="00CE7B11">
        <w:rPr>
          <w:rFonts w:ascii="Times New Roman" w:eastAsia="Times New Roman" w:hAnsi="Times New Roman" w:cs="Times New Roman"/>
          <w:b/>
          <w:sz w:val="24"/>
          <w:szCs w:val="24"/>
        </w:rPr>
        <w:t>Figure: Hofstede Cultural Comparison between Azerbaijan and Malta</w:t>
      </w:r>
    </w:p>
    <w:p w14:paraId="7ADDBD1E" w14:textId="77777777" w:rsidR="00406EE0" w:rsidRPr="00CE7B11" w:rsidRDefault="00000000" w:rsidP="00CE7B11">
      <w:pPr>
        <w:pStyle w:val="Normal1"/>
        <w:spacing w:line="360" w:lineRule="auto"/>
        <w:jc w:val="center"/>
        <w:rPr>
          <w:rFonts w:ascii="Times New Roman" w:eastAsia="Times New Roman" w:hAnsi="Times New Roman" w:cs="Times New Roman"/>
          <w:b/>
          <w:sz w:val="24"/>
          <w:szCs w:val="24"/>
        </w:rPr>
      </w:pPr>
      <w:r w:rsidRPr="00CE7B11">
        <w:rPr>
          <w:rFonts w:ascii="Times New Roman" w:eastAsia="Times New Roman" w:hAnsi="Times New Roman" w:cs="Times New Roman"/>
          <w:b/>
          <w:sz w:val="24"/>
          <w:szCs w:val="24"/>
        </w:rPr>
        <w:t>(Source: Hofstede-insights, 2023)</w:t>
      </w:r>
    </w:p>
    <w:p w14:paraId="27AD2674"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lastRenderedPageBreak/>
        <w:t xml:space="preserve">The above picture of </w:t>
      </w:r>
      <w:r w:rsidRPr="00CE7B11">
        <w:rPr>
          <w:rFonts w:ascii="Times New Roman" w:eastAsia="Times New Roman" w:hAnsi="Times New Roman" w:cs="Times New Roman"/>
          <w:b/>
          <w:sz w:val="24"/>
          <w:szCs w:val="24"/>
        </w:rPr>
        <w:t xml:space="preserve">Hofstede </w:t>
      </w:r>
      <w:r w:rsidRPr="00CE7B11">
        <w:rPr>
          <w:rFonts w:ascii="Times New Roman" w:eastAsia="Times New Roman" w:hAnsi="Times New Roman" w:cs="Times New Roman"/>
          <w:sz w:val="24"/>
          <w:szCs w:val="24"/>
        </w:rPr>
        <w:t xml:space="preserve">shows that the power distance in Azerbaijan is higher which means they promote bureaucracy and there is a difference in power distribution and inequality found in Azerbaijan. On the other hand, since the power distance is lower in Malta which means they promote a flat organisational structure where there is less inequality within the workplace and the decision-making authority lies in the hand of higher authority but the opinion of the employees is also preferred. Here Linde Plc will favour Azerbaijan for expanding the business as Linde Plc follows a hierarchical organisational structure which gives them complete authority over the employees. In Malta, people believe in unity and they prioritise themselves. People in Malta think of each other and work as a community as they describe themselves as "we" not "I". Linde plc promotes the act of togetherness within the work culture as the company knows that in order to run the business successfully unity is very important and the Maltese people know how to work collaboratively.  </w:t>
      </w:r>
    </w:p>
    <w:p w14:paraId="38A9020A"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In the uncertainty index, Azerbaijan is slightly higher than Malta which indicates that the tolerance power and risk-taking ability of Malta is more in comparison with that of Azerbaijan. Since the people of Malta believe in working together and prefer simple living, the government rules, laws, and regulations are very nominal and people follow them very well. This is because Malta is favourable for Linde Plc as the rules and regulations within the company are not very strict which will be easily adapted by the Maltese people. The assertiveness is higher in Malta which makes them capable of performing tasks for a longer period of time and the low index makes the gender biases higher in Azerbaijan which makes it against the ideation of Linde Plc. With long-term orientation, the achievement is postponed in Azerbaijan and the growth rate is sustained in the country whereas in Malta the problem is addressed well and due to short-term orientation the emphasis is given to tradition and the immediate problem-solving ability of individuals. Lastly, the higher indulgence enjoys higher gratification and enjoys life which is possible if lids expand their business to Maltese because in Azerbaijan they restrain progress as the suppression is more and operates under difficult circumstances (Corporate Finance Institute, 2023). </w:t>
      </w:r>
    </w:p>
    <w:p w14:paraId="46C00190"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b/>
          <w:sz w:val="24"/>
          <w:szCs w:val="24"/>
        </w:rPr>
        <w:t xml:space="preserve">Communication </w:t>
      </w:r>
      <w:r w:rsidRPr="00CE7B11">
        <w:rPr>
          <w:rFonts w:ascii="Times New Roman" w:eastAsia="Times New Roman" w:hAnsi="Times New Roman" w:cs="Times New Roman"/>
          <w:sz w:val="24"/>
          <w:szCs w:val="24"/>
        </w:rPr>
        <w:t>is an important factor for communication, for sharing information understanding different perceptions of people and making each other understand the requirements easily. Barriers are important to overcome as miscommunication can create problems under several circumstances. The dissemination of information is only possible through proper communication among each other (</w:t>
      </w:r>
      <w:r w:rsidRPr="00CE7B11">
        <w:rPr>
          <w:rFonts w:ascii="Times New Roman" w:hAnsi="Times New Roman" w:cs="Times New Roman"/>
          <w:color w:val="222222"/>
          <w:sz w:val="24"/>
          <w:szCs w:val="24"/>
          <w:highlight w:val="white"/>
        </w:rPr>
        <w:t>Rani, 2016</w:t>
      </w:r>
      <w:r w:rsidRPr="00CE7B11">
        <w:rPr>
          <w:rFonts w:ascii="Times New Roman" w:eastAsia="Times New Roman" w:hAnsi="Times New Roman" w:cs="Times New Roman"/>
          <w:sz w:val="24"/>
          <w:szCs w:val="24"/>
        </w:rPr>
        <w:t>).</w:t>
      </w:r>
    </w:p>
    <w:p w14:paraId="4F08D98A"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b/>
          <w:sz w:val="24"/>
          <w:szCs w:val="24"/>
        </w:rPr>
        <w:lastRenderedPageBreak/>
        <w:t>Communication barrier</w:t>
      </w:r>
      <w:r w:rsidRPr="00CE7B11">
        <w:rPr>
          <w:rFonts w:ascii="Times New Roman" w:eastAsia="Times New Roman" w:hAnsi="Times New Roman" w:cs="Times New Roman"/>
          <w:sz w:val="24"/>
          <w:szCs w:val="24"/>
        </w:rPr>
        <w:t xml:space="preserve">s are present if Linde plc established their business in Azerbaijan and Malta. The official language of Azerbaijan is Azeri which is closely related to the Turkish language. Most of the people in Azerbaijan prefer to speak in Azeri and refuse to speak in English. The people of Azerbaijan respect their language and they prefer using their language for communication even for their work purpose. But English is taught in Azerbaijan but unnecessary use of the English language is not seen in this European country. It is easier to either learn the language or to be with someone who understands the language properly for translation. It is difficult to understand the Azeri language very easily which makes it difficult for foreign countries to establish business with Azerbaijan. But on similar grounds, Linde plc has to communicate well in their language so that no miscommunication takes place (Bestpubcrawl, 2023). At present the Islamic population of the UK is around 6.5% most of the Islamic population lives in urban cities and the numbers are growing day by day (Statista, 2023). Therefore, learning another Islamic language or accepting the language and culture of Azerbaijan is not that difficult for the people of the UK, especially the people working at Linde Plc. </w:t>
      </w:r>
    </w:p>
    <w:p w14:paraId="218E5003"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On the other hand, the official language of Malta is Maltese and English which makes it easier for the people of Linde plc to establish their business in Malta. But the people of Malta give their language equal respect as English because according to them the paperwork needs to be both the language- Maltese and English and their ideology is very strict regarding this particular rule. Along with that, the people of Malta speak Italian and German very well which makes it much easier for the people of Linde plc as the company is already aware of both languages as the company already has their brand in both Italy and Germany. The people of Malta are very hospitality friendly which allows them to welcome people from around the world and similarly, they are interested in developing the business with Linde plc on a positive note (Business Culture, 2023).  </w:t>
      </w:r>
    </w:p>
    <w:p w14:paraId="6BA04480"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It is </w:t>
      </w:r>
      <w:r w:rsidRPr="00CE7B11">
        <w:rPr>
          <w:rFonts w:ascii="Times New Roman" w:eastAsia="Times New Roman" w:hAnsi="Times New Roman" w:cs="Times New Roman"/>
          <w:b/>
          <w:sz w:val="24"/>
          <w:szCs w:val="24"/>
        </w:rPr>
        <w:t xml:space="preserve">recommended </w:t>
      </w:r>
      <w:r w:rsidRPr="00CE7B11">
        <w:rPr>
          <w:rFonts w:ascii="Times New Roman" w:eastAsia="Times New Roman" w:hAnsi="Times New Roman" w:cs="Times New Roman"/>
          <w:sz w:val="24"/>
          <w:szCs w:val="24"/>
        </w:rPr>
        <w:t xml:space="preserve">for Linde Plc to establish their business in Malta not in Azerbaijan because there are existing social, cultural, and communication barriers if Linde Plc tries to establish a business in Azerbaijan. There is bureaucracy in Azerbaijan whereas Malta is a very easy place to provide access and the authority need not be very strict within Malta as the people are aware that Malta is responsible and they always abide by the rules and regulations provided to them. Apart from this, they are very organised and English is their second official language which makes Malta an even easier choice. </w:t>
      </w:r>
    </w:p>
    <w:p w14:paraId="7E70D24A" w14:textId="77777777" w:rsidR="00406EE0" w:rsidRPr="00CE7B11" w:rsidRDefault="00000000" w:rsidP="00CE7B11">
      <w:pPr>
        <w:pStyle w:val="Normal1"/>
        <w:spacing w:line="360" w:lineRule="auto"/>
        <w:jc w:val="both"/>
        <w:rPr>
          <w:rFonts w:ascii="Times New Roman" w:eastAsia="Times New Roman" w:hAnsi="Times New Roman" w:cs="Times New Roman"/>
          <w:b/>
          <w:sz w:val="24"/>
          <w:szCs w:val="24"/>
        </w:rPr>
      </w:pPr>
      <w:r w:rsidRPr="00CE7B11">
        <w:rPr>
          <w:rFonts w:ascii="Times New Roman" w:eastAsia="Times New Roman" w:hAnsi="Times New Roman" w:cs="Times New Roman"/>
          <w:b/>
          <w:sz w:val="24"/>
          <w:szCs w:val="24"/>
        </w:rPr>
        <w:t>Conclusion</w:t>
      </w:r>
    </w:p>
    <w:p w14:paraId="49406162" w14:textId="77777777" w:rsidR="00406EE0" w:rsidRPr="00CE7B11" w:rsidRDefault="00000000" w:rsidP="00CE7B11">
      <w:pPr>
        <w:pStyle w:val="Normal1"/>
        <w:spacing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lastRenderedPageBreak/>
        <w:t xml:space="preserve">In conclusion, it can be said that Linde Plc is an excellent multinational company that prepares gases for products and also helps engineering companies prepare infrastructure which is required in the healthcare, and insurance sectors where it can be about getting information regarding the European countries which are trying to establish business within Mal6ta and Azerbaijan. Both the countries are different in nature but the Linde Plc company recruits help to establish relations with their countries as the company is so interested in hiring people from European countries just as from Azerbaijan and Malta. There are existing essentials which are a primary necessity for Linde Plx for setting up the business of this company. The study discusses the presence of communication barriers which need to be dissolved to establish business. Lastly, there are certain recommendations within the study which need to be focused on for establishing business in these countries. </w:t>
      </w:r>
    </w:p>
    <w:p w14:paraId="20C736A9" w14:textId="77777777" w:rsidR="00CE7B11" w:rsidRDefault="00CE7B1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D1CC105" w14:textId="436BEBD4" w:rsidR="00CE7B11" w:rsidRPr="00CE7B11" w:rsidRDefault="00000000" w:rsidP="00CE7B11">
      <w:pPr>
        <w:pStyle w:val="Normal1"/>
        <w:spacing w:line="360" w:lineRule="auto"/>
        <w:jc w:val="both"/>
        <w:rPr>
          <w:rFonts w:ascii="Times New Roman" w:eastAsia="Times New Roman" w:hAnsi="Times New Roman" w:cs="Times New Roman"/>
          <w:b/>
          <w:sz w:val="24"/>
          <w:szCs w:val="24"/>
        </w:rPr>
      </w:pPr>
      <w:r w:rsidRPr="00CE7B11">
        <w:rPr>
          <w:rFonts w:ascii="Times New Roman" w:eastAsia="Times New Roman" w:hAnsi="Times New Roman" w:cs="Times New Roman"/>
          <w:b/>
          <w:sz w:val="24"/>
          <w:szCs w:val="24"/>
        </w:rPr>
        <w:lastRenderedPageBreak/>
        <w:t>References</w:t>
      </w:r>
    </w:p>
    <w:p w14:paraId="6325CB09" w14:textId="77777777" w:rsidR="00CE7B11" w:rsidRPr="00CE7B11" w:rsidRDefault="00CE7B11" w:rsidP="00CE7B11">
      <w:pPr>
        <w:pStyle w:val="Normal1"/>
        <w:spacing w:before="240" w:after="240" w:line="360" w:lineRule="auto"/>
        <w:jc w:val="both"/>
        <w:rPr>
          <w:rFonts w:ascii="Times New Roman" w:hAnsi="Times New Roman" w:cs="Times New Roman"/>
          <w:color w:val="222222"/>
          <w:sz w:val="24"/>
          <w:szCs w:val="24"/>
          <w:highlight w:val="white"/>
        </w:rPr>
      </w:pPr>
      <w:r w:rsidRPr="00CE7B11">
        <w:rPr>
          <w:rFonts w:ascii="Times New Roman" w:hAnsi="Times New Roman" w:cs="Times New Roman"/>
          <w:color w:val="222222"/>
          <w:sz w:val="24"/>
          <w:szCs w:val="24"/>
          <w:highlight w:val="white"/>
        </w:rPr>
        <w:t xml:space="preserve">Babayev, A., (2021). Young People’s Labour Market Transition in Azerbaijan: An Analysis of the Youth Employment Support Programs. </w:t>
      </w:r>
      <w:r w:rsidRPr="00CE7B11">
        <w:rPr>
          <w:rFonts w:ascii="Times New Roman" w:hAnsi="Times New Roman" w:cs="Times New Roman"/>
          <w:i/>
          <w:color w:val="222222"/>
          <w:sz w:val="24"/>
          <w:szCs w:val="24"/>
          <w:highlight w:val="white"/>
        </w:rPr>
        <w:t>DOKTORANTLARIN BEYNƏLXALQ ELMİ KONFRANSI</w:t>
      </w:r>
      <w:r w:rsidRPr="00CE7B11">
        <w:rPr>
          <w:rFonts w:ascii="Times New Roman" w:hAnsi="Times New Roman" w:cs="Times New Roman"/>
          <w:color w:val="222222"/>
          <w:sz w:val="24"/>
          <w:szCs w:val="24"/>
          <w:highlight w:val="white"/>
        </w:rPr>
        <w:t>, p.31.</w:t>
      </w:r>
      <w:hyperlink r:id="rId8" w:anchor="page=54">
        <w:r w:rsidRPr="00CE7B11">
          <w:rPr>
            <w:rFonts w:ascii="Times New Roman" w:hAnsi="Times New Roman" w:cs="Times New Roman"/>
            <w:color w:val="1155CC"/>
            <w:sz w:val="24"/>
            <w:szCs w:val="24"/>
            <w:highlight w:val="white"/>
            <w:u w:val="single"/>
          </w:rPr>
          <w:t>https://www.researchgate.net/profile/Ali-Rzayev/publication/363370691_Covid-19_Salgininin_Birinci_Doneminde_Ulkelerin_Insanlarin_Yasam_Kalitesini_Artirici_Tedbirleri_Azerbaycan_ve_Turkiye_Degerlendirmesi/links/6319f328873eca0c0070ddb2/Covid-19-Salgininin-Birinci-Doeneminde-Uelkelerin-Insanlarin-Yasam-Kalitesini-Artirici-Tedbirleri-Azerbaycan-ve-Tuerkiye-Degerlendirmesi.pdf#page=54</w:t>
        </w:r>
      </w:hyperlink>
    </w:p>
    <w:p w14:paraId="3BEAF987"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Bestpubcrawl, (2023) </w:t>
      </w:r>
      <w:r w:rsidRPr="00CE7B11">
        <w:rPr>
          <w:rFonts w:ascii="Times New Roman" w:eastAsia="Times New Roman" w:hAnsi="Times New Roman" w:cs="Times New Roman"/>
          <w:i/>
          <w:sz w:val="24"/>
          <w:szCs w:val="24"/>
        </w:rPr>
        <w:t>Do people in Baku speak English? understanding the language situation in Azerbaijan’s capital</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BestPubCrawl.com</w:t>
      </w:r>
      <w:r w:rsidRPr="00CE7B11">
        <w:rPr>
          <w:rFonts w:ascii="Times New Roman" w:eastAsia="Times New Roman" w:hAnsi="Times New Roman" w:cs="Times New Roman"/>
          <w:sz w:val="24"/>
          <w:szCs w:val="24"/>
        </w:rPr>
        <w:t xml:space="preserve">. Available at: https://bestpubcrawl.com/do-people-in-baku-speak-english-understanding-the-language-situation-in-azerbaijans-capital/ (Accessed: 08 November 2023). </w:t>
      </w:r>
    </w:p>
    <w:p w14:paraId="4073810A"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Business Culture, (2023) </w:t>
      </w:r>
      <w:r w:rsidRPr="00CE7B11">
        <w:rPr>
          <w:rFonts w:ascii="Times New Roman" w:eastAsia="Times New Roman" w:hAnsi="Times New Roman" w:cs="Times New Roman"/>
          <w:i/>
          <w:sz w:val="24"/>
          <w:szCs w:val="24"/>
        </w:rPr>
        <w:t>Business communication</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Business Culture</w:t>
      </w:r>
      <w:r w:rsidRPr="00CE7B11">
        <w:rPr>
          <w:rFonts w:ascii="Times New Roman" w:eastAsia="Times New Roman" w:hAnsi="Times New Roman" w:cs="Times New Roman"/>
          <w:sz w:val="24"/>
          <w:szCs w:val="24"/>
        </w:rPr>
        <w:t xml:space="preserve">. Available at: https://businessculture.com/southern-europe/business-culture-in-malta/business-communication-in-malta/ (Accessed: 08 November 2023). </w:t>
      </w:r>
    </w:p>
    <w:p w14:paraId="2A2A4409"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hAnsi="Times New Roman" w:cs="Times New Roman"/>
          <w:color w:val="222222"/>
          <w:sz w:val="24"/>
          <w:szCs w:val="24"/>
          <w:highlight w:val="white"/>
        </w:rPr>
        <w:t xml:space="preserve">Cavanaugh, C., (2017). </w:t>
      </w:r>
      <w:r w:rsidRPr="00CE7B11">
        <w:rPr>
          <w:rFonts w:ascii="Times New Roman" w:hAnsi="Times New Roman" w:cs="Times New Roman"/>
          <w:i/>
          <w:color w:val="222222"/>
          <w:sz w:val="24"/>
          <w:szCs w:val="24"/>
          <w:highlight w:val="white"/>
        </w:rPr>
        <w:t>Renewed Conflict Over Nagorno-Karabakh</w:t>
      </w:r>
      <w:r w:rsidRPr="00CE7B11">
        <w:rPr>
          <w:rFonts w:ascii="Times New Roman" w:hAnsi="Times New Roman" w:cs="Times New Roman"/>
          <w:color w:val="222222"/>
          <w:sz w:val="24"/>
          <w:szCs w:val="24"/>
          <w:highlight w:val="white"/>
        </w:rPr>
        <w:t>. Council on Foreign Relations..</w:t>
      </w:r>
      <w:r w:rsidRPr="00CE7B11">
        <w:rPr>
          <w:rFonts w:ascii="Times New Roman" w:eastAsia="Times New Roman" w:hAnsi="Times New Roman" w:cs="Times New Roman"/>
          <w:sz w:val="24"/>
          <w:szCs w:val="24"/>
        </w:rPr>
        <w:t>https://www.jstor.org/stable/pdf/resrep05705.pdf</w:t>
      </w:r>
    </w:p>
    <w:p w14:paraId="3280DA39"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Ceicdata, (2023) </w:t>
      </w:r>
      <w:r w:rsidRPr="00CE7B11">
        <w:rPr>
          <w:rFonts w:ascii="Times New Roman" w:eastAsia="Times New Roman" w:hAnsi="Times New Roman" w:cs="Times New Roman"/>
          <w:i/>
          <w:sz w:val="24"/>
          <w:szCs w:val="24"/>
        </w:rPr>
        <w:t>Malta unemployment rate</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Global Economic Data, Indicators, Charts &amp; Forecasts</w:t>
      </w:r>
      <w:r w:rsidRPr="00CE7B11">
        <w:rPr>
          <w:rFonts w:ascii="Times New Roman" w:eastAsia="Times New Roman" w:hAnsi="Times New Roman" w:cs="Times New Roman"/>
          <w:sz w:val="24"/>
          <w:szCs w:val="24"/>
        </w:rPr>
        <w:t xml:space="preserve">. Available at: https://www.ceicdata.com/en/indicator/malta/unemployment-rate#:~:text=Malta%20Unemployment%20Rate%20dropped%20to,an%20average%20rate%20of%206.16%25. (Accessed: 08 November 2023). </w:t>
      </w:r>
    </w:p>
    <w:p w14:paraId="14408517"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Commisceo-global, (2023) </w:t>
      </w:r>
      <w:r w:rsidRPr="00CE7B11">
        <w:rPr>
          <w:rFonts w:ascii="Times New Roman" w:eastAsia="Times New Roman" w:hAnsi="Times New Roman" w:cs="Times New Roman"/>
          <w:i/>
          <w:sz w:val="24"/>
          <w:szCs w:val="24"/>
        </w:rPr>
        <w:t>Resources</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Commisceo Global Consulting Ltd.</w:t>
      </w:r>
      <w:r w:rsidRPr="00CE7B11">
        <w:rPr>
          <w:rFonts w:ascii="Times New Roman" w:eastAsia="Times New Roman" w:hAnsi="Times New Roman" w:cs="Times New Roman"/>
          <w:sz w:val="24"/>
          <w:szCs w:val="24"/>
        </w:rPr>
        <w:t xml:space="preserve"> Available at: https://www.commisceo-global.com/resources/country-guides/azerbaijan-guide (Accessed: 08 November 2023). </w:t>
      </w:r>
    </w:p>
    <w:p w14:paraId="0A3E88AB"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lastRenderedPageBreak/>
        <w:t xml:space="preserve">Corporate Finance Institute, (2023)  </w:t>
      </w:r>
      <w:r w:rsidRPr="00CE7B11">
        <w:rPr>
          <w:rFonts w:ascii="Times New Roman" w:eastAsia="Times New Roman" w:hAnsi="Times New Roman" w:cs="Times New Roman"/>
          <w:i/>
          <w:sz w:val="24"/>
          <w:szCs w:val="24"/>
        </w:rPr>
        <w:t>Hofstede’s cultural dimensions theory</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Corporate Finance Institute</w:t>
      </w:r>
      <w:r w:rsidRPr="00CE7B11">
        <w:rPr>
          <w:rFonts w:ascii="Times New Roman" w:eastAsia="Times New Roman" w:hAnsi="Times New Roman" w:cs="Times New Roman"/>
          <w:sz w:val="24"/>
          <w:szCs w:val="24"/>
        </w:rPr>
        <w:t xml:space="preserve">. Available at: https://corporatefinanceinstitute.com/resources/management/hofstedes-cultural-dimensions-theory/ (Accessed: 08 November 2023). </w:t>
      </w:r>
    </w:p>
    <w:p w14:paraId="1C0DBC46"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hAnsi="Times New Roman" w:cs="Times New Roman"/>
          <w:color w:val="222222"/>
          <w:sz w:val="24"/>
          <w:szCs w:val="24"/>
          <w:highlight w:val="white"/>
        </w:rPr>
        <w:t xml:space="preserve">Cosman, O., (2021). Cultural Differences In Business Communication. </w:t>
      </w:r>
      <w:r w:rsidRPr="00CE7B11">
        <w:rPr>
          <w:rFonts w:ascii="Times New Roman" w:hAnsi="Times New Roman" w:cs="Times New Roman"/>
          <w:i/>
          <w:color w:val="222222"/>
          <w:sz w:val="24"/>
          <w:szCs w:val="24"/>
          <w:highlight w:val="white"/>
        </w:rPr>
        <w:t>The USV Annals of Economics and Public Administration</w:t>
      </w:r>
      <w:r w:rsidRPr="00CE7B11">
        <w:rPr>
          <w:rFonts w:ascii="Times New Roman" w:hAnsi="Times New Roman" w:cs="Times New Roman"/>
          <w:color w:val="222222"/>
          <w:sz w:val="24"/>
          <w:szCs w:val="24"/>
          <w:highlight w:val="white"/>
        </w:rPr>
        <w:t xml:space="preserve">, </w:t>
      </w:r>
      <w:r w:rsidRPr="00CE7B11">
        <w:rPr>
          <w:rFonts w:ascii="Times New Roman" w:hAnsi="Times New Roman" w:cs="Times New Roman"/>
          <w:i/>
          <w:color w:val="222222"/>
          <w:sz w:val="24"/>
          <w:szCs w:val="24"/>
          <w:highlight w:val="white"/>
        </w:rPr>
        <w:t>21</w:t>
      </w:r>
      <w:r w:rsidRPr="00CE7B11">
        <w:rPr>
          <w:rFonts w:ascii="Times New Roman" w:hAnsi="Times New Roman" w:cs="Times New Roman"/>
          <w:color w:val="222222"/>
          <w:sz w:val="24"/>
          <w:szCs w:val="24"/>
          <w:highlight w:val="white"/>
        </w:rPr>
        <w:t>(1 (33)), pp.78-87.</w:t>
      </w:r>
      <w:hyperlink r:id="rId9">
        <w:r w:rsidRPr="00CE7B11">
          <w:rPr>
            <w:rFonts w:ascii="Times New Roman" w:eastAsia="Times New Roman" w:hAnsi="Times New Roman" w:cs="Times New Roman"/>
            <w:color w:val="1155CC"/>
            <w:sz w:val="24"/>
            <w:szCs w:val="24"/>
            <w:u w:val="single"/>
          </w:rPr>
          <w:t>http://www.annals.seap.usv.ro/index.php/annals/article/viewArticle/1323</w:t>
        </w:r>
      </w:hyperlink>
    </w:p>
    <w:p w14:paraId="55FC8D17"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Forbes, (2023) </w:t>
      </w:r>
      <w:r w:rsidRPr="00CE7B11">
        <w:rPr>
          <w:rFonts w:ascii="Times New Roman" w:eastAsia="Times New Roman" w:hAnsi="Times New Roman" w:cs="Times New Roman"/>
          <w:i/>
          <w:sz w:val="24"/>
          <w:szCs w:val="24"/>
        </w:rPr>
        <w:t>Linde | Lin Stock Price, Company Overview &amp; News</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Forbes</w:t>
      </w:r>
      <w:r w:rsidRPr="00CE7B11">
        <w:rPr>
          <w:rFonts w:ascii="Times New Roman" w:eastAsia="Times New Roman" w:hAnsi="Times New Roman" w:cs="Times New Roman"/>
          <w:sz w:val="24"/>
          <w:szCs w:val="24"/>
        </w:rPr>
        <w:t xml:space="preserve">. Available at: https://www.forbes.com/companies/linde/?sh=394d05f91e08 (Accessed: 08 November 2023). </w:t>
      </w:r>
    </w:p>
    <w:p w14:paraId="54BD8605"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Globaldata, (2023) </w:t>
      </w:r>
      <w:r w:rsidRPr="00CE7B11">
        <w:rPr>
          <w:rFonts w:ascii="Times New Roman" w:eastAsia="Times New Roman" w:hAnsi="Times New Roman" w:cs="Times New Roman"/>
          <w:i/>
          <w:sz w:val="24"/>
          <w:szCs w:val="24"/>
        </w:rPr>
        <w:t>Linde plc company Profile - Overview</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GlobalData</w:t>
      </w:r>
      <w:r w:rsidRPr="00CE7B11">
        <w:rPr>
          <w:rFonts w:ascii="Times New Roman" w:eastAsia="Times New Roman" w:hAnsi="Times New Roman" w:cs="Times New Roman"/>
          <w:sz w:val="24"/>
          <w:szCs w:val="24"/>
        </w:rPr>
        <w:t xml:space="preserve">. Available at: https://www.globaldata.com/company-profile/linde-plc/ (Accessed: 08 November 2023). </w:t>
      </w:r>
    </w:p>
    <w:p w14:paraId="05CB3F6B"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Hofstede-insights, (2023) </w:t>
      </w:r>
      <w:r w:rsidRPr="00CE7B11">
        <w:rPr>
          <w:rFonts w:ascii="Times New Roman" w:eastAsia="Times New Roman" w:hAnsi="Times New Roman" w:cs="Times New Roman"/>
          <w:i/>
          <w:sz w:val="24"/>
          <w:szCs w:val="24"/>
        </w:rPr>
        <w:t>Country comparison tool</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Hofstede Insights</w:t>
      </w:r>
      <w:r w:rsidRPr="00CE7B11">
        <w:rPr>
          <w:rFonts w:ascii="Times New Roman" w:eastAsia="Times New Roman" w:hAnsi="Times New Roman" w:cs="Times New Roman"/>
          <w:sz w:val="24"/>
          <w:szCs w:val="24"/>
        </w:rPr>
        <w:t xml:space="preserve">. Available at: https://www.hofstede-insights.com/country-comparison-tool?countries=azerbaijan%2Cmalta (Accessed: 08 November 2023). </w:t>
      </w:r>
    </w:p>
    <w:p w14:paraId="614C97ED"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Linde, (2023) </w:t>
      </w:r>
      <w:r w:rsidRPr="00CE7B11">
        <w:rPr>
          <w:rFonts w:ascii="Times New Roman" w:eastAsia="Times New Roman" w:hAnsi="Times New Roman" w:cs="Times New Roman"/>
          <w:i/>
          <w:sz w:val="24"/>
          <w:szCs w:val="24"/>
        </w:rPr>
        <w:t>Sustainable development</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Praxair, Inc. and Linde AG have merged to create Linde plc global leader of engineering and industrial, process and speciality gases with product and service offerings in over 100 countries.</w:t>
      </w:r>
      <w:r w:rsidRPr="00CE7B11">
        <w:rPr>
          <w:rFonts w:ascii="Times New Roman" w:eastAsia="Times New Roman" w:hAnsi="Times New Roman" w:cs="Times New Roman"/>
          <w:sz w:val="24"/>
          <w:szCs w:val="24"/>
        </w:rPr>
        <w:t xml:space="preserve"> Available at: https://www.linde.com/sustainable-development (Accessed: 08 November 2023). </w:t>
      </w:r>
    </w:p>
    <w:p w14:paraId="526D57CE" w14:textId="77777777" w:rsidR="00CE7B11" w:rsidRPr="00CE7B11" w:rsidRDefault="00CE7B11" w:rsidP="00CE7B11">
      <w:pPr>
        <w:pStyle w:val="Normal1"/>
        <w:spacing w:before="240" w:after="240" w:line="360" w:lineRule="auto"/>
        <w:jc w:val="both"/>
        <w:rPr>
          <w:rFonts w:ascii="Times New Roman" w:hAnsi="Times New Roman" w:cs="Times New Roman"/>
          <w:color w:val="222222"/>
          <w:sz w:val="24"/>
          <w:szCs w:val="24"/>
          <w:highlight w:val="white"/>
        </w:rPr>
      </w:pPr>
      <w:r w:rsidRPr="00CE7B11">
        <w:rPr>
          <w:rFonts w:ascii="Times New Roman" w:hAnsi="Times New Roman" w:cs="Times New Roman"/>
          <w:color w:val="222222"/>
          <w:sz w:val="24"/>
          <w:szCs w:val="24"/>
          <w:highlight w:val="white"/>
        </w:rPr>
        <w:t xml:space="preserve">Rani, K.U., (2016). Communication barriers. </w:t>
      </w:r>
      <w:r w:rsidRPr="00CE7B11">
        <w:rPr>
          <w:rFonts w:ascii="Times New Roman" w:hAnsi="Times New Roman" w:cs="Times New Roman"/>
          <w:i/>
          <w:color w:val="222222"/>
          <w:sz w:val="24"/>
          <w:szCs w:val="24"/>
          <w:highlight w:val="white"/>
        </w:rPr>
        <w:t>Journal of English Language and Literature</w:t>
      </w:r>
      <w:r w:rsidRPr="00CE7B11">
        <w:rPr>
          <w:rFonts w:ascii="Times New Roman" w:hAnsi="Times New Roman" w:cs="Times New Roman"/>
          <w:color w:val="222222"/>
          <w:sz w:val="24"/>
          <w:szCs w:val="24"/>
          <w:highlight w:val="white"/>
        </w:rPr>
        <w:t xml:space="preserve">, </w:t>
      </w:r>
      <w:r w:rsidRPr="00CE7B11">
        <w:rPr>
          <w:rFonts w:ascii="Times New Roman" w:hAnsi="Times New Roman" w:cs="Times New Roman"/>
          <w:i/>
          <w:color w:val="222222"/>
          <w:sz w:val="24"/>
          <w:szCs w:val="24"/>
          <w:highlight w:val="white"/>
        </w:rPr>
        <w:t>3</w:t>
      </w:r>
      <w:r w:rsidRPr="00CE7B11">
        <w:rPr>
          <w:rFonts w:ascii="Times New Roman" w:hAnsi="Times New Roman" w:cs="Times New Roman"/>
          <w:color w:val="222222"/>
          <w:sz w:val="24"/>
          <w:szCs w:val="24"/>
          <w:highlight w:val="white"/>
        </w:rPr>
        <w:t>(2), pp.74-76.</w:t>
      </w:r>
      <w:hyperlink r:id="rId10">
        <w:r w:rsidRPr="00CE7B11">
          <w:rPr>
            <w:rFonts w:ascii="Times New Roman" w:hAnsi="Times New Roman" w:cs="Times New Roman"/>
            <w:color w:val="1155CC"/>
            <w:sz w:val="24"/>
            <w:szCs w:val="24"/>
            <w:highlight w:val="white"/>
            <w:u w:val="single"/>
          </w:rPr>
          <w:t>https://www.researchgate.net/profile/Usha-Kumbakonam/publication/304038097_COMMUNICATION_BARRIERS/links/57641fd708aedbc345ecb7e2/COMMUNICATION-BARRIERS.pdf</w:t>
        </w:r>
      </w:hyperlink>
    </w:p>
    <w:p w14:paraId="47CE6B94" w14:textId="7120702D"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t xml:space="preserve">Simonandsimon, (2022) </w:t>
      </w:r>
      <w:r w:rsidRPr="00CE7B11">
        <w:rPr>
          <w:rFonts w:ascii="Times New Roman" w:eastAsia="Times New Roman" w:hAnsi="Times New Roman" w:cs="Times New Roman"/>
          <w:i/>
          <w:sz w:val="24"/>
          <w:szCs w:val="24"/>
        </w:rPr>
        <w:t>The Complete Guide to International Business Communication</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SIMON &amp; SIMON</w:t>
      </w:r>
      <w:r w:rsidRPr="00CE7B11">
        <w:rPr>
          <w:rFonts w:ascii="Times New Roman" w:eastAsia="Times New Roman" w:hAnsi="Times New Roman" w:cs="Times New Roman"/>
          <w:sz w:val="24"/>
          <w:szCs w:val="24"/>
        </w:rPr>
        <w:t>. Available at: https://www.simonandsimon.co.uk</w:t>
      </w:r>
      <w:r w:rsidR="00D9636F"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sz w:val="24"/>
          <w:szCs w:val="24"/>
        </w:rPr>
        <w:t xml:space="preserve">/the-complete-guide-to-international-business-communication#:~:text=What%20is%20International%20Business%20Communication,greatly%20from%20country%20to%20country. (Accessed: 08 November 2023). </w:t>
      </w:r>
    </w:p>
    <w:p w14:paraId="5501DC43" w14:textId="77777777" w:rsidR="00CE7B11" w:rsidRPr="00CE7B11" w:rsidRDefault="00CE7B11" w:rsidP="00CE7B11">
      <w:pPr>
        <w:pStyle w:val="Normal1"/>
        <w:spacing w:before="240" w:after="240" w:line="360" w:lineRule="auto"/>
        <w:jc w:val="both"/>
        <w:rPr>
          <w:rFonts w:ascii="Times New Roman" w:eastAsia="Times New Roman" w:hAnsi="Times New Roman" w:cs="Times New Roman"/>
          <w:sz w:val="24"/>
          <w:szCs w:val="24"/>
        </w:rPr>
      </w:pPr>
      <w:r w:rsidRPr="00CE7B11">
        <w:rPr>
          <w:rFonts w:ascii="Times New Roman" w:eastAsia="Times New Roman" w:hAnsi="Times New Roman" w:cs="Times New Roman"/>
          <w:sz w:val="24"/>
          <w:szCs w:val="24"/>
        </w:rPr>
        <w:lastRenderedPageBreak/>
        <w:t xml:space="preserve">Statista, (2023) </w:t>
      </w:r>
      <w:r w:rsidRPr="00CE7B11">
        <w:rPr>
          <w:rFonts w:ascii="Times New Roman" w:eastAsia="Times New Roman" w:hAnsi="Times New Roman" w:cs="Times New Roman"/>
          <w:i/>
          <w:sz w:val="24"/>
          <w:szCs w:val="24"/>
        </w:rPr>
        <w:t>Topic: Islam in the UK</w:t>
      </w:r>
      <w:r w:rsidRPr="00CE7B11">
        <w:rPr>
          <w:rFonts w:ascii="Times New Roman" w:eastAsia="Times New Roman" w:hAnsi="Times New Roman" w:cs="Times New Roman"/>
          <w:sz w:val="24"/>
          <w:szCs w:val="24"/>
        </w:rPr>
        <w:t xml:space="preserve">, </w:t>
      </w:r>
      <w:r w:rsidRPr="00CE7B11">
        <w:rPr>
          <w:rFonts w:ascii="Times New Roman" w:eastAsia="Times New Roman" w:hAnsi="Times New Roman" w:cs="Times New Roman"/>
          <w:i/>
          <w:sz w:val="24"/>
          <w:szCs w:val="24"/>
        </w:rPr>
        <w:t>Statista</w:t>
      </w:r>
      <w:r w:rsidRPr="00CE7B11">
        <w:rPr>
          <w:rFonts w:ascii="Times New Roman" w:eastAsia="Times New Roman" w:hAnsi="Times New Roman" w:cs="Times New Roman"/>
          <w:sz w:val="24"/>
          <w:szCs w:val="24"/>
        </w:rPr>
        <w:t xml:space="preserve">. Available at: https://www.statista.com/topics/4765/islam-in-the-united-kingdom-uk/#topicOverview (Accessed: 08 November 2023). </w:t>
      </w:r>
    </w:p>
    <w:sectPr w:rsidR="00CE7B11" w:rsidRPr="00CE7B11" w:rsidSect="00CE7B11">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5D389" w14:textId="77777777" w:rsidR="003F22CD" w:rsidRDefault="003F22CD" w:rsidP="00CE7B11">
      <w:pPr>
        <w:spacing w:line="240" w:lineRule="auto"/>
      </w:pPr>
      <w:r>
        <w:separator/>
      </w:r>
    </w:p>
  </w:endnote>
  <w:endnote w:type="continuationSeparator" w:id="0">
    <w:p w14:paraId="1177D1DE" w14:textId="77777777" w:rsidR="003F22CD" w:rsidRDefault="003F22CD" w:rsidP="00CE7B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20011"/>
      <w:docPartObj>
        <w:docPartGallery w:val="Page Numbers (Bottom of Page)"/>
        <w:docPartUnique/>
      </w:docPartObj>
    </w:sdtPr>
    <w:sdtEndPr>
      <w:rPr>
        <w:noProof/>
      </w:rPr>
    </w:sdtEndPr>
    <w:sdtContent>
      <w:p w14:paraId="2D764525" w14:textId="28D3C25E" w:rsidR="00CE7B11" w:rsidRDefault="00CE7B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46DE27" w14:textId="77777777" w:rsidR="00CE7B11" w:rsidRDefault="00CE7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4DFC0" w14:textId="77777777" w:rsidR="003F22CD" w:rsidRDefault="003F22CD" w:rsidP="00CE7B11">
      <w:pPr>
        <w:spacing w:line="240" w:lineRule="auto"/>
      </w:pPr>
      <w:r>
        <w:separator/>
      </w:r>
    </w:p>
  </w:footnote>
  <w:footnote w:type="continuationSeparator" w:id="0">
    <w:p w14:paraId="0324293E" w14:textId="77777777" w:rsidR="003F22CD" w:rsidRDefault="003F22CD" w:rsidP="00CE7B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EE0"/>
    <w:rsid w:val="002E05A7"/>
    <w:rsid w:val="003F22CD"/>
    <w:rsid w:val="00406EE0"/>
    <w:rsid w:val="006F0579"/>
    <w:rsid w:val="00732D92"/>
    <w:rsid w:val="00AD5AC7"/>
    <w:rsid w:val="00CE7B11"/>
    <w:rsid w:val="00D9636F"/>
    <w:rsid w:val="00FB490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C694A"/>
  <w15:docId w15:val="{7A0A49B4-DFDA-44A7-AD39-65E078D65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CE7B11"/>
    <w:pPr>
      <w:tabs>
        <w:tab w:val="center" w:pos="4513"/>
        <w:tab w:val="right" w:pos="9026"/>
      </w:tabs>
      <w:spacing w:line="240" w:lineRule="auto"/>
    </w:pPr>
  </w:style>
  <w:style w:type="character" w:customStyle="1" w:styleId="HeaderChar">
    <w:name w:val="Header Char"/>
    <w:basedOn w:val="DefaultParagraphFont"/>
    <w:link w:val="Header"/>
    <w:uiPriority w:val="99"/>
    <w:rsid w:val="00CE7B11"/>
  </w:style>
  <w:style w:type="paragraph" w:styleId="Footer">
    <w:name w:val="footer"/>
    <w:basedOn w:val="Normal"/>
    <w:link w:val="FooterChar"/>
    <w:uiPriority w:val="99"/>
    <w:unhideWhenUsed/>
    <w:rsid w:val="00CE7B11"/>
    <w:pPr>
      <w:tabs>
        <w:tab w:val="center" w:pos="4513"/>
        <w:tab w:val="right" w:pos="9026"/>
      </w:tabs>
      <w:spacing w:line="240" w:lineRule="auto"/>
    </w:pPr>
  </w:style>
  <w:style w:type="character" w:customStyle="1" w:styleId="FooterChar">
    <w:name w:val="Footer Char"/>
    <w:basedOn w:val="DefaultParagraphFont"/>
    <w:link w:val="Footer"/>
    <w:uiPriority w:val="99"/>
    <w:rsid w:val="00CE7B11"/>
  </w:style>
  <w:style w:type="paragraph" w:styleId="NormalWeb">
    <w:name w:val="Normal (Web)"/>
    <w:basedOn w:val="Normal"/>
    <w:uiPriority w:val="99"/>
    <w:semiHidden/>
    <w:unhideWhenUsed/>
    <w:rsid w:val="00CE7B11"/>
    <w:pPr>
      <w:spacing w:before="100" w:beforeAutospacing="1" w:after="100" w:afterAutospacing="1" w:line="240" w:lineRule="auto"/>
    </w:pPr>
    <w:rPr>
      <w:rFonts w:ascii="Times New Roman" w:eastAsia="Times New Roman" w:hAnsi="Times New Roman" w:cs="Times New Roman"/>
      <w:sz w:val="24"/>
      <w:szCs w:val="24"/>
      <w:lang w:val="en-I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532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li-Rzayev/publication/363370691_Covid-19_Salgininin_Birinci_Doneminde_Ulkelerin_Insanlarin_Yasam_Kalitesini_Artirici_Tedbirleri_Azerbaycan_ve_Turkiye_Degerlendirmesi/links/6319f328873eca0c0070ddb2/Covid-19-Salgininin-Birinci-Doeneminde-Uelkelerin-Insanlarin-Yasam-Kalitesini-Artirici-Tedbirleri-Azerbaycan-ve-Tuerkiye-Degerlendirmesi.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researchgate.net/profile/Usha-Kumbakonam/publication/304038097_COMMUNICATION_BARRIERS/links/57641fd708aedbc345ecb7e2/COMMUNICATION-BARRIERS.pdf" TargetMode="External"/><Relationship Id="rId4" Type="http://schemas.openxmlformats.org/officeDocument/2006/relationships/footnotes" Target="footnotes.xml"/><Relationship Id="rId9" Type="http://schemas.openxmlformats.org/officeDocument/2006/relationships/hyperlink" Target="http://www.annals.seap.usv.ro/index.php/annals/article/viewArticle/1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11</Pages>
  <Words>3087</Words>
  <Characters>17601</Characters>
  <Application>Microsoft Office Word</Application>
  <DocSecurity>0</DocSecurity>
  <Lines>146</Lines>
  <Paragraphs>41</Paragraphs>
  <ScaleCrop>false</ScaleCrop>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Nicu Pirvu</cp:lastModifiedBy>
  <cp:revision>4</cp:revision>
  <dcterms:created xsi:type="dcterms:W3CDTF">2023-11-08T13:20:00Z</dcterms:created>
  <dcterms:modified xsi:type="dcterms:W3CDTF">2023-12-22T14:48:00Z</dcterms:modified>
</cp:coreProperties>
</file>