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bidi w:val="0"/>
        <w:rPr>
          <w:rFonts w:hint="default" w:ascii="Times New Roman" w:hAnsi="Times New Roman" w:cs="Times New Roman"/>
        </w:rPr>
      </w:pPr>
    </w:p>
    <w:p>
      <w:pPr>
        <w:pStyle w:val="2"/>
        <w:bidi w:val="0"/>
        <w:rPr>
          <w:rFonts w:hint="default" w:ascii="Times New Roman" w:hAnsi="Times New Roman" w:cs="Times New Roman"/>
        </w:rPr>
      </w:pPr>
    </w:p>
    <w:p>
      <w:pPr>
        <w:pStyle w:val="2"/>
        <w:bidi w:val="0"/>
        <w:rPr>
          <w:rFonts w:hint="default" w:ascii="Times New Roman" w:hAnsi="Times New Roman" w:cs="Times New Roman"/>
        </w:rPr>
      </w:pPr>
    </w:p>
    <w:p>
      <w:pPr>
        <w:pStyle w:val="2"/>
        <w:bidi w:val="0"/>
        <w:ind w:firstLine="2088" w:firstLineChars="400"/>
        <w:rPr>
          <w:rFonts w:hint="default" w:ascii="Times New Roman" w:hAnsi="Times New Roman" w:cs="Times New Roman"/>
          <w:sz w:val="52"/>
          <w:szCs w:val="52"/>
        </w:rPr>
      </w:pPr>
      <w:r>
        <w:rPr>
          <w:rFonts w:hint="default" w:ascii="Times New Roman" w:hAnsi="Times New Roman" w:cs="Times New Roman"/>
          <w:sz w:val="52"/>
          <w:szCs w:val="52"/>
        </w:rPr>
        <w:t>Research Proposal</w:t>
      </w:r>
    </w:p>
    <w:p>
      <w:pPr>
        <w:rPr>
          <w:rFonts w:hint="default" w:ascii="Times New Roman" w:hAnsi="Times New Roman" w:cs="Times New Roman"/>
          <w:sz w:val="52"/>
          <w:szCs w:val="52"/>
        </w:rPr>
      </w:pPr>
    </w:p>
    <w:p>
      <w:pPr>
        <w:rPr>
          <w:rFonts w:hint="default" w:ascii="Times New Roman" w:hAnsi="Times New Roman" w:cs="Times New Roman"/>
          <w:sz w:val="52"/>
          <w:szCs w:val="52"/>
        </w:rPr>
      </w:pPr>
    </w:p>
    <w:p>
      <w:pPr>
        <w:rPr>
          <w:rFonts w:hint="default" w:ascii="Times New Roman" w:hAnsi="Times New Roman" w:cs="Times New Roman"/>
          <w:sz w:val="52"/>
          <w:szCs w:val="52"/>
        </w:rPr>
      </w:pPr>
    </w:p>
    <w:p>
      <w:pPr>
        <w:rPr>
          <w:rFonts w:hint="default" w:ascii="Times New Roman" w:hAnsi="Times New Roman" w:cs="Times New Roman"/>
          <w:sz w:val="52"/>
          <w:szCs w:val="52"/>
        </w:rPr>
      </w:pPr>
    </w:p>
    <w:p>
      <w:pPr>
        <w:rPr>
          <w:rFonts w:hint="default" w:ascii="Times New Roman" w:hAnsi="Times New Roman" w:cs="Times New Roman"/>
          <w:sz w:val="52"/>
          <w:szCs w:val="52"/>
        </w:rPr>
      </w:pPr>
    </w:p>
    <w:p>
      <w:pPr>
        <w:rPr>
          <w:rFonts w:hint="default" w:ascii="Times New Roman" w:hAnsi="Times New Roman" w:cs="Times New Roman"/>
          <w:sz w:val="52"/>
          <w:szCs w:val="52"/>
        </w:rPr>
      </w:pPr>
    </w:p>
    <w:p>
      <w:pPr>
        <w:rPr>
          <w:rFonts w:hint="default" w:ascii="Times New Roman" w:hAnsi="Times New Roman" w:cs="Times New Roman"/>
          <w:sz w:val="52"/>
          <w:szCs w:val="52"/>
        </w:rPr>
      </w:pPr>
    </w:p>
    <w:p>
      <w:pPr>
        <w:rPr>
          <w:rFonts w:hint="default" w:ascii="Times New Roman" w:hAnsi="Times New Roman" w:cs="Times New Roman"/>
          <w:sz w:val="52"/>
          <w:szCs w:val="52"/>
        </w:rPr>
      </w:pPr>
    </w:p>
    <w:p>
      <w:pPr>
        <w:rPr>
          <w:rFonts w:hint="default" w:ascii="Times New Roman" w:hAnsi="Times New Roman" w:cs="Times New Roman"/>
          <w:sz w:val="52"/>
          <w:szCs w:val="52"/>
        </w:rPr>
      </w:pPr>
    </w:p>
    <w:p>
      <w:pPr>
        <w:rPr>
          <w:rFonts w:hint="default" w:ascii="Times New Roman" w:hAnsi="Times New Roman" w:cs="Times New Roman"/>
          <w:sz w:val="52"/>
          <w:szCs w:val="52"/>
        </w:rPr>
      </w:pPr>
    </w:p>
    <w:p>
      <w:pPr>
        <w:rPr>
          <w:rFonts w:hint="default" w:ascii="Times New Roman" w:hAnsi="Times New Roman" w:cs="Times New Roman"/>
          <w:sz w:val="52"/>
          <w:szCs w:val="52"/>
        </w:rPr>
      </w:pPr>
    </w:p>
    <w:p>
      <w:pPr>
        <w:rPr>
          <w:rFonts w:hint="eastAsia" w:ascii="Times New Roman" w:hAnsi="Times New Roman" w:cs="Times New Roman"/>
          <w:sz w:val="36"/>
          <w:szCs w:val="36"/>
          <w:lang w:val="en-US" w:eastAsia="zh-CN"/>
        </w:rPr>
      </w:pPr>
      <w:r>
        <w:rPr>
          <w:rFonts w:hint="eastAsia" w:ascii="Times New Roman" w:hAnsi="Times New Roman" w:cs="Times New Roman"/>
          <w:sz w:val="52"/>
          <w:szCs w:val="52"/>
          <w:lang w:val="en-US" w:eastAsia="zh-CN"/>
        </w:rPr>
        <w:t xml:space="preserve">                   </w:t>
      </w:r>
      <w:r>
        <w:rPr>
          <w:rFonts w:hint="eastAsia" w:ascii="Times New Roman" w:hAnsi="Times New Roman" w:cs="Times New Roman"/>
          <w:sz w:val="36"/>
          <w:szCs w:val="36"/>
          <w:lang w:val="en-US" w:eastAsia="zh-CN"/>
        </w:rPr>
        <w:t xml:space="preserve">   Kenuo Chen</w:t>
      </w:r>
    </w:p>
    <w:p>
      <w:pPr>
        <w:rPr>
          <w:rFonts w:hint="default" w:ascii="Times New Roman" w:hAnsi="Times New Roman" w:cs="Times New Roman"/>
          <w:sz w:val="36"/>
          <w:szCs w:val="36"/>
          <w:lang w:val="en-US" w:eastAsia="zh-CN"/>
        </w:rPr>
      </w:pPr>
      <w:r>
        <w:rPr>
          <w:rFonts w:hint="eastAsia" w:ascii="Times New Roman" w:hAnsi="Times New Roman" w:cs="Times New Roman"/>
          <w:sz w:val="36"/>
          <w:szCs w:val="36"/>
          <w:lang w:val="en-US" w:eastAsia="zh-CN"/>
        </w:rPr>
        <w:t xml:space="preserve">                               2106008</w:t>
      </w:r>
    </w:p>
    <w:p>
      <w:pPr>
        <w:rPr>
          <w:rFonts w:hint="default" w:ascii="Times New Roman" w:hAnsi="Times New Roman" w:cs="Times New Roman"/>
          <w:sz w:val="52"/>
          <w:szCs w:val="52"/>
        </w:rPr>
      </w:pPr>
    </w:p>
    <w:p>
      <w:pPr>
        <w:bidi w:val="0"/>
        <w:rPr>
          <w:rFonts w:hint="default" w:ascii="Times New Roman" w:hAnsi="Times New Roman" w:cs="Times New Roman"/>
          <w:i/>
          <w:iCs/>
          <w:sz w:val="28"/>
          <w:szCs w:val="28"/>
          <w:lang w:val="en-US" w:eastAsia="zh-CN"/>
        </w:rPr>
      </w:pPr>
    </w:p>
    <w:p>
      <w:pPr>
        <w:bidi w:val="0"/>
        <w:rPr>
          <w:rFonts w:hint="eastAsia" w:ascii="Times New Roman" w:hAnsi="Times New Roman" w:cs="Times New Roman"/>
          <w:sz w:val="28"/>
          <w:szCs w:val="28"/>
          <w:lang w:val="en-US" w:eastAsia="zh-CN"/>
        </w:rPr>
      </w:pPr>
      <w:r>
        <w:rPr>
          <w:rFonts w:hint="default" w:ascii="Times New Roman" w:hAnsi="Times New Roman" w:cs="Times New Roman"/>
          <w:b/>
          <w:bCs/>
          <w:i w:val="0"/>
          <w:iCs w:val="0"/>
          <w:sz w:val="28"/>
          <w:szCs w:val="28"/>
          <w:lang w:val="en-US" w:eastAsia="zh-CN"/>
        </w:rPr>
        <w:t>Title</w:t>
      </w:r>
      <w:r>
        <w:rPr>
          <w:rFonts w:hint="default" w:ascii="Times New Roman" w:hAnsi="Times New Roman" w:cs="Times New Roman"/>
          <w:i/>
          <w:iCs/>
          <w:sz w:val="28"/>
          <w:szCs w:val="28"/>
          <w:lang w:val="en-US" w:eastAsia="zh-CN"/>
        </w:rPr>
        <w:t>:</w:t>
      </w:r>
      <w:r>
        <w:rPr>
          <w:rFonts w:hint="default" w:ascii="Times New Roman" w:hAnsi="Times New Roman" w:cs="Times New Roman"/>
          <w:i/>
          <w:iCs/>
          <w:sz w:val="28"/>
          <w:szCs w:val="28"/>
        </w:rPr>
        <w:t xml:space="preserve"> </w:t>
      </w:r>
      <w:r>
        <w:rPr>
          <w:rFonts w:hint="default" w:ascii="Times New Roman" w:hAnsi="Times New Roman" w:cs="Times New Roman"/>
          <w:sz w:val="28"/>
          <w:szCs w:val="28"/>
          <w:lang w:val="en-US" w:eastAsia="zh-CN"/>
        </w:rPr>
        <w:t xml:space="preserve">To </w:t>
      </w:r>
      <w:r>
        <w:rPr>
          <w:rFonts w:hint="default" w:ascii="Times New Roman" w:hAnsi="Times New Roman" w:cs="Times New Roman"/>
          <w:sz w:val="28"/>
          <w:szCs w:val="28"/>
        </w:rPr>
        <w:t>engaged</w:t>
      </w:r>
      <w:r>
        <w:rPr>
          <w:rFonts w:hint="default" w:ascii="Times New Roman" w:hAnsi="Times New Roman" w:cs="Times New Roman"/>
          <w:sz w:val="28"/>
          <w:szCs w:val="28"/>
          <w:lang w:val="en-US" w:eastAsia="zh-CN"/>
        </w:rPr>
        <w:t xml:space="preserve"> </w:t>
      </w:r>
      <w:r>
        <w:rPr>
          <w:rFonts w:hint="default" w:ascii="Times New Roman" w:hAnsi="Times New Roman" w:cs="Times New Roman"/>
          <w:sz w:val="28"/>
          <w:szCs w:val="28"/>
        </w:rPr>
        <w:t xml:space="preserve">or not to </w:t>
      </w:r>
      <w:r>
        <w:rPr>
          <w:rFonts w:hint="default" w:ascii="Times New Roman" w:hAnsi="Times New Roman" w:cs="Times New Roman"/>
          <w:sz w:val="28"/>
          <w:szCs w:val="28"/>
          <w:lang w:val="en-US" w:eastAsia="zh-CN"/>
        </w:rPr>
        <w:t xml:space="preserve">engaged: </w:t>
      </w:r>
      <w:r>
        <w:rPr>
          <w:rFonts w:hint="default" w:ascii="Times New Roman" w:hAnsi="Times New Roman" w:cs="Times New Roman"/>
          <w:sz w:val="28"/>
          <w:szCs w:val="28"/>
        </w:rPr>
        <w:t>A case study of the antecedents and consequences of lawyers' Involvement in pro bono</w:t>
      </w:r>
      <w:r>
        <w:rPr>
          <w:rFonts w:hint="default" w:ascii="Times New Roman" w:hAnsi="Times New Roman" w:cs="Times New Roman"/>
          <w:sz w:val="28"/>
          <w:szCs w:val="28"/>
          <w:lang w:val="en-US" w:eastAsia="zh-CN"/>
        </w:rPr>
        <w:t>.</w:t>
      </w:r>
      <w:r>
        <w:rPr>
          <w:rFonts w:hint="eastAsia" w:ascii="Times New Roman" w:hAnsi="Times New Roman" w:cs="Times New Roman"/>
          <w:sz w:val="28"/>
          <w:szCs w:val="28"/>
          <w:lang w:val="en-US" w:eastAsia="zh-CN"/>
        </w:rPr>
        <w:t xml:space="preserve"> </w:t>
      </w:r>
    </w:p>
    <w:p>
      <w:pPr>
        <w:bidi w:val="0"/>
        <w:rPr>
          <w:rFonts w:hint="eastAsia" w:ascii="Times New Roman" w:hAnsi="Times New Roman" w:cs="Times New Roman"/>
          <w:sz w:val="28"/>
          <w:szCs w:val="28"/>
          <w:lang w:val="en-US" w:eastAsia="zh-CN"/>
        </w:rPr>
      </w:pPr>
    </w:p>
    <w:p>
      <w:pPr>
        <w:bidi w:val="0"/>
        <w:rPr>
          <w:rFonts w:hint="eastAsia" w:ascii="Times New Roman" w:hAnsi="Times New Roman" w:cs="Times New Roman"/>
          <w:sz w:val="28"/>
          <w:szCs w:val="28"/>
          <w:lang w:val="en-US" w:eastAsia="zh-CN"/>
        </w:rPr>
      </w:pPr>
      <w:r>
        <w:rPr>
          <w:rFonts w:hint="eastAsia" w:ascii="Times New Roman" w:hAnsi="Times New Roman" w:cs="Times New Roman"/>
          <w:b/>
          <w:bCs/>
          <w:sz w:val="28"/>
          <w:szCs w:val="28"/>
          <w:lang w:val="en-US" w:eastAsia="zh-CN"/>
        </w:rPr>
        <w:t>Abstract</w:t>
      </w:r>
      <w:r>
        <w:rPr>
          <w:rFonts w:hint="eastAsia" w:ascii="Times New Roman" w:hAnsi="Times New Roman" w:cs="Times New Roman"/>
          <w:sz w:val="28"/>
          <w:szCs w:val="28"/>
          <w:lang w:val="en-US" w:eastAsia="zh-CN"/>
        </w:rPr>
        <w:t>: Over the years, concerns have arisen about the perceived contradiction between the commercialisation and pro bono nature of legal practice. However, in the past two decades, both lawyers and law firms have increased their involvement in pro bono. How can this paradox be explained? In this research plan, through relevant theories such as altruism, institutional logic, and corporate social responsibility, a thorough exploration will be conducted into the reasons and outcomes of pro bono participation among lawyers and law firms in a specific province in central China. Based on the corresponding results, practical improvement suggestions will be proposed.</w:t>
      </w:r>
    </w:p>
    <w:p>
      <w:pPr>
        <w:bidi w:val="0"/>
        <w:rPr>
          <w:rFonts w:hint="eastAsia" w:ascii="Times New Roman" w:hAnsi="Times New Roman" w:cs="Times New Roman"/>
          <w:sz w:val="28"/>
          <w:szCs w:val="28"/>
          <w:lang w:val="en-US" w:eastAsia="zh-CN"/>
        </w:rPr>
      </w:pPr>
    </w:p>
    <w:p>
      <w:pPr>
        <w:bidi w:val="0"/>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To achieve this research aim, my research paradigm will adopt a constructivist approach. I believe that individuals and society collaboratively construct and interpret the reality that exists. Our cognition, experiences, and realities are products of the interaction between society, culture, and human beings, rather than independently existing objective facts. Grounded in constructivist ontology and epistemology, the emphasis will be on participants' construction, description, and narration of their life experiences. Knowledge will be seen as a belief co-constructed between researchers and participants, inseparable from the entire research process.</w:t>
      </w:r>
    </w:p>
    <w:p>
      <w:pPr>
        <w:bidi w:val="0"/>
        <w:rPr>
          <w:rFonts w:hint="eastAsia" w:ascii="Times New Roman" w:hAnsi="Times New Roman" w:cs="Times New Roman"/>
          <w:sz w:val="28"/>
          <w:szCs w:val="28"/>
          <w:lang w:val="en-US" w:eastAsia="zh-CN"/>
        </w:rPr>
      </w:pPr>
    </w:p>
    <w:p>
      <w:pPr>
        <w:bidi w:val="0"/>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Therefore, my research design will employ a mixed-methods case study, primarily focused on qualitative research with supplemental quantitative research. I aim to construct a theoretical framework incorporating altruism, institutional logic, and corporate social responsibility. Factors influencing lawyers' participation in pro bono will be analysed, and relevant practical recommendations will be proposed. The potential audience for this research includes the legal community, scholars, and law firm operators.</w:t>
      </w:r>
    </w:p>
    <w:p>
      <w:pPr>
        <w:bidi w:val="0"/>
        <w:rPr>
          <w:rFonts w:hint="eastAsia" w:ascii="Times New Roman" w:hAnsi="Times New Roman" w:cs="Times New Roman"/>
          <w:sz w:val="28"/>
          <w:szCs w:val="28"/>
          <w:lang w:val="en-US" w:eastAsia="zh-CN"/>
        </w:rPr>
      </w:pPr>
    </w:p>
    <w:p>
      <w:pPr>
        <w:bidi w:val="0"/>
        <w:rPr>
          <w:rFonts w:hint="eastAsia" w:ascii="Times New Roman" w:hAnsi="Times New Roman" w:cs="Times New Roman"/>
          <w:sz w:val="28"/>
          <w:szCs w:val="28"/>
          <w:lang w:val="en-US" w:eastAsia="zh-CN"/>
        </w:rPr>
      </w:pPr>
    </w:p>
    <w:p>
      <w:pPr>
        <w:bidi w:val="0"/>
        <w:rPr>
          <w:rFonts w:hint="eastAsia" w:ascii="Times New Roman" w:hAnsi="Times New Roman" w:cs="Times New Roman"/>
          <w:sz w:val="28"/>
          <w:szCs w:val="28"/>
          <w:lang w:val="en-US" w:eastAsia="zh-CN"/>
        </w:rPr>
      </w:pPr>
      <w:r>
        <w:rPr>
          <w:rFonts w:hint="eastAsia" w:ascii="Times New Roman" w:hAnsi="Times New Roman" w:cs="Times New Roman"/>
          <w:b/>
          <w:bCs/>
          <w:sz w:val="28"/>
          <w:szCs w:val="28"/>
          <w:lang w:val="en-US" w:eastAsia="zh-CN"/>
        </w:rPr>
        <w:t xml:space="preserve">Background: </w:t>
      </w:r>
      <w:r>
        <w:rPr>
          <w:rFonts w:hint="eastAsia" w:ascii="Times New Roman" w:hAnsi="Times New Roman" w:cs="Times New Roman"/>
          <w:sz w:val="28"/>
          <w:szCs w:val="28"/>
          <w:lang w:val="en-US" w:eastAsia="zh-CN"/>
        </w:rPr>
        <w:t xml:space="preserve">The legal profession, as an ancient industry, has been a constant presence in human society, shining brightly throughout the course of history. In the 21st century, the global rise of public interest activities has gradually entered the public consciousness, drawing attention from various countries, social organisations, and individuals. Pro bono is a common practice in most jurisdictions. However, the question of why lawyers provide services for free has been a longstanding puzzle in current research (Cummings </w:t>
      </w:r>
      <w:r>
        <w:rPr>
          <w:rFonts w:hint="eastAsia" w:ascii="Times New Roman" w:hAnsi="Times New Roman" w:cs="Times New Roman"/>
          <w:i/>
          <w:iCs/>
          <w:sz w:val="28"/>
          <w:szCs w:val="28"/>
          <w:lang w:val="en-US" w:eastAsia="zh-CN"/>
        </w:rPr>
        <w:t>et al</w:t>
      </w:r>
      <w:r>
        <w:rPr>
          <w:rFonts w:hint="eastAsia" w:ascii="Times New Roman" w:hAnsi="Times New Roman" w:cs="Times New Roman"/>
          <w:sz w:val="28"/>
          <w:szCs w:val="28"/>
          <w:lang w:val="en-US" w:eastAsia="zh-CN"/>
        </w:rPr>
        <w:t>., 2022). Evidence suggests that English-speaking countries, such as the United States, the United Kingdom, Canada, Australia, as well as China, Israel, among others, have established a legal pro bono culture and practice, engaging in charitable work and implementing pro bono initiatives (Fiona &amp; Mcleay, 2008).</w:t>
      </w:r>
    </w:p>
    <w:p>
      <w:pPr>
        <w:bidi w:val="0"/>
        <w:rPr>
          <w:rFonts w:hint="eastAsia" w:ascii="Times New Roman" w:hAnsi="Times New Roman" w:cs="Times New Roman"/>
          <w:sz w:val="28"/>
          <w:szCs w:val="28"/>
          <w:lang w:val="en-US" w:eastAsia="zh-CN"/>
        </w:rPr>
      </w:pPr>
    </w:p>
    <w:p>
      <w:pPr>
        <w:bidi w:val="0"/>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Many people's impressions of lawyers' pro bono work stem from the understanding that the tradition of offering free services is as ancient as the profession itself (Ferguson, 2005). Other scholars (Rhode, 2009) propose that, in practice, legal pro bono work is not solely for the benefit of the public. It also involves the interests of lawyers, such as enhancing their reputation, experience, networks, and relationships. This extends to the concept that legal pro bono activities can be considered part of cultural capital (Hillary, 2007). Moreover, in large law firms, pro bono activities have shifted from individual responsibility of a single lawyer to the collective responsibility of the entire firm (Kay &amp; Granfield, 2023), increasingly used to advance the interests and policies of the law firm (Granfield and Mather, 2009). Lastly, institutional differences, such as varying countries' minimum requirements for lawyers to fulfill mandatory legal pro bono service obligations, may lead to different outcomes (Fu, 2020).</w:t>
      </w:r>
    </w:p>
    <w:p>
      <w:pPr>
        <w:bidi w:val="0"/>
        <w:rPr>
          <w:rFonts w:hint="eastAsia" w:ascii="Times New Roman" w:hAnsi="Times New Roman" w:cs="Times New Roman"/>
          <w:sz w:val="28"/>
          <w:szCs w:val="28"/>
          <w:lang w:val="en-US" w:eastAsia="zh-CN"/>
        </w:rPr>
      </w:pPr>
    </w:p>
    <w:p>
      <w:pPr>
        <w:bidi w:val="0"/>
        <w:rPr>
          <w:rFonts w:hint="eastAsia" w:ascii="Times New Roman" w:hAnsi="Times New Roman" w:cs="Times New Roman"/>
          <w:b/>
          <w:bCs/>
          <w:sz w:val="28"/>
          <w:szCs w:val="28"/>
          <w:lang w:val="en-US" w:eastAsia="zh-CN"/>
        </w:rPr>
      </w:pPr>
    </w:p>
    <w:p>
      <w:pPr>
        <w:bidi w:val="0"/>
        <w:rPr>
          <w:rFonts w:hint="eastAsia" w:ascii="Times New Roman" w:hAnsi="Times New Roman" w:cs="Times New Roman"/>
          <w:b/>
          <w:bCs/>
          <w:sz w:val="28"/>
          <w:szCs w:val="28"/>
          <w:lang w:val="en-US" w:eastAsia="zh-CN"/>
        </w:rPr>
      </w:pPr>
    </w:p>
    <w:p>
      <w:pPr>
        <w:bidi w:val="0"/>
        <w:rPr>
          <w:rFonts w:hint="default"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I</w:t>
      </w:r>
      <w:r>
        <w:rPr>
          <w:rFonts w:hint="default" w:ascii="Times New Roman" w:hAnsi="Times New Roman" w:cs="Times New Roman"/>
          <w:b/>
          <w:bCs/>
          <w:sz w:val="28"/>
          <w:szCs w:val="28"/>
          <w:lang w:val="en-US" w:eastAsia="zh-CN"/>
        </w:rPr>
        <w:t>ntroduction</w:t>
      </w:r>
    </w:p>
    <w:p>
      <w:pPr>
        <w:bidi w:val="0"/>
        <w:rPr>
          <w:rFonts w:hint="default" w:ascii="Times New Roman" w:hAnsi="Times New Roman" w:cs="Times New Roman"/>
          <w:sz w:val="28"/>
          <w:szCs w:val="28"/>
          <w:lang w:val="en-US" w:eastAsia="zh-CN"/>
        </w:rPr>
      </w:pPr>
    </w:p>
    <w:p>
      <w:pPr>
        <w:bidi w:val="0"/>
        <w:rPr>
          <w:rFonts w:hint="eastAsia" w:ascii="Times New Roman" w:hAnsi="Times New Roman" w:cs="Times New Roman"/>
          <w:sz w:val="28"/>
          <w:szCs w:val="28"/>
          <w:lang w:val="en-US" w:eastAsia="zh-CN"/>
        </w:rPr>
      </w:pPr>
      <w:r>
        <w:rPr>
          <w:rFonts w:hint="default" w:ascii="Times New Roman" w:hAnsi="Times New Roman" w:cs="Times New Roman"/>
          <w:b/>
          <w:bCs/>
          <w:sz w:val="28"/>
          <w:szCs w:val="28"/>
          <w:lang w:val="en-US" w:eastAsia="zh-CN"/>
        </w:rPr>
        <w:t>Research</w:t>
      </w:r>
      <w:r>
        <w:rPr>
          <w:rFonts w:hint="eastAsia" w:ascii="Times New Roman" w:hAnsi="Times New Roman" w:cs="Times New Roman"/>
          <w:b/>
          <w:bCs/>
          <w:sz w:val="28"/>
          <w:szCs w:val="28"/>
          <w:lang w:val="en-US" w:eastAsia="zh-CN"/>
        </w:rPr>
        <w:t xml:space="preserve"> Aim</w:t>
      </w:r>
      <w:r>
        <w:rPr>
          <w:rFonts w:hint="eastAsia" w:ascii="Times New Roman" w:hAnsi="Times New Roman" w:cs="Times New Roman"/>
          <w:sz w:val="28"/>
          <w:szCs w:val="28"/>
          <w:lang w:val="en-US" w:eastAsia="zh-CN"/>
        </w:rPr>
        <w:t>：</w:t>
      </w:r>
    </w:p>
    <w:p>
      <w:pPr>
        <w:bidi w:val="0"/>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1). Understanding Motivation and Attitudes: The primary aim of the research may be to gain an in-depth understanding of the motivations and attitudes of lawyers participating in pro bono. Altruism theory emphasises moral and altruistic motivations, institutional logic theory highlights organizational structures and norms, while corporate social responsibility focuses on the social impact of organizations. The study can analyse the roles of these theories in lawyer decision-making, revealing motivations at both individual and organisational levels.  2).Exploring Institutional Influence: Research on institutional logic theory may focus on revealing the impact of internal and external institutional factors on lawyers' participation in pro bono  This could include industry norms, regulations, and incentive mechanisms, and how they shape and guide lawyers' pro bono behaviors.</w:t>
      </w:r>
    </w:p>
    <w:p>
      <w:pPr>
        <w:numPr>
          <w:ilvl w:val="0"/>
          <w:numId w:val="0"/>
        </w:numPr>
        <w:bidi w:val="0"/>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3).The Role of Corporate Social Responsibility: The research can explore the practice of corporate social responsibility within law firms and how this practice influences decision-making regarding lawyers' participation in pro bono services. This may encompass the law firm's social responsibility strategies, the extent of support for pro bono , and the interaction between the law firm and society.</w:t>
      </w:r>
    </w:p>
    <w:p>
      <w:pPr>
        <w:numPr>
          <w:ilvl w:val="0"/>
          <w:numId w:val="0"/>
        </w:numPr>
        <w:bidi w:val="0"/>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4). Interactions and Integration Effects: The study can delve into the interactions and integration effects among these three theories. For example, how does corporate social responsibility interact with altruism and institutional logic, forming an overall impact on lawyers' pro bono services? This contributes to establishing a more comprehensive and profound theoretical framework.</w:t>
      </w:r>
    </w:p>
    <w:p>
      <w:pPr>
        <w:bidi w:val="0"/>
        <w:rPr>
          <w:rFonts w:hint="eastAsia" w:ascii="Times New Roman" w:hAnsi="Times New Roman" w:cs="Times New Roman"/>
          <w:sz w:val="28"/>
          <w:szCs w:val="28"/>
          <w:lang w:val="en-US" w:eastAsia="zh-CN"/>
        </w:rPr>
      </w:pPr>
    </w:p>
    <w:p>
      <w:pPr>
        <w:numPr>
          <w:ilvl w:val="0"/>
          <w:numId w:val="0"/>
        </w:numPr>
        <w:bidi w:val="0"/>
        <w:ind w:leftChars="0"/>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5). Providing Practical Recommendations:The ultimate goal is to offer practical recommendations for law firms and the industry. By deeply understanding the impact of these three theories on lawyers' participation in pro bono, the research can propose strategies to encourage lawyers to be more actively involved in pro bono , contributing to fostering a sense of social responsibility within the legal industry.</w:t>
      </w:r>
    </w:p>
    <w:p>
      <w:pPr>
        <w:widowControl w:val="0"/>
        <w:numPr>
          <w:ilvl w:val="0"/>
          <w:numId w:val="0"/>
        </w:numPr>
        <w:bidi w:val="0"/>
        <w:jc w:val="both"/>
        <w:rPr>
          <w:rFonts w:hint="default" w:ascii="Times New Roman" w:hAnsi="Times New Roman" w:cs="Times New Roman"/>
          <w:sz w:val="28"/>
          <w:szCs w:val="28"/>
          <w:lang w:val="en-US" w:eastAsia="zh-CN"/>
        </w:rPr>
      </w:pPr>
    </w:p>
    <w:p>
      <w:pPr>
        <w:widowControl w:val="0"/>
        <w:numPr>
          <w:ilvl w:val="0"/>
          <w:numId w:val="0"/>
        </w:numPr>
        <w:bidi w:val="0"/>
        <w:jc w:val="both"/>
        <w:rPr>
          <w:rFonts w:hint="eastAsia" w:ascii="Times New Roman" w:hAnsi="Times New Roman" w:cs="Times New Roman"/>
          <w:sz w:val="28"/>
          <w:szCs w:val="28"/>
          <w:lang w:val="en-US" w:eastAsia="zh-CN"/>
        </w:rPr>
      </w:pPr>
    </w:p>
    <w:p>
      <w:pPr>
        <w:widowControl w:val="0"/>
        <w:numPr>
          <w:ilvl w:val="0"/>
          <w:numId w:val="0"/>
        </w:numPr>
        <w:bidi w:val="0"/>
        <w:jc w:val="both"/>
        <w:rPr>
          <w:rFonts w:hint="eastAsia" w:ascii="Times New Roman" w:hAnsi="Times New Roman" w:cs="Times New Roman"/>
          <w:sz w:val="28"/>
          <w:szCs w:val="28"/>
          <w:lang w:val="en-US" w:eastAsia="zh-CN"/>
        </w:rPr>
      </w:pPr>
    </w:p>
    <w:p>
      <w:pPr>
        <w:widowControl w:val="0"/>
        <w:numPr>
          <w:ilvl w:val="0"/>
          <w:numId w:val="0"/>
        </w:numPr>
        <w:bidi w:val="0"/>
        <w:jc w:val="both"/>
        <w:rPr>
          <w:rFonts w:hint="eastAsia"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Research Questions:</w:t>
      </w:r>
    </w:p>
    <w:p>
      <w:pPr>
        <w:widowControl w:val="0"/>
        <w:numPr>
          <w:ilvl w:val="0"/>
          <w:numId w:val="0"/>
        </w:numPr>
        <w:bidi w:val="0"/>
        <w:jc w:val="both"/>
        <w:rPr>
          <w:rFonts w:hint="eastAsia" w:ascii="Times New Roman" w:hAnsi="Times New Roman" w:cs="Times New Roman"/>
          <w:sz w:val="28"/>
          <w:szCs w:val="28"/>
          <w:lang w:val="en-US" w:eastAsia="zh-CN"/>
        </w:rPr>
      </w:pPr>
    </w:p>
    <w:p>
      <w:pPr>
        <w:widowControl w:val="0"/>
        <w:numPr>
          <w:ilvl w:val="0"/>
          <w:numId w:val="1"/>
        </w:numPr>
        <w:bidi w:val="0"/>
        <w:jc w:val="both"/>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Systematic Analysis of Lawyers' Altruistic Motivations, Objectives, and Experiences in Pro Bono Service</w:t>
      </w:r>
    </w:p>
    <w:p>
      <w:pPr>
        <w:widowControl w:val="0"/>
        <w:numPr>
          <w:ilvl w:val="0"/>
          <w:numId w:val="0"/>
        </w:numPr>
        <w:bidi w:val="0"/>
        <w:jc w:val="both"/>
        <w:rPr>
          <w:rFonts w:hint="eastAsia" w:ascii="Times New Roman" w:hAnsi="Times New Roman" w:cs="Times New Roman"/>
          <w:sz w:val="28"/>
          <w:szCs w:val="28"/>
          <w:lang w:val="en-US" w:eastAsia="zh-CN"/>
        </w:rPr>
      </w:pPr>
    </w:p>
    <w:p>
      <w:pPr>
        <w:widowControl w:val="0"/>
        <w:numPr>
          <w:ilvl w:val="0"/>
          <w:numId w:val="1"/>
        </w:numPr>
        <w:bidi w:val="0"/>
        <w:ind w:left="0" w:leftChars="0" w:firstLine="0" w:firstLineChars="0"/>
        <w:jc w:val="both"/>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Assessment of Institutional Logic's Normative and Guiding Influence on Lawyers' Pro Bono Service</w:t>
      </w:r>
    </w:p>
    <w:p>
      <w:pPr>
        <w:widowControl w:val="0"/>
        <w:numPr>
          <w:ilvl w:val="0"/>
          <w:numId w:val="1"/>
        </w:numPr>
        <w:bidi w:val="0"/>
        <w:ind w:left="0" w:leftChars="0" w:firstLine="0" w:firstLineChars="0"/>
        <w:jc w:val="both"/>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 xml:space="preserve">Assessment of the Driving Role of Corporate Social Responsibility in Lawyers' Pro Bono </w:t>
      </w:r>
    </w:p>
    <w:p>
      <w:pPr>
        <w:widowControl w:val="0"/>
        <w:numPr>
          <w:ilvl w:val="0"/>
          <w:numId w:val="0"/>
        </w:numPr>
        <w:bidi w:val="0"/>
        <w:jc w:val="both"/>
        <w:rPr>
          <w:rFonts w:hint="eastAsia" w:ascii="Times New Roman" w:hAnsi="Times New Roman" w:cs="Times New Roman"/>
          <w:sz w:val="28"/>
          <w:szCs w:val="28"/>
          <w:lang w:val="en-US" w:eastAsia="zh-CN"/>
        </w:rPr>
      </w:pPr>
    </w:p>
    <w:p>
      <w:pPr>
        <w:widowControl w:val="0"/>
        <w:numPr>
          <w:ilvl w:val="0"/>
          <w:numId w:val="1"/>
        </w:numPr>
        <w:bidi w:val="0"/>
        <w:ind w:left="0" w:leftChars="0" w:firstLine="0" w:firstLineChars="0"/>
        <w:jc w:val="both"/>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Attempt to Establish a Theoretical Framework for the Interaction and Integration Among the Three Theories</w:t>
      </w:r>
    </w:p>
    <w:p>
      <w:pPr>
        <w:widowControl w:val="0"/>
        <w:numPr>
          <w:ilvl w:val="0"/>
          <w:numId w:val="0"/>
        </w:numPr>
        <w:bidi w:val="0"/>
        <w:jc w:val="both"/>
        <w:rPr>
          <w:rFonts w:hint="eastAsia" w:ascii="Times New Roman" w:hAnsi="Times New Roman" w:cs="Times New Roman"/>
          <w:sz w:val="28"/>
          <w:szCs w:val="28"/>
          <w:lang w:val="en-US" w:eastAsia="zh-CN"/>
        </w:rPr>
      </w:pPr>
    </w:p>
    <w:p>
      <w:pPr>
        <w:widowControl w:val="0"/>
        <w:numPr>
          <w:ilvl w:val="0"/>
          <w:numId w:val="1"/>
        </w:numPr>
        <w:bidi w:val="0"/>
        <w:ind w:left="0" w:leftChars="0" w:firstLine="0" w:firstLineChars="0"/>
        <w:jc w:val="both"/>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 xml:space="preserve">In-Depth Understanding of the Impact of Altruism, Institutional Logic, and Corporate Social Responsibility on Lawyers' Pro Bono </w:t>
      </w:r>
    </w:p>
    <w:p>
      <w:pPr>
        <w:widowControl w:val="0"/>
        <w:numPr>
          <w:ilvl w:val="0"/>
          <w:numId w:val="0"/>
        </w:numPr>
        <w:bidi w:val="0"/>
        <w:jc w:val="both"/>
        <w:rPr>
          <w:rFonts w:hint="eastAsia" w:ascii="Times New Roman" w:hAnsi="Times New Roman" w:cs="Times New Roman"/>
          <w:sz w:val="28"/>
          <w:szCs w:val="28"/>
          <w:lang w:val="en-US" w:eastAsia="zh-CN"/>
        </w:rPr>
      </w:pPr>
    </w:p>
    <w:p>
      <w:pPr>
        <w:widowControl w:val="0"/>
        <w:numPr>
          <w:ilvl w:val="0"/>
          <w:numId w:val="0"/>
        </w:numPr>
        <w:bidi w:val="0"/>
        <w:jc w:val="both"/>
        <w:rPr>
          <w:rFonts w:hint="eastAsia"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Literature Review</w:t>
      </w:r>
    </w:p>
    <w:p>
      <w:pPr>
        <w:widowControl w:val="0"/>
        <w:numPr>
          <w:ilvl w:val="0"/>
          <w:numId w:val="0"/>
        </w:numPr>
        <w:bidi w:val="0"/>
        <w:jc w:val="both"/>
        <w:rPr>
          <w:rFonts w:hint="eastAsia" w:ascii="Times New Roman" w:hAnsi="Times New Roman" w:cs="Times New Roman"/>
          <w:sz w:val="28"/>
          <w:szCs w:val="28"/>
          <w:lang w:val="en-US" w:eastAsia="zh-CN"/>
        </w:rPr>
      </w:pPr>
    </w:p>
    <w:p>
      <w:pPr>
        <w:widowControl w:val="0"/>
        <w:numPr>
          <w:ilvl w:val="0"/>
          <w:numId w:val="0"/>
        </w:numPr>
        <w:bidi w:val="0"/>
        <w:jc w:val="both"/>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In recent English-language literature on pro bono service in China, both Fu (2020) and Dong (2022) have pointed out that the term "public service" does not have an exact equivalent in the corresponding Chinese context. In Chinese, "pro bono" is translated as "公益服务" (public  service), where "公益" (public interest) and "无偿" (without charge) carry distinct meanings. The current research aligns with previous findings by considering "pro bono" as voluntary, unpaid public welfare service in Chinese scholarly publications. Furthermore, the study restricts the interpretation of the term "pro bono" to its Latin meaning, raising questions in the literature about potential alternatives or the creation of new terms in the future.</w:t>
      </w:r>
    </w:p>
    <w:p>
      <w:pPr>
        <w:widowControl w:val="0"/>
        <w:numPr>
          <w:ilvl w:val="0"/>
          <w:numId w:val="0"/>
        </w:numPr>
        <w:bidi w:val="0"/>
        <w:jc w:val="both"/>
        <w:rPr>
          <w:rFonts w:hint="eastAsia" w:ascii="Times New Roman" w:hAnsi="Times New Roman" w:cs="Times New Roman"/>
          <w:sz w:val="28"/>
          <w:szCs w:val="28"/>
          <w:lang w:val="en-US" w:eastAsia="zh-CN"/>
        </w:rPr>
      </w:pPr>
    </w:p>
    <w:p>
      <w:pPr>
        <w:widowControl w:val="0"/>
        <w:numPr>
          <w:ilvl w:val="0"/>
          <w:numId w:val="0"/>
        </w:numPr>
        <w:bidi w:val="0"/>
        <w:jc w:val="both"/>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Legal professionals advocate for a public service obligation, urging lawyers to contribute their time voluntarily through "pro bono" work, i.e., free legal services. Many law firms increasingly support pro bono services. Granfield, a North American scholar specialising in researching lawyers' pro bono service, has published numerous articles on pro bono service in the United States and Canada. In a 2007 article, he highlighted that pro bono service is motivated not only by individual characteristics but also by workplace environments, framing motivations and incentives for pro bono work. Granfield employed an institutional framework to study the impact of workplace environments on lawyers' involvement in public service, conducting a quantitative study surveying nearly 500 lawyers, revealing a correlation between pro bono and institutional theory. However, this article was published almost 15 years ago, primarily gathered data in the United States, and lacks replicability, prompting my interest in investigating whether altruism in pro bono service among lawyers differs in other countries. In 2022, Granfield published a new quantitative article on altruism, suggesting that by distinguishing individual-level altruistic motivations from collective norms and the degree of organisational support for providing free legal services, influence can be exerted on promoting public service commitments. He also leaves room for future research directions, such as whether professionals will proactively develop their altruism or if pro bono service is limited to early career training or law firm recruitment requirements. In 2022, the scholar published another quantitative article on lawyers' altruism; however, it did not systematically compare the nature of pro bono work between small and large law firms. I intend to explore this aspect, examining the nature of pro bono among lawyers in firms of different sizes.</w:t>
      </w:r>
    </w:p>
    <w:p>
      <w:pPr>
        <w:widowControl w:val="0"/>
        <w:numPr>
          <w:ilvl w:val="0"/>
          <w:numId w:val="0"/>
        </w:numPr>
        <w:bidi w:val="0"/>
        <w:jc w:val="both"/>
        <w:rPr>
          <w:rFonts w:hint="eastAsia" w:ascii="Times New Roman" w:hAnsi="Times New Roman" w:cs="Times New Roman"/>
          <w:sz w:val="28"/>
          <w:szCs w:val="28"/>
          <w:lang w:val="en-US" w:eastAsia="zh-CN"/>
        </w:rPr>
      </w:pPr>
    </w:p>
    <w:p>
      <w:pPr>
        <w:widowControl w:val="0"/>
        <w:numPr>
          <w:ilvl w:val="0"/>
          <w:numId w:val="0"/>
        </w:numPr>
        <w:bidi w:val="0"/>
        <w:jc w:val="both"/>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 xml:space="preserve">Institutional logic guides decision-making by providing action rules (Suddaby and Greenwood, 2005). Studies indicate that organisations frequently contend with the coexistence of competing institutional logics, presenting diverse and potentially conflicting demands on the organisation. (Greenwood </w:t>
      </w:r>
      <w:r>
        <w:rPr>
          <w:rFonts w:hint="eastAsia" w:ascii="Times New Roman" w:hAnsi="Times New Roman" w:cs="Times New Roman"/>
          <w:i/>
          <w:iCs/>
          <w:sz w:val="28"/>
          <w:szCs w:val="28"/>
          <w:lang w:val="en-US" w:eastAsia="zh-CN"/>
        </w:rPr>
        <w:t>et al</w:t>
      </w:r>
      <w:r>
        <w:rPr>
          <w:rFonts w:hint="eastAsia" w:ascii="Times New Roman" w:hAnsi="Times New Roman" w:cs="Times New Roman"/>
          <w:sz w:val="28"/>
          <w:szCs w:val="28"/>
          <w:lang w:val="en-US" w:eastAsia="zh-CN"/>
        </w:rPr>
        <w:t>., 2011). In the framework of Needs-Based Logic (NBL) or Social Needs-Based Logic, organisations aim to achieve social objectives by engaging in business activities that contribute to society or communities and create value for the environment. In contrast, Demand-Based Logic (DBL) or Market Logic emphasizes the generation of profits through business activities and operational efficiency. (McMullen and Warnick, 2016; Smith et al., 2013). The utilization of institutional logic theory is on the rise for examining how hybrid forms of social organisations integrate social, economic, and environmental objectives into their operational activities. (Greenwood et al., 2011). Companies combine demand-based market logic with need-based social logic, creating social, economic, and environmental value (Jolink and Niesten, 2015). While the amalgamation of various logics can be advantageous for companies in creating substantial new opportunities, these organis</w:t>
      </w:r>
      <w:bookmarkStart w:id="0" w:name="_GoBack"/>
      <w:bookmarkEnd w:id="0"/>
      <w:r>
        <w:rPr>
          <w:rFonts w:hint="eastAsia" w:ascii="Times New Roman" w:hAnsi="Times New Roman" w:cs="Times New Roman"/>
          <w:sz w:val="28"/>
          <w:szCs w:val="28"/>
          <w:lang w:val="en-US" w:eastAsia="zh-CN"/>
        </w:rPr>
        <w:t>ations may also encounter conflicting demands and persistent pressures from institutional references, necessitating adherence to different norms. (Jay, 2013). Therefore, I consider that law firms not only pursue economic benefits but also focus on social impact. Whether the demands from these two different aspects will lead to intense conflicts is currently unknown, and there may be new discoveries.</w:t>
      </w:r>
    </w:p>
    <w:p>
      <w:pPr>
        <w:widowControl w:val="0"/>
        <w:numPr>
          <w:ilvl w:val="0"/>
          <w:numId w:val="0"/>
        </w:numPr>
        <w:bidi w:val="0"/>
        <w:jc w:val="both"/>
        <w:rPr>
          <w:rFonts w:hint="eastAsia" w:ascii="Times New Roman" w:hAnsi="Times New Roman" w:cs="Times New Roman"/>
          <w:sz w:val="28"/>
          <w:szCs w:val="28"/>
          <w:lang w:val="en-US" w:eastAsia="zh-CN"/>
        </w:rPr>
      </w:pPr>
    </w:p>
    <w:p>
      <w:pPr>
        <w:widowControl w:val="0"/>
        <w:numPr>
          <w:ilvl w:val="0"/>
          <w:numId w:val="0"/>
        </w:numPr>
        <w:bidi w:val="0"/>
        <w:jc w:val="both"/>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 xml:space="preserve">Corporate charity includes various forms of business donations, including voluntary or discretionary activities. These behaviors are not legally mandatory and are often considered morally voluntary. While corporate donations may be altruistic, many companies engage in charity as a practical means of enhancing reputation and showcasing good corporate citizenship awareness. The distinction between the moral and charity dimensions in the pyramid model is that, from a moral or ethical perspective, business donations are not necessarily expected (Carroll, 2016). Some scholars (Vaughan </w:t>
      </w:r>
      <w:r>
        <w:rPr>
          <w:rFonts w:hint="eastAsia" w:ascii="Times New Roman" w:hAnsi="Times New Roman" w:cs="Times New Roman"/>
          <w:i/>
          <w:iCs/>
          <w:sz w:val="28"/>
          <w:szCs w:val="28"/>
          <w:lang w:val="en-US" w:eastAsia="zh-CN"/>
        </w:rPr>
        <w:t>et.,al</w:t>
      </w:r>
      <w:r>
        <w:rPr>
          <w:rFonts w:hint="eastAsia" w:ascii="Times New Roman" w:hAnsi="Times New Roman" w:cs="Times New Roman"/>
          <w:sz w:val="28"/>
          <w:szCs w:val="28"/>
          <w:lang w:val="en-US" w:eastAsia="zh-CN"/>
        </w:rPr>
        <w:t xml:space="preserve"> 2015) proposed that the current attitudes of law firms towards Corporate Social Responsibility (CSR) may not truly reflect the specific impact and responsibility that law firms, as organisations, possess. As providers of professional legal services, law firms have the capability to integrate their legal services into CSR initiatives. However, recent developments in this field may be more symbolic, driven by competition and pressure to attract clients rather than a genuine, selfless commitment to Corporate Social Responsibility. There may be a lack of substantial efforts to transform CSR ideals into concrete institutional forms. Many companies perceive little difference between charity work and more extensive forms of "community giving." This perspective may undermine the significant role lawyers play in addressing unmet legal needs from a moral and ethical standpoint.</w:t>
      </w:r>
    </w:p>
    <w:p>
      <w:pPr>
        <w:widowControl w:val="0"/>
        <w:numPr>
          <w:ilvl w:val="0"/>
          <w:numId w:val="0"/>
        </w:numPr>
        <w:bidi w:val="0"/>
        <w:jc w:val="both"/>
        <w:rPr>
          <w:rFonts w:hint="eastAsia" w:ascii="Times New Roman" w:hAnsi="Times New Roman" w:cs="Times New Roman"/>
          <w:sz w:val="28"/>
          <w:szCs w:val="28"/>
          <w:lang w:val="en-US" w:eastAsia="zh-CN"/>
        </w:rPr>
      </w:pPr>
    </w:p>
    <w:p>
      <w:pPr>
        <w:widowControl w:val="0"/>
        <w:numPr>
          <w:ilvl w:val="0"/>
          <w:numId w:val="0"/>
        </w:numPr>
        <w:bidi w:val="0"/>
        <w:jc w:val="both"/>
        <w:rPr>
          <w:rFonts w:hint="eastAsia" w:ascii="Times New Roman" w:hAnsi="Times New Roman" w:cs="Times New Roman"/>
          <w:sz w:val="28"/>
          <w:szCs w:val="28"/>
          <w:lang w:val="en-US" w:eastAsia="zh-CN"/>
        </w:rPr>
      </w:pPr>
    </w:p>
    <w:p>
      <w:pPr>
        <w:widowControl w:val="0"/>
        <w:numPr>
          <w:ilvl w:val="0"/>
          <w:numId w:val="0"/>
        </w:numPr>
        <w:bidi w:val="0"/>
        <w:jc w:val="both"/>
        <w:rPr>
          <w:rFonts w:hint="eastAsia" w:ascii="Times New Roman" w:hAnsi="Times New Roman" w:cs="Times New Roman"/>
          <w:sz w:val="28"/>
          <w:szCs w:val="28"/>
          <w:lang w:val="en-US" w:eastAsia="zh-CN"/>
        </w:rPr>
      </w:pPr>
    </w:p>
    <w:p>
      <w:pPr>
        <w:widowControl w:val="0"/>
        <w:numPr>
          <w:ilvl w:val="0"/>
          <w:numId w:val="0"/>
        </w:numPr>
        <w:bidi w:val="0"/>
        <w:jc w:val="both"/>
        <w:rPr>
          <w:rFonts w:hint="eastAsia" w:ascii="Times New Roman" w:hAnsi="Times New Roman" w:cs="Times New Roman"/>
          <w:sz w:val="28"/>
          <w:szCs w:val="28"/>
          <w:lang w:val="en-US" w:eastAsia="zh-CN"/>
        </w:rPr>
      </w:pPr>
    </w:p>
    <w:p>
      <w:pPr>
        <w:widowControl w:val="0"/>
        <w:numPr>
          <w:ilvl w:val="0"/>
          <w:numId w:val="0"/>
        </w:numPr>
        <w:bidi w:val="0"/>
        <w:jc w:val="both"/>
        <w:rPr>
          <w:rFonts w:hint="eastAsia"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Research method</w:t>
      </w:r>
    </w:p>
    <w:p>
      <w:pPr>
        <w:widowControl w:val="0"/>
        <w:numPr>
          <w:ilvl w:val="0"/>
          <w:numId w:val="0"/>
        </w:numPr>
        <w:bidi w:val="0"/>
        <w:jc w:val="both"/>
        <w:rPr>
          <w:rFonts w:hint="eastAsia" w:ascii="Times New Roman" w:hAnsi="Times New Roman" w:cs="Times New Roman"/>
          <w:sz w:val="28"/>
          <w:szCs w:val="28"/>
          <w:lang w:val="en-US" w:eastAsia="zh-CN"/>
        </w:rPr>
      </w:pPr>
    </w:p>
    <w:p>
      <w:pPr>
        <w:widowControl w:val="0"/>
        <w:numPr>
          <w:ilvl w:val="0"/>
          <w:numId w:val="0"/>
        </w:numPr>
        <w:bidi w:val="0"/>
        <w:jc w:val="both"/>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Case study method is planned for this study. Case studies, on the one hand, provide a tradition of collecting multiple forms of data (both qualitative and quantitative) to gain a more complete understanding of the case. At the same time, case studies are well combined with a hybrid approach to seek a more complete understanding through a combination of qualitative and quantitative research. Case studies, on the other hand, can enable researchers to delve into complex issues and situations, and can help researchers understand a topic from a comprehensive, multi-angle perspective. (Lee and Saunders, 2017 )</w:t>
      </w:r>
    </w:p>
    <w:p>
      <w:pPr>
        <w:widowControl w:val="0"/>
        <w:numPr>
          <w:ilvl w:val="0"/>
          <w:numId w:val="0"/>
        </w:numPr>
        <w:bidi w:val="0"/>
        <w:jc w:val="both"/>
        <w:rPr>
          <w:rFonts w:hint="eastAsia" w:ascii="Times New Roman" w:hAnsi="Times New Roman" w:cs="Times New Roman"/>
          <w:sz w:val="28"/>
          <w:szCs w:val="28"/>
          <w:lang w:val="en-US" w:eastAsia="zh-CN"/>
        </w:rPr>
      </w:pPr>
    </w:p>
    <w:p>
      <w:pPr>
        <w:widowControl w:val="0"/>
        <w:numPr>
          <w:ilvl w:val="0"/>
          <w:numId w:val="0"/>
        </w:numPr>
        <w:bidi w:val="0"/>
        <w:jc w:val="both"/>
        <w:rPr>
          <w:rFonts w:hint="eastAsia"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Data Collection</w:t>
      </w:r>
    </w:p>
    <w:p>
      <w:pPr>
        <w:widowControl w:val="0"/>
        <w:numPr>
          <w:ilvl w:val="0"/>
          <w:numId w:val="0"/>
        </w:numPr>
        <w:bidi w:val="0"/>
        <w:jc w:val="both"/>
        <w:rPr>
          <w:rFonts w:hint="eastAsia" w:ascii="Times New Roman" w:hAnsi="Times New Roman" w:cs="Times New Roman"/>
          <w:sz w:val="28"/>
          <w:szCs w:val="28"/>
          <w:lang w:val="en-US" w:eastAsia="zh-CN"/>
        </w:rPr>
      </w:pPr>
    </w:p>
    <w:p>
      <w:pPr>
        <w:widowControl w:val="0"/>
        <w:numPr>
          <w:ilvl w:val="0"/>
          <w:numId w:val="0"/>
        </w:numPr>
        <w:bidi w:val="0"/>
        <w:jc w:val="both"/>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Due to my previous work experience and educational background, I have a substantial sample size for the target population. For the qualitative research component, I plan to conduct semi-structured in-depth interviews with 12 participants. For the quantitative part, I will design a survey using a focus group approach and subsequently conduct a purposive sampling survey with 200 respondents.</w:t>
      </w:r>
    </w:p>
    <w:p>
      <w:pPr>
        <w:widowControl w:val="0"/>
        <w:numPr>
          <w:ilvl w:val="0"/>
          <w:numId w:val="0"/>
        </w:numPr>
        <w:bidi w:val="0"/>
        <w:jc w:val="both"/>
        <w:rPr>
          <w:rFonts w:hint="eastAsia" w:ascii="Times New Roman" w:hAnsi="Times New Roman" w:cs="Times New Roman"/>
          <w:sz w:val="28"/>
          <w:szCs w:val="28"/>
          <w:lang w:val="en-US" w:eastAsia="zh-CN"/>
        </w:rPr>
      </w:pPr>
    </w:p>
    <w:p>
      <w:pPr>
        <w:widowControl w:val="0"/>
        <w:numPr>
          <w:ilvl w:val="0"/>
          <w:numId w:val="0"/>
        </w:numPr>
        <w:bidi w:val="0"/>
        <w:jc w:val="both"/>
        <w:rPr>
          <w:rFonts w:hint="eastAsia"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Data Analysis</w:t>
      </w:r>
    </w:p>
    <w:p>
      <w:pPr>
        <w:widowControl w:val="0"/>
        <w:numPr>
          <w:ilvl w:val="0"/>
          <w:numId w:val="0"/>
        </w:numPr>
        <w:bidi w:val="0"/>
        <w:jc w:val="both"/>
        <w:rPr>
          <w:rFonts w:hint="eastAsia" w:ascii="Times New Roman" w:hAnsi="Times New Roman" w:cs="Times New Roman"/>
          <w:sz w:val="28"/>
          <w:szCs w:val="28"/>
          <w:lang w:val="en-US" w:eastAsia="zh-CN"/>
        </w:rPr>
      </w:pPr>
    </w:p>
    <w:p>
      <w:pPr>
        <w:widowControl w:val="0"/>
        <w:numPr>
          <w:ilvl w:val="0"/>
          <w:numId w:val="0"/>
        </w:numPr>
        <w:bidi w:val="0"/>
        <w:jc w:val="both"/>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For qualitative data analysis, I will utilize the Nvivo tool, and for quantitative analysis, I will employ the SPSS data analysis tool.</w:t>
      </w:r>
    </w:p>
    <w:p>
      <w:pPr>
        <w:widowControl w:val="0"/>
        <w:numPr>
          <w:ilvl w:val="0"/>
          <w:numId w:val="0"/>
        </w:numPr>
        <w:bidi w:val="0"/>
        <w:jc w:val="both"/>
        <w:rPr>
          <w:rFonts w:hint="eastAsia" w:ascii="Times New Roman" w:hAnsi="Times New Roman" w:cs="Times New Roman"/>
          <w:sz w:val="28"/>
          <w:szCs w:val="28"/>
          <w:lang w:val="en-US" w:eastAsia="zh-CN"/>
        </w:rPr>
      </w:pPr>
    </w:p>
    <w:p>
      <w:pPr>
        <w:widowControl w:val="0"/>
        <w:numPr>
          <w:ilvl w:val="0"/>
          <w:numId w:val="0"/>
        </w:numPr>
        <w:bidi w:val="0"/>
        <w:jc w:val="both"/>
        <w:rPr>
          <w:rFonts w:hint="eastAsia"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C</w:t>
      </w:r>
      <w:r>
        <w:rPr>
          <w:rFonts w:hint="default" w:ascii="Times New Roman" w:hAnsi="Times New Roman" w:cs="Times New Roman"/>
          <w:b/>
          <w:bCs/>
          <w:sz w:val="28"/>
          <w:szCs w:val="28"/>
          <w:lang w:val="en-US" w:eastAsia="zh-CN"/>
        </w:rPr>
        <w:t>ontributions to the business</w:t>
      </w:r>
      <w:r>
        <w:rPr>
          <w:rFonts w:hint="eastAsia" w:ascii="Times New Roman" w:hAnsi="Times New Roman" w:cs="Times New Roman"/>
          <w:b/>
          <w:bCs/>
          <w:sz w:val="28"/>
          <w:szCs w:val="28"/>
          <w:lang w:val="en-US" w:eastAsia="zh-CN"/>
        </w:rPr>
        <w:t xml:space="preserve"> studies</w:t>
      </w:r>
    </w:p>
    <w:p>
      <w:pPr>
        <w:widowControl w:val="0"/>
        <w:numPr>
          <w:ilvl w:val="0"/>
          <w:numId w:val="0"/>
        </w:numPr>
        <w:bidi w:val="0"/>
        <w:jc w:val="both"/>
        <w:rPr>
          <w:rFonts w:hint="default" w:ascii="Times New Roman" w:hAnsi="Times New Roman" w:cs="Times New Roman"/>
          <w:sz w:val="28"/>
          <w:szCs w:val="28"/>
          <w:lang w:val="en-US" w:eastAsia="zh-CN"/>
        </w:rPr>
      </w:pPr>
    </w:p>
    <w:p>
      <w:pPr>
        <w:widowControl w:val="0"/>
        <w:numPr>
          <w:ilvl w:val="0"/>
          <w:numId w:val="0"/>
        </w:numPr>
        <w:bidi w:val="0"/>
        <w:jc w:val="both"/>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By delving into research from interdisciplinary and cross-disciplinary perspectives, it is possible to explore the synergies, mutual reinforcement, or weakening mechanisms among theories from different disciplines, providing new insights and theoretical frameworks for theory integration. This may also offer practical recommendations for law firms, legal practitioners, and policymakers. By deeply understanding the impact of altruism, institutional logic, and corporate social responsibility, concrete practice and policy recommendations can be provided to promote social responsibility practices within law firms.</w:t>
      </w:r>
    </w:p>
    <w:p>
      <w:pPr>
        <w:widowControl w:val="0"/>
        <w:numPr>
          <w:ilvl w:val="0"/>
          <w:numId w:val="0"/>
        </w:numPr>
        <w:bidi w:val="0"/>
        <w:jc w:val="both"/>
        <w:rPr>
          <w:rFonts w:hint="default" w:ascii="Times New Roman" w:hAnsi="Times New Roman" w:cs="Times New Roman"/>
          <w:sz w:val="28"/>
          <w:szCs w:val="28"/>
          <w:lang w:val="en-US" w:eastAsia="zh-CN"/>
        </w:rPr>
      </w:pPr>
    </w:p>
    <w:p>
      <w:pPr>
        <w:widowControl w:val="0"/>
        <w:numPr>
          <w:ilvl w:val="0"/>
          <w:numId w:val="0"/>
        </w:numPr>
        <w:bidi w:val="0"/>
        <w:jc w:val="both"/>
        <w:rPr>
          <w:rFonts w:hint="default" w:ascii="Times New Roman" w:hAnsi="Times New Roman" w:cs="Times New Roman"/>
          <w:sz w:val="28"/>
          <w:szCs w:val="28"/>
          <w:lang w:val="en-US" w:eastAsia="zh-CN"/>
        </w:rPr>
      </w:pPr>
    </w:p>
    <w:p>
      <w:pPr>
        <w:widowControl w:val="0"/>
        <w:numPr>
          <w:ilvl w:val="0"/>
          <w:numId w:val="0"/>
        </w:numPr>
        <w:bidi w:val="0"/>
        <w:jc w:val="both"/>
        <w:rPr>
          <w:rFonts w:hint="eastAsia"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 xml:space="preserve">Detail research timetable </w:t>
      </w:r>
    </w:p>
    <w:p>
      <w:pPr>
        <w:widowControl w:val="0"/>
        <w:numPr>
          <w:ilvl w:val="0"/>
          <w:numId w:val="0"/>
        </w:numPr>
        <w:bidi w:val="0"/>
        <w:jc w:val="both"/>
        <w:rPr>
          <w:rFonts w:hint="eastAsia" w:ascii="Times New Roman" w:hAnsi="Times New Roman" w:cs="Times New Roman"/>
          <w:sz w:val="28"/>
          <w:szCs w:val="28"/>
          <w:lang w:val="en-US" w:eastAsia="zh-CN"/>
        </w:rPr>
      </w:pPr>
    </w:p>
    <w:tbl>
      <w:tblPr>
        <w:tblStyle w:val="4"/>
        <w:tblW w:w="9026" w:type="dxa"/>
        <w:tblInd w:w="-17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426"/>
        <w:gridCol w:w="660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68" w:hRule="atLeast"/>
        </w:trPr>
        <w:tc>
          <w:tcPr>
            <w:tcW w:w="2426" w:type="dxa"/>
          </w:tcPr>
          <w:p>
            <w:pPr>
              <w:widowControl w:val="0"/>
              <w:numPr>
                <w:ilvl w:val="0"/>
                <w:numId w:val="0"/>
              </w:numPr>
              <w:bidi w:val="0"/>
              <w:jc w:val="both"/>
              <w:rPr>
                <w:rFonts w:hint="eastAsia" w:ascii="Times New Roman" w:hAnsi="Times New Roman" w:cs="Times New Roman"/>
                <w:sz w:val="28"/>
                <w:szCs w:val="28"/>
                <w:vertAlign w:val="baseline"/>
                <w:lang w:val="en-US" w:eastAsia="zh-CN"/>
              </w:rPr>
            </w:pPr>
            <w:r>
              <w:rPr>
                <w:rFonts w:hint="eastAsia" w:ascii="Times New Roman" w:hAnsi="Times New Roman" w:cs="Times New Roman"/>
                <w:sz w:val="28"/>
                <w:szCs w:val="28"/>
                <w:vertAlign w:val="baseline"/>
                <w:lang w:val="en-US" w:eastAsia="zh-CN"/>
              </w:rPr>
              <w:t>2023.12-2024.2</w:t>
            </w:r>
          </w:p>
          <w:p>
            <w:pPr>
              <w:widowControl w:val="0"/>
              <w:numPr>
                <w:ilvl w:val="0"/>
                <w:numId w:val="0"/>
              </w:numPr>
              <w:bidi w:val="0"/>
              <w:jc w:val="both"/>
              <w:rPr>
                <w:rFonts w:hint="default" w:ascii="Times New Roman" w:hAnsi="Times New Roman" w:cs="Times New Roman"/>
                <w:sz w:val="28"/>
                <w:szCs w:val="28"/>
                <w:vertAlign w:val="baseline"/>
                <w:lang w:val="en-US" w:eastAsia="zh-CN"/>
              </w:rPr>
            </w:pPr>
            <w:r>
              <w:rPr>
                <w:rFonts w:hint="default" w:ascii="Times New Roman" w:hAnsi="Times New Roman" w:cs="Times New Roman"/>
                <w:sz w:val="28"/>
                <w:szCs w:val="28"/>
                <w:vertAlign w:val="baseline"/>
                <w:lang w:val="en-US" w:eastAsia="zh-CN"/>
              </w:rPr>
              <w:t>Ethics committee approval</w:t>
            </w:r>
          </w:p>
        </w:tc>
        <w:tc>
          <w:tcPr>
            <w:tcW w:w="6600" w:type="dxa"/>
          </w:tcPr>
          <w:p>
            <w:pPr>
              <w:widowControl w:val="0"/>
              <w:numPr>
                <w:ilvl w:val="0"/>
                <w:numId w:val="0"/>
              </w:numPr>
              <w:bidi w:val="0"/>
              <w:jc w:val="both"/>
              <w:rPr>
                <w:rFonts w:hint="eastAsia" w:ascii="Times New Roman" w:hAnsi="Times New Roman" w:cs="Times New Roman"/>
                <w:sz w:val="28"/>
                <w:szCs w:val="28"/>
                <w:vertAlign w:val="baseline"/>
                <w:lang w:val="en-US" w:eastAsia="zh-CN"/>
              </w:rPr>
            </w:pPr>
            <w:r>
              <w:rPr>
                <w:rFonts w:hint="eastAsia" w:ascii="Times New Roman" w:hAnsi="Times New Roman" w:cs="Times New Roman"/>
                <w:sz w:val="28"/>
                <w:szCs w:val="28"/>
                <w:vertAlign w:val="baseline"/>
                <w:lang w:val="en-US" w:eastAsia="zh-CN"/>
              </w:rPr>
              <w:t>First of all, in the three months, design the required qualitative questionnaire, quantitative measurement scale and so on. In addition, submit the Ethics form to the University Ethics Committee and wait for approval.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347" w:hRule="atLeast"/>
        </w:trPr>
        <w:tc>
          <w:tcPr>
            <w:tcW w:w="2426" w:type="dxa"/>
          </w:tcPr>
          <w:p>
            <w:pPr>
              <w:widowControl w:val="0"/>
              <w:numPr>
                <w:ilvl w:val="0"/>
                <w:numId w:val="0"/>
              </w:numPr>
              <w:bidi w:val="0"/>
              <w:jc w:val="both"/>
              <w:rPr>
                <w:rFonts w:hint="eastAsia" w:ascii="Times New Roman" w:hAnsi="Times New Roman" w:cs="Times New Roman"/>
                <w:sz w:val="28"/>
                <w:szCs w:val="28"/>
                <w:vertAlign w:val="baseline"/>
                <w:lang w:val="en-US" w:eastAsia="zh-CN"/>
              </w:rPr>
            </w:pPr>
            <w:r>
              <w:rPr>
                <w:rFonts w:hint="eastAsia" w:ascii="Times New Roman" w:hAnsi="Times New Roman" w:cs="Times New Roman"/>
                <w:sz w:val="28"/>
                <w:szCs w:val="28"/>
                <w:vertAlign w:val="baseline"/>
                <w:lang w:val="en-US" w:eastAsia="zh-CN"/>
              </w:rPr>
              <w:t xml:space="preserve">2024.3-2024.6 </w:t>
            </w:r>
          </w:p>
          <w:p>
            <w:pPr>
              <w:widowControl w:val="0"/>
              <w:numPr>
                <w:ilvl w:val="0"/>
                <w:numId w:val="0"/>
              </w:numPr>
              <w:bidi w:val="0"/>
              <w:jc w:val="both"/>
              <w:rPr>
                <w:rFonts w:hint="default" w:ascii="Times New Roman" w:hAnsi="Times New Roman" w:cs="Times New Roman"/>
                <w:sz w:val="28"/>
                <w:szCs w:val="28"/>
                <w:vertAlign w:val="baseline"/>
                <w:lang w:val="en-US" w:eastAsia="zh-CN"/>
              </w:rPr>
            </w:pPr>
            <w:r>
              <w:rPr>
                <w:rFonts w:hint="default" w:ascii="Times New Roman" w:hAnsi="Times New Roman" w:cs="Times New Roman"/>
                <w:sz w:val="28"/>
                <w:szCs w:val="28"/>
                <w:vertAlign w:val="baseline"/>
                <w:lang w:val="en-US" w:eastAsia="zh-CN"/>
              </w:rPr>
              <w:t>Revisit</w:t>
            </w:r>
            <w:r>
              <w:rPr>
                <w:rFonts w:hint="eastAsia" w:ascii="Times New Roman" w:hAnsi="Times New Roman" w:cs="Times New Roman"/>
                <w:sz w:val="28"/>
                <w:szCs w:val="28"/>
                <w:vertAlign w:val="baseline"/>
                <w:lang w:val="en-US" w:eastAsia="zh-CN"/>
              </w:rPr>
              <w:t xml:space="preserve"> </w:t>
            </w:r>
            <w:r>
              <w:rPr>
                <w:rFonts w:hint="default" w:ascii="Times New Roman" w:hAnsi="Times New Roman" w:cs="Times New Roman"/>
                <w:sz w:val="28"/>
                <w:szCs w:val="28"/>
                <w:vertAlign w:val="baseline"/>
                <w:lang w:val="en-US" w:eastAsia="zh-CN"/>
              </w:rPr>
              <w:t>the literature review</w:t>
            </w:r>
          </w:p>
        </w:tc>
        <w:tc>
          <w:tcPr>
            <w:tcW w:w="6600" w:type="dxa"/>
          </w:tcPr>
          <w:p>
            <w:pPr>
              <w:widowControl w:val="0"/>
              <w:numPr>
                <w:ilvl w:val="0"/>
                <w:numId w:val="0"/>
              </w:numPr>
              <w:bidi w:val="0"/>
              <w:jc w:val="both"/>
              <w:rPr>
                <w:rFonts w:hint="eastAsia" w:ascii="Times New Roman" w:hAnsi="Times New Roman" w:cs="Times New Roman"/>
                <w:sz w:val="28"/>
                <w:szCs w:val="28"/>
                <w:vertAlign w:val="baseline"/>
                <w:lang w:val="en-US" w:eastAsia="zh-CN"/>
              </w:rPr>
            </w:pPr>
            <w:r>
              <w:rPr>
                <w:rFonts w:hint="eastAsia" w:ascii="Times New Roman" w:hAnsi="Times New Roman" w:cs="Times New Roman"/>
                <w:sz w:val="28"/>
                <w:szCs w:val="28"/>
                <w:vertAlign w:val="baseline"/>
                <w:lang w:val="en-US" w:eastAsia="zh-CN"/>
              </w:rPr>
              <w:t>During these three months, relevant literatures were collected and reviewed again on the basis of the previous study. To review the literature and determine the theoretical and conceptual framework of the research.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30" w:hRule="atLeast"/>
        </w:trPr>
        <w:tc>
          <w:tcPr>
            <w:tcW w:w="2426" w:type="dxa"/>
          </w:tcPr>
          <w:p>
            <w:pPr>
              <w:widowControl w:val="0"/>
              <w:numPr>
                <w:ilvl w:val="0"/>
                <w:numId w:val="0"/>
              </w:numPr>
              <w:bidi w:val="0"/>
              <w:jc w:val="both"/>
              <w:rPr>
                <w:rFonts w:hint="eastAsia" w:ascii="Times New Roman" w:hAnsi="Times New Roman" w:cs="Times New Roman"/>
                <w:sz w:val="28"/>
                <w:szCs w:val="28"/>
                <w:vertAlign w:val="baseline"/>
                <w:lang w:val="en-US" w:eastAsia="zh-CN"/>
              </w:rPr>
            </w:pPr>
            <w:r>
              <w:rPr>
                <w:rFonts w:hint="eastAsia" w:ascii="Times New Roman" w:hAnsi="Times New Roman" w:cs="Times New Roman"/>
                <w:sz w:val="28"/>
                <w:szCs w:val="28"/>
                <w:vertAlign w:val="baseline"/>
                <w:lang w:val="en-US" w:eastAsia="zh-CN"/>
              </w:rPr>
              <w:t xml:space="preserve">2024.6-2024.9 </w:t>
            </w:r>
          </w:p>
          <w:p>
            <w:pPr>
              <w:widowControl w:val="0"/>
              <w:numPr>
                <w:ilvl w:val="0"/>
                <w:numId w:val="0"/>
              </w:numPr>
              <w:bidi w:val="0"/>
              <w:jc w:val="both"/>
              <w:rPr>
                <w:rFonts w:hint="default" w:ascii="Times New Roman" w:hAnsi="Times New Roman" w:cs="Times New Roman"/>
                <w:sz w:val="28"/>
                <w:szCs w:val="28"/>
                <w:vertAlign w:val="baseline"/>
                <w:lang w:val="en-US" w:eastAsia="zh-CN"/>
              </w:rPr>
            </w:pPr>
            <w:r>
              <w:rPr>
                <w:rFonts w:hint="default" w:ascii="Times New Roman" w:hAnsi="Times New Roman" w:cs="Times New Roman"/>
                <w:sz w:val="28"/>
                <w:szCs w:val="28"/>
                <w:vertAlign w:val="baseline"/>
                <w:lang w:val="en-US" w:eastAsia="zh-CN"/>
              </w:rPr>
              <w:t>Data collection and analysis</w:t>
            </w:r>
          </w:p>
        </w:tc>
        <w:tc>
          <w:tcPr>
            <w:tcW w:w="6600" w:type="dxa"/>
          </w:tcPr>
          <w:p>
            <w:pPr>
              <w:widowControl w:val="0"/>
              <w:numPr>
                <w:ilvl w:val="0"/>
                <w:numId w:val="0"/>
              </w:numPr>
              <w:bidi w:val="0"/>
              <w:jc w:val="both"/>
              <w:rPr>
                <w:rFonts w:hint="eastAsia" w:ascii="Times New Roman" w:hAnsi="Times New Roman" w:cs="Times New Roman"/>
                <w:sz w:val="28"/>
                <w:szCs w:val="28"/>
                <w:vertAlign w:val="baseline"/>
                <w:lang w:val="en-US" w:eastAsia="zh-CN"/>
              </w:rPr>
            </w:pPr>
            <w:r>
              <w:rPr>
                <w:rFonts w:hint="eastAsia" w:ascii="Times New Roman" w:hAnsi="Times New Roman" w:cs="Times New Roman"/>
                <w:sz w:val="28"/>
                <w:szCs w:val="28"/>
                <w:vertAlign w:val="baseline"/>
                <w:lang w:val="en-US" w:eastAsia="zh-CN"/>
              </w:rPr>
              <w:t>Interviews and quantitative experiments were conducted. Collect qualitative and quantitative data. And the preliminary analysis of the data, feedback data collection results, adjustment.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98" w:hRule="atLeast"/>
        </w:trPr>
        <w:tc>
          <w:tcPr>
            <w:tcW w:w="2426" w:type="dxa"/>
          </w:tcPr>
          <w:p>
            <w:pPr>
              <w:widowControl w:val="0"/>
              <w:numPr>
                <w:ilvl w:val="0"/>
                <w:numId w:val="0"/>
              </w:numPr>
              <w:bidi w:val="0"/>
              <w:jc w:val="both"/>
              <w:rPr>
                <w:rFonts w:hint="eastAsia" w:ascii="Times New Roman" w:hAnsi="Times New Roman" w:cs="Times New Roman"/>
                <w:sz w:val="28"/>
                <w:szCs w:val="28"/>
                <w:vertAlign w:val="baseline"/>
                <w:lang w:val="en-US" w:eastAsia="zh-CN"/>
              </w:rPr>
            </w:pPr>
            <w:r>
              <w:rPr>
                <w:rFonts w:hint="eastAsia" w:ascii="Times New Roman" w:hAnsi="Times New Roman" w:cs="Times New Roman"/>
                <w:sz w:val="28"/>
                <w:szCs w:val="28"/>
                <w:vertAlign w:val="baseline"/>
                <w:lang w:val="en-US" w:eastAsia="zh-CN"/>
              </w:rPr>
              <w:t>2024.9-2025.3</w:t>
            </w:r>
          </w:p>
          <w:p>
            <w:pPr>
              <w:widowControl w:val="0"/>
              <w:numPr>
                <w:ilvl w:val="0"/>
                <w:numId w:val="0"/>
              </w:numPr>
              <w:bidi w:val="0"/>
              <w:jc w:val="both"/>
              <w:rPr>
                <w:rFonts w:hint="default" w:ascii="Times New Roman" w:hAnsi="Times New Roman" w:cs="Times New Roman"/>
                <w:sz w:val="28"/>
                <w:szCs w:val="28"/>
                <w:vertAlign w:val="baseline"/>
                <w:lang w:val="en-US" w:eastAsia="zh-CN"/>
              </w:rPr>
            </w:pPr>
            <w:r>
              <w:rPr>
                <w:rFonts w:hint="default" w:ascii="Times New Roman" w:hAnsi="Times New Roman" w:cs="Times New Roman"/>
                <w:sz w:val="28"/>
                <w:szCs w:val="28"/>
                <w:vertAlign w:val="baseline"/>
                <w:lang w:val="en-US" w:eastAsia="zh-CN"/>
              </w:rPr>
              <w:t>Deep writing</w:t>
            </w:r>
          </w:p>
        </w:tc>
        <w:tc>
          <w:tcPr>
            <w:tcW w:w="6600" w:type="dxa"/>
          </w:tcPr>
          <w:p>
            <w:pPr>
              <w:widowControl w:val="0"/>
              <w:numPr>
                <w:ilvl w:val="0"/>
                <w:numId w:val="0"/>
              </w:numPr>
              <w:bidi w:val="0"/>
              <w:jc w:val="both"/>
              <w:rPr>
                <w:rFonts w:hint="eastAsia" w:ascii="Times New Roman" w:hAnsi="Times New Roman" w:cs="Times New Roman"/>
                <w:sz w:val="28"/>
                <w:szCs w:val="28"/>
                <w:vertAlign w:val="baseline"/>
                <w:lang w:val="en-US" w:eastAsia="zh-CN"/>
              </w:rPr>
            </w:pPr>
            <w:r>
              <w:rPr>
                <w:rFonts w:hint="eastAsia" w:ascii="Times New Roman" w:hAnsi="Times New Roman" w:cs="Times New Roman"/>
                <w:sz w:val="28"/>
                <w:szCs w:val="28"/>
                <w:vertAlign w:val="baseline"/>
                <w:lang w:val="en-US" w:eastAsia="zh-CN"/>
              </w:rPr>
              <w:t>Complete data analysis to ensure answers to research questions. Start writing the chapters of your research paper. Write continuously and report your progress to your instructor regularly. Conduct preliminary revision of the thesis.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44" w:hRule="atLeast"/>
        </w:trPr>
        <w:tc>
          <w:tcPr>
            <w:tcW w:w="2426" w:type="dxa"/>
          </w:tcPr>
          <w:p>
            <w:pPr>
              <w:widowControl w:val="0"/>
              <w:numPr>
                <w:ilvl w:val="0"/>
                <w:numId w:val="0"/>
              </w:numPr>
              <w:bidi w:val="0"/>
              <w:jc w:val="both"/>
              <w:rPr>
                <w:rFonts w:hint="eastAsia" w:ascii="Times New Roman" w:hAnsi="Times New Roman" w:cs="Times New Roman"/>
                <w:sz w:val="28"/>
                <w:szCs w:val="28"/>
                <w:vertAlign w:val="baseline"/>
                <w:lang w:val="en-US" w:eastAsia="zh-CN"/>
              </w:rPr>
            </w:pPr>
            <w:r>
              <w:rPr>
                <w:rFonts w:hint="eastAsia" w:ascii="Times New Roman" w:hAnsi="Times New Roman" w:cs="Times New Roman"/>
                <w:sz w:val="28"/>
                <w:szCs w:val="28"/>
                <w:vertAlign w:val="baseline"/>
                <w:lang w:val="en-US" w:eastAsia="zh-CN"/>
              </w:rPr>
              <w:t>2025.3-2025.6</w:t>
            </w:r>
          </w:p>
          <w:p>
            <w:pPr>
              <w:widowControl w:val="0"/>
              <w:numPr>
                <w:ilvl w:val="0"/>
                <w:numId w:val="0"/>
              </w:numPr>
              <w:bidi w:val="0"/>
              <w:jc w:val="both"/>
              <w:rPr>
                <w:rFonts w:hint="default" w:ascii="Times New Roman" w:hAnsi="Times New Roman" w:cs="Times New Roman"/>
                <w:sz w:val="28"/>
                <w:szCs w:val="28"/>
                <w:vertAlign w:val="baseline"/>
                <w:lang w:val="en-US" w:eastAsia="zh-CN"/>
              </w:rPr>
            </w:pPr>
            <w:r>
              <w:rPr>
                <w:rFonts w:hint="default" w:ascii="Times New Roman" w:hAnsi="Times New Roman" w:cs="Times New Roman"/>
                <w:sz w:val="28"/>
                <w:szCs w:val="28"/>
                <w:vertAlign w:val="baseline"/>
                <w:lang w:val="en-US" w:eastAsia="zh-CN"/>
              </w:rPr>
              <w:t>Submit thesis and  defense</w:t>
            </w:r>
          </w:p>
        </w:tc>
        <w:tc>
          <w:tcPr>
            <w:tcW w:w="6600" w:type="dxa"/>
          </w:tcPr>
          <w:p>
            <w:pPr>
              <w:widowControl w:val="0"/>
              <w:numPr>
                <w:ilvl w:val="0"/>
                <w:numId w:val="0"/>
              </w:numPr>
              <w:bidi w:val="0"/>
              <w:jc w:val="both"/>
              <w:rPr>
                <w:rFonts w:hint="default" w:ascii="Times New Roman" w:hAnsi="Times New Roman" w:cs="Times New Roman"/>
                <w:sz w:val="28"/>
                <w:szCs w:val="28"/>
                <w:vertAlign w:val="baseline"/>
                <w:lang w:val="en-US" w:eastAsia="zh-CN"/>
              </w:rPr>
            </w:pPr>
            <w:r>
              <w:rPr>
                <w:rFonts w:hint="eastAsia" w:ascii="Times New Roman" w:hAnsi="Times New Roman" w:cs="Times New Roman"/>
                <w:sz w:val="28"/>
                <w:szCs w:val="28"/>
                <w:vertAlign w:val="baseline"/>
                <w:lang w:val="en-US" w:eastAsia="zh-CN"/>
              </w:rPr>
              <w:t>Submit the final version of the thesis. Defend the doctoral thesis.</w:t>
            </w:r>
          </w:p>
        </w:tc>
      </w:tr>
    </w:tbl>
    <w:p>
      <w:pPr>
        <w:widowControl w:val="0"/>
        <w:numPr>
          <w:ilvl w:val="0"/>
          <w:numId w:val="0"/>
        </w:numPr>
        <w:bidi w:val="0"/>
        <w:jc w:val="both"/>
        <w:rPr>
          <w:rFonts w:hint="default" w:ascii="Times New Roman" w:hAnsi="Times New Roman" w:cs="Times New Roman"/>
          <w:sz w:val="28"/>
          <w:szCs w:val="28"/>
          <w:lang w:val="en-US" w:eastAsia="zh-CN"/>
        </w:rPr>
      </w:pPr>
    </w:p>
    <w:p>
      <w:pPr>
        <w:widowControl w:val="0"/>
        <w:numPr>
          <w:ilvl w:val="0"/>
          <w:numId w:val="0"/>
        </w:numPr>
        <w:bidi w:val="0"/>
        <w:jc w:val="both"/>
        <w:rPr>
          <w:rFonts w:hint="default" w:ascii="Times New Roman" w:hAnsi="Times New Roman" w:cs="Times New Roman"/>
          <w:sz w:val="28"/>
          <w:szCs w:val="28"/>
          <w:lang w:val="en-US" w:eastAsia="zh-CN"/>
        </w:rPr>
      </w:pPr>
    </w:p>
    <w:p>
      <w:pPr>
        <w:widowControl w:val="0"/>
        <w:numPr>
          <w:ilvl w:val="0"/>
          <w:numId w:val="0"/>
        </w:numPr>
        <w:bidi w:val="0"/>
        <w:jc w:val="both"/>
        <w:rPr>
          <w:rFonts w:hint="default" w:ascii="Times New Roman" w:hAnsi="Times New Roman" w:cs="Times New Roman"/>
          <w:sz w:val="28"/>
          <w:szCs w:val="28"/>
          <w:lang w:val="en-US" w:eastAsia="zh-CN"/>
        </w:rPr>
      </w:pPr>
    </w:p>
    <w:p>
      <w:pPr>
        <w:widowControl w:val="0"/>
        <w:numPr>
          <w:ilvl w:val="0"/>
          <w:numId w:val="0"/>
        </w:numPr>
        <w:bidi w:val="0"/>
        <w:jc w:val="both"/>
        <w:rPr>
          <w:rFonts w:hint="default" w:ascii="Times New Roman" w:hAnsi="Times New Roman" w:cs="Times New Roman"/>
          <w:sz w:val="28"/>
          <w:szCs w:val="28"/>
          <w:lang w:val="en-US" w:eastAsia="zh-CN"/>
        </w:rPr>
      </w:pPr>
    </w:p>
    <w:p>
      <w:pPr>
        <w:widowControl w:val="0"/>
        <w:numPr>
          <w:ilvl w:val="0"/>
          <w:numId w:val="0"/>
        </w:numPr>
        <w:bidi w:val="0"/>
        <w:jc w:val="both"/>
        <w:rPr>
          <w:rFonts w:hint="default" w:ascii="Times New Roman" w:hAnsi="Times New Roman" w:cs="Times New Roman"/>
          <w:sz w:val="28"/>
          <w:szCs w:val="28"/>
          <w:lang w:val="en-US" w:eastAsia="zh-CN"/>
        </w:rPr>
      </w:pPr>
    </w:p>
    <w:p>
      <w:pPr>
        <w:widowControl w:val="0"/>
        <w:numPr>
          <w:ilvl w:val="0"/>
          <w:numId w:val="0"/>
        </w:numPr>
        <w:bidi w:val="0"/>
        <w:jc w:val="both"/>
        <w:rPr>
          <w:rFonts w:hint="default" w:ascii="Times New Roman" w:hAnsi="Times New Roman" w:cs="Times New Roman"/>
          <w:sz w:val="28"/>
          <w:szCs w:val="28"/>
          <w:lang w:val="en-US" w:eastAsia="zh-CN"/>
        </w:rPr>
      </w:pPr>
    </w:p>
    <w:p>
      <w:pPr>
        <w:widowControl w:val="0"/>
        <w:numPr>
          <w:ilvl w:val="0"/>
          <w:numId w:val="0"/>
        </w:numPr>
        <w:bidi w:val="0"/>
        <w:jc w:val="both"/>
        <w:rPr>
          <w:rFonts w:hint="default" w:ascii="Times New Roman" w:hAnsi="Times New Roman" w:cs="Times New Roman"/>
          <w:sz w:val="28"/>
          <w:szCs w:val="28"/>
          <w:lang w:val="en-US" w:eastAsia="zh-CN"/>
        </w:rPr>
      </w:pPr>
    </w:p>
    <w:p>
      <w:pPr>
        <w:widowControl w:val="0"/>
        <w:numPr>
          <w:ilvl w:val="0"/>
          <w:numId w:val="0"/>
        </w:numPr>
        <w:bidi w:val="0"/>
        <w:jc w:val="both"/>
        <w:rPr>
          <w:rFonts w:hint="default" w:ascii="Times New Roman" w:hAnsi="Times New Roman" w:cs="Times New Roman"/>
          <w:sz w:val="28"/>
          <w:szCs w:val="28"/>
          <w:lang w:val="en-US" w:eastAsia="zh-CN"/>
        </w:rPr>
      </w:pPr>
    </w:p>
    <w:p>
      <w:pPr>
        <w:widowControl w:val="0"/>
        <w:numPr>
          <w:ilvl w:val="0"/>
          <w:numId w:val="0"/>
        </w:numPr>
        <w:bidi w:val="0"/>
        <w:jc w:val="both"/>
        <w:rPr>
          <w:rFonts w:hint="default" w:ascii="Times New Roman" w:hAnsi="Times New Roman" w:cs="Times New Roman"/>
          <w:sz w:val="28"/>
          <w:szCs w:val="28"/>
          <w:lang w:val="en-US" w:eastAsia="zh-CN"/>
        </w:rPr>
      </w:pPr>
    </w:p>
    <w:p>
      <w:pPr>
        <w:widowControl w:val="0"/>
        <w:numPr>
          <w:ilvl w:val="0"/>
          <w:numId w:val="0"/>
        </w:numPr>
        <w:bidi w:val="0"/>
        <w:jc w:val="both"/>
        <w:rPr>
          <w:rFonts w:hint="default" w:ascii="Times New Roman" w:hAnsi="Times New Roman" w:cs="Times New Roman"/>
          <w:sz w:val="28"/>
          <w:szCs w:val="28"/>
          <w:lang w:val="en-US" w:eastAsia="zh-CN"/>
        </w:rPr>
      </w:pPr>
    </w:p>
    <w:p>
      <w:pPr>
        <w:widowControl w:val="0"/>
        <w:numPr>
          <w:ilvl w:val="0"/>
          <w:numId w:val="0"/>
        </w:numPr>
        <w:bidi w:val="0"/>
        <w:jc w:val="both"/>
        <w:rPr>
          <w:rFonts w:hint="default" w:ascii="Times New Roman" w:hAnsi="Times New Roman" w:cs="Times New Roman"/>
          <w:sz w:val="28"/>
          <w:szCs w:val="28"/>
          <w:lang w:val="en-US" w:eastAsia="zh-CN"/>
        </w:rPr>
      </w:pPr>
    </w:p>
    <w:p>
      <w:pPr>
        <w:widowControl w:val="0"/>
        <w:numPr>
          <w:ilvl w:val="0"/>
          <w:numId w:val="0"/>
        </w:numPr>
        <w:bidi w:val="0"/>
        <w:jc w:val="both"/>
        <w:rPr>
          <w:rFonts w:hint="default" w:ascii="Times New Roman" w:hAnsi="Times New Roman" w:cs="Times New Roman"/>
          <w:sz w:val="28"/>
          <w:szCs w:val="28"/>
          <w:lang w:val="en-US" w:eastAsia="zh-CN"/>
        </w:rPr>
      </w:pPr>
    </w:p>
    <w:p>
      <w:pPr>
        <w:widowControl w:val="0"/>
        <w:numPr>
          <w:ilvl w:val="0"/>
          <w:numId w:val="0"/>
        </w:numPr>
        <w:bidi w:val="0"/>
        <w:jc w:val="both"/>
        <w:rPr>
          <w:rFonts w:hint="eastAsia"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References:</w:t>
      </w:r>
    </w:p>
    <w:p>
      <w:pPr>
        <w:widowControl w:val="0"/>
        <w:numPr>
          <w:ilvl w:val="0"/>
          <w:numId w:val="0"/>
        </w:numPr>
        <w:bidi w:val="0"/>
        <w:jc w:val="both"/>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Carroll, A. B. (2016). Carroll’s pyramid of CSR: taking another look. </w:t>
      </w:r>
      <w:r>
        <w:rPr>
          <w:rFonts w:hint="default" w:ascii="Times New Roman" w:hAnsi="Times New Roman" w:cs="Times New Roman"/>
          <w:i/>
          <w:iCs/>
          <w:sz w:val="28"/>
          <w:szCs w:val="28"/>
          <w:lang w:val="en-US" w:eastAsia="zh-CN"/>
        </w:rPr>
        <w:t>International journal of corporate social responsibility</w:t>
      </w:r>
      <w:r>
        <w:rPr>
          <w:rFonts w:hint="default" w:ascii="Times New Roman" w:hAnsi="Times New Roman" w:cs="Times New Roman"/>
          <w:sz w:val="28"/>
          <w:szCs w:val="28"/>
          <w:lang w:val="en-US" w:eastAsia="zh-CN"/>
        </w:rPr>
        <w:t>, 1(1), 1-8.</w:t>
      </w:r>
    </w:p>
    <w:p>
      <w:pPr>
        <w:widowControl w:val="0"/>
        <w:numPr>
          <w:ilvl w:val="0"/>
          <w:numId w:val="0"/>
        </w:numPr>
        <w:bidi w:val="0"/>
        <w:jc w:val="both"/>
        <w:rPr>
          <w:rFonts w:hint="default" w:ascii="Times New Roman" w:hAnsi="Times New Roman" w:cs="Times New Roman"/>
          <w:sz w:val="28"/>
          <w:szCs w:val="28"/>
          <w:lang w:val="en-US" w:eastAsia="zh-CN"/>
        </w:rPr>
      </w:pPr>
    </w:p>
    <w:p>
      <w:pPr>
        <w:widowControl w:val="0"/>
        <w:numPr>
          <w:ilvl w:val="0"/>
          <w:numId w:val="0"/>
        </w:numPr>
        <w:bidi w:val="0"/>
        <w:jc w:val="both"/>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Cummings, S. L., e Silva, F. D. S., &amp; Trubek, L. G. (Eds.). (2022). </w:t>
      </w:r>
      <w:r>
        <w:rPr>
          <w:rFonts w:hint="default" w:ascii="Times New Roman" w:hAnsi="Times New Roman" w:cs="Times New Roman"/>
          <w:i/>
          <w:iCs/>
          <w:sz w:val="28"/>
          <w:szCs w:val="28"/>
          <w:lang w:val="en-US" w:eastAsia="zh-CN"/>
        </w:rPr>
        <w:t>Global Pro Bono</w:t>
      </w:r>
      <w:r>
        <w:rPr>
          <w:rFonts w:hint="default" w:ascii="Times New Roman" w:hAnsi="Times New Roman" w:cs="Times New Roman"/>
          <w:sz w:val="28"/>
          <w:szCs w:val="28"/>
          <w:lang w:val="en-US" w:eastAsia="zh-CN"/>
        </w:rPr>
        <w:t>. Cambridge University Press.</w:t>
      </w:r>
    </w:p>
    <w:p>
      <w:pPr>
        <w:widowControl w:val="0"/>
        <w:numPr>
          <w:ilvl w:val="0"/>
          <w:numId w:val="0"/>
        </w:numPr>
        <w:bidi w:val="0"/>
        <w:jc w:val="both"/>
        <w:rPr>
          <w:rFonts w:hint="default" w:ascii="Times New Roman" w:hAnsi="Times New Roman" w:cs="Times New Roman"/>
          <w:sz w:val="28"/>
          <w:szCs w:val="28"/>
          <w:lang w:val="en-US" w:eastAsia="zh-CN"/>
        </w:rPr>
      </w:pPr>
    </w:p>
    <w:p>
      <w:pPr>
        <w:widowControl w:val="0"/>
        <w:numPr>
          <w:ilvl w:val="0"/>
          <w:numId w:val="0"/>
        </w:numPr>
        <w:bidi w:val="0"/>
        <w:jc w:val="both"/>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Dong, J. (2022,). The Institutionalization of Pro Bono in China. In 2022 8th International Conference on Humanities and Social Science Research (ICHSSR 2022) (pp. 983-987). </w:t>
      </w:r>
      <w:r>
        <w:rPr>
          <w:rFonts w:hint="default" w:ascii="Times New Roman" w:hAnsi="Times New Roman" w:cs="Times New Roman"/>
          <w:i/>
          <w:iCs/>
          <w:sz w:val="28"/>
          <w:szCs w:val="28"/>
          <w:lang w:val="en-US" w:eastAsia="zh-CN"/>
        </w:rPr>
        <w:t>Atlantis Press.</w:t>
      </w:r>
    </w:p>
    <w:p>
      <w:pPr>
        <w:widowControl w:val="0"/>
        <w:numPr>
          <w:ilvl w:val="0"/>
          <w:numId w:val="0"/>
        </w:numPr>
        <w:bidi w:val="0"/>
        <w:jc w:val="both"/>
        <w:rPr>
          <w:rFonts w:hint="default" w:ascii="Times New Roman" w:hAnsi="Times New Roman" w:cs="Times New Roman"/>
          <w:sz w:val="28"/>
          <w:szCs w:val="28"/>
          <w:lang w:val="en-US" w:eastAsia="zh-CN"/>
        </w:rPr>
      </w:pPr>
    </w:p>
    <w:p>
      <w:pPr>
        <w:widowControl w:val="0"/>
        <w:numPr>
          <w:ilvl w:val="0"/>
          <w:numId w:val="0"/>
        </w:numPr>
        <w:bidi w:val="0"/>
        <w:jc w:val="both"/>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Ferguson,(2005).Perspectives on a great tradition: proudly pro bono Proctor.</w:t>
      </w:r>
      <w:r>
        <w:rPr>
          <w:rFonts w:hint="default" w:ascii="Times New Roman" w:hAnsi="Times New Roman" w:cs="Times New Roman"/>
          <w:i/>
          <w:iCs/>
          <w:sz w:val="28"/>
          <w:szCs w:val="28"/>
          <w:lang w:val="en-US" w:eastAsia="zh-CN"/>
        </w:rPr>
        <w:t xml:space="preserve"> Journal of the Queensland Law Society 2.</w:t>
      </w:r>
    </w:p>
    <w:p>
      <w:pPr>
        <w:widowControl w:val="0"/>
        <w:numPr>
          <w:ilvl w:val="0"/>
          <w:numId w:val="0"/>
        </w:numPr>
        <w:bidi w:val="0"/>
        <w:jc w:val="both"/>
        <w:rPr>
          <w:rFonts w:hint="default" w:ascii="Times New Roman" w:hAnsi="Times New Roman" w:cs="Times New Roman"/>
          <w:sz w:val="28"/>
          <w:szCs w:val="28"/>
          <w:lang w:val="en-US" w:eastAsia="zh-CN"/>
        </w:rPr>
      </w:pPr>
    </w:p>
    <w:p>
      <w:pPr>
        <w:widowControl w:val="0"/>
        <w:numPr>
          <w:ilvl w:val="0"/>
          <w:numId w:val="0"/>
        </w:numPr>
        <w:bidi w:val="0"/>
        <w:jc w:val="both"/>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Fu, H,L（2020） Pro Bono, Legal Aid, and the Struggle for Justice in China ( 2020). </w:t>
      </w:r>
      <w:r>
        <w:rPr>
          <w:rFonts w:hint="default" w:ascii="Times New Roman" w:hAnsi="Times New Roman" w:cs="Times New Roman"/>
          <w:i/>
          <w:iCs/>
          <w:sz w:val="28"/>
          <w:szCs w:val="28"/>
          <w:lang w:val="en-US" w:eastAsia="zh-CN"/>
        </w:rPr>
        <w:t xml:space="preserve">University of Hong Kong Faculty of Law Research Paper </w:t>
      </w:r>
      <w:r>
        <w:rPr>
          <w:rFonts w:hint="default" w:ascii="Times New Roman" w:hAnsi="Times New Roman" w:cs="Times New Roman"/>
          <w:sz w:val="28"/>
          <w:szCs w:val="28"/>
          <w:lang w:val="en-US" w:eastAsia="zh-CN"/>
        </w:rPr>
        <w:t>No. 2020/073</w:t>
      </w:r>
    </w:p>
    <w:p>
      <w:pPr>
        <w:widowControl w:val="0"/>
        <w:numPr>
          <w:ilvl w:val="0"/>
          <w:numId w:val="0"/>
        </w:numPr>
        <w:bidi w:val="0"/>
        <w:jc w:val="both"/>
        <w:rPr>
          <w:rFonts w:hint="default" w:ascii="Times New Roman" w:hAnsi="Times New Roman" w:cs="Times New Roman"/>
          <w:sz w:val="28"/>
          <w:szCs w:val="28"/>
          <w:lang w:val="en-US" w:eastAsia="zh-CN"/>
        </w:rPr>
      </w:pPr>
    </w:p>
    <w:p>
      <w:pPr>
        <w:widowControl w:val="0"/>
        <w:numPr>
          <w:ilvl w:val="0"/>
          <w:numId w:val="0"/>
        </w:numPr>
        <w:bidi w:val="0"/>
        <w:jc w:val="both"/>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Granfield, R. (2007), The Meaning of Pro Bono: Institutional Variations in Professional Obligations among Lawyers.</w:t>
      </w:r>
      <w:r>
        <w:rPr>
          <w:rFonts w:hint="default" w:ascii="Times New Roman" w:hAnsi="Times New Roman" w:cs="Times New Roman"/>
          <w:i/>
          <w:iCs/>
          <w:sz w:val="28"/>
          <w:szCs w:val="28"/>
          <w:lang w:val="en-US" w:eastAsia="zh-CN"/>
        </w:rPr>
        <w:t xml:space="preserve"> Law &amp; Society Review,</w:t>
      </w:r>
      <w:r>
        <w:rPr>
          <w:rFonts w:hint="default" w:ascii="Times New Roman" w:hAnsi="Times New Roman" w:cs="Times New Roman"/>
          <w:sz w:val="28"/>
          <w:szCs w:val="28"/>
          <w:lang w:val="en-US" w:eastAsia="zh-CN"/>
        </w:rPr>
        <w:t xml:space="preserve"> 41: 113-146</w:t>
      </w:r>
    </w:p>
    <w:p>
      <w:pPr>
        <w:widowControl w:val="0"/>
        <w:numPr>
          <w:ilvl w:val="0"/>
          <w:numId w:val="0"/>
        </w:numPr>
        <w:bidi w:val="0"/>
        <w:jc w:val="both"/>
        <w:rPr>
          <w:rFonts w:hint="default" w:ascii="Times New Roman" w:hAnsi="Times New Roman" w:cs="Times New Roman"/>
          <w:sz w:val="28"/>
          <w:szCs w:val="28"/>
          <w:lang w:val="en-US" w:eastAsia="zh-CN"/>
        </w:rPr>
      </w:pPr>
    </w:p>
    <w:p>
      <w:pPr>
        <w:widowControl w:val="0"/>
        <w:numPr>
          <w:ilvl w:val="0"/>
          <w:numId w:val="0"/>
        </w:numPr>
        <w:bidi w:val="0"/>
        <w:jc w:val="both"/>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Granfield.R and Mather,L.（2009）."Pro bono, the public good, and the legal profession: An introduction.” </w:t>
      </w:r>
      <w:r>
        <w:rPr>
          <w:rFonts w:hint="default" w:ascii="Times New Roman" w:hAnsi="Times New Roman" w:cs="Times New Roman"/>
          <w:i/>
          <w:iCs/>
          <w:sz w:val="28"/>
          <w:szCs w:val="28"/>
          <w:lang w:val="en-US" w:eastAsia="zh-CN"/>
        </w:rPr>
        <w:t>Oxford University Press</w:t>
      </w:r>
      <w:r>
        <w:rPr>
          <w:rFonts w:hint="default" w:ascii="Times New Roman" w:hAnsi="Times New Roman" w:cs="Times New Roman"/>
          <w:sz w:val="28"/>
          <w:szCs w:val="28"/>
          <w:lang w:val="en-US" w:eastAsia="zh-CN"/>
        </w:rPr>
        <w:t xml:space="preserve">, 2009, pp.1-22. </w:t>
      </w:r>
    </w:p>
    <w:p>
      <w:pPr>
        <w:widowControl w:val="0"/>
        <w:numPr>
          <w:ilvl w:val="0"/>
          <w:numId w:val="0"/>
        </w:numPr>
        <w:bidi w:val="0"/>
        <w:jc w:val="both"/>
        <w:rPr>
          <w:rFonts w:hint="default" w:ascii="Times New Roman" w:hAnsi="Times New Roman" w:cs="Times New Roman"/>
          <w:sz w:val="28"/>
          <w:szCs w:val="28"/>
          <w:lang w:val="en-US" w:eastAsia="zh-CN"/>
        </w:rPr>
      </w:pPr>
    </w:p>
    <w:p>
      <w:pPr>
        <w:widowControl w:val="0"/>
        <w:numPr>
          <w:ilvl w:val="0"/>
          <w:numId w:val="0"/>
        </w:numPr>
        <w:bidi w:val="0"/>
        <w:jc w:val="both"/>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Greenwood, R., Raynard, M., Kodeih, F., Micelotta, E. R., &amp; Lounsbury, M. (2011). Institutional complexity and organizational responses. </w:t>
      </w:r>
      <w:r>
        <w:rPr>
          <w:rFonts w:hint="default" w:ascii="Times New Roman" w:hAnsi="Times New Roman" w:cs="Times New Roman"/>
          <w:i/>
          <w:iCs/>
          <w:sz w:val="28"/>
          <w:szCs w:val="28"/>
          <w:lang w:val="en-US" w:eastAsia="zh-CN"/>
        </w:rPr>
        <w:t>Academy of Management annals</w:t>
      </w:r>
      <w:r>
        <w:rPr>
          <w:rFonts w:hint="default" w:ascii="Times New Roman" w:hAnsi="Times New Roman" w:cs="Times New Roman"/>
          <w:sz w:val="28"/>
          <w:szCs w:val="28"/>
          <w:lang w:val="en-US" w:eastAsia="zh-CN"/>
        </w:rPr>
        <w:t>, 5(1), 317-371.</w:t>
      </w:r>
    </w:p>
    <w:p>
      <w:pPr>
        <w:widowControl w:val="0"/>
        <w:numPr>
          <w:ilvl w:val="0"/>
          <w:numId w:val="0"/>
        </w:numPr>
        <w:bidi w:val="0"/>
        <w:jc w:val="both"/>
        <w:rPr>
          <w:rFonts w:hint="default" w:ascii="Times New Roman" w:hAnsi="Times New Roman" w:cs="Times New Roman"/>
          <w:sz w:val="28"/>
          <w:szCs w:val="28"/>
          <w:lang w:val="en-US" w:eastAsia="zh-CN"/>
        </w:rPr>
      </w:pPr>
    </w:p>
    <w:p>
      <w:pPr>
        <w:widowControl w:val="0"/>
        <w:numPr>
          <w:ilvl w:val="0"/>
          <w:numId w:val="0"/>
        </w:numPr>
        <w:bidi w:val="0"/>
        <w:jc w:val="both"/>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Hilary,S.(2007) ‘Researching and Theorizing the Processes of Professional Identity Formation’ 34(2) </w:t>
      </w:r>
      <w:r>
        <w:rPr>
          <w:rFonts w:hint="default" w:ascii="Times New Roman" w:hAnsi="Times New Roman" w:cs="Times New Roman"/>
          <w:i/>
          <w:iCs/>
          <w:sz w:val="28"/>
          <w:szCs w:val="28"/>
          <w:lang w:val="en-US" w:eastAsia="zh-CN"/>
        </w:rPr>
        <w:t>Journal of Law &amp; Society 190</w:t>
      </w:r>
      <w:r>
        <w:rPr>
          <w:rFonts w:hint="default" w:ascii="Times New Roman" w:hAnsi="Times New Roman" w:cs="Times New Roman"/>
          <w:sz w:val="28"/>
          <w:szCs w:val="28"/>
          <w:lang w:val="en-US" w:eastAsia="zh-CN"/>
        </w:rPr>
        <w:t>.</w:t>
      </w:r>
    </w:p>
    <w:p>
      <w:pPr>
        <w:widowControl w:val="0"/>
        <w:numPr>
          <w:ilvl w:val="0"/>
          <w:numId w:val="0"/>
        </w:numPr>
        <w:bidi w:val="0"/>
        <w:jc w:val="both"/>
        <w:rPr>
          <w:rFonts w:hint="default" w:ascii="Times New Roman" w:hAnsi="Times New Roman" w:cs="Times New Roman"/>
          <w:sz w:val="28"/>
          <w:szCs w:val="28"/>
          <w:lang w:val="en-US" w:eastAsia="zh-CN"/>
        </w:rPr>
      </w:pPr>
    </w:p>
    <w:p>
      <w:pPr>
        <w:widowControl w:val="0"/>
        <w:numPr>
          <w:ilvl w:val="0"/>
          <w:numId w:val="0"/>
        </w:numPr>
        <w:bidi w:val="0"/>
        <w:jc w:val="both"/>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Jay, J. (2013). Navigating paradox as a mechanism of change and innovation in hybrid organizations. </w:t>
      </w:r>
      <w:r>
        <w:rPr>
          <w:rFonts w:hint="default" w:ascii="Times New Roman" w:hAnsi="Times New Roman" w:cs="Times New Roman"/>
          <w:i/>
          <w:iCs/>
          <w:sz w:val="28"/>
          <w:szCs w:val="28"/>
          <w:lang w:val="en-US" w:eastAsia="zh-CN"/>
        </w:rPr>
        <w:t>Academy of management journal</w:t>
      </w:r>
      <w:r>
        <w:rPr>
          <w:rFonts w:hint="default" w:ascii="Times New Roman" w:hAnsi="Times New Roman" w:cs="Times New Roman"/>
          <w:sz w:val="28"/>
          <w:szCs w:val="28"/>
          <w:lang w:val="en-US" w:eastAsia="zh-CN"/>
        </w:rPr>
        <w:t>, 56(1), 137-159.</w:t>
      </w:r>
    </w:p>
    <w:p>
      <w:pPr>
        <w:widowControl w:val="0"/>
        <w:numPr>
          <w:ilvl w:val="0"/>
          <w:numId w:val="0"/>
        </w:numPr>
        <w:bidi w:val="0"/>
        <w:jc w:val="both"/>
        <w:rPr>
          <w:rFonts w:hint="default" w:ascii="Times New Roman" w:hAnsi="Times New Roman" w:cs="Times New Roman"/>
          <w:sz w:val="28"/>
          <w:szCs w:val="28"/>
          <w:lang w:val="en-US" w:eastAsia="zh-CN"/>
        </w:rPr>
      </w:pPr>
    </w:p>
    <w:p>
      <w:pPr>
        <w:widowControl w:val="0"/>
        <w:numPr>
          <w:ilvl w:val="0"/>
          <w:numId w:val="0"/>
        </w:numPr>
        <w:bidi w:val="0"/>
        <w:jc w:val="both"/>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Jolink, A., &amp; Niesten, E. (2015). Sustainable development and business models of entrepreneurs in the organic food industry. </w:t>
      </w:r>
      <w:r>
        <w:rPr>
          <w:rFonts w:hint="default" w:ascii="Times New Roman" w:hAnsi="Times New Roman" w:cs="Times New Roman"/>
          <w:i/>
          <w:iCs/>
          <w:sz w:val="28"/>
          <w:szCs w:val="28"/>
          <w:lang w:val="en-US" w:eastAsia="zh-CN"/>
        </w:rPr>
        <w:t>Business Strategy and the Environment</w:t>
      </w:r>
      <w:r>
        <w:rPr>
          <w:rFonts w:hint="default" w:ascii="Times New Roman" w:hAnsi="Times New Roman" w:cs="Times New Roman"/>
          <w:sz w:val="28"/>
          <w:szCs w:val="28"/>
          <w:lang w:val="en-US" w:eastAsia="zh-CN"/>
        </w:rPr>
        <w:t>, 24(6), 386-401. https://doi.org/10.1002/bse.1826</w:t>
      </w:r>
    </w:p>
    <w:p>
      <w:pPr>
        <w:widowControl w:val="0"/>
        <w:numPr>
          <w:ilvl w:val="0"/>
          <w:numId w:val="0"/>
        </w:numPr>
        <w:bidi w:val="0"/>
        <w:jc w:val="both"/>
        <w:rPr>
          <w:rFonts w:hint="default" w:ascii="Times New Roman" w:hAnsi="Times New Roman" w:cs="Times New Roman"/>
          <w:sz w:val="28"/>
          <w:szCs w:val="28"/>
          <w:lang w:val="en-US" w:eastAsia="zh-CN"/>
        </w:rPr>
      </w:pPr>
    </w:p>
    <w:p>
      <w:pPr>
        <w:widowControl w:val="0"/>
        <w:numPr>
          <w:ilvl w:val="0"/>
          <w:numId w:val="0"/>
        </w:numPr>
        <w:bidi w:val="0"/>
        <w:jc w:val="both"/>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Kay, F., &amp; Granfield, R. (2023). Altruism at Work: An Integrated Approach to Voluntary Service among Private Practice Lawyers. </w:t>
      </w:r>
      <w:r>
        <w:rPr>
          <w:rFonts w:hint="default" w:ascii="Times New Roman" w:hAnsi="Times New Roman" w:cs="Times New Roman"/>
          <w:i/>
          <w:iCs/>
          <w:sz w:val="28"/>
          <w:szCs w:val="28"/>
          <w:lang w:val="en-US" w:eastAsia="zh-CN"/>
        </w:rPr>
        <w:t>Law &amp; Social Inquiry</w:t>
      </w:r>
      <w:r>
        <w:rPr>
          <w:rFonts w:hint="default" w:ascii="Times New Roman" w:hAnsi="Times New Roman" w:cs="Times New Roman"/>
          <w:sz w:val="28"/>
          <w:szCs w:val="28"/>
          <w:lang w:val="en-US" w:eastAsia="zh-CN"/>
        </w:rPr>
        <w:t>, 48(2), 593-631. doi:10.1017/lsi.2022.42</w:t>
      </w:r>
    </w:p>
    <w:p>
      <w:pPr>
        <w:widowControl w:val="0"/>
        <w:numPr>
          <w:ilvl w:val="0"/>
          <w:numId w:val="0"/>
        </w:numPr>
        <w:bidi w:val="0"/>
        <w:jc w:val="both"/>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Lee, B., &amp; Saunders, M. (2017). conducting case study research for business and management students. </w:t>
      </w:r>
      <w:r>
        <w:rPr>
          <w:rFonts w:hint="default" w:ascii="Times New Roman" w:hAnsi="Times New Roman" w:cs="Times New Roman"/>
          <w:i/>
          <w:iCs/>
          <w:sz w:val="28"/>
          <w:szCs w:val="28"/>
          <w:lang w:val="en-US" w:eastAsia="zh-CN"/>
        </w:rPr>
        <w:t>SAGE Publications Ltd</w:t>
      </w:r>
      <w:r>
        <w:rPr>
          <w:rFonts w:hint="default" w:ascii="Times New Roman" w:hAnsi="Times New Roman" w:cs="Times New Roman"/>
          <w:sz w:val="28"/>
          <w:szCs w:val="28"/>
          <w:lang w:val="en-US" w:eastAsia="zh-CN"/>
        </w:rPr>
        <w:t xml:space="preserve">, </w:t>
      </w:r>
    </w:p>
    <w:p>
      <w:pPr>
        <w:widowControl w:val="0"/>
        <w:numPr>
          <w:ilvl w:val="0"/>
          <w:numId w:val="0"/>
        </w:numPr>
        <w:bidi w:val="0"/>
        <w:jc w:val="both"/>
        <w:rPr>
          <w:rFonts w:hint="default" w:ascii="Times New Roman" w:hAnsi="Times New Roman" w:cs="Times New Roman"/>
          <w:sz w:val="28"/>
          <w:szCs w:val="28"/>
          <w:lang w:val="en-US" w:eastAsia="zh-CN"/>
        </w:rPr>
      </w:pPr>
    </w:p>
    <w:p>
      <w:pPr>
        <w:widowControl w:val="0"/>
        <w:numPr>
          <w:ilvl w:val="0"/>
          <w:numId w:val="0"/>
        </w:numPr>
        <w:bidi w:val="0"/>
        <w:jc w:val="both"/>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McMullen, J.S. and Warnick, B.J. (2016), Should We Require Every New Venture to Be a Hybrid Organization?. Jour. of Manage. Stud., 53: 630-662. https://doi.org/10.1111/joms.12150</w:t>
      </w:r>
    </w:p>
    <w:p>
      <w:pPr>
        <w:widowControl w:val="0"/>
        <w:numPr>
          <w:ilvl w:val="0"/>
          <w:numId w:val="0"/>
        </w:numPr>
        <w:bidi w:val="0"/>
        <w:jc w:val="both"/>
        <w:rPr>
          <w:rFonts w:hint="default" w:ascii="Times New Roman" w:hAnsi="Times New Roman" w:cs="Times New Roman"/>
          <w:sz w:val="28"/>
          <w:szCs w:val="28"/>
          <w:lang w:val="en-US" w:eastAsia="zh-CN"/>
        </w:rPr>
      </w:pPr>
    </w:p>
    <w:p>
      <w:pPr>
        <w:widowControl w:val="0"/>
        <w:numPr>
          <w:ilvl w:val="0"/>
          <w:numId w:val="0"/>
        </w:numPr>
        <w:bidi w:val="0"/>
        <w:jc w:val="both"/>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McLeay, F. (2008). The legal profession's beautiful myth: surveying the justifications for the lawyer's obligation to perform pro bono work. </w:t>
      </w:r>
      <w:r>
        <w:rPr>
          <w:rFonts w:hint="default" w:ascii="Times New Roman" w:hAnsi="Times New Roman" w:cs="Times New Roman"/>
          <w:i/>
          <w:iCs/>
          <w:sz w:val="28"/>
          <w:szCs w:val="28"/>
          <w:lang w:val="en-US" w:eastAsia="zh-CN"/>
        </w:rPr>
        <w:t>International Journal of the Legal Profession</w:t>
      </w:r>
      <w:r>
        <w:rPr>
          <w:rFonts w:hint="default" w:ascii="Times New Roman" w:hAnsi="Times New Roman" w:cs="Times New Roman"/>
          <w:sz w:val="28"/>
          <w:szCs w:val="28"/>
          <w:lang w:val="en-US" w:eastAsia="zh-CN"/>
        </w:rPr>
        <w:t>, 15(3), 249-271.</w:t>
      </w:r>
    </w:p>
    <w:p>
      <w:pPr>
        <w:widowControl w:val="0"/>
        <w:numPr>
          <w:ilvl w:val="0"/>
          <w:numId w:val="0"/>
        </w:numPr>
        <w:bidi w:val="0"/>
        <w:jc w:val="both"/>
        <w:rPr>
          <w:rFonts w:hint="default" w:ascii="Times New Roman" w:hAnsi="Times New Roman" w:cs="Times New Roman"/>
          <w:sz w:val="28"/>
          <w:szCs w:val="28"/>
          <w:lang w:val="en-US" w:eastAsia="zh-CN"/>
        </w:rPr>
      </w:pPr>
    </w:p>
    <w:p>
      <w:pPr>
        <w:widowControl w:val="0"/>
        <w:numPr>
          <w:ilvl w:val="0"/>
          <w:numId w:val="0"/>
        </w:numPr>
        <w:bidi w:val="0"/>
        <w:jc w:val="both"/>
        <w:rPr>
          <w:rFonts w:hint="default" w:ascii="Times New Roman" w:hAnsi="Times New Roman" w:cs="Times New Roman"/>
          <w:i/>
          <w:iCs/>
          <w:sz w:val="28"/>
          <w:szCs w:val="28"/>
          <w:lang w:val="en-US" w:eastAsia="zh-CN"/>
        </w:rPr>
      </w:pPr>
      <w:r>
        <w:rPr>
          <w:rFonts w:hint="default" w:ascii="Times New Roman" w:hAnsi="Times New Roman" w:cs="Times New Roman"/>
          <w:i w:val="0"/>
          <w:iCs w:val="0"/>
          <w:sz w:val="28"/>
          <w:szCs w:val="28"/>
          <w:lang w:val="en-US" w:eastAsia="zh-CN"/>
        </w:rPr>
        <w:t xml:space="preserve">Rhode,D, L (2009) ‘Rethinking the Public in Lawyers’ Public Service’  77(3) </w:t>
      </w:r>
      <w:r>
        <w:rPr>
          <w:rFonts w:hint="default" w:ascii="Times New Roman" w:hAnsi="Times New Roman" w:cs="Times New Roman"/>
          <w:i/>
          <w:iCs/>
          <w:sz w:val="28"/>
          <w:szCs w:val="28"/>
          <w:lang w:val="en-US" w:eastAsia="zh-CN"/>
        </w:rPr>
        <w:t>Fordham Law Review 1435</w:t>
      </w:r>
      <w:r>
        <w:rPr>
          <w:rFonts w:hint="eastAsia" w:ascii="Times New Roman" w:hAnsi="Times New Roman" w:cs="Times New Roman"/>
          <w:i/>
          <w:iCs/>
          <w:sz w:val="28"/>
          <w:szCs w:val="28"/>
          <w:lang w:val="en-US" w:eastAsia="zh-CN"/>
        </w:rPr>
        <w:t>.</w:t>
      </w:r>
      <w:r>
        <w:rPr>
          <w:rFonts w:hint="default" w:ascii="Times New Roman" w:hAnsi="Times New Roman" w:cs="Times New Roman"/>
          <w:i/>
          <w:iCs/>
          <w:sz w:val="28"/>
          <w:szCs w:val="28"/>
          <w:lang w:val="en-US" w:eastAsia="zh-CN"/>
        </w:rPr>
        <w:t xml:space="preserve"> </w:t>
      </w:r>
    </w:p>
    <w:p>
      <w:pPr>
        <w:widowControl w:val="0"/>
        <w:numPr>
          <w:ilvl w:val="0"/>
          <w:numId w:val="0"/>
        </w:numPr>
        <w:bidi w:val="0"/>
        <w:jc w:val="both"/>
        <w:rPr>
          <w:rFonts w:hint="default" w:ascii="Times New Roman" w:hAnsi="Times New Roman" w:cs="Times New Roman"/>
          <w:i/>
          <w:iCs/>
          <w:sz w:val="28"/>
          <w:szCs w:val="28"/>
          <w:lang w:val="en-US" w:eastAsia="zh-CN"/>
        </w:rPr>
      </w:pPr>
    </w:p>
    <w:p>
      <w:pPr>
        <w:widowControl w:val="0"/>
        <w:numPr>
          <w:ilvl w:val="0"/>
          <w:numId w:val="0"/>
        </w:numPr>
        <w:bidi w:val="0"/>
        <w:jc w:val="both"/>
        <w:rPr>
          <w:rFonts w:hint="default" w:ascii="Times New Roman" w:hAnsi="Times New Roman" w:cs="Times New Roman"/>
          <w:i w:val="0"/>
          <w:iCs w:val="0"/>
          <w:sz w:val="28"/>
          <w:szCs w:val="28"/>
          <w:lang w:val="en-US" w:eastAsia="zh-CN"/>
        </w:rPr>
      </w:pPr>
      <w:r>
        <w:rPr>
          <w:rFonts w:hint="default" w:ascii="Times New Roman" w:hAnsi="Times New Roman" w:cs="Times New Roman"/>
          <w:i w:val="0"/>
          <w:iCs w:val="0"/>
          <w:sz w:val="28"/>
          <w:szCs w:val="28"/>
          <w:lang w:val="en-US" w:eastAsia="zh-CN"/>
        </w:rPr>
        <w:t xml:space="preserve">Smith, W., Gonin, M., &amp; Besharov, M. (2013). Managing Social-Business Tensions: A Review and Research Agenda for Social Enterprise. </w:t>
      </w:r>
      <w:r>
        <w:rPr>
          <w:rFonts w:hint="default" w:ascii="Times New Roman" w:hAnsi="Times New Roman" w:cs="Times New Roman"/>
          <w:i/>
          <w:iCs/>
          <w:sz w:val="28"/>
          <w:szCs w:val="28"/>
          <w:lang w:val="en-US" w:eastAsia="zh-CN"/>
        </w:rPr>
        <w:t>Business Ethics Quarterly</w:t>
      </w:r>
      <w:r>
        <w:rPr>
          <w:rFonts w:hint="default" w:ascii="Times New Roman" w:hAnsi="Times New Roman" w:cs="Times New Roman"/>
          <w:i w:val="0"/>
          <w:iCs w:val="0"/>
          <w:sz w:val="28"/>
          <w:szCs w:val="28"/>
          <w:lang w:val="en-US" w:eastAsia="zh-CN"/>
        </w:rPr>
        <w:t>, 23(3), 407-442. doi:10.5840/beq201323327</w:t>
      </w:r>
    </w:p>
    <w:p>
      <w:pPr>
        <w:widowControl w:val="0"/>
        <w:numPr>
          <w:ilvl w:val="0"/>
          <w:numId w:val="0"/>
        </w:numPr>
        <w:bidi w:val="0"/>
        <w:jc w:val="both"/>
        <w:rPr>
          <w:rFonts w:hint="default" w:ascii="Times New Roman" w:hAnsi="Times New Roman" w:cs="Times New Roman"/>
          <w:i w:val="0"/>
          <w:iCs w:val="0"/>
          <w:sz w:val="28"/>
          <w:szCs w:val="28"/>
          <w:lang w:val="en-US" w:eastAsia="zh-CN"/>
        </w:rPr>
      </w:pPr>
    </w:p>
    <w:p>
      <w:pPr>
        <w:widowControl w:val="0"/>
        <w:numPr>
          <w:ilvl w:val="0"/>
          <w:numId w:val="0"/>
        </w:numPr>
        <w:bidi w:val="0"/>
        <w:jc w:val="both"/>
        <w:rPr>
          <w:rFonts w:hint="default" w:ascii="Times New Roman" w:hAnsi="Times New Roman" w:cs="Times New Roman"/>
          <w:i w:val="0"/>
          <w:iCs w:val="0"/>
          <w:sz w:val="28"/>
          <w:szCs w:val="28"/>
          <w:lang w:val="en-US" w:eastAsia="zh-CN"/>
        </w:rPr>
      </w:pPr>
      <w:r>
        <w:rPr>
          <w:rFonts w:hint="default" w:ascii="Times New Roman" w:hAnsi="Times New Roman" w:cs="Times New Roman"/>
          <w:i w:val="0"/>
          <w:iCs w:val="0"/>
          <w:sz w:val="28"/>
          <w:szCs w:val="28"/>
          <w:lang w:val="en-US" w:eastAsia="zh-CN"/>
        </w:rPr>
        <w:t xml:space="preserve">Suddaby, R., &amp; Greenwood, R. (2005). Rhetorical Strategies of Legitimacy. </w:t>
      </w:r>
      <w:r>
        <w:rPr>
          <w:rFonts w:hint="default" w:ascii="Times New Roman" w:hAnsi="Times New Roman" w:cs="Times New Roman"/>
          <w:i/>
          <w:iCs/>
          <w:sz w:val="28"/>
          <w:szCs w:val="28"/>
          <w:lang w:val="en-US" w:eastAsia="zh-CN"/>
        </w:rPr>
        <w:t>Administrative Science Quarterly,</w:t>
      </w:r>
      <w:r>
        <w:rPr>
          <w:rFonts w:hint="default" w:ascii="Times New Roman" w:hAnsi="Times New Roman" w:cs="Times New Roman"/>
          <w:i w:val="0"/>
          <w:iCs w:val="0"/>
          <w:sz w:val="28"/>
          <w:szCs w:val="28"/>
          <w:lang w:val="en-US" w:eastAsia="zh-CN"/>
        </w:rPr>
        <w:t xml:space="preserve"> 50(1), 35-67. </w:t>
      </w:r>
      <w:r>
        <w:rPr>
          <w:rFonts w:hint="default" w:ascii="Times New Roman" w:hAnsi="Times New Roman" w:cs="Times New Roman"/>
          <w:i w:val="0"/>
          <w:iCs w:val="0"/>
          <w:sz w:val="28"/>
          <w:szCs w:val="28"/>
          <w:lang w:val="en-US" w:eastAsia="zh-CN"/>
        </w:rPr>
        <w:fldChar w:fldCharType="begin"/>
      </w:r>
      <w:r>
        <w:rPr>
          <w:rFonts w:hint="default" w:ascii="Times New Roman" w:hAnsi="Times New Roman" w:cs="Times New Roman"/>
          <w:i w:val="0"/>
          <w:iCs w:val="0"/>
          <w:sz w:val="28"/>
          <w:szCs w:val="28"/>
          <w:lang w:val="en-US" w:eastAsia="zh-CN"/>
        </w:rPr>
        <w:instrText xml:space="preserve"> HYPERLINK "https://doi.org/10.2189/asqu.2005.50.1.35" </w:instrText>
      </w:r>
      <w:r>
        <w:rPr>
          <w:rFonts w:hint="default" w:ascii="Times New Roman" w:hAnsi="Times New Roman" w:cs="Times New Roman"/>
          <w:i w:val="0"/>
          <w:iCs w:val="0"/>
          <w:sz w:val="28"/>
          <w:szCs w:val="28"/>
          <w:lang w:val="en-US" w:eastAsia="zh-CN"/>
        </w:rPr>
        <w:fldChar w:fldCharType="separate"/>
      </w:r>
      <w:r>
        <w:rPr>
          <w:rStyle w:val="6"/>
          <w:rFonts w:hint="default" w:ascii="Times New Roman" w:hAnsi="Times New Roman" w:cs="Times New Roman"/>
          <w:i w:val="0"/>
          <w:iCs w:val="0"/>
          <w:sz w:val="28"/>
          <w:szCs w:val="28"/>
          <w:lang w:val="en-US" w:eastAsia="zh-CN"/>
        </w:rPr>
        <w:t>https://doi.org/10.2189/asqu.2005.50.1.35</w:t>
      </w:r>
      <w:r>
        <w:rPr>
          <w:rFonts w:hint="default" w:ascii="Times New Roman" w:hAnsi="Times New Roman" w:cs="Times New Roman"/>
          <w:i w:val="0"/>
          <w:iCs w:val="0"/>
          <w:sz w:val="28"/>
          <w:szCs w:val="28"/>
          <w:lang w:val="en-US" w:eastAsia="zh-CN"/>
        </w:rPr>
        <w:fldChar w:fldCharType="end"/>
      </w:r>
    </w:p>
    <w:p>
      <w:pPr>
        <w:widowControl w:val="0"/>
        <w:numPr>
          <w:ilvl w:val="0"/>
          <w:numId w:val="0"/>
        </w:numPr>
        <w:bidi w:val="0"/>
        <w:jc w:val="both"/>
        <w:rPr>
          <w:rFonts w:hint="default" w:ascii="Times New Roman" w:hAnsi="Times New Roman" w:cs="Times New Roman"/>
          <w:i w:val="0"/>
          <w:iCs w:val="0"/>
          <w:sz w:val="28"/>
          <w:szCs w:val="28"/>
          <w:lang w:val="en-US" w:eastAsia="zh-CN"/>
        </w:rPr>
      </w:pPr>
    </w:p>
    <w:p>
      <w:pPr>
        <w:widowControl w:val="0"/>
        <w:numPr>
          <w:ilvl w:val="0"/>
          <w:numId w:val="0"/>
        </w:numPr>
        <w:bidi w:val="0"/>
        <w:jc w:val="both"/>
        <w:rPr>
          <w:rFonts w:hint="default" w:ascii="Times New Roman" w:hAnsi="Times New Roman" w:cs="Times New Roman"/>
          <w:i w:val="0"/>
          <w:iCs w:val="0"/>
          <w:sz w:val="28"/>
          <w:szCs w:val="28"/>
          <w:lang w:val="en-US" w:eastAsia="zh-CN"/>
        </w:rPr>
      </w:pPr>
      <w:r>
        <w:rPr>
          <w:rFonts w:hint="default" w:ascii="Times New Roman" w:hAnsi="Times New Roman" w:cs="Times New Roman"/>
          <w:i w:val="0"/>
          <w:iCs w:val="0"/>
          <w:sz w:val="28"/>
          <w:szCs w:val="28"/>
          <w:lang w:val="en-US" w:eastAsia="zh-CN"/>
        </w:rPr>
        <w:t xml:space="preserve">Vaughan, S., Thomas, L., &amp; Young, A. (2015). Symbolism over substance? Large law firms and corporate social responsibility. </w:t>
      </w:r>
      <w:r>
        <w:rPr>
          <w:rFonts w:hint="default" w:ascii="Times New Roman" w:hAnsi="Times New Roman" w:cs="Times New Roman"/>
          <w:i/>
          <w:iCs/>
          <w:sz w:val="28"/>
          <w:szCs w:val="28"/>
          <w:lang w:val="en-US" w:eastAsia="zh-CN"/>
        </w:rPr>
        <w:t>Legal Ethics</w:t>
      </w:r>
      <w:r>
        <w:rPr>
          <w:rFonts w:hint="default" w:ascii="Times New Roman" w:hAnsi="Times New Roman" w:cs="Times New Roman"/>
          <w:i w:val="0"/>
          <w:iCs w:val="0"/>
          <w:sz w:val="28"/>
          <w:szCs w:val="28"/>
          <w:lang w:val="en-US" w:eastAsia="zh-CN"/>
        </w:rPr>
        <w:t>, 18(2), 138-163.</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86DCE94"/>
    <w:multiLevelType w:val="singleLevel"/>
    <w:tmpl w:val="A86DCE94"/>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jFkZjFlYmM2NzdiZGJkMWI3NDcxZjNmNzNiZmYwOTIifQ=="/>
  </w:docVars>
  <w:rsids>
    <w:rsidRoot w:val="00000000"/>
    <w:rsid w:val="16087B62"/>
    <w:rsid w:val="24B4212F"/>
    <w:rsid w:val="56193C4E"/>
    <w:rsid w:val="7B2765B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character" w:default="1" w:styleId="5">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 w:type="table" w:styleId="4">
    <w:name w:val="Table Grid"/>
    <w:basedOn w:val="3"/>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6">
    <w:name w:val="Hyperlink"/>
    <w:basedOn w:val="5"/>
    <w:uiPriority w:val="0"/>
    <w:rPr>
      <w:color w:val="0000FF"/>
      <w:u w:val="single"/>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25</TotalTime>
  <ScaleCrop>false</ScaleCrop>
  <LinksUpToDate>false</LinksUpToDate>
  <CharactersWithSpaces>0</CharactersWithSpaces>
  <Application>WPS Office_12.1.0.15712_F1E327BC-269C-435d-A152-05C5408002CA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2023-11-12T16:55:00Z</dcterms:created>
  <dc:creator>40479</dc:creator>
  <cp:lastModifiedBy>陈不沉</cp:lastModifiedBy>
  <dcterms:modified xsi:type="dcterms:W3CDTF">2023-12-04T21:36:15Z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2052-12.1.0.15712</vt:lpwstr>
  </property>
  <property fmtid="{D5CDD505-2E9C-101B-9397-08002B2CF9AE}" pid="3" name="ICV">
    <vt:lpwstr>9E366CA50C5E414B938801B43BFFA0D1_13</vt:lpwstr>
  </property>
</Properties>
</file>