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8C280" w14:textId="469021FF" w:rsidR="002E32C1" w:rsidRDefault="002E32C1" w:rsidP="00200C4F">
      <w:pPr>
        <w:rPr>
          <w:b/>
          <w:sz w:val="32"/>
          <w:szCs w:val="24"/>
        </w:rPr>
      </w:pPr>
    </w:p>
    <w:p w14:paraId="64AA67AA" w14:textId="77777777" w:rsidR="002E32C1" w:rsidRPr="00200C4F" w:rsidRDefault="002E32C1" w:rsidP="002E32C1">
      <w:pPr>
        <w:jc w:val="center"/>
        <w:rPr>
          <w:b/>
          <w:sz w:val="48"/>
          <w:szCs w:val="48"/>
        </w:rPr>
      </w:pPr>
      <w:r w:rsidRPr="00200C4F">
        <w:rPr>
          <w:b/>
          <w:sz w:val="48"/>
          <w:szCs w:val="48"/>
        </w:rPr>
        <w:t>Public Law</w:t>
      </w:r>
    </w:p>
    <w:p w14:paraId="7ACF3EF8" w14:textId="77777777" w:rsidR="00933ABB" w:rsidRDefault="00933ABB" w:rsidP="00933ABB">
      <w:pPr>
        <w:jc w:val="center"/>
        <w:rPr>
          <w:b/>
          <w:szCs w:val="24"/>
        </w:rPr>
      </w:pPr>
    </w:p>
    <w:p w14:paraId="51C5367A" w14:textId="77777777" w:rsidR="00933ABB" w:rsidRDefault="00933ABB" w:rsidP="00933ABB">
      <w:pPr>
        <w:jc w:val="center"/>
        <w:rPr>
          <w:b/>
          <w:szCs w:val="24"/>
        </w:rPr>
      </w:pPr>
    </w:p>
    <w:p w14:paraId="2C5FE858" w14:textId="77777777" w:rsidR="00933ABB" w:rsidRDefault="00933ABB" w:rsidP="00933ABB">
      <w:pPr>
        <w:jc w:val="center"/>
        <w:rPr>
          <w:b/>
          <w:szCs w:val="24"/>
        </w:rPr>
      </w:pPr>
    </w:p>
    <w:p w14:paraId="09C97AB5" w14:textId="77777777" w:rsidR="00933ABB" w:rsidRDefault="00933ABB" w:rsidP="00933ABB">
      <w:pPr>
        <w:jc w:val="center"/>
        <w:rPr>
          <w:b/>
          <w:szCs w:val="24"/>
        </w:rPr>
      </w:pPr>
    </w:p>
    <w:p w14:paraId="1EFB8232" w14:textId="76613209" w:rsidR="00933ABB" w:rsidRDefault="00933ABB" w:rsidP="00933ABB">
      <w:pPr>
        <w:jc w:val="center"/>
        <w:rPr>
          <w:b/>
          <w:szCs w:val="24"/>
        </w:rPr>
      </w:pPr>
      <w:r>
        <w:rPr>
          <w:b/>
          <w:szCs w:val="24"/>
        </w:rPr>
        <w:t>Assignment title:</w:t>
      </w:r>
    </w:p>
    <w:p w14:paraId="1FCB912F" w14:textId="77777777" w:rsidR="00933ABB" w:rsidRDefault="00933ABB" w:rsidP="00933ABB">
      <w:pPr>
        <w:rPr>
          <w:b/>
          <w:szCs w:val="24"/>
        </w:rPr>
      </w:pPr>
    </w:p>
    <w:p w14:paraId="7857C350" w14:textId="7BAFBBFB" w:rsidR="002E32C1" w:rsidRPr="00933ABB" w:rsidRDefault="00933ABB" w:rsidP="00933ABB">
      <w:pPr>
        <w:rPr>
          <w:b/>
          <w:szCs w:val="24"/>
        </w:rPr>
      </w:pPr>
      <w:r w:rsidRPr="00933ABB">
        <w:rPr>
          <w:b/>
          <w:szCs w:val="24"/>
        </w:rPr>
        <w:t>Recently, the united Kingdom’s government proposed a new piece of legislation namely the</w:t>
      </w:r>
      <w:r>
        <w:rPr>
          <w:b/>
          <w:szCs w:val="24"/>
        </w:rPr>
        <w:t xml:space="preserve"> </w:t>
      </w:r>
      <w:r w:rsidRPr="00933ABB">
        <w:rPr>
          <w:b/>
          <w:szCs w:val="24"/>
        </w:rPr>
        <w:t>Bill of Rights Bill, this would repeal and replace the Human Rights Act 1998. Some argue that the introduction of such legislation could damage the rule of law and impact the ability of individuals to protect their human rights. Discuss.</w:t>
      </w:r>
    </w:p>
    <w:p w14:paraId="59ECDD1B" w14:textId="77777777" w:rsidR="002E32C1" w:rsidRDefault="002E32C1" w:rsidP="002E32C1">
      <w:pPr>
        <w:jc w:val="center"/>
        <w:rPr>
          <w:b/>
          <w:sz w:val="32"/>
          <w:szCs w:val="24"/>
        </w:rPr>
      </w:pPr>
    </w:p>
    <w:p w14:paraId="6EEB3730" w14:textId="77777777" w:rsidR="002E32C1" w:rsidRDefault="002E32C1" w:rsidP="002E32C1">
      <w:pPr>
        <w:jc w:val="center"/>
        <w:rPr>
          <w:b/>
          <w:sz w:val="32"/>
          <w:szCs w:val="24"/>
        </w:rPr>
      </w:pPr>
    </w:p>
    <w:p w14:paraId="593B7669" w14:textId="77777777" w:rsidR="00933ABB" w:rsidRDefault="00933ABB" w:rsidP="002E32C1">
      <w:pPr>
        <w:jc w:val="center"/>
        <w:rPr>
          <w:i/>
          <w:sz w:val="32"/>
          <w:szCs w:val="24"/>
        </w:rPr>
      </w:pPr>
    </w:p>
    <w:p w14:paraId="347485B8" w14:textId="77777777" w:rsidR="00933ABB" w:rsidRDefault="00933ABB" w:rsidP="002E32C1">
      <w:pPr>
        <w:jc w:val="center"/>
        <w:rPr>
          <w:i/>
          <w:sz w:val="32"/>
          <w:szCs w:val="24"/>
        </w:rPr>
      </w:pPr>
    </w:p>
    <w:p w14:paraId="797A1649" w14:textId="593A8105" w:rsidR="002E32C1" w:rsidRDefault="00200C4F" w:rsidP="002E32C1">
      <w:pPr>
        <w:jc w:val="center"/>
        <w:rPr>
          <w:i/>
          <w:sz w:val="32"/>
          <w:szCs w:val="24"/>
        </w:rPr>
      </w:pPr>
      <w:r>
        <w:rPr>
          <w:i/>
          <w:sz w:val="32"/>
          <w:szCs w:val="24"/>
        </w:rPr>
        <w:t xml:space="preserve">Cristian Maxim </w:t>
      </w:r>
      <w:r w:rsidR="00A141C7">
        <w:rPr>
          <w:i/>
          <w:sz w:val="32"/>
          <w:szCs w:val="24"/>
        </w:rPr>
        <w:t>(222757)</w:t>
      </w:r>
    </w:p>
    <w:p w14:paraId="5BB5D818" w14:textId="5A6FF0CA" w:rsidR="002E32C1" w:rsidRDefault="002E32C1" w:rsidP="002E32C1">
      <w:pPr>
        <w:jc w:val="center"/>
        <w:rPr>
          <w:i/>
          <w:sz w:val="32"/>
          <w:szCs w:val="24"/>
        </w:rPr>
      </w:pPr>
    </w:p>
    <w:p w14:paraId="6A2FE802" w14:textId="31153198" w:rsidR="002E32C1" w:rsidRDefault="002E32C1" w:rsidP="002E32C1">
      <w:pPr>
        <w:jc w:val="center"/>
        <w:rPr>
          <w:i/>
          <w:sz w:val="32"/>
          <w:szCs w:val="24"/>
        </w:rPr>
      </w:pPr>
    </w:p>
    <w:p w14:paraId="4AE48605" w14:textId="77777777" w:rsidR="002E32C1" w:rsidRDefault="002E32C1" w:rsidP="002E32C1">
      <w:pPr>
        <w:jc w:val="center"/>
        <w:rPr>
          <w:i/>
          <w:sz w:val="32"/>
          <w:szCs w:val="24"/>
        </w:rPr>
      </w:pPr>
    </w:p>
    <w:p w14:paraId="3BF639DF" w14:textId="77777777" w:rsidR="002E32C1" w:rsidRDefault="002E32C1" w:rsidP="002E32C1">
      <w:pPr>
        <w:jc w:val="center"/>
        <w:rPr>
          <w:i/>
          <w:sz w:val="32"/>
          <w:szCs w:val="24"/>
        </w:rPr>
      </w:pPr>
    </w:p>
    <w:p w14:paraId="7A963CA5" w14:textId="77777777" w:rsidR="002E32C1" w:rsidRDefault="002E32C1" w:rsidP="00933ABB">
      <w:pPr>
        <w:rPr>
          <w:sz w:val="32"/>
          <w:szCs w:val="24"/>
        </w:rPr>
      </w:pPr>
      <w:r>
        <w:rPr>
          <w:sz w:val="32"/>
          <w:szCs w:val="24"/>
        </w:rPr>
        <w:br w:type="page"/>
      </w:r>
    </w:p>
    <w:sdt>
      <w:sdtPr>
        <w:rPr>
          <w:rFonts w:ascii="Times New Roman" w:eastAsiaTheme="minorHAnsi" w:hAnsi="Times New Roman" w:cstheme="minorBidi"/>
          <w:color w:val="000000" w:themeColor="text1"/>
          <w:sz w:val="24"/>
          <w:szCs w:val="22"/>
          <w:lang w:val="en-GB"/>
        </w:rPr>
        <w:id w:val="316231951"/>
        <w:docPartObj>
          <w:docPartGallery w:val="Table of Contents"/>
          <w:docPartUnique/>
        </w:docPartObj>
      </w:sdtPr>
      <w:sdtEndPr>
        <w:rPr>
          <w:b/>
          <w:bCs/>
          <w:noProof/>
        </w:rPr>
      </w:sdtEndPr>
      <w:sdtContent>
        <w:p w14:paraId="5D09AFB2" w14:textId="05077052" w:rsidR="00642F8B" w:rsidRPr="00601DA0" w:rsidRDefault="00642F8B" w:rsidP="00642F8B">
          <w:pPr>
            <w:pStyle w:val="TOCHeading"/>
            <w:spacing w:line="360" w:lineRule="auto"/>
            <w:jc w:val="center"/>
            <w:rPr>
              <w:rFonts w:ascii="Times New Roman" w:hAnsi="Times New Roman" w:cs="Times New Roman"/>
              <w:b/>
              <w:color w:val="auto"/>
              <w:sz w:val="28"/>
              <w:szCs w:val="28"/>
            </w:rPr>
          </w:pPr>
          <w:r w:rsidRPr="00601DA0">
            <w:rPr>
              <w:rFonts w:ascii="Times New Roman" w:hAnsi="Times New Roman" w:cs="Times New Roman"/>
              <w:b/>
              <w:color w:val="auto"/>
              <w:sz w:val="28"/>
              <w:szCs w:val="28"/>
            </w:rPr>
            <w:t>Table of Contents</w:t>
          </w:r>
        </w:p>
        <w:p w14:paraId="42960E04" w14:textId="42EAA55C" w:rsidR="00642F8B" w:rsidRPr="00642F8B" w:rsidRDefault="00642F8B" w:rsidP="00642F8B">
          <w:pPr>
            <w:pStyle w:val="TOC1"/>
            <w:tabs>
              <w:tab w:val="right" w:leader="dot" w:pos="9016"/>
            </w:tabs>
            <w:jc w:val="center"/>
            <w:rPr>
              <w:rFonts w:cs="Times New Roman"/>
              <w:b/>
              <w:noProof/>
              <w:sz w:val="28"/>
              <w:szCs w:val="28"/>
            </w:rPr>
          </w:pPr>
          <w:r w:rsidRPr="00642F8B">
            <w:rPr>
              <w:rFonts w:cs="Times New Roman"/>
              <w:b/>
              <w:sz w:val="28"/>
              <w:szCs w:val="28"/>
            </w:rPr>
            <w:fldChar w:fldCharType="begin"/>
          </w:r>
          <w:r w:rsidRPr="00642F8B">
            <w:rPr>
              <w:rFonts w:cs="Times New Roman"/>
              <w:b/>
              <w:sz w:val="28"/>
              <w:szCs w:val="28"/>
            </w:rPr>
            <w:instrText xml:space="preserve"> TOC \o "1-3" \h \z \u </w:instrText>
          </w:r>
          <w:r w:rsidRPr="00642F8B">
            <w:rPr>
              <w:rFonts w:cs="Times New Roman"/>
              <w:b/>
              <w:sz w:val="28"/>
              <w:szCs w:val="28"/>
            </w:rPr>
            <w:fldChar w:fldCharType="separate"/>
          </w:r>
          <w:hyperlink w:anchor="_Toc129269329" w:history="1">
            <w:r w:rsidRPr="00642F8B">
              <w:rPr>
                <w:rStyle w:val="Hyperlink"/>
                <w:rFonts w:cs="Times New Roman"/>
                <w:b/>
                <w:noProof/>
                <w:sz w:val="28"/>
                <w:szCs w:val="28"/>
              </w:rPr>
              <w:t>Introduction</w:t>
            </w:r>
            <w:r w:rsidRPr="00642F8B">
              <w:rPr>
                <w:rFonts w:cs="Times New Roman"/>
                <w:b/>
                <w:noProof/>
                <w:webHidden/>
                <w:sz w:val="28"/>
                <w:szCs w:val="28"/>
              </w:rPr>
              <w:tab/>
            </w:r>
            <w:r w:rsidRPr="00642F8B">
              <w:rPr>
                <w:rFonts w:cs="Times New Roman"/>
                <w:b/>
                <w:noProof/>
                <w:webHidden/>
                <w:sz w:val="28"/>
                <w:szCs w:val="28"/>
              </w:rPr>
              <w:fldChar w:fldCharType="begin"/>
            </w:r>
            <w:r w:rsidRPr="00642F8B">
              <w:rPr>
                <w:rFonts w:cs="Times New Roman"/>
                <w:b/>
                <w:noProof/>
                <w:webHidden/>
                <w:sz w:val="28"/>
                <w:szCs w:val="28"/>
              </w:rPr>
              <w:instrText xml:space="preserve"> PAGEREF _Toc129269329 \h </w:instrText>
            </w:r>
            <w:r w:rsidRPr="00642F8B">
              <w:rPr>
                <w:rFonts w:cs="Times New Roman"/>
                <w:b/>
                <w:noProof/>
                <w:webHidden/>
                <w:sz w:val="28"/>
                <w:szCs w:val="28"/>
              </w:rPr>
            </w:r>
            <w:r w:rsidRPr="00642F8B">
              <w:rPr>
                <w:rFonts w:cs="Times New Roman"/>
                <w:b/>
                <w:noProof/>
                <w:webHidden/>
                <w:sz w:val="28"/>
                <w:szCs w:val="28"/>
              </w:rPr>
              <w:fldChar w:fldCharType="separate"/>
            </w:r>
            <w:r w:rsidRPr="00642F8B">
              <w:rPr>
                <w:rFonts w:cs="Times New Roman"/>
                <w:b/>
                <w:noProof/>
                <w:webHidden/>
                <w:sz w:val="28"/>
                <w:szCs w:val="28"/>
              </w:rPr>
              <w:t>3</w:t>
            </w:r>
            <w:r w:rsidRPr="00642F8B">
              <w:rPr>
                <w:rFonts w:cs="Times New Roman"/>
                <w:b/>
                <w:noProof/>
                <w:webHidden/>
                <w:sz w:val="28"/>
                <w:szCs w:val="28"/>
              </w:rPr>
              <w:fldChar w:fldCharType="end"/>
            </w:r>
          </w:hyperlink>
        </w:p>
        <w:p w14:paraId="11A48E2A" w14:textId="0FA21C8F" w:rsidR="00642F8B" w:rsidRPr="00642F8B" w:rsidRDefault="00446C7D" w:rsidP="00642F8B">
          <w:pPr>
            <w:pStyle w:val="TOC1"/>
            <w:tabs>
              <w:tab w:val="right" w:leader="dot" w:pos="9016"/>
            </w:tabs>
            <w:jc w:val="center"/>
            <w:rPr>
              <w:rFonts w:cs="Times New Roman"/>
              <w:b/>
              <w:noProof/>
              <w:sz w:val="28"/>
              <w:szCs w:val="28"/>
            </w:rPr>
          </w:pPr>
          <w:hyperlink w:anchor="_Toc129269330" w:history="1">
            <w:r w:rsidR="00642F8B" w:rsidRPr="00642F8B">
              <w:rPr>
                <w:rStyle w:val="Hyperlink"/>
                <w:rFonts w:cs="Times New Roman"/>
                <w:b/>
                <w:noProof/>
                <w:sz w:val="28"/>
                <w:szCs w:val="28"/>
              </w:rPr>
              <w:t>Overview and Background</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_Toc129269330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3</w:t>
            </w:r>
            <w:r w:rsidR="00642F8B" w:rsidRPr="00642F8B">
              <w:rPr>
                <w:rFonts w:cs="Times New Roman"/>
                <w:b/>
                <w:noProof/>
                <w:webHidden/>
                <w:sz w:val="28"/>
                <w:szCs w:val="28"/>
              </w:rPr>
              <w:fldChar w:fldCharType="end"/>
            </w:r>
          </w:hyperlink>
        </w:p>
        <w:p w14:paraId="70EEAB82" w14:textId="1EB5E58C" w:rsidR="00642F8B" w:rsidRPr="00642F8B" w:rsidRDefault="00446C7D" w:rsidP="00642F8B">
          <w:pPr>
            <w:pStyle w:val="TOC1"/>
            <w:tabs>
              <w:tab w:val="right" w:leader="dot" w:pos="9016"/>
            </w:tabs>
            <w:jc w:val="center"/>
            <w:rPr>
              <w:rFonts w:cs="Times New Roman"/>
              <w:b/>
              <w:noProof/>
              <w:sz w:val="28"/>
              <w:szCs w:val="28"/>
            </w:rPr>
          </w:pPr>
          <w:hyperlink w:anchor="_Toc129269331" w:history="1">
            <w:r w:rsidR="00642F8B" w:rsidRPr="00642F8B">
              <w:rPr>
                <w:rStyle w:val="Hyperlink"/>
                <w:rFonts w:cs="Times New Roman"/>
                <w:b/>
                <w:noProof/>
                <w:sz w:val="28"/>
                <w:szCs w:val="28"/>
              </w:rPr>
              <w:t>Aims and Objectives</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_Toc129269331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4</w:t>
            </w:r>
            <w:r w:rsidR="00642F8B" w:rsidRPr="00642F8B">
              <w:rPr>
                <w:rFonts w:cs="Times New Roman"/>
                <w:b/>
                <w:noProof/>
                <w:webHidden/>
                <w:sz w:val="28"/>
                <w:szCs w:val="28"/>
              </w:rPr>
              <w:fldChar w:fldCharType="end"/>
            </w:r>
          </w:hyperlink>
        </w:p>
        <w:p w14:paraId="0F369AA8" w14:textId="7A9DEE5F" w:rsidR="00642F8B" w:rsidRPr="00642F8B" w:rsidRDefault="00446C7D" w:rsidP="00642F8B">
          <w:pPr>
            <w:pStyle w:val="TOC1"/>
            <w:tabs>
              <w:tab w:val="right" w:leader="dot" w:pos="9016"/>
            </w:tabs>
            <w:jc w:val="center"/>
            <w:rPr>
              <w:rFonts w:cs="Times New Roman"/>
              <w:b/>
              <w:noProof/>
              <w:sz w:val="28"/>
              <w:szCs w:val="28"/>
            </w:rPr>
          </w:pPr>
          <w:hyperlink w:anchor="_Toc129269332" w:history="1">
            <w:r w:rsidR="00642F8B" w:rsidRPr="00642F8B">
              <w:rPr>
                <w:rStyle w:val="Hyperlink"/>
                <w:rFonts w:cs="Times New Roman"/>
                <w:b/>
                <w:noProof/>
                <w:sz w:val="28"/>
                <w:szCs w:val="28"/>
              </w:rPr>
              <w:t>Impacts on Human Rights</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_Toc129269332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4</w:t>
            </w:r>
            <w:r w:rsidR="00642F8B" w:rsidRPr="00642F8B">
              <w:rPr>
                <w:rFonts w:cs="Times New Roman"/>
                <w:b/>
                <w:noProof/>
                <w:webHidden/>
                <w:sz w:val="28"/>
                <w:szCs w:val="28"/>
              </w:rPr>
              <w:fldChar w:fldCharType="end"/>
            </w:r>
          </w:hyperlink>
        </w:p>
        <w:p w14:paraId="3CD7DF65" w14:textId="282E06F5" w:rsidR="00642F8B" w:rsidRPr="00642F8B" w:rsidRDefault="00446C7D" w:rsidP="00642F8B">
          <w:pPr>
            <w:pStyle w:val="TOC1"/>
            <w:tabs>
              <w:tab w:val="right" w:leader="dot" w:pos="9016"/>
            </w:tabs>
            <w:jc w:val="center"/>
            <w:rPr>
              <w:rFonts w:cs="Times New Roman"/>
              <w:b/>
              <w:noProof/>
              <w:sz w:val="28"/>
              <w:szCs w:val="28"/>
            </w:rPr>
          </w:pPr>
          <w:hyperlink w:anchor="_Toc129269333" w:history="1">
            <w:r w:rsidR="00642F8B" w:rsidRPr="00642F8B">
              <w:rPr>
                <w:rStyle w:val="Hyperlink"/>
                <w:rFonts w:cs="Times New Roman"/>
                <w:b/>
                <w:noProof/>
                <w:sz w:val="28"/>
                <w:szCs w:val="28"/>
              </w:rPr>
              <w:t>Advantages and Disadvantages</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_Toc129269333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5</w:t>
            </w:r>
            <w:r w:rsidR="00642F8B" w:rsidRPr="00642F8B">
              <w:rPr>
                <w:rFonts w:cs="Times New Roman"/>
                <w:b/>
                <w:noProof/>
                <w:webHidden/>
                <w:sz w:val="28"/>
                <w:szCs w:val="28"/>
              </w:rPr>
              <w:fldChar w:fldCharType="end"/>
            </w:r>
          </w:hyperlink>
        </w:p>
        <w:p w14:paraId="40A200A8" w14:textId="424A3DE0" w:rsidR="00642F8B" w:rsidRPr="00642F8B" w:rsidRDefault="00446C7D" w:rsidP="00642F8B">
          <w:pPr>
            <w:pStyle w:val="TOC1"/>
            <w:tabs>
              <w:tab w:val="right" w:leader="dot" w:pos="9016"/>
            </w:tabs>
            <w:jc w:val="center"/>
            <w:rPr>
              <w:rFonts w:cs="Times New Roman"/>
              <w:b/>
              <w:noProof/>
              <w:sz w:val="28"/>
              <w:szCs w:val="28"/>
            </w:rPr>
          </w:pPr>
          <w:hyperlink w:anchor="_Toc129269334" w:history="1">
            <w:r w:rsidR="00642F8B" w:rsidRPr="00642F8B">
              <w:rPr>
                <w:rStyle w:val="Hyperlink"/>
                <w:rFonts w:cs="Times New Roman"/>
                <w:b/>
                <w:noProof/>
                <w:sz w:val="28"/>
                <w:szCs w:val="28"/>
              </w:rPr>
              <w:t>Reform Suggestions</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_Toc129269334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6</w:t>
            </w:r>
            <w:r w:rsidR="00642F8B" w:rsidRPr="00642F8B">
              <w:rPr>
                <w:rFonts w:cs="Times New Roman"/>
                <w:b/>
                <w:noProof/>
                <w:webHidden/>
                <w:sz w:val="28"/>
                <w:szCs w:val="28"/>
              </w:rPr>
              <w:fldChar w:fldCharType="end"/>
            </w:r>
          </w:hyperlink>
        </w:p>
        <w:p w14:paraId="21FFF424" w14:textId="21C86CDC" w:rsidR="00642F8B" w:rsidRPr="00642F8B" w:rsidRDefault="00446C7D" w:rsidP="00642F8B">
          <w:pPr>
            <w:pStyle w:val="TOC1"/>
            <w:tabs>
              <w:tab w:val="right" w:leader="dot" w:pos="9016"/>
            </w:tabs>
            <w:jc w:val="center"/>
            <w:rPr>
              <w:rFonts w:cs="Times New Roman"/>
              <w:b/>
              <w:noProof/>
              <w:sz w:val="28"/>
              <w:szCs w:val="28"/>
            </w:rPr>
          </w:pPr>
          <w:hyperlink w:anchor="_Toc129269335" w:history="1">
            <w:r w:rsidR="00642F8B" w:rsidRPr="00642F8B">
              <w:rPr>
                <w:rStyle w:val="Hyperlink"/>
                <w:rFonts w:cs="Times New Roman"/>
                <w:b/>
                <w:noProof/>
                <w:sz w:val="28"/>
                <w:szCs w:val="28"/>
              </w:rPr>
              <w:t>Conclusion</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_Toc129269335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7</w:t>
            </w:r>
            <w:r w:rsidR="00642F8B" w:rsidRPr="00642F8B">
              <w:rPr>
                <w:rFonts w:cs="Times New Roman"/>
                <w:b/>
                <w:noProof/>
                <w:webHidden/>
                <w:sz w:val="28"/>
                <w:szCs w:val="28"/>
              </w:rPr>
              <w:fldChar w:fldCharType="end"/>
            </w:r>
          </w:hyperlink>
        </w:p>
        <w:p w14:paraId="7345CB03" w14:textId="23CFDA84" w:rsidR="00642F8B" w:rsidRPr="00642F8B" w:rsidRDefault="00446C7D" w:rsidP="00642F8B">
          <w:pPr>
            <w:pStyle w:val="TOC1"/>
            <w:tabs>
              <w:tab w:val="right" w:leader="dot" w:pos="9016"/>
            </w:tabs>
            <w:jc w:val="center"/>
            <w:rPr>
              <w:rFonts w:cs="Times New Roman"/>
              <w:b/>
              <w:noProof/>
              <w:sz w:val="28"/>
              <w:szCs w:val="28"/>
            </w:rPr>
          </w:pPr>
          <w:hyperlink w:anchor="_Toc129269336" w:history="1">
            <w:r w:rsidR="00642F8B" w:rsidRPr="00642F8B">
              <w:rPr>
                <w:rStyle w:val="Hyperlink"/>
                <w:rFonts w:cs="Times New Roman"/>
                <w:b/>
                <w:noProof/>
                <w:sz w:val="28"/>
                <w:szCs w:val="28"/>
              </w:rPr>
              <w:t>References</w:t>
            </w:r>
            <w:r w:rsidR="00642F8B" w:rsidRPr="00642F8B">
              <w:rPr>
                <w:rFonts w:cs="Times New Roman"/>
                <w:b/>
                <w:noProof/>
                <w:webHidden/>
                <w:sz w:val="28"/>
                <w:szCs w:val="28"/>
              </w:rPr>
              <w:tab/>
            </w:r>
            <w:r w:rsidR="00642F8B" w:rsidRPr="00642F8B">
              <w:rPr>
                <w:rFonts w:cs="Times New Roman"/>
                <w:b/>
                <w:noProof/>
                <w:webHidden/>
                <w:sz w:val="28"/>
                <w:szCs w:val="28"/>
              </w:rPr>
              <w:fldChar w:fldCharType="begin"/>
            </w:r>
            <w:r w:rsidR="00642F8B" w:rsidRPr="00642F8B">
              <w:rPr>
                <w:rFonts w:cs="Times New Roman"/>
                <w:b/>
                <w:noProof/>
                <w:webHidden/>
                <w:sz w:val="28"/>
                <w:szCs w:val="28"/>
              </w:rPr>
              <w:instrText xml:space="preserve"> PAGEREF _Toc129269336 \h </w:instrText>
            </w:r>
            <w:r w:rsidR="00642F8B" w:rsidRPr="00642F8B">
              <w:rPr>
                <w:rFonts w:cs="Times New Roman"/>
                <w:b/>
                <w:noProof/>
                <w:webHidden/>
                <w:sz w:val="28"/>
                <w:szCs w:val="28"/>
              </w:rPr>
            </w:r>
            <w:r w:rsidR="00642F8B" w:rsidRPr="00642F8B">
              <w:rPr>
                <w:rFonts w:cs="Times New Roman"/>
                <w:b/>
                <w:noProof/>
                <w:webHidden/>
                <w:sz w:val="28"/>
                <w:szCs w:val="28"/>
              </w:rPr>
              <w:fldChar w:fldCharType="separate"/>
            </w:r>
            <w:r w:rsidR="00642F8B" w:rsidRPr="00642F8B">
              <w:rPr>
                <w:rFonts w:cs="Times New Roman"/>
                <w:b/>
                <w:noProof/>
                <w:webHidden/>
                <w:sz w:val="28"/>
                <w:szCs w:val="28"/>
              </w:rPr>
              <w:t>7</w:t>
            </w:r>
            <w:r w:rsidR="00642F8B" w:rsidRPr="00642F8B">
              <w:rPr>
                <w:rFonts w:cs="Times New Roman"/>
                <w:b/>
                <w:noProof/>
                <w:webHidden/>
                <w:sz w:val="28"/>
                <w:szCs w:val="28"/>
              </w:rPr>
              <w:fldChar w:fldCharType="end"/>
            </w:r>
          </w:hyperlink>
        </w:p>
        <w:p w14:paraId="57A624AB" w14:textId="77FECCE5" w:rsidR="00642F8B" w:rsidRDefault="00642F8B" w:rsidP="00642F8B">
          <w:pPr>
            <w:jc w:val="center"/>
          </w:pPr>
          <w:r w:rsidRPr="00642F8B">
            <w:rPr>
              <w:rFonts w:cs="Times New Roman"/>
              <w:b/>
              <w:bCs/>
              <w:noProof/>
              <w:sz w:val="28"/>
              <w:szCs w:val="28"/>
            </w:rPr>
            <w:fldChar w:fldCharType="end"/>
          </w:r>
        </w:p>
      </w:sdtContent>
    </w:sdt>
    <w:p w14:paraId="70A17AD4" w14:textId="06828C6E" w:rsidR="002E32C1" w:rsidRDefault="002E32C1" w:rsidP="002E32C1">
      <w:pPr>
        <w:rPr>
          <w:szCs w:val="24"/>
        </w:rPr>
      </w:pPr>
      <w:r>
        <w:rPr>
          <w:szCs w:val="24"/>
        </w:rPr>
        <w:br w:type="page"/>
      </w:r>
    </w:p>
    <w:p w14:paraId="7DF1FEA3" w14:textId="156AB462" w:rsidR="002E32C1" w:rsidRDefault="002E32C1" w:rsidP="00642F8B">
      <w:pPr>
        <w:pStyle w:val="Heading1"/>
      </w:pPr>
      <w:bookmarkStart w:id="0" w:name="_Toc129269329"/>
      <w:r>
        <w:lastRenderedPageBreak/>
        <w:t>Introduction</w:t>
      </w:r>
      <w:bookmarkEnd w:id="0"/>
    </w:p>
    <w:p w14:paraId="47C2BB82" w14:textId="1F3664C6" w:rsidR="002E32C1" w:rsidRDefault="002E32C1" w:rsidP="002E32C1">
      <w:pPr>
        <w:rPr>
          <w:szCs w:val="24"/>
        </w:rPr>
      </w:pPr>
      <w:r>
        <w:rPr>
          <w:szCs w:val="24"/>
        </w:rPr>
        <w:t xml:space="preserve">Every democracy must uphold the core principles of human rights, which safeguard everyone's liberty and basic integrity against the misuse of governmental authority. The </w:t>
      </w:r>
      <w:r w:rsidR="003D39C7">
        <w:rPr>
          <w:szCs w:val="24"/>
        </w:rPr>
        <w:t>HRA (Human Rights Act)</w:t>
      </w:r>
      <w:r>
        <w:rPr>
          <w:szCs w:val="24"/>
        </w:rPr>
        <w:t xml:space="preserve"> of 1998 served as the </w:t>
      </w:r>
      <w:r w:rsidR="003D39C7">
        <w:rPr>
          <w:szCs w:val="24"/>
        </w:rPr>
        <w:t>groundwork</w:t>
      </w:r>
      <w:r>
        <w:rPr>
          <w:szCs w:val="24"/>
        </w:rPr>
        <w:t xml:space="preserve"> of the legislative</w:t>
      </w:r>
      <w:r w:rsidR="003D39C7">
        <w:rPr>
          <w:szCs w:val="24"/>
        </w:rPr>
        <w:t xml:space="preserve"> framework in the UK</w:t>
      </w:r>
      <w:r>
        <w:rPr>
          <w:szCs w:val="24"/>
        </w:rPr>
        <w:t xml:space="preserve"> for more than 20 years, giving people a way to sue for infringement of their liberties in local tribunals. Nonetheless, there has arisen an increasing discussion over the necessity for change in past few years, with some contending that the HRA has compromised the Parliament's independence and hindered the power of the administration to defend state safeguards (Kavanagh, 2013). The Bill of Rights Initiative, which the UK government have recommended as a replacement for the HRA and to incorporate a fresh array of human liberties safeguards in UK statute, is in reaction to this. This article will examine how the Bill of Rights Bill could affect the legal system and personal individual privileges while </w:t>
      </w:r>
      <w:proofErr w:type="gramStart"/>
      <w:r>
        <w:rPr>
          <w:szCs w:val="24"/>
        </w:rPr>
        <w:t>taking into account</w:t>
      </w:r>
      <w:proofErr w:type="gramEnd"/>
      <w:r>
        <w:rPr>
          <w:szCs w:val="24"/>
        </w:rPr>
        <w:t xml:space="preserve"> its goals, modifications that have been made, benefits, and drawbacks, as well as other reformation ideas (</w:t>
      </w:r>
      <w:r w:rsidR="003D39C7">
        <w:rPr>
          <w:szCs w:val="24"/>
        </w:rPr>
        <w:t>Kavanagh, 2013</w:t>
      </w:r>
      <w:r>
        <w:rPr>
          <w:szCs w:val="24"/>
        </w:rPr>
        <w:t>).</w:t>
      </w:r>
    </w:p>
    <w:p w14:paraId="14A053A7" w14:textId="77777777" w:rsidR="002E32C1" w:rsidRDefault="002E32C1" w:rsidP="002E32C1">
      <w:pPr>
        <w:rPr>
          <w:b/>
          <w:szCs w:val="24"/>
        </w:rPr>
      </w:pPr>
    </w:p>
    <w:p w14:paraId="71A53E8F" w14:textId="77777777" w:rsidR="00A141C7" w:rsidRDefault="00A141C7" w:rsidP="00A141C7">
      <w:pPr>
        <w:pStyle w:val="Heading1"/>
      </w:pPr>
      <w:bookmarkStart w:id="1" w:name="_Toc129269330"/>
      <w:r>
        <w:t>Overview and Background</w:t>
      </w:r>
    </w:p>
    <w:p w14:paraId="34B9AC82" w14:textId="77777777" w:rsidR="00A141C7" w:rsidRDefault="00A141C7" w:rsidP="00A141C7">
      <w:pPr>
        <w:rPr>
          <w:szCs w:val="24"/>
        </w:rPr>
      </w:pPr>
      <w:r>
        <w:rPr>
          <w:szCs w:val="24"/>
        </w:rPr>
        <w:t>The HRA (Human Rights Act) of 1998, which integrated the ECHR (European Convention on Human Rights) into UK statute, is to be replaced by the Bill of Rights, a planned component of UK policy. The proposal intends to supplant the ECHR through a local judicial mechanism and incorporate a novel array of human liberties safeguards in UK legislation (Human Rights Act, 1998). A discussion regarding the possible effects on the legal system and personal individual privileges has been triggered by the suggested reforms (Kavanagh, 2013). The HRA was adopted in 1998 to integrate the ECHR into UK statute, enabling anyone to file lawsuits against rights infringements in domestic jurisdictions (</w:t>
      </w:r>
      <w:proofErr w:type="spellStart"/>
      <w:r>
        <w:rPr>
          <w:szCs w:val="24"/>
        </w:rPr>
        <w:t>O'Cinneide</w:t>
      </w:r>
      <w:proofErr w:type="spellEnd"/>
      <w:r>
        <w:rPr>
          <w:szCs w:val="24"/>
        </w:rPr>
        <w:t xml:space="preserve">, 2016). The ECHR that was approved by the Council of Europe in 1950 </w:t>
      </w:r>
      <w:r w:rsidRPr="003D39C7">
        <w:rPr>
          <w:szCs w:val="24"/>
        </w:rPr>
        <w:t>outlin</w:t>
      </w:r>
      <w:r>
        <w:rPr>
          <w:szCs w:val="24"/>
        </w:rPr>
        <w:t>es a variety of basic liberties and authorisations for people, which</w:t>
      </w:r>
      <w:r w:rsidRPr="00AD458A">
        <w:rPr>
          <w:szCs w:val="24"/>
        </w:rPr>
        <w:t xml:space="preserve"> all participating countries must maintain</w:t>
      </w:r>
      <w:r>
        <w:rPr>
          <w:szCs w:val="24"/>
        </w:rPr>
        <w:t>. The HRA is considered an essential tool for securing the preservation of human privileges in the UK. The European Union (Withdrawal) Act 2018 aims to incorporate all EU law civil liberties regulations—into UK law. The ECHR was incorporated into UK statute in part because to the European Communities Act of 1872, which also established the UK's involvement inside the EU (European Communities Act, 1972).</w:t>
      </w:r>
    </w:p>
    <w:p w14:paraId="700A5A9C" w14:textId="77777777" w:rsidR="00A141C7" w:rsidRDefault="00A141C7" w:rsidP="00A141C7">
      <w:pPr>
        <w:pStyle w:val="Heading1"/>
      </w:pPr>
      <w:bookmarkStart w:id="2" w:name="_Toc129269331"/>
      <w:r>
        <w:lastRenderedPageBreak/>
        <w:t>Aims and Objectives</w:t>
      </w:r>
      <w:bookmarkEnd w:id="2"/>
      <w:r>
        <w:t xml:space="preserve"> </w:t>
      </w:r>
    </w:p>
    <w:p w14:paraId="3EEDF24A" w14:textId="77777777" w:rsidR="00A141C7" w:rsidRDefault="00A141C7" w:rsidP="00A141C7">
      <w:pPr>
        <w:rPr>
          <w:szCs w:val="24"/>
        </w:rPr>
      </w:pPr>
      <w:r>
        <w:rPr>
          <w:szCs w:val="24"/>
        </w:rPr>
        <w:t>The UK government has outlined the major goals and purposes of the planned Bill of Rights, which include strengthening the preservation of private liberties and rights while weighing them against the requirement to uphold rules and regulations. The proposal, according to the administration, aims to update and simplify UK laws on human rights, resulting in a domestic sphere, which is more efficient, and open than the Human Rights Act of 1998's present structure (HRA) (Elliott and Lee, 2019). The HRA, that was created to integrate the ECHR into UK’s legislation and ensure that anyone may contest liberties abuses in civil tribunals, had goals similar to those contained in the Bill of Rights Bill (Homewood, 2019). Both the HRA as well as the prospective measure strive to defend basic liberties and privileges, but their approaches diverge in significant ways (Carpenter, 1999). The Bill of Rights aims to strengthen some liberties, such the freedom to live, and substitute the European Court of Human Rights (ECHR) with a UK-based judicial framework. The UK administration has usually supported the safeguarding of human rights, yet it has additionally worked to find an equilibrium between those privileges and other considerations like national defence (Schabas, 2015). The suggested Bill of Rights Bill, according to the ministry, intends to compromise a universal perception to the guarantee of human rights, including simpler and more efficient means for contesting abuses (Elliott and Lee, 2019). It is important to thoroughly assess the possible effects of the projected Bill of Rights Act on personal freedoms and the rule of legislation since it would mark a fundamental change in the UK's policy on human liberties (</w:t>
      </w:r>
      <w:proofErr w:type="spellStart"/>
      <w:r>
        <w:rPr>
          <w:szCs w:val="24"/>
        </w:rPr>
        <w:t>O'Cinneide</w:t>
      </w:r>
      <w:proofErr w:type="spellEnd"/>
      <w:r>
        <w:rPr>
          <w:szCs w:val="24"/>
        </w:rPr>
        <w:t>, 2016).</w:t>
      </w:r>
    </w:p>
    <w:p w14:paraId="3FAE7817" w14:textId="77777777" w:rsidR="00A141C7" w:rsidRDefault="00A141C7" w:rsidP="00A141C7">
      <w:pPr>
        <w:pStyle w:val="Heading1"/>
      </w:pPr>
      <w:bookmarkStart w:id="3" w:name="_Toc129269332"/>
      <w:r>
        <w:t>Impacts on Human Rights</w:t>
      </w:r>
      <w:bookmarkEnd w:id="3"/>
      <w:r>
        <w:t xml:space="preserve"> </w:t>
      </w:r>
    </w:p>
    <w:p w14:paraId="27F20A1D" w14:textId="77777777" w:rsidR="00A141C7" w:rsidRDefault="00A141C7" w:rsidP="00A141C7">
      <w:pPr>
        <w:rPr>
          <w:szCs w:val="24"/>
        </w:rPr>
      </w:pPr>
      <w:r w:rsidRPr="002E32C1">
        <w:rPr>
          <w:szCs w:val="24"/>
        </w:rPr>
        <w:t xml:space="preserve">The introduction of the Bill of Rights Act in the UK would have a significant impact on individual’s ability to protect their human rights. The Bill of Rights would provide a clear legal framework for the protection of fundamental rights and freedoms, including the right to life, liberty, and security of person, freedom of expression, association, and assembly, and the right to a fair trial. It would also provide a mechanism for individuals to challenge violations of their rights by public authorities and ensure that their rights are respected in all areas of life (McGregor et al., 2019, p. 326). The Bill of Rights would enhance the accountability and transparency of public institutions and promote a culture of respect for human rights. It would also provide a basis for the UK to meet its international obligations under human rights treaties and conventions. Overall, the introduction of the Bill of Rights would strengthen the protection </w:t>
      </w:r>
      <w:r w:rsidRPr="002E32C1">
        <w:rPr>
          <w:szCs w:val="24"/>
        </w:rPr>
        <w:lastRenderedPageBreak/>
        <w:t>of human rights in the UK and provide a more robust framework for individuals to protect their fundamental freedoms.</w:t>
      </w:r>
    </w:p>
    <w:p w14:paraId="0B7AB475" w14:textId="77777777" w:rsidR="00A141C7" w:rsidRDefault="00A141C7" w:rsidP="00A141C7">
      <w:pPr>
        <w:rPr>
          <w:szCs w:val="24"/>
        </w:rPr>
      </w:pPr>
      <w:r w:rsidRPr="002E32C1">
        <w:rPr>
          <w:szCs w:val="24"/>
        </w:rPr>
        <w:t>The potential benefits of repealing and replacing the Human Rights Act 1998 include greater parliamentary sovereignty, the ability to tailor human rights law to the UK's specific needs and values, and improved clarity and simplicity of the legal framework. However, the drawbacks include a loss of legal certainty, diminished protection of human rights, and reduced accountability of public authorities. Repealing the Act could also damage the UK's international reputation as a champion of human rights and weaken its position in negotiations with other countries.</w:t>
      </w:r>
      <w:r>
        <w:rPr>
          <w:szCs w:val="24"/>
        </w:rPr>
        <w:t xml:space="preserve"> </w:t>
      </w:r>
      <w:r w:rsidRPr="002E32C1">
        <w:rPr>
          <w:szCs w:val="24"/>
        </w:rPr>
        <w:t>The rights that might be lost or gained under the new legislation of the Bill of Rights to repeal and replace the Human Rights Act 1998 depending on the specifics of the new legislation. If the Bill of Rights provides stronger or more comprehensive protection of human rights than the current Act, then individuals may gain additional rights. However, if the Bill of Rights weakens or limits human rights protections, then individuals may lose existing rights. Ultimately, it will depend on the content and implementation of the new legislation.</w:t>
      </w:r>
    </w:p>
    <w:p w14:paraId="355AD0A6" w14:textId="77777777" w:rsidR="00A141C7" w:rsidRDefault="00A141C7" w:rsidP="00A141C7">
      <w:pPr>
        <w:pStyle w:val="Heading1"/>
      </w:pPr>
      <w:bookmarkStart w:id="4" w:name="_Toc129269333"/>
      <w:r>
        <w:t>Advantages and Disadvantages</w:t>
      </w:r>
      <w:bookmarkEnd w:id="4"/>
      <w:r>
        <w:t xml:space="preserve"> </w:t>
      </w:r>
    </w:p>
    <w:p w14:paraId="406D1AC6" w14:textId="77777777" w:rsidR="00A141C7" w:rsidRDefault="00A141C7" w:rsidP="00A141C7">
      <w:pPr>
        <w:rPr>
          <w:szCs w:val="24"/>
        </w:rPr>
      </w:pPr>
      <w:r w:rsidRPr="002E32C1">
        <w:rPr>
          <w:szCs w:val="24"/>
        </w:rPr>
        <w:t>The introduction of the Bill of Rights Bill has generated significant debate and opinion from experts and stakeholders. Supporters argue that it would provide greater clarity and certainty in the protection of fundamental rights, enhance parliamentary sovereignty, and promote a culture of human rights (Jain, 2020, p. 198). Critics argue that it may weaken human rights protections, diminish the accountability of public authorities, and undermine the UK's international reputation as a defender of human rights. Some stakeholders also expressed concerns about the potential impact on minority rights, the role of the judiciary, and the relationship between the UK and the European Convention on Human Rights.</w:t>
      </w:r>
      <w:r>
        <w:rPr>
          <w:szCs w:val="24"/>
        </w:rPr>
        <w:t xml:space="preserve"> </w:t>
      </w:r>
      <w:r w:rsidRPr="002E32C1">
        <w:rPr>
          <w:szCs w:val="24"/>
        </w:rPr>
        <w:t>The Human Rights Act 1998 also had its advantages and disadvantages. Supporters of the Act argue that it brought the European Convention on Human Rights into UK law, provided greater access to justice for individuals, and improved the protection of human rights in the UK. Critics argue that it has led to legal uncertainty, encroachment on parliamentary sovereignty, and an overly activist judiciary. Some stakeholders also expressed concerns about the impact of the Act on national security and immigration control. Overall, both the Human Rights Act 1998 and the proposed Bill of Rights Bill have their benefits and drawbacks, and the choice between them involves a balancing of competing interests and priorities.</w:t>
      </w:r>
    </w:p>
    <w:p w14:paraId="34A8F812" w14:textId="6F50FE79" w:rsidR="00A141C7" w:rsidRDefault="00A141C7" w:rsidP="00A141C7">
      <w:pPr>
        <w:rPr>
          <w:szCs w:val="24"/>
        </w:rPr>
      </w:pPr>
      <w:r>
        <w:rPr>
          <w:szCs w:val="24"/>
        </w:rPr>
        <w:lastRenderedPageBreak/>
        <w:t>Th</w:t>
      </w:r>
      <w:r w:rsidRPr="002E32C1">
        <w:rPr>
          <w:szCs w:val="24"/>
        </w:rPr>
        <w:t xml:space="preserve">ere are potential unintended consequences and risks associated with the proposed changes to the Bill of Rights Bill. These include the possibility of weaker human rights protections, a reduced ability to hold public authorities accountable for violations of human </w:t>
      </w:r>
      <w:r w:rsidR="00334373" w:rsidRPr="002E32C1">
        <w:rPr>
          <w:szCs w:val="24"/>
        </w:rPr>
        <w:t>rights and</w:t>
      </w:r>
      <w:r w:rsidRPr="002E32C1">
        <w:rPr>
          <w:szCs w:val="24"/>
        </w:rPr>
        <w:t xml:space="preserve"> increased political polarization and conflict over human rights issues. Additionally, there is a risk that the new legislation may not provide adequate protection for vulnerable or marginalized groups, and that the UK's relationship with the European Convention on Human Rights could be undermined.</w:t>
      </w:r>
    </w:p>
    <w:p w14:paraId="78D072AB" w14:textId="77777777" w:rsidR="00A141C7" w:rsidRDefault="00A141C7" w:rsidP="00A141C7">
      <w:pPr>
        <w:pStyle w:val="Heading1"/>
      </w:pPr>
      <w:bookmarkStart w:id="5" w:name="_Toc129269334"/>
      <w:r>
        <w:t>Reform Suggestions</w:t>
      </w:r>
      <w:bookmarkEnd w:id="5"/>
      <w:r>
        <w:t xml:space="preserve"> </w:t>
      </w:r>
    </w:p>
    <w:p w14:paraId="07664E6A" w14:textId="77777777" w:rsidR="00A141C7" w:rsidRDefault="00A141C7" w:rsidP="00A141C7">
      <w:pPr>
        <w:rPr>
          <w:szCs w:val="24"/>
        </w:rPr>
      </w:pPr>
      <w:r>
        <w:rPr>
          <w:szCs w:val="24"/>
        </w:rPr>
        <w:t xml:space="preserve">Professionals and organizations have put out a number of different strategies in reaction to the suggested Bill of Rights Legislation. One proposal is to have a thorough codified constitution that safeguards human dignity. In contrast to the current framework that is based on laws and legal precedent, this strategy could create a more solid legal basis for defending individual liberties in the UK (Kendall and </w:t>
      </w:r>
      <w:proofErr w:type="spellStart"/>
      <w:r>
        <w:rPr>
          <w:szCs w:val="24"/>
        </w:rPr>
        <w:t>Falla</w:t>
      </w:r>
      <w:proofErr w:type="spellEnd"/>
      <w:r>
        <w:rPr>
          <w:szCs w:val="24"/>
        </w:rPr>
        <w:t xml:space="preserve">, 2020). Other strategy is to make the current Human Rights Act of 1998 stronger by giving the judiciary more assets to uphold its requirements and by raising national understanding regarding personal liberties (Carpenter, 1999). The case for a codified constitution is made because it would increase the stability and transparency of civil liberties safeguards and offer a platform for more substantial community input in the formulation of fundamental ideas (Bates, 2012). Proponents counter that a new constitution might not always result in improved human rights safeguards and that it might be challenging to reach agreement on its provisions (Elliott, 2016). Defenders of the Human Rights Act of 1998, </w:t>
      </w:r>
      <w:r w:rsidRPr="00AD458A">
        <w:rPr>
          <w:szCs w:val="24"/>
        </w:rPr>
        <w:t>on opposite end</w:t>
      </w:r>
      <w:r>
        <w:rPr>
          <w:szCs w:val="24"/>
        </w:rPr>
        <w:t>, contend it to be a more workable and realistic strategy that would grow upon the current judicial system rather than necessitate a whole revision. Nonetheless, detractors contend that the Act's reach is constrained and that it falls short in preserving other liberties, including such socio - economic liberties and freedoms (Homewood, 2019). Irrespective of the strategy used, it is obvious that every change to the UK's civil liberties safeguards should be properly thought through in a way that guarantees that it strengthens instead of reduces the rights enjoyed by people (Yadav, 2020).</w:t>
      </w:r>
    </w:p>
    <w:p w14:paraId="0680021D" w14:textId="5B1FD594" w:rsidR="002E32C1" w:rsidRPr="00A141C7" w:rsidRDefault="003E3264" w:rsidP="00A141C7">
      <w:pPr>
        <w:spacing w:line="259" w:lineRule="auto"/>
        <w:jc w:val="left"/>
        <w:rPr>
          <w:rFonts w:eastAsia="Arial" w:cs="Arial"/>
          <w:b/>
          <w:color w:val="44546A" w:themeColor="text2"/>
          <w:szCs w:val="40"/>
          <w:lang w:eastAsia="en-IN"/>
        </w:rPr>
      </w:pPr>
      <w:r>
        <w:br w:type="page"/>
      </w:r>
      <w:bookmarkEnd w:id="1"/>
    </w:p>
    <w:p w14:paraId="5981C1E9" w14:textId="77777777" w:rsidR="00334373" w:rsidRDefault="00334373" w:rsidP="00334373">
      <w:pPr>
        <w:pStyle w:val="Heading1"/>
      </w:pPr>
      <w:r>
        <w:lastRenderedPageBreak/>
        <w:t xml:space="preserve">Conclusion </w:t>
      </w:r>
    </w:p>
    <w:p w14:paraId="0A5EC157" w14:textId="77777777" w:rsidR="00334373" w:rsidRDefault="00334373" w:rsidP="00334373">
      <w:pPr>
        <w:rPr>
          <w:szCs w:val="24"/>
        </w:rPr>
      </w:pPr>
      <w:r>
        <w:rPr>
          <w:szCs w:val="24"/>
        </w:rPr>
        <w:t>In summation, there has been a lot of discussion about the projected Bill of Rights possible effects on UK civil rights. Although the UK administration claims that the act would increase the safeguards for personal rights, experts and other parties have expressed worry about the possible dangers and disadvantages of repealing and rewriting the Human Rights Act 1998. Other strategies for promoting personal liberties have additionally been put up, such as enhancing the Human Rights Act of 1998's efficiency or enacting a British Bill of Rights that integrates the European Convention on Human Rights.</w:t>
      </w:r>
    </w:p>
    <w:p w14:paraId="72793CC4" w14:textId="77777777" w:rsidR="002E32C1" w:rsidRDefault="002E32C1" w:rsidP="002E32C1">
      <w:pPr>
        <w:rPr>
          <w:szCs w:val="24"/>
        </w:rPr>
      </w:pPr>
    </w:p>
    <w:p w14:paraId="636120D4" w14:textId="77777777" w:rsidR="00334373" w:rsidRDefault="00334373" w:rsidP="00334373">
      <w:pPr>
        <w:pStyle w:val="Heading1"/>
      </w:pPr>
      <w:bookmarkStart w:id="6" w:name="_Toc129269335"/>
      <w:r>
        <w:t>References</w:t>
      </w:r>
    </w:p>
    <w:p w14:paraId="18BBCF1C" w14:textId="77777777" w:rsidR="00334373" w:rsidRDefault="00334373" w:rsidP="00334373">
      <w:pPr>
        <w:rPr>
          <w:szCs w:val="24"/>
        </w:rPr>
      </w:pPr>
      <w:r>
        <w:rPr>
          <w:szCs w:val="24"/>
        </w:rPr>
        <w:t>Bates, Ed. The Human Rights Act and the European Convention. Oxford University Press, 2012.</w:t>
      </w:r>
    </w:p>
    <w:p w14:paraId="78052203" w14:textId="77777777" w:rsidR="00334373" w:rsidRDefault="00334373" w:rsidP="00334373">
      <w:pPr>
        <w:rPr>
          <w:szCs w:val="24"/>
        </w:rPr>
      </w:pPr>
      <w:r>
        <w:rPr>
          <w:szCs w:val="24"/>
        </w:rPr>
        <w:t>Carpenter, David. The Bill of Rights 1689. Cambridge University Press, 1999.</w:t>
      </w:r>
    </w:p>
    <w:p w14:paraId="77F6B9CF" w14:textId="77777777" w:rsidR="00334373" w:rsidRDefault="00334373" w:rsidP="00334373">
      <w:pPr>
        <w:rPr>
          <w:szCs w:val="24"/>
        </w:rPr>
      </w:pPr>
      <w:r>
        <w:rPr>
          <w:szCs w:val="24"/>
        </w:rPr>
        <w:t>Elliott, Mark. "The Impact of the UK Bill of Rights Debate on the Human Rights Act 1998." International Journal of Constitutional Law, vol. 14, no. 3, 2016, pp. 669-689.</w:t>
      </w:r>
    </w:p>
    <w:p w14:paraId="4F43299E" w14:textId="77777777" w:rsidR="00334373" w:rsidRDefault="00334373" w:rsidP="00334373">
      <w:pPr>
        <w:rPr>
          <w:szCs w:val="24"/>
        </w:rPr>
      </w:pPr>
      <w:r>
        <w:rPr>
          <w:szCs w:val="24"/>
        </w:rPr>
        <w:t>Elliott, Mark, and Robert E. L. Lee. Brexit and the UK's Constitution: What Happens Next? Cambridge University Press, 2019.</w:t>
      </w:r>
    </w:p>
    <w:p w14:paraId="5EA07022" w14:textId="77777777" w:rsidR="00334373" w:rsidRDefault="00334373" w:rsidP="00334373">
      <w:pPr>
        <w:rPr>
          <w:szCs w:val="24"/>
        </w:rPr>
      </w:pPr>
      <w:r>
        <w:rPr>
          <w:szCs w:val="24"/>
        </w:rPr>
        <w:t xml:space="preserve">European Communities Act, 1972, c. 68, legislation.gov.uk, available at: </w:t>
      </w:r>
      <w:hyperlink r:id="rId7" w:history="1">
        <w:r>
          <w:rPr>
            <w:rStyle w:val="Hyperlink"/>
            <w:szCs w:val="24"/>
          </w:rPr>
          <w:t>http://www.legislation.gov.uk/ukpga/1972/68/contents</w:t>
        </w:r>
      </w:hyperlink>
    </w:p>
    <w:p w14:paraId="4BFAAB1B" w14:textId="77777777" w:rsidR="00334373" w:rsidRDefault="00334373" w:rsidP="00334373">
      <w:pPr>
        <w:rPr>
          <w:szCs w:val="24"/>
        </w:rPr>
      </w:pPr>
      <w:r>
        <w:rPr>
          <w:szCs w:val="24"/>
        </w:rPr>
        <w:t xml:space="preserve">European Convention on Human Rights, 1950, ETS No. 5, Council of Europe, available at: </w:t>
      </w:r>
      <w:hyperlink r:id="rId8" w:history="1">
        <w:r>
          <w:rPr>
            <w:rStyle w:val="Hyperlink"/>
            <w:szCs w:val="24"/>
          </w:rPr>
          <w:t>https://www.echr.coe.int/Documents/Convention_ENG.pdf</w:t>
        </w:r>
      </w:hyperlink>
    </w:p>
    <w:p w14:paraId="6A831415" w14:textId="77777777" w:rsidR="00334373" w:rsidRDefault="00334373" w:rsidP="00334373">
      <w:pPr>
        <w:rPr>
          <w:szCs w:val="24"/>
        </w:rPr>
      </w:pPr>
      <w:r>
        <w:rPr>
          <w:szCs w:val="24"/>
        </w:rPr>
        <w:t xml:space="preserve">European Union (Withdrawal) Act, 2018, c. 16, legislation.gov.uk, available at: </w:t>
      </w:r>
      <w:hyperlink r:id="rId9" w:history="1">
        <w:r>
          <w:rPr>
            <w:rStyle w:val="Hyperlink"/>
            <w:szCs w:val="24"/>
          </w:rPr>
          <w:t>http://www.legislation.gov.uk/ukpga/2018/16/contents/enacted</w:t>
        </w:r>
      </w:hyperlink>
    </w:p>
    <w:p w14:paraId="41A64B56" w14:textId="77777777" w:rsidR="00334373" w:rsidRDefault="00334373" w:rsidP="00334373">
      <w:pPr>
        <w:rPr>
          <w:szCs w:val="24"/>
        </w:rPr>
      </w:pPr>
      <w:r>
        <w:rPr>
          <w:szCs w:val="24"/>
        </w:rPr>
        <w:t>Homewood, Matthew J. "The European Communities Act 1972: A UK Law Perspective on Brexit." European Public Law, vol. 25, no. 3, 2019, pp. 537-553.</w:t>
      </w:r>
    </w:p>
    <w:p w14:paraId="23A4F6B0" w14:textId="77777777" w:rsidR="00334373" w:rsidRDefault="00334373" w:rsidP="00334373">
      <w:r>
        <w:rPr>
          <w:szCs w:val="24"/>
        </w:rPr>
        <w:t xml:space="preserve">Human Rights Act, 1998, c. 42, legislation.gov.uk, available at: </w:t>
      </w:r>
      <w:hyperlink r:id="rId10" w:history="1">
        <w:r>
          <w:rPr>
            <w:rStyle w:val="Hyperlink"/>
            <w:szCs w:val="24"/>
          </w:rPr>
          <w:t>http://www.legislation.gov.uk/ukpga/1998/42/contents</w:t>
        </w:r>
      </w:hyperlink>
    </w:p>
    <w:p w14:paraId="0A988C9E" w14:textId="77777777" w:rsidR="00334373" w:rsidRPr="002E32C1" w:rsidRDefault="00334373" w:rsidP="00334373">
      <w:pPr>
        <w:rPr>
          <w:szCs w:val="24"/>
        </w:rPr>
      </w:pPr>
      <w:r w:rsidRPr="002E32C1">
        <w:rPr>
          <w:szCs w:val="24"/>
        </w:rPr>
        <w:lastRenderedPageBreak/>
        <w:t>Jain, D., 2020. Law-Making by and for the People: A Case for Pre-legislative Processes in India. Statute Law Review, 41(2), pp.189-206.</w:t>
      </w:r>
    </w:p>
    <w:p w14:paraId="1957323D" w14:textId="77777777" w:rsidR="00334373" w:rsidRDefault="00334373" w:rsidP="00334373">
      <w:pPr>
        <w:rPr>
          <w:szCs w:val="24"/>
        </w:rPr>
      </w:pPr>
      <w:r>
        <w:rPr>
          <w:szCs w:val="24"/>
        </w:rPr>
        <w:t>Kavanagh, Aileen. Human Rights and the UK Constitution. Oxford University Press, 2013.</w:t>
      </w:r>
    </w:p>
    <w:p w14:paraId="412F0169" w14:textId="77777777" w:rsidR="00334373" w:rsidRDefault="00334373" w:rsidP="00334373">
      <w:pPr>
        <w:rPr>
          <w:szCs w:val="24"/>
        </w:rPr>
      </w:pPr>
      <w:r>
        <w:rPr>
          <w:szCs w:val="24"/>
        </w:rPr>
        <w:t xml:space="preserve">Kendall, Chris, and Charlotte </w:t>
      </w:r>
      <w:proofErr w:type="spellStart"/>
      <w:r>
        <w:rPr>
          <w:szCs w:val="24"/>
        </w:rPr>
        <w:t>Falla</w:t>
      </w:r>
      <w:proofErr w:type="spellEnd"/>
      <w:r>
        <w:rPr>
          <w:szCs w:val="24"/>
        </w:rPr>
        <w:t>. "The European Union (Withdrawal) Act 2018: Impact on EU law in the UK." House of Commons Library, 2020.</w:t>
      </w:r>
    </w:p>
    <w:p w14:paraId="4355FC46" w14:textId="77777777" w:rsidR="00334373" w:rsidRDefault="00334373" w:rsidP="00334373">
      <w:pPr>
        <w:rPr>
          <w:szCs w:val="24"/>
        </w:rPr>
      </w:pPr>
      <w:r w:rsidRPr="002E32C1">
        <w:rPr>
          <w:szCs w:val="24"/>
        </w:rPr>
        <w:t>McGregor, L., Murray, D. and Ng, V., 2019. International human rights law as a framework for algorithmic accountability. International &amp; Comparative Law Quarterly, 68(2), pp.309-343.</w:t>
      </w:r>
    </w:p>
    <w:p w14:paraId="54BBEF2E" w14:textId="77777777" w:rsidR="00334373" w:rsidRDefault="00334373" w:rsidP="00334373">
      <w:pPr>
        <w:rPr>
          <w:szCs w:val="24"/>
        </w:rPr>
      </w:pPr>
      <w:proofErr w:type="spellStart"/>
      <w:r>
        <w:rPr>
          <w:szCs w:val="24"/>
        </w:rPr>
        <w:t>O'Cinneide</w:t>
      </w:r>
      <w:proofErr w:type="spellEnd"/>
      <w:r>
        <w:rPr>
          <w:szCs w:val="24"/>
        </w:rPr>
        <w:t>, Colm. "The UK Bill of Rights Debate and the Crisis of Human Rights Protection." European Human Rights Law Review, no. 6, 2016, pp. 605-616.</w:t>
      </w:r>
    </w:p>
    <w:p w14:paraId="48D3AB2D" w14:textId="77777777" w:rsidR="00334373" w:rsidRDefault="00334373" w:rsidP="00334373">
      <w:pPr>
        <w:rPr>
          <w:szCs w:val="24"/>
        </w:rPr>
      </w:pPr>
      <w:r>
        <w:rPr>
          <w:szCs w:val="24"/>
        </w:rPr>
        <w:t>Schabas, William A., editor. The European Convention on Human Rights: A Commentary. Oxford University Press, 2015.</w:t>
      </w:r>
    </w:p>
    <w:p w14:paraId="7B5AB3A9" w14:textId="77777777" w:rsidR="00334373" w:rsidRDefault="00334373" w:rsidP="00334373">
      <w:pPr>
        <w:rPr>
          <w:szCs w:val="24"/>
        </w:rPr>
      </w:pPr>
      <w:r>
        <w:rPr>
          <w:szCs w:val="24"/>
        </w:rPr>
        <w:t>Yadav, Alok. Human Rights Act 1998: A Practical Guide. Routledge, 2020.</w:t>
      </w:r>
    </w:p>
    <w:bookmarkEnd w:id="6"/>
    <w:p w14:paraId="7CE084B4" w14:textId="0FF6EDC6" w:rsidR="00334373" w:rsidRPr="00334373" w:rsidRDefault="00334373" w:rsidP="00334373">
      <w:pPr>
        <w:spacing w:line="259" w:lineRule="auto"/>
        <w:jc w:val="left"/>
        <w:rPr>
          <w:rFonts w:eastAsia="Arial" w:cs="Arial"/>
          <w:b/>
          <w:color w:val="44546A" w:themeColor="text2"/>
          <w:szCs w:val="40"/>
          <w:lang w:eastAsia="en-IN"/>
        </w:rPr>
      </w:pPr>
    </w:p>
    <w:sectPr w:rsidR="00334373" w:rsidRPr="0033437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88335" w14:textId="77777777" w:rsidR="00E23748" w:rsidRDefault="00E23748" w:rsidP="00642F8B">
      <w:pPr>
        <w:spacing w:after="0" w:line="240" w:lineRule="auto"/>
      </w:pPr>
      <w:r>
        <w:separator/>
      </w:r>
    </w:p>
  </w:endnote>
  <w:endnote w:type="continuationSeparator" w:id="0">
    <w:p w14:paraId="19A686EC" w14:textId="77777777" w:rsidR="00E23748" w:rsidRDefault="00E23748" w:rsidP="00642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860133"/>
      <w:docPartObj>
        <w:docPartGallery w:val="Page Numbers (Bottom of Page)"/>
        <w:docPartUnique/>
      </w:docPartObj>
    </w:sdtPr>
    <w:sdtEndPr>
      <w:rPr>
        <w:noProof/>
      </w:rPr>
    </w:sdtEndPr>
    <w:sdtContent>
      <w:p w14:paraId="5933E5ED" w14:textId="524548C1" w:rsidR="00642F8B" w:rsidRDefault="00642F8B">
        <w:pPr>
          <w:pStyle w:val="Footer"/>
          <w:jc w:val="right"/>
        </w:pPr>
        <w:r>
          <w:fldChar w:fldCharType="begin"/>
        </w:r>
        <w:r>
          <w:instrText xml:space="preserve"> PAGE   \* MERGEFORMAT </w:instrText>
        </w:r>
        <w:r>
          <w:fldChar w:fldCharType="separate"/>
        </w:r>
        <w:r w:rsidR="00AD458A">
          <w:rPr>
            <w:noProof/>
          </w:rPr>
          <w:t>1</w:t>
        </w:r>
        <w:r>
          <w:rPr>
            <w:noProof/>
          </w:rPr>
          <w:fldChar w:fldCharType="end"/>
        </w:r>
      </w:p>
    </w:sdtContent>
  </w:sdt>
  <w:p w14:paraId="59D50F6E" w14:textId="77777777" w:rsidR="00642F8B" w:rsidRDefault="00642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7A6E2" w14:textId="77777777" w:rsidR="00E23748" w:rsidRDefault="00E23748" w:rsidP="00642F8B">
      <w:pPr>
        <w:spacing w:after="0" w:line="240" w:lineRule="auto"/>
      </w:pPr>
      <w:r>
        <w:separator/>
      </w:r>
    </w:p>
  </w:footnote>
  <w:footnote w:type="continuationSeparator" w:id="0">
    <w:p w14:paraId="6639E672" w14:textId="77777777" w:rsidR="00E23748" w:rsidRDefault="00E23748" w:rsidP="00642F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2C1"/>
    <w:rsid w:val="000D3BFF"/>
    <w:rsid w:val="00200C4F"/>
    <w:rsid w:val="002E113E"/>
    <w:rsid w:val="002E32C1"/>
    <w:rsid w:val="00334373"/>
    <w:rsid w:val="003D39C7"/>
    <w:rsid w:val="003D73FB"/>
    <w:rsid w:val="003E3264"/>
    <w:rsid w:val="00446C7D"/>
    <w:rsid w:val="00601DA0"/>
    <w:rsid w:val="00642F8B"/>
    <w:rsid w:val="00693A77"/>
    <w:rsid w:val="00933ABB"/>
    <w:rsid w:val="0094013C"/>
    <w:rsid w:val="00A141C7"/>
    <w:rsid w:val="00AD458A"/>
    <w:rsid w:val="00B423B7"/>
    <w:rsid w:val="00B8101D"/>
    <w:rsid w:val="00BF58C0"/>
    <w:rsid w:val="00DA18F1"/>
    <w:rsid w:val="00DC6484"/>
    <w:rsid w:val="00E23748"/>
    <w:rsid w:val="00ED6D38"/>
    <w:rsid w:val="00FD1E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7CAD7"/>
  <w15:chartTrackingRefBased/>
  <w15:docId w15:val="{1974FF73-2606-44FF-912A-35AC90EE6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2C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rsid w:val="00DA18F1"/>
    <w:pPr>
      <w:keepNext/>
      <w:keepLines/>
      <w:spacing w:before="400" w:after="120"/>
      <w:outlineLvl w:val="0"/>
    </w:pPr>
    <w:rPr>
      <w:rFonts w:eastAsia="Arial" w:cs="Arial"/>
      <w:b/>
      <w:color w:val="44546A" w:themeColor="text2"/>
      <w:szCs w:val="40"/>
      <w:lang w:eastAsia="en-IN"/>
    </w:rPr>
  </w:style>
  <w:style w:type="paragraph" w:styleId="Heading2">
    <w:name w:val="heading 2"/>
    <w:basedOn w:val="Normal"/>
    <w:next w:val="Normal"/>
    <w:link w:val="Heading2Char"/>
    <w:autoRedefine/>
    <w:uiPriority w:val="9"/>
    <w:semiHidden/>
    <w:unhideWhenUsed/>
    <w:rsid w:val="000D3BFF"/>
    <w:pPr>
      <w:keepNext/>
      <w:keepLines/>
      <w:spacing w:before="40" w:after="0"/>
      <w:outlineLvl w:val="1"/>
    </w:pPr>
    <w:rPr>
      <w:rFonts w:eastAsiaTheme="majorEastAsia" w:cstheme="majorBidi"/>
      <w:b/>
      <w:color w:val="1F3864" w:themeColor="accent1" w:themeShade="80"/>
      <w:szCs w:val="26"/>
    </w:rPr>
  </w:style>
  <w:style w:type="paragraph" w:styleId="Heading7">
    <w:name w:val="heading 7"/>
    <w:basedOn w:val="Normal"/>
    <w:next w:val="Normal"/>
    <w:link w:val="Heading7Char"/>
    <w:autoRedefine/>
    <w:uiPriority w:val="9"/>
    <w:unhideWhenUsed/>
    <w:qFormat/>
    <w:rsid w:val="00FD1E9C"/>
    <w:pPr>
      <w:keepNext/>
      <w:keepLines/>
      <w:spacing w:before="40" w:after="0"/>
      <w:outlineLvl w:val="6"/>
    </w:pPr>
    <w:rPr>
      <w:rFonts w:eastAsiaTheme="majorEastAsia" w:cstheme="majorBid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18F1"/>
    <w:rPr>
      <w:rFonts w:ascii="Times New Roman" w:eastAsia="Arial" w:hAnsi="Times New Roman" w:cs="Arial"/>
      <w:b/>
      <w:color w:val="44546A" w:themeColor="text2"/>
      <w:sz w:val="24"/>
      <w:szCs w:val="40"/>
      <w:lang w:eastAsia="en-IN"/>
    </w:rPr>
  </w:style>
  <w:style w:type="character" w:customStyle="1" w:styleId="Heading7Char">
    <w:name w:val="Heading 7 Char"/>
    <w:basedOn w:val="DefaultParagraphFont"/>
    <w:link w:val="Heading7"/>
    <w:uiPriority w:val="9"/>
    <w:rsid w:val="00FD1E9C"/>
    <w:rPr>
      <w:rFonts w:eastAsiaTheme="majorEastAsia" w:cstheme="majorBidi"/>
      <w:iCs/>
      <w:color w:val="1F3763" w:themeColor="accent1" w:themeShade="7F"/>
      <w:sz w:val="24"/>
    </w:rPr>
  </w:style>
  <w:style w:type="character" w:customStyle="1" w:styleId="Heading2Char">
    <w:name w:val="Heading 2 Char"/>
    <w:basedOn w:val="DefaultParagraphFont"/>
    <w:link w:val="Heading2"/>
    <w:uiPriority w:val="9"/>
    <w:semiHidden/>
    <w:rsid w:val="000D3BFF"/>
    <w:rPr>
      <w:rFonts w:ascii="Times New Roman" w:eastAsiaTheme="majorEastAsia" w:hAnsi="Times New Roman" w:cstheme="majorBidi"/>
      <w:b/>
      <w:color w:val="1F3864" w:themeColor="accent1" w:themeShade="80"/>
      <w:sz w:val="24"/>
      <w:szCs w:val="26"/>
      <w:lang w:val="en-GB"/>
    </w:rPr>
  </w:style>
  <w:style w:type="character" w:styleId="Hyperlink">
    <w:name w:val="Hyperlink"/>
    <w:basedOn w:val="DefaultParagraphFont"/>
    <w:uiPriority w:val="99"/>
    <w:unhideWhenUsed/>
    <w:rsid w:val="002E32C1"/>
    <w:rPr>
      <w:color w:val="0563C1" w:themeColor="hyperlink"/>
      <w:u w:val="single"/>
    </w:rPr>
  </w:style>
  <w:style w:type="paragraph" w:styleId="Header">
    <w:name w:val="header"/>
    <w:basedOn w:val="Normal"/>
    <w:link w:val="HeaderChar"/>
    <w:uiPriority w:val="99"/>
    <w:unhideWhenUsed/>
    <w:rsid w:val="00642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F8B"/>
    <w:rPr>
      <w:rFonts w:ascii="Times New Roman" w:hAnsi="Times New Roman"/>
      <w:color w:val="000000" w:themeColor="text1"/>
      <w:sz w:val="24"/>
      <w:lang w:val="en-GB"/>
    </w:rPr>
  </w:style>
  <w:style w:type="paragraph" w:styleId="Footer">
    <w:name w:val="footer"/>
    <w:basedOn w:val="Normal"/>
    <w:link w:val="FooterChar"/>
    <w:uiPriority w:val="99"/>
    <w:unhideWhenUsed/>
    <w:rsid w:val="00642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F8B"/>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642F8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642F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5930">
      <w:bodyDiv w:val="1"/>
      <w:marLeft w:val="0"/>
      <w:marRight w:val="0"/>
      <w:marTop w:val="0"/>
      <w:marBottom w:val="0"/>
      <w:divBdr>
        <w:top w:val="none" w:sz="0" w:space="0" w:color="auto"/>
        <w:left w:val="none" w:sz="0" w:space="0" w:color="auto"/>
        <w:bottom w:val="none" w:sz="0" w:space="0" w:color="auto"/>
        <w:right w:val="none" w:sz="0" w:space="0" w:color="auto"/>
      </w:divBdr>
    </w:div>
    <w:div w:id="110056578">
      <w:bodyDiv w:val="1"/>
      <w:marLeft w:val="0"/>
      <w:marRight w:val="0"/>
      <w:marTop w:val="0"/>
      <w:marBottom w:val="0"/>
      <w:divBdr>
        <w:top w:val="none" w:sz="0" w:space="0" w:color="auto"/>
        <w:left w:val="none" w:sz="0" w:space="0" w:color="auto"/>
        <w:bottom w:val="none" w:sz="0" w:space="0" w:color="auto"/>
        <w:right w:val="none" w:sz="0" w:space="0" w:color="auto"/>
      </w:divBdr>
    </w:div>
    <w:div w:id="159001460">
      <w:bodyDiv w:val="1"/>
      <w:marLeft w:val="0"/>
      <w:marRight w:val="0"/>
      <w:marTop w:val="0"/>
      <w:marBottom w:val="0"/>
      <w:divBdr>
        <w:top w:val="none" w:sz="0" w:space="0" w:color="auto"/>
        <w:left w:val="none" w:sz="0" w:space="0" w:color="auto"/>
        <w:bottom w:val="none" w:sz="0" w:space="0" w:color="auto"/>
        <w:right w:val="none" w:sz="0" w:space="0" w:color="auto"/>
      </w:divBdr>
    </w:div>
    <w:div w:id="501089834">
      <w:bodyDiv w:val="1"/>
      <w:marLeft w:val="0"/>
      <w:marRight w:val="0"/>
      <w:marTop w:val="0"/>
      <w:marBottom w:val="0"/>
      <w:divBdr>
        <w:top w:val="none" w:sz="0" w:space="0" w:color="auto"/>
        <w:left w:val="none" w:sz="0" w:space="0" w:color="auto"/>
        <w:bottom w:val="none" w:sz="0" w:space="0" w:color="auto"/>
        <w:right w:val="none" w:sz="0" w:space="0" w:color="auto"/>
      </w:divBdr>
    </w:div>
    <w:div w:id="1072462897">
      <w:bodyDiv w:val="1"/>
      <w:marLeft w:val="0"/>
      <w:marRight w:val="0"/>
      <w:marTop w:val="0"/>
      <w:marBottom w:val="0"/>
      <w:divBdr>
        <w:top w:val="none" w:sz="0" w:space="0" w:color="auto"/>
        <w:left w:val="none" w:sz="0" w:space="0" w:color="auto"/>
        <w:bottom w:val="none" w:sz="0" w:space="0" w:color="auto"/>
        <w:right w:val="none" w:sz="0" w:space="0" w:color="auto"/>
      </w:divBdr>
    </w:div>
    <w:div w:id="1151293973">
      <w:bodyDiv w:val="1"/>
      <w:marLeft w:val="0"/>
      <w:marRight w:val="0"/>
      <w:marTop w:val="0"/>
      <w:marBottom w:val="0"/>
      <w:divBdr>
        <w:top w:val="none" w:sz="0" w:space="0" w:color="auto"/>
        <w:left w:val="none" w:sz="0" w:space="0" w:color="auto"/>
        <w:bottom w:val="none" w:sz="0" w:space="0" w:color="auto"/>
        <w:right w:val="none" w:sz="0" w:space="0" w:color="auto"/>
      </w:divBdr>
    </w:div>
    <w:div w:id="1841698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hr.coe.int/Documents/Convention_ENG.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gislation.gov.uk/ukpga/1972/68/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legislation.gov.uk/ukpga/1998/42/contents" TargetMode="External"/><Relationship Id="rId4" Type="http://schemas.openxmlformats.org/officeDocument/2006/relationships/webSettings" Target="webSettings.xml"/><Relationship Id="rId9" Type="http://schemas.openxmlformats.org/officeDocument/2006/relationships/hyperlink" Target="http://www.legislation.gov.uk/ukpga/2018/16/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D7B04B-28E1-49C1-886A-A36C733DC2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2127</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dc:creator>
  <cp:keywords/>
  <dc:description/>
  <cp:lastModifiedBy>Cristian Maxim</cp:lastModifiedBy>
  <cp:revision>2</cp:revision>
  <dcterms:created xsi:type="dcterms:W3CDTF">2023-03-09T23:24:00Z</dcterms:created>
  <dcterms:modified xsi:type="dcterms:W3CDTF">2023-03-09T23:24:00Z</dcterms:modified>
</cp:coreProperties>
</file>