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E0B5E" w14:textId="31E79E39" w:rsidR="006920ED" w:rsidRPr="004811DC" w:rsidRDefault="006920ED" w:rsidP="00231C5B">
      <w:pPr>
        <w:rPr>
          <w:rFonts w:ascii="Times New Roman" w:hAnsi="Times New Roman" w:cs="Times New Roman"/>
          <w:b/>
          <w:color w:val="1F4E79"/>
          <w:sz w:val="24"/>
          <w:szCs w:val="24"/>
        </w:rPr>
      </w:pPr>
      <w:r w:rsidRPr="004811DC">
        <w:rPr>
          <w:rFonts w:ascii="Times New Roman" w:hAnsi="Times New Roman" w:cs="Times New Roman"/>
          <w:noProof/>
        </w:rPr>
        <w:drawing>
          <wp:inline distT="0" distB="0" distL="0" distR="0" wp14:anchorId="1DADAC94" wp14:editId="2C079F08">
            <wp:extent cx="5822461" cy="1497098"/>
            <wp:effectExtent l="0" t="0" r="6985" b="8255"/>
            <wp:docPr id="2" name="Picture 1">
              <a:extLst xmlns:a="http://schemas.openxmlformats.org/drawingml/2006/main">
                <a:ext uri="{FF2B5EF4-FFF2-40B4-BE49-F238E27FC236}">
                  <a16:creationId xmlns:a16="http://schemas.microsoft.com/office/drawing/2014/main" id="{8898E46F-0BD8-A338-2034-DAEBBA9715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898E46F-0BD8-A338-2034-DAEBBA971580}"/>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9606" cy="1514363"/>
                    </a:xfrm>
                    <a:prstGeom prst="rect">
                      <a:avLst/>
                    </a:prstGeom>
                    <a:noFill/>
                  </pic:spPr>
                </pic:pic>
              </a:graphicData>
            </a:graphic>
          </wp:inline>
        </w:drawing>
      </w:r>
    </w:p>
    <w:p w14:paraId="28731EE8" w14:textId="77777777" w:rsidR="006920ED" w:rsidRPr="004811DC" w:rsidRDefault="006920ED" w:rsidP="002F4CEB">
      <w:pPr>
        <w:spacing w:line="276" w:lineRule="auto"/>
        <w:jc w:val="center"/>
        <w:rPr>
          <w:rFonts w:ascii="Times New Roman" w:hAnsi="Times New Roman" w:cs="Times New Roman"/>
          <w:b/>
          <w:color w:val="1F4E79"/>
          <w:sz w:val="24"/>
          <w:szCs w:val="24"/>
        </w:rPr>
      </w:pPr>
    </w:p>
    <w:p w14:paraId="72A972FC" w14:textId="77777777" w:rsidR="000F26E2" w:rsidRPr="004811DC" w:rsidRDefault="000F26E2" w:rsidP="002F4CEB">
      <w:pPr>
        <w:spacing w:line="276" w:lineRule="auto"/>
        <w:jc w:val="center"/>
        <w:rPr>
          <w:rFonts w:ascii="Times New Roman" w:hAnsi="Times New Roman" w:cs="Times New Roman"/>
          <w:b/>
          <w:color w:val="1F4E79"/>
          <w:sz w:val="28"/>
          <w:szCs w:val="28"/>
        </w:rPr>
      </w:pPr>
      <w:r w:rsidRPr="004811DC">
        <w:rPr>
          <w:rFonts w:ascii="Times New Roman" w:hAnsi="Times New Roman" w:cs="Times New Roman"/>
          <w:b/>
          <w:color w:val="1F4E79"/>
          <w:sz w:val="28"/>
          <w:szCs w:val="28"/>
        </w:rPr>
        <w:t>Assignment Title</w:t>
      </w:r>
      <w:r w:rsidRPr="004811DC">
        <w:rPr>
          <w:rFonts w:ascii="Times New Roman" w:hAnsi="Times New Roman" w:cs="Times New Roman"/>
          <w:b/>
          <w:color w:val="1F4E79"/>
          <w:sz w:val="28"/>
          <w:szCs w:val="28"/>
        </w:rPr>
        <w:br/>
      </w:r>
    </w:p>
    <w:p w14:paraId="5CA9DC78" w14:textId="77777777" w:rsidR="00672D54" w:rsidRPr="004811DC" w:rsidRDefault="00672D54" w:rsidP="00672D54">
      <w:pPr>
        <w:spacing w:after="160"/>
        <w:jc w:val="center"/>
        <w:rPr>
          <w:rFonts w:ascii="Times New Roman" w:hAnsi="Times New Roman" w:cs="Times New Roman"/>
          <w:sz w:val="28"/>
          <w:szCs w:val="28"/>
        </w:rPr>
      </w:pPr>
      <w:r w:rsidRPr="004811DC">
        <w:rPr>
          <w:rFonts w:ascii="Times New Roman" w:eastAsia="Arial" w:hAnsi="Times New Roman" w:cs="Times New Roman"/>
          <w:b/>
          <w:bCs/>
          <w:color w:val="1F3864"/>
          <w:sz w:val="28"/>
          <w:szCs w:val="28"/>
        </w:rPr>
        <w:t>Understanding the Importance of Stakeholder Engagement</w:t>
      </w:r>
    </w:p>
    <w:p w14:paraId="7B7BCE8B" w14:textId="259848C3" w:rsidR="00672D54" w:rsidRPr="004811DC" w:rsidRDefault="00C52E1C" w:rsidP="00672D54">
      <w:pPr>
        <w:spacing w:after="80"/>
        <w:jc w:val="center"/>
        <w:rPr>
          <w:rFonts w:ascii="Times New Roman" w:hAnsi="Times New Roman" w:cs="Times New Roman"/>
          <w:sz w:val="28"/>
          <w:szCs w:val="28"/>
        </w:rPr>
      </w:pPr>
      <w:r w:rsidRPr="004811DC">
        <w:rPr>
          <w:rFonts w:ascii="Times New Roman" w:eastAsia="Arial" w:hAnsi="Times New Roman" w:cs="Times New Roman"/>
          <w:b/>
          <w:bCs/>
          <w:color w:val="1F3864"/>
          <w:sz w:val="28"/>
          <w:szCs w:val="28"/>
        </w:rPr>
        <w:t>In</w:t>
      </w:r>
      <w:r w:rsidR="00672D54" w:rsidRPr="004811DC">
        <w:rPr>
          <w:rFonts w:ascii="Times New Roman" w:eastAsia="Arial" w:hAnsi="Times New Roman" w:cs="Times New Roman"/>
          <w:b/>
          <w:bCs/>
          <w:color w:val="1F3864"/>
          <w:sz w:val="28"/>
          <w:szCs w:val="28"/>
        </w:rPr>
        <w:t xml:space="preserve"> the Successful Delivery of Projects</w:t>
      </w:r>
    </w:p>
    <w:p w14:paraId="36CF13CD" w14:textId="77777777" w:rsidR="00837A40" w:rsidRPr="004811DC" w:rsidRDefault="00837A40" w:rsidP="002F4CEB">
      <w:pPr>
        <w:spacing w:line="276" w:lineRule="auto"/>
        <w:rPr>
          <w:rFonts w:ascii="Times New Roman" w:hAnsi="Times New Roman" w:cs="Times New Roman"/>
          <w:bCs/>
          <w:i/>
          <w:iCs/>
          <w:color w:val="1F4E79"/>
          <w:sz w:val="24"/>
          <w:szCs w:val="24"/>
        </w:rPr>
      </w:pPr>
    </w:p>
    <w:p w14:paraId="3F6989C1" w14:textId="03108723" w:rsidR="00CE4BA0" w:rsidRPr="004811DC" w:rsidRDefault="00CE4BA0" w:rsidP="002F4CEB">
      <w:pPr>
        <w:spacing w:line="276" w:lineRule="auto"/>
        <w:jc w:val="center"/>
        <w:rPr>
          <w:rFonts w:ascii="Times New Roman" w:hAnsi="Times New Roman" w:cs="Times New Roman"/>
          <w:sz w:val="28"/>
          <w:szCs w:val="28"/>
        </w:rPr>
      </w:pPr>
      <w:r w:rsidRPr="004811DC">
        <w:rPr>
          <w:rFonts w:ascii="Times New Roman" w:hAnsi="Times New Roman" w:cs="Times New Roman"/>
          <w:b/>
          <w:sz w:val="28"/>
          <w:szCs w:val="28"/>
        </w:rPr>
        <w:t>Author</w:t>
      </w:r>
      <w:r w:rsidRPr="004811DC">
        <w:rPr>
          <w:rFonts w:ascii="Times New Roman" w:hAnsi="Times New Roman" w:cs="Times New Roman"/>
          <w:b/>
          <w:sz w:val="28"/>
          <w:szCs w:val="28"/>
        </w:rPr>
        <w:br/>
      </w:r>
    </w:p>
    <w:p w14:paraId="4ED6913F" w14:textId="6C312022" w:rsidR="00CE4BA0" w:rsidRPr="004811DC" w:rsidRDefault="00CE4BA0" w:rsidP="002F4CEB">
      <w:pPr>
        <w:spacing w:line="276" w:lineRule="auto"/>
        <w:jc w:val="center"/>
        <w:rPr>
          <w:rFonts w:ascii="Times New Roman" w:hAnsi="Times New Roman" w:cs="Times New Roman"/>
          <w:sz w:val="24"/>
          <w:szCs w:val="24"/>
        </w:rPr>
      </w:pPr>
      <w:r w:rsidRPr="004811DC">
        <w:rPr>
          <w:rFonts w:ascii="Times New Roman" w:hAnsi="Times New Roman" w:cs="Times New Roman"/>
          <w:sz w:val="24"/>
          <w:szCs w:val="24"/>
        </w:rPr>
        <w:t>HUGUETTE DORA EDJANGUE</w:t>
      </w:r>
    </w:p>
    <w:p w14:paraId="095816AD" w14:textId="188EF974" w:rsidR="00837A40" w:rsidRPr="004811DC" w:rsidRDefault="00837A40" w:rsidP="002F4CEB">
      <w:pPr>
        <w:spacing w:line="276" w:lineRule="auto"/>
        <w:rPr>
          <w:rFonts w:ascii="Times New Roman" w:hAnsi="Times New Roman" w:cs="Times New Roman"/>
          <w:bCs/>
          <w:color w:val="1F4E79"/>
          <w:sz w:val="28"/>
          <w:szCs w:val="28"/>
        </w:rPr>
      </w:pPr>
    </w:p>
    <w:p w14:paraId="55FE7C35" w14:textId="77777777" w:rsidR="00C11CD3" w:rsidRPr="004811DC" w:rsidRDefault="00C11CD3" w:rsidP="002F4CEB">
      <w:pPr>
        <w:spacing w:line="276" w:lineRule="auto"/>
        <w:jc w:val="center"/>
        <w:rPr>
          <w:rFonts w:ascii="Times New Roman" w:hAnsi="Times New Roman" w:cs="Times New Roman"/>
          <w:b/>
          <w:color w:val="1F4E79"/>
          <w:sz w:val="36"/>
          <w:szCs w:val="36"/>
        </w:rPr>
      </w:pPr>
      <w:r w:rsidRPr="004811DC">
        <w:rPr>
          <w:rFonts w:ascii="Times New Roman" w:hAnsi="Times New Roman" w:cs="Times New Roman"/>
          <w:b/>
          <w:color w:val="1F4E79"/>
          <w:sz w:val="28"/>
          <w:szCs w:val="28"/>
        </w:rPr>
        <w:t>Student ID</w:t>
      </w:r>
      <w:r w:rsidRPr="004811DC">
        <w:rPr>
          <w:rFonts w:ascii="Times New Roman" w:hAnsi="Times New Roman" w:cs="Times New Roman"/>
          <w:b/>
          <w:color w:val="1F4E79"/>
          <w:sz w:val="36"/>
          <w:szCs w:val="36"/>
        </w:rPr>
        <w:br/>
      </w:r>
    </w:p>
    <w:p w14:paraId="1EEFE46F" w14:textId="77777777" w:rsidR="00C11CD3" w:rsidRPr="004811DC" w:rsidRDefault="00C11CD3" w:rsidP="002F4CEB">
      <w:pPr>
        <w:spacing w:line="276" w:lineRule="auto"/>
        <w:jc w:val="center"/>
        <w:rPr>
          <w:rFonts w:ascii="Times New Roman" w:hAnsi="Times New Roman" w:cs="Times New Roman"/>
          <w:bCs/>
          <w:color w:val="1F4E79"/>
          <w:sz w:val="24"/>
          <w:szCs w:val="24"/>
        </w:rPr>
      </w:pPr>
      <w:r w:rsidRPr="004811DC">
        <w:rPr>
          <w:rFonts w:ascii="Times New Roman" w:hAnsi="Times New Roman" w:cs="Times New Roman"/>
          <w:bCs/>
          <w:color w:val="1F4E79"/>
          <w:sz w:val="24"/>
          <w:szCs w:val="24"/>
        </w:rPr>
        <w:t>2429780</w:t>
      </w:r>
    </w:p>
    <w:p w14:paraId="5CB88273" w14:textId="77777777" w:rsidR="00F12D80" w:rsidRPr="004811DC" w:rsidRDefault="00F12D80" w:rsidP="00BC7C06">
      <w:pPr>
        <w:shd w:val="clear" w:color="auto" w:fill="FFFFFF" w:themeFill="background1"/>
        <w:spacing w:line="276" w:lineRule="auto"/>
        <w:jc w:val="center"/>
        <w:rPr>
          <w:rFonts w:ascii="Times New Roman" w:hAnsi="Times New Roman" w:cs="Times New Roman"/>
          <w:bCs/>
          <w:color w:val="1F4E79"/>
          <w:sz w:val="24"/>
          <w:szCs w:val="24"/>
        </w:rPr>
      </w:pPr>
    </w:p>
    <w:tbl>
      <w:tblPr>
        <w:tblW w:w="9636" w:type="dxa"/>
        <w:tblLook w:val="04A0" w:firstRow="1" w:lastRow="0" w:firstColumn="1" w:lastColumn="0" w:noHBand="0" w:noVBand="1"/>
      </w:tblPr>
      <w:tblGrid>
        <w:gridCol w:w="4818"/>
        <w:gridCol w:w="4818"/>
      </w:tblGrid>
      <w:tr w:rsidR="003E1F91" w:rsidRPr="004811DC" w14:paraId="4041A102" w14:textId="77777777" w:rsidTr="00B566D0">
        <w:trPr>
          <w:trHeight w:val="525"/>
        </w:trPr>
        <w:tc>
          <w:tcPr>
            <w:tcW w:w="4818" w:type="dxa"/>
            <w:shd w:val="clear" w:color="auto" w:fill="002060"/>
          </w:tcPr>
          <w:p w14:paraId="499FFD63" w14:textId="77777777" w:rsidR="003E1F91" w:rsidRPr="004811DC" w:rsidRDefault="003E1F91" w:rsidP="00BC7C06">
            <w:pPr>
              <w:shd w:val="clear" w:color="auto" w:fill="FFFFFF" w:themeFill="background1"/>
              <w:spacing w:line="276" w:lineRule="auto"/>
              <w:rPr>
                <w:rFonts w:ascii="Times New Roman" w:hAnsi="Times New Roman" w:cs="Times New Roman"/>
                <w:b/>
                <w:bCs/>
                <w:sz w:val="24"/>
                <w:szCs w:val="24"/>
              </w:rPr>
            </w:pPr>
            <w:r w:rsidRPr="004811DC">
              <w:rPr>
                <w:rFonts w:ascii="Times New Roman" w:hAnsi="Times New Roman" w:cs="Times New Roman"/>
                <w:b/>
                <w:bCs/>
                <w:sz w:val="24"/>
                <w:szCs w:val="24"/>
              </w:rPr>
              <w:t>Programme</w:t>
            </w:r>
          </w:p>
        </w:tc>
        <w:tc>
          <w:tcPr>
            <w:tcW w:w="4818" w:type="dxa"/>
            <w:shd w:val="clear" w:color="auto" w:fill="FFFFFF" w:themeFill="background1"/>
          </w:tcPr>
          <w:p w14:paraId="19C89D27" w14:textId="77777777" w:rsidR="003E1F91" w:rsidRPr="004811DC" w:rsidRDefault="003E1F91" w:rsidP="00BC7C06">
            <w:pPr>
              <w:shd w:val="clear" w:color="auto" w:fill="FFFFFF" w:themeFill="background1"/>
              <w:spacing w:line="276" w:lineRule="auto"/>
              <w:rPr>
                <w:rFonts w:ascii="Times New Roman" w:hAnsi="Times New Roman" w:cs="Times New Roman"/>
                <w:sz w:val="24"/>
                <w:szCs w:val="24"/>
              </w:rPr>
            </w:pPr>
            <w:r w:rsidRPr="004811DC">
              <w:rPr>
                <w:rFonts w:ascii="Times New Roman" w:hAnsi="Times New Roman" w:cs="Times New Roman"/>
                <w:sz w:val="24"/>
                <w:szCs w:val="24"/>
              </w:rPr>
              <w:t>BA (Hons) Leadership and Management Skills for the Workplace</w:t>
            </w:r>
          </w:p>
        </w:tc>
      </w:tr>
      <w:tr w:rsidR="003E1F91" w:rsidRPr="004811DC" w14:paraId="33C4BC48" w14:textId="77777777" w:rsidTr="00B566D0">
        <w:trPr>
          <w:trHeight w:val="873"/>
        </w:trPr>
        <w:tc>
          <w:tcPr>
            <w:tcW w:w="4818" w:type="dxa"/>
            <w:shd w:val="clear" w:color="auto" w:fill="002060"/>
          </w:tcPr>
          <w:p w14:paraId="30CA9A47" w14:textId="77777777" w:rsidR="003E1F91" w:rsidRPr="004811DC" w:rsidRDefault="003E1F91" w:rsidP="00BC7C06">
            <w:pPr>
              <w:shd w:val="clear" w:color="auto" w:fill="FFFFFF" w:themeFill="background1"/>
              <w:spacing w:line="276" w:lineRule="auto"/>
              <w:rPr>
                <w:rFonts w:ascii="Times New Roman" w:hAnsi="Times New Roman" w:cs="Times New Roman"/>
                <w:b/>
                <w:bCs/>
                <w:sz w:val="24"/>
                <w:szCs w:val="24"/>
              </w:rPr>
            </w:pPr>
            <w:r w:rsidRPr="004811DC">
              <w:rPr>
                <w:rFonts w:ascii="Times New Roman" w:hAnsi="Times New Roman" w:cs="Times New Roman"/>
                <w:b/>
                <w:bCs/>
                <w:sz w:val="24"/>
                <w:szCs w:val="24"/>
              </w:rPr>
              <w:t>Module</w:t>
            </w:r>
          </w:p>
        </w:tc>
        <w:tc>
          <w:tcPr>
            <w:tcW w:w="4818" w:type="dxa"/>
          </w:tcPr>
          <w:p w14:paraId="678D5362" w14:textId="77777777" w:rsidR="003E1F91" w:rsidRPr="004811DC" w:rsidRDefault="003E1F91" w:rsidP="00BC7C06">
            <w:pPr>
              <w:shd w:val="clear" w:color="auto" w:fill="FFFFFF" w:themeFill="background1"/>
              <w:spacing w:line="276" w:lineRule="auto"/>
              <w:rPr>
                <w:rFonts w:ascii="Times New Roman" w:hAnsi="Times New Roman" w:cs="Times New Roman"/>
                <w:sz w:val="24"/>
                <w:szCs w:val="24"/>
              </w:rPr>
            </w:pPr>
            <w:r w:rsidRPr="004811DC">
              <w:rPr>
                <w:rFonts w:ascii="Times New Roman" w:hAnsi="Times New Roman" w:cs="Times New Roman"/>
                <w:sz w:val="24"/>
                <w:szCs w:val="24"/>
              </w:rPr>
              <w:t>Understanding and Engaging Stakeholders</w:t>
            </w:r>
          </w:p>
        </w:tc>
      </w:tr>
      <w:tr w:rsidR="003E1F91" w:rsidRPr="004811DC" w14:paraId="451975D8" w14:textId="77777777" w:rsidTr="00B566D0">
        <w:trPr>
          <w:trHeight w:val="551"/>
        </w:trPr>
        <w:tc>
          <w:tcPr>
            <w:tcW w:w="4818" w:type="dxa"/>
            <w:shd w:val="clear" w:color="auto" w:fill="002060"/>
          </w:tcPr>
          <w:p w14:paraId="1D77DC4B" w14:textId="0099300D" w:rsidR="00FE2501" w:rsidRPr="004811DC" w:rsidRDefault="003E1F91" w:rsidP="00BC7C06">
            <w:pPr>
              <w:shd w:val="clear" w:color="auto" w:fill="FFFFFF" w:themeFill="background1"/>
              <w:spacing w:line="276" w:lineRule="auto"/>
              <w:rPr>
                <w:rFonts w:ascii="Times New Roman" w:hAnsi="Times New Roman" w:cs="Times New Roman"/>
                <w:b/>
                <w:bCs/>
                <w:sz w:val="24"/>
                <w:szCs w:val="24"/>
              </w:rPr>
            </w:pPr>
            <w:r w:rsidRPr="004811DC">
              <w:rPr>
                <w:rFonts w:ascii="Times New Roman" w:hAnsi="Times New Roman" w:cs="Times New Roman"/>
                <w:b/>
                <w:bCs/>
                <w:sz w:val="24"/>
                <w:szCs w:val="24"/>
              </w:rPr>
              <w:t>Module Code</w:t>
            </w:r>
          </w:p>
        </w:tc>
        <w:tc>
          <w:tcPr>
            <w:tcW w:w="4818" w:type="dxa"/>
          </w:tcPr>
          <w:p w14:paraId="1A4ADD53" w14:textId="77777777" w:rsidR="003E1F91" w:rsidRPr="004811DC" w:rsidRDefault="003E1F91" w:rsidP="00BC7C06">
            <w:pPr>
              <w:shd w:val="clear" w:color="auto" w:fill="FFFFFF" w:themeFill="background1"/>
              <w:spacing w:line="276" w:lineRule="auto"/>
              <w:rPr>
                <w:rFonts w:ascii="Times New Roman" w:hAnsi="Times New Roman" w:cs="Times New Roman"/>
                <w:sz w:val="24"/>
                <w:szCs w:val="24"/>
              </w:rPr>
            </w:pPr>
            <w:r w:rsidRPr="004811DC">
              <w:rPr>
                <w:rFonts w:ascii="Times New Roman" w:hAnsi="Times New Roman" w:cs="Times New Roman"/>
                <w:sz w:val="24"/>
                <w:szCs w:val="24"/>
              </w:rPr>
              <w:t>LCLM5001</w:t>
            </w:r>
          </w:p>
        </w:tc>
      </w:tr>
      <w:tr w:rsidR="003E1F91" w:rsidRPr="004811DC" w14:paraId="36E7ABB0" w14:textId="77777777" w:rsidTr="00B566D0">
        <w:trPr>
          <w:trHeight w:val="540"/>
        </w:trPr>
        <w:tc>
          <w:tcPr>
            <w:tcW w:w="4818" w:type="dxa"/>
            <w:shd w:val="clear" w:color="auto" w:fill="002060"/>
          </w:tcPr>
          <w:p w14:paraId="7CCABE40" w14:textId="77777777" w:rsidR="003E1F91" w:rsidRPr="004811DC" w:rsidRDefault="003E1F91" w:rsidP="00BC7C06">
            <w:pPr>
              <w:shd w:val="clear" w:color="auto" w:fill="FFFFFF" w:themeFill="background1"/>
              <w:spacing w:line="276" w:lineRule="auto"/>
              <w:rPr>
                <w:rFonts w:ascii="Times New Roman" w:hAnsi="Times New Roman" w:cs="Times New Roman"/>
                <w:b/>
                <w:bCs/>
                <w:sz w:val="24"/>
                <w:szCs w:val="24"/>
              </w:rPr>
            </w:pPr>
            <w:r w:rsidRPr="004811DC">
              <w:rPr>
                <w:rFonts w:ascii="Times New Roman" w:hAnsi="Times New Roman" w:cs="Times New Roman"/>
                <w:b/>
                <w:bCs/>
                <w:sz w:val="24"/>
                <w:szCs w:val="24"/>
              </w:rPr>
              <w:t>Module Lecturer</w:t>
            </w:r>
          </w:p>
        </w:tc>
        <w:tc>
          <w:tcPr>
            <w:tcW w:w="4818" w:type="dxa"/>
          </w:tcPr>
          <w:p w14:paraId="08F194D7" w14:textId="77777777" w:rsidR="003E1F91" w:rsidRPr="004811DC" w:rsidRDefault="003E1F91" w:rsidP="00BC7C06">
            <w:pPr>
              <w:shd w:val="clear" w:color="auto" w:fill="FFFFFF" w:themeFill="background1"/>
              <w:spacing w:line="276" w:lineRule="auto"/>
              <w:rPr>
                <w:rFonts w:ascii="Times New Roman" w:hAnsi="Times New Roman" w:cs="Times New Roman"/>
                <w:sz w:val="24"/>
                <w:szCs w:val="24"/>
              </w:rPr>
            </w:pPr>
            <w:r w:rsidRPr="004811DC">
              <w:rPr>
                <w:rFonts w:ascii="Times New Roman" w:hAnsi="Times New Roman" w:cs="Times New Roman"/>
                <w:sz w:val="24"/>
                <w:szCs w:val="24"/>
              </w:rPr>
              <w:t>Christopher Osborne</w:t>
            </w:r>
          </w:p>
        </w:tc>
      </w:tr>
    </w:tbl>
    <w:p w14:paraId="212F9FBB" w14:textId="77777777" w:rsidR="007A1381" w:rsidRPr="004811DC" w:rsidRDefault="007A1381" w:rsidP="00231C5B">
      <w:pPr>
        <w:rPr>
          <w:rFonts w:ascii="Times New Roman" w:hAnsi="Times New Roman" w:cs="Times New Roman"/>
          <w:b/>
          <w:sz w:val="32"/>
          <w:szCs w:val="32"/>
        </w:rPr>
      </w:pPr>
    </w:p>
    <w:p w14:paraId="09EEDBF5" w14:textId="7B5FD139" w:rsidR="008A4B88" w:rsidRPr="004811DC" w:rsidRDefault="00412CCC" w:rsidP="00231C5B">
      <w:pPr>
        <w:rPr>
          <w:rFonts w:ascii="Times New Roman" w:hAnsi="Times New Roman" w:cs="Times New Roman"/>
          <w:sz w:val="24"/>
          <w:szCs w:val="24"/>
        </w:rPr>
      </w:pPr>
      <w:r w:rsidRPr="004811DC">
        <w:rPr>
          <w:rFonts w:ascii="Times New Roman" w:hAnsi="Times New Roman" w:cs="Times New Roman"/>
          <w:b/>
          <w:sz w:val="24"/>
          <w:szCs w:val="24"/>
        </w:rPr>
        <w:lastRenderedPageBreak/>
        <w:t xml:space="preserve">Table of </w:t>
      </w:r>
      <w:r w:rsidR="008A4B88" w:rsidRPr="004811DC">
        <w:rPr>
          <w:rFonts w:ascii="Times New Roman" w:hAnsi="Times New Roman" w:cs="Times New Roman"/>
          <w:b/>
          <w:sz w:val="24"/>
          <w:szCs w:val="24"/>
        </w:rPr>
        <w:t>Contents</w:t>
      </w:r>
    </w:p>
    <w:p w14:paraId="1AB5C722"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Executive Summary</w:t>
      </w:r>
    </w:p>
    <w:p w14:paraId="4AA53399"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1.  Introduction</w:t>
      </w:r>
    </w:p>
    <w:p w14:paraId="3EB96307"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2.  Organisational Context and Strategic Assessment: SWOT, PESTLE and SMART Objectives</w:t>
      </w:r>
    </w:p>
    <w:p w14:paraId="6918D357" w14:textId="7F8E910C"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2.1 SWOT Analysis</w:t>
      </w:r>
    </w:p>
    <w:p w14:paraId="78709B9A" w14:textId="7420282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2.2 PESTLE Analysis</w:t>
      </w:r>
    </w:p>
    <w:p w14:paraId="130E4B79" w14:textId="064ED0EC"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2.3 SMART Objectives</w:t>
      </w:r>
    </w:p>
    <w:p w14:paraId="2672236C"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3.  Key Internal and External Stakeholders</w:t>
      </w:r>
    </w:p>
    <w:p w14:paraId="03C59E23" w14:textId="0D84B46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3.1 Stakeholder Analysis</w:t>
      </w:r>
    </w:p>
    <w:p w14:paraId="4F504528" w14:textId="3B9491AE"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3.2 Stakeholder Roles, Responsibilities, Benefits and Challenges</w:t>
      </w:r>
    </w:p>
    <w:p w14:paraId="557A0252"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4.  Stakeholder Engagement Frameworks and Plans</w:t>
      </w:r>
    </w:p>
    <w:p w14:paraId="44B7E81E" w14:textId="36859521"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4.1 Stakeholder Map – Mendelow Matrix</w:t>
      </w:r>
    </w:p>
    <w:p w14:paraId="5E50A90E" w14:textId="2D54F670"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4.2 RACI Matrix</w:t>
      </w:r>
    </w:p>
    <w:p w14:paraId="577255FA" w14:textId="36DC65DD"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4.3 Stakeholder Engagement Plan</w:t>
      </w:r>
    </w:p>
    <w:p w14:paraId="58593421" w14:textId="6E2350FB"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4.4 Communication Plan</w:t>
      </w:r>
    </w:p>
    <w:p w14:paraId="7131CDCC"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5.  Stakeholder Engagement Process and Conflict Management</w:t>
      </w:r>
    </w:p>
    <w:p w14:paraId="1EB0F5F6" w14:textId="3A40700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5.1 Applying the 4C's Model</w:t>
      </w:r>
    </w:p>
    <w:p w14:paraId="05D892BF" w14:textId="5D43AE6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5.2 Conflict Management Plan</w:t>
      </w:r>
    </w:p>
    <w:p w14:paraId="60825B96" w14:textId="2E0013CB"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 xml:space="preserve">    5.3 Root-Cause Analysis (Fishbone Diagram)</w:t>
      </w:r>
    </w:p>
    <w:p w14:paraId="04007E29"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6.  Impact of Stakeholder Engagement on Business Performance</w:t>
      </w:r>
    </w:p>
    <w:p w14:paraId="21F49741"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7.  Recommendations</w:t>
      </w:r>
    </w:p>
    <w:p w14:paraId="3F5B6078" w14:textId="77777777" w:rsidR="00635830" w:rsidRPr="004811DC" w:rsidRDefault="00635830" w:rsidP="00635830">
      <w:pPr>
        <w:spacing w:after="160"/>
        <w:jc w:val="both"/>
        <w:rPr>
          <w:rFonts w:ascii="Times New Roman" w:hAnsi="Times New Roman" w:cs="Times New Roman"/>
        </w:rPr>
      </w:pPr>
      <w:r w:rsidRPr="004811DC">
        <w:rPr>
          <w:rFonts w:ascii="Times New Roman" w:eastAsia="Arial" w:hAnsi="Times New Roman" w:cs="Times New Roman"/>
          <w:color w:val="000000"/>
        </w:rPr>
        <w:t>8.  Conclusion</w:t>
      </w:r>
    </w:p>
    <w:p w14:paraId="2F90BCDA" w14:textId="77777777" w:rsidR="00635830" w:rsidRPr="004811DC" w:rsidRDefault="00635830" w:rsidP="00635830">
      <w:pPr>
        <w:spacing w:after="160"/>
        <w:jc w:val="both"/>
        <w:rPr>
          <w:rFonts w:ascii="Times New Roman" w:eastAsia="Arial" w:hAnsi="Times New Roman" w:cs="Times New Roman"/>
          <w:color w:val="000000"/>
        </w:rPr>
      </w:pPr>
      <w:r w:rsidRPr="004811DC">
        <w:rPr>
          <w:rFonts w:ascii="Times New Roman" w:eastAsia="Arial" w:hAnsi="Times New Roman" w:cs="Times New Roman"/>
          <w:color w:val="000000"/>
        </w:rPr>
        <w:t>References</w:t>
      </w:r>
    </w:p>
    <w:p w14:paraId="30A25A01" w14:textId="77777777" w:rsidR="00635830" w:rsidRPr="004811DC" w:rsidRDefault="00635830" w:rsidP="00635830">
      <w:pPr>
        <w:spacing w:after="160"/>
        <w:jc w:val="both"/>
        <w:rPr>
          <w:rFonts w:ascii="Times New Roman" w:hAnsi="Times New Roman" w:cs="Times New Roman"/>
        </w:rPr>
      </w:pPr>
    </w:p>
    <w:p w14:paraId="57218DA7" w14:textId="77777777" w:rsidR="00CF7D74" w:rsidRPr="004811DC" w:rsidRDefault="001A3901" w:rsidP="00231C5B">
      <w:pPr>
        <w:spacing w:before="240" w:after="120"/>
        <w:rPr>
          <w:rFonts w:ascii="Times New Roman" w:hAnsi="Times New Roman" w:cs="Times New Roman"/>
          <w:sz w:val="24"/>
          <w:szCs w:val="24"/>
        </w:rPr>
      </w:pPr>
      <w:r w:rsidRPr="004811DC">
        <w:rPr>
          <w:rFonts w:ascii="Times New Roman" w:hAnsi="Times New Roman" w:cs="Times New Roman"/>
          <w:b/>
          <w:color w:val="1F4E79"/>
          <w:sz w:val="24"/>
          <w:szCs w:val="24"/>
        </w:rPr>
        <w:lastRenderedPageBreak/>
        <w:t>1. Introduction</w:t>
      </w:r>
    </w:p>
    <w:p w14:paraId="3638DEA7" w14:textId="7404F687" w:rsidR="001A277B" w:rsidRPr="004811DC" w:rsidRDefault="001A277B" w:rsidP="00120414">
      <w:pPr>
        <w:pStyle w:val="NormalWeb"/>
        <w:spacing w:line="360" w:lineRule="auto"/>
        <w:jc w:val="both"/>
      </w:pPr>
      <w:r w:rsidRPr="004811DC">
        <w:t>This report explores how Marriott International can effectively identify, analyse and engage stakeholders in the launch of StaySmart+</w:t>
      </w:r>
      <w:r w:rsidR="00C76858" w:rsidRPr="004811DC">
        <w:t xml:space="preserve"> (</w:t>
      </w:r>
      <w:r w:rsidR="00D475B8" w:rsidRPr="004811DC">
        <w:t>SS+),</w:t>
      </w:r>
      <w:r w:rsidRPr="004811DC">
        <w:t xml:space="preserve"> a premium customer experience service that combines AI-enabled guest interaction, personalised travel planning and sustainability-focused features. </w:t>
      </w:r>
      <w:r w:rsidRPr="004811DC">
        <w:rPr>
          <w:rStyle w:val="whitespace-normal"/>
        </w:rPr>
        <w:t>Marriott International</w:t>
      </w:r>
      <w:r w:rsidRPr="004811DC">
        <w:t xml:space="preserve"> is one of the world’s largest hospitality organisations, operating thousands of properties across more than 130 countries and territories. Its extensive global footprint, diverse brand portfolio and strong focus on service innovation make it an appropriate context for examining stakeholder engagement in a complex, international project.</w:t>
      </w:r>
    </w:p>
    <w:p w14:paraId="3EC28B74" w14:textId="5C7B8F1F" w:rsidR="001A277B" w:rsidRPr="004811DC" w:rsidRDefault="001A277B" w:rsidP="00120414">
      <w:pPr>
        <w:pStyle w:val="NormalWeb"/>
        <w:spacing w:line="360" w:lineRule="auto"/>
        <w:jc w:val="both"/>
      </w:pPr>
      <w:r w:rsidRPr="004811DC">
        <w:t>The SS+ initiative represents a complex service innovation rather than a simple extension of existing offerings. Its implementation involves multiple interconnected elements, including advanced technology integration, staff training, supplier coordination and adaptation to different regulatory and cultural environments. As such, the project is strategically significant in its potential to enhance guest satisfaction, improve operational efficiency and strengthen Marriott’s competitive positioning in an increasingly digital marketplace.</w:t>
      </w:r>
    </w:p>
    <w:p w14:paraId="05FEA39D" w14:textId="1E1764BB" w:rsidR="00FD1893" w:rsidRDefault="00FD1893" w:rsidP="00167CF5">
      <w:pPr>
        <w:pStyle w:val="NormalWeb"/>
        <w:spacing w:line="360" w:lineRule="auto"/>
        <w:jc w:val="both"/>
      </w:pPr>
      <w:r w:rsidRPr="00FD1893">
        <w:t>To examine this, the report analyses Marriott’s internal capabilities and external environment using SWOT and PESTLE frameworks, which together provide a comprehensive basis for strategic evaluation (Johnson, Scholes and Whittington, 2017). Insights from this analysis are then used to develop SMART objectives to guide the initial rollout of StaySmart+. The report further identifies key stakeholders and evaluates their roles, interests, benefits and potential challenges. To support effective implementation, a range of practical frameworks is applied, including the power–interest matrix, RACI matrix, stakeholder engagement plan and communication strategy. In addition, the report emphasises the importance of relationship management through the 4C’s model</w:t>
      </w:r>
      <w:r>
        <w:t xml:space="preserve">, </w:t>
      </w:r>
      <w:r w:rsidRPr="00FD1893">
        <w:t>communication, consultation, collaboration and commitment</w:t>
      </w:r>
      <w:r w:rsidR="007777DC">
        <w:t xml:space="preserve">, </w:t>
      </w:r>
      <w:r w:rsidRPr="00FD1893">
        <w:t>as a means of fostering trust and alignment across diverse stakeholder groups.</w:t>
      </w:r>
    </w:p>
    <w:p w14:paraId="7B25E838" w14:textId="235B3394" w:rsidR="007777DC" w:rsidRPr="004811DC" w:rsidRDefault="007777DC" w:rsidP="00167CF5">
      <w:pPr>
        <w:pStyle w:val="NormalWeb"/>
        <w:spacing w:line="360" w:lineRule="auto"/>
        <w:jc w:val="both"/>
      </w:pPr>
      <w:r w:rsidRPr="007777DC">
        <w:t xml:space="preserve">Effective stakeholder engagement extends beyond operational benefits to reflect an organisation’s commitment to sustainability. Firms demonstrate genuine alignment with economic, social and environmental objectives when engagement is meaningful rather than symbolic (Strategic Direction, 2022). It also requires effective conflict management to address resistance and ensure alignment. Overall, stakeholder engagement should be viewed as a strategic </w:t>
      </w:r>
      <w:r w:rsidRPr="007777DC">
        <w:lastRenderedPageBreak/>
        <w:t>capability that strengthens implementation, customer acceptance, employee readiness and long-term innovation performance.</w:t>
      </w:r>
    </w:p>
    <w:p w14:paraId="3859B95F" w14:textId="76B42388" w:rsidR="00CF7D74" w:rsidRPr="004811DC" w:rsidRDefault="001A3901" w:rsidP="00231C5B">
      <w:pPr>
        <w:spacing w:before="240" w:after="120"/>
        <w:rPr>
          <w:rFonts w:ascii="Times New Roman" w:hAnsi="Times New Roman" w:cs="Times New Roman"/>
          <w:sz w:val="24"/>
          <w:szCs w:val="24"/>
        </w:rPr>
      </w:pPr>
      <w:r w:rsidRPr="004811DC">
        <w:rPr>
          <w:rFonts w:ascii="Times New Roman" w:hAnsi="Times New Roman" w:cs="Times New Roman"/>
          <w:b/>
          <w:color w:val="1F4E79"/>
          <w:sz w:val="24"/>
          <w:szCs w:val="24"/>
        </w:rPr>
        <w:t xml:space="preserve">2. </w:t>
      </w:r>
      <w:r w:rsidR="000A7D0C" w:rsidRPr="004811DC">
        <w:rPr>
          <w:rFonts w:ascii="Times New Roman" w:hAnsi="Times New Roman" w:cs="Times New Roman"/>
          <w:b/>
          <w:color w:val="1F4E79"/>
          <w:sz w:val="24"/>
          <w:szCs w:val="24"/>
        </w:rPr>
        <w:t>Organisational Context and Strategic Assessment</w:t>
      </w:r>
      <w:r w:rsidRPr="004811DC">
        <w:rPr>
          <w:rFonts w:ascii="Times New Roman" w:hAnsi="Times New Roman" w:cs="Times New Roman"/>
          <w:b/>
          <w:color w:val="1F4E79"/>
          <w:sz w:val="24"/>
          <w:szCs w:val="24"/>
        </w:rPr>
        <w:t>: SWOT, PESTLE and SMART Objectives</w:t>
      </w:r>
    </w:p>
    <w:p w14:paraId="053D82DE" w14:textId="58E282EA" w:rsidR="00243100" w:rsidRPr="004811DC" w:rsidRDefault="007819F9" w:rsidP="006B7B1F">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 xml:space="preserve">Effective stakeholder engagement should be firmly grounded in a clear understanding of the organisation’s context. Conducting a situational analysis enables the project manager to assess where Marriott International is strategically strong, where potential vulnerabilities exist, and how external factors may influence stakeholder expectations and responses. In this regard, SWOT and PESTLE analyses provide a structured framework for evaluating both internal capabilities and external environmental pressures. Together, these tools help establish a strong strategic foundation, ensuring that stakeholder engagement approaches are realistic, informed and aligned with the broader organisational environment. This aligns with strategic management perspectives, which emphasise that effective strategy depends on understanding both industry forces and organisational positioning </w:t>
      </w:r>
      <w:r w:rsidR="00C94240" w:rsidRPr="004811DC">
        <w:rPr>
          <w:rFonts w:ascii="Times New Roman" w:hAnsi="Times New Roman" w:cs="Times New Roman"/>
          <w:sz w:val="24"/>
          <w:szCs w:val="24"/>
        </w:rPr>
        <w:t xml:space="preserve">(Porter, 2008). </w:t>
      </w:r>
      <w:r w:rsidRPr="004811DC">
        <w:rPr>
          <w:rFonts w:ascii="Times New Roman" w:hAnsi="Times New Roman" w:cs="Times New Roman"/>
          <w:sz w:val="24"/>
          <w:szCs w:val="24"/>
        </w:rPr>
        <w:t>Furthermore, organisations that align their internal strengths with external opportunities are better positioned to respond to stakeholder demands and sustain competitive advantage (Barney, 1991).</w:t>
      </w:r>
    </w:p>
    <w:p w14:paraId="7B9E747A" w14:textId="1D0FE128" w:rsidR="00CF7D74" w:rsidRPr="004811DC" w:rsidRDefault="001A3901"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2.1 SWOT Analysis</w:t>
      </w:r>
    </w:p>
    <w:tbl>
      <w:tblPr>
        <w:tblStyle w:val="TableGrid"/>
        <w:tblW w:w="9685" w:type="dxa"/>
        <w:jc w:val="center"/>
        <w:tblLook w:val="04A0" w:firstRow="1" w:lastRow="0" w:firstColumn="1" w:lastColumn="0" w:noHBand="0" w:noVBand="1"/>
      </w:tblPr>
      <w:tblGrid>
        <w:gridCol w:w="4703"/>
        <w:gridCol w:w="4982"/>
      </w:tblGrid>
      <w:tr w:rsidR="00CF7D74" w:rsidRPr="004811DC" w14:paraId="7013839E" w14:textId="77777777" w:rsidTr="008E06F5">
        <w:trPr>
          <w:jc w:val="center"/>
        </w:trPr>
        <w:tc>
          <w:tcPr>
            <w:tcW w:w="4703" w:type="dxa"/>
            <w:shd w:val="clear" w:color="auto" w:fill="17365D" w:themeFill="text2" w:themeFillShade="BF"/>
            <w:vAlign w:val="center"/>
          </w:tcPr>
          <w:p w14:paraId="08E7688E" w14:textId="0C1FE819" w:rsidR="00CF7D74" w:rsidRPr="004811DC" w:rsidRDefault="001520B7" w:rsidP="001520B7">
            <w:pPr>
              <w:spacing w:before="40" w:after="40"/>
              <w:jc w:val="center"/>
              <w:rPr>
                <w:rFonts w:ascii="Times New Roman" w:hAnsi="Times New Roman" w:cs="Times New Roman"/>
                <w:sz w:val="24"/>
                <w:szCs w:val="24"/>
              </w:rPr>
            </w:pPr>
            <w:r w:rsidRPr="004811DC">
              <w:rPr>
                <w:rFonts w:ascii="Times New Roman" w:hAnsi="Times New Roman" w:cs="Times New Roman"/>
                <w:b/>
                <w:sz w:val="24"/>
                <w:szCs w:val="24"/>
              </w:rPr>
              <w:t>STRENGTHS</w:t>
            </w:r>
          </w:p>
        </w:tc>
        <w:tc>
          <w:tcPr>
            <w:tcW w:w="4982" w:type="dxa"/>
            <w:shd w:val="clear" w:color="auto" w:fill="FBD4B4" w:themeFill="accent6" w:themeFillTint="66"/>
            <w:vAlign w:val="center"/>
          </w:tcPr>
          <w:p w14:paraId="30A2C95B" w14:textId="0EAFD6DB" w:rsidR="00CF7D74" w:rsidRPr="004811DC" w:rsidRDefault="001520B7" w:rsidP="001520B7">
            <w:pPr>
              <w:spacing w:before="40" w:after="40"/>
              <w:jc w:val="center"/>
              <w:rPr>
                <w:rFonts w:ascii="Times New Roman" w:hAnsi="Times New Roman" w:cs="Times New Roman"/>
                <w:b/>
                <w:sz w:val="24"/>
                <w:szCs w:val="24"/>
              </w:rPr>
            </w:pPr>
            <w:r w:rsidRPr="004811DC">
              <w:rPr>
                <w:rFonts w:ascii="Times New Roman" w:hAnsi="Times New Roman" w:cs="Times New Roman"/>
                <w:b/>
                <w:sz w:val="24"/>
                <w:szCs w:val="24"/>
              </w:rPr>
              <w:t>WEAKNESSES</w:t>
            </w:r>
          </w:p>
        </w:tc>
      </w:tr>
      <w:tr w:rsidR="00CF7D74" w:rsidRPr="004811DC" w14:paraId="687A89A0" w14:textId="77777777" w:rsidTr="008E06F5">
        <w:trPr>
          <w:jc w:val="center"/>
        </w:trPr>
        <w:tc>
          <w:tcPr>
            <w:tcW w:w="4703" w:type="dxa"/>
            <w:shd w:val="clear" w:color="auto" w:fill="17365D" w:themeFill="text2" w:themeFillShade="BF"/>
            <w:vAlign w:val="center"/>
          </w:tcPr>
          <w:p w14:paraId="64A1CDC2" w14:textId="77777777" w:rsidR="00974E25" w:rsidRPr="004811DC" w:rsidRDefault="001A3901" w:rsidP="0074443E">
            <w:pPr>
              <w:pStyle w:val="ListParagraph"/>
              <w:numPr>
                <w:ilvl w:val="0"/>
                <w:numId w:val="10"/>
              </w:numPr>
              <w:spacing w:before="40" w:after="40"/>
              <w:rPr>
                <w:rFonts w:ascii="Times New Roman" w:hAnsi="Times New Roman" w:cs="Times New Roman"/>
                <w:sz w:val="24"/>
                <w:szCs w:val="24"/>
              </w:rPr>
            </w:pPr>
            <w:r w:rsidRPr="004811DC">
              <w:rPr>
                <w:rFonts w:ascii="Times New Roman" w:hAnsi="Times New Roman" w:cs="Times New Roman"/>
                <w:sz w:val="24"/>
                <w:szCs w:val="24"/>
              </w:rPr>
              <w:t>Strong global brand reputation</w:t>
            </w:r>
          </w:p>
          <w:p w14:paraId="7D626085" w14:textId="2581886C" w:rsidR="00615F71" w:rsidRPr="004811DC" w:rsidRDefault="009D6275" w:rsidP="0074443E">
            <w:pPr>
              <w:pStyle w:val="ListParagraph"/>
              <w:numPr>
                <w:ilvl w:val="0"/>
                <w:numId w:val="10"/>
              </w:numPr>
              <w:spacing w:before="40" w:after="40"/>
              <w:rPr>
                <w:rFonts w:ascii="Times New Roman" w:hAnsi="Times New Roman" w:cs="Times New Roman"/>
                <w:sz w:val="24"/>
                <w:szCs w:val="24"/>
              </w:rPr>
            </w:pPr>
            <w:r w:rsidRPr="004811DC">
              <w:rPr>
                <w:rFonts w:ascii="Times New Roman" w:hAnsi="Times New Roman" w:cs="Times New Roman"/>
                <w:sz w:val="24"/>
                <w:szCs w:val="24"/>
              </w:rPr>
              <w:t>Large network of properties</w:t>
            </w:r>
          </w:p>
          <w:p w14:paraId="7E671EE4" w14:textId="4AF79229" w:rsidR="00615F71" w:rsidRPr="004811DC" w:rsidRDefault="009D6275" w:rsidP="0074443E">
            <w:pPr>
              <w:pStyle w:val="ListParagraph"/>
              <w:numPr>
                <w:ilvl w:val="0"/>
                <w:numId w:val="10"/>
              </w:numPr>
              <w:spacing w:before="40" w:after="40"/>
              <w:rPr>
                <w:rFonts w:ascii="Times New Roman" w:hAnsi="Times New Roman" w:cs="Times New Roman"/>
                <w:sz w:val="24"/>
                <w:szCs w:val="24"/>
              </w:rPr>
            </w:pPr>
            <w:r w:rsidRPr="004811DC">
              <w:rPr>
                <w:rFonts w:ascii="Times New Roman" w:hAnsi="Times New Roman" w:cs="Times New Roman"/>
                <w:sz w:val="24"/>
                <w:szCs w:val="24"/>
              </w:rPr>
              <w:t>Established Marriott Bonvoy loyalty ecosystem</w:t>
            </w:r>
          </w:p>
          <w:p w14:paraId="5AAAF386" w14:textId="51EF3CFD" w:rsidR="00615F71" w:rsidRPr="004811DC" w:rsidRDefault="009D6275" w:rsidP="0074443E">
            <w:pPr>
              <w:pStyle w:val="ListParagraph"/>
              <w:numPr>
                <w:ilvl w:val="0"/>
                <w:numId w:val="10"/>
              </w:numPr>
              <w:spacing w:before="40" w:after="40"/>
              <w:rPr>
                <w:rFonts w:ascii="Times New Roman" w:hAnsi="Times New Roman" w:cs="Times New Roman"/>
                <w:sz w:val="24"/>
                <w:szCs w:val="24"/>
              </w:rPr>
            </w:pPr>
            <w:r w:rsidRPr="004811DC">
              <w:rPr>
                <w:rFonts w:ascii="Times New Roman" w:hAnsi="Times New Roman" w:cs="Times New Roman"/>
                <w:sz w:val="24"/>
                <w:szCs w:val="24"/>
              </w:rPr>
              <w:t>Significant investment capacity</w:t>
            </w:r>
          </w:p>
          <w:p w14:paraId="54099802" w14:textId="77777777" w:rsidR="00CF7D74" w:rsidRPr="004811DC" w:rsidRDefault="009D6275" w:rsidP="0074443E">
            <w:pPr>
              <w:pStyle w:val="ListParagraph"/>
              <w:numPr>
                <w:ilvl w:val="0"/>
                <w:numId w:val="10"/>
              </w:numPr>
              <w:spacing w:before="40" w:after="40"/>
              <w:rPr>
                <w:rFonts w:ascii="Times New Roman" w:hAnsi="Times New Roman" w:cs="Times New Roman"/>
                <w:sz w:val="24"/>
                <w:szCs w:val="24"/>
              </w:rPr>
            </w:pPr>
            <w:r w:rsidRPr="004811DC">
              <w:rPr>
                <w:rFonts w:ascii="Times New Roman" w:hAnsi="Times New Roman" w:cs="Times New Roman"/>
                <w:sz w:val="24"/>
                <w:szCs w:val="24"/>
              </w:rPr>
              <w:t>Experience in scaling service standards.</w:t>
            </w:r>
          </w:p>
          <w:p w14:paraId="37AD4341" w14:textId="28E96861" w:rsidR="005A4180" w:rsidRPr="004811DC" w:rsidRDefault="001C3899" w:rsidP="003E619D">
            <w:pPr>
              <w:spacing w:before="40" w:after="40" w:line="276" w:lineRule="auto"/>
              <w:ind w:left="360"/>
              <w:rPr>
                <w:rFonts w:ascii="Times New Roman" w:hAnsi="Times New Roman" w:cs="Times New Roman"/>
                <w:sz w:val="24"/>
                <w:szCs w:val="24"/>
              </w:rPr>
            </w:pPr>
            <w:r w:rsidRPr="004811DC">
              <w:rPr>
                <w:rFonts w:ascii="Times New Roman" w:eastAsia="Arial" w:hAnsi="Times New Roman" w:cs="Times New Roman"/>
                <w:sz w:val="24"/>
                <w:szCs w:val="24"/>
              </w:rPr>
              <w:t>(Barney, 1991</w:t>
            </w:r>
            <w:r w:rsidR="001974F4" w:rsidRPr="004811DC">
              <w:rPr>
                <w:rFonts w:ascii="Times New Roman" w:eastAsia="Arial" w:hAnsi="Times New Roman" w:cs="Times New Roman"/>
                <w:sz w:val="24"/>
                <w:szCs w:val="24"/>
              </w:rPr>
              <w:t>)</w:t>
            </w:r>
            <w:r w:rsidRPr="004811DC">
              <w:rPr>
                <w:rFonts w:ascii="Times New Roman" w:eastAsia="Arial" w:hAnsi="Times New Roman" w:cs="Times New Roman"/>
                <w:sz w:val="24"/>
                <w:szCs w:val="24"/>
              </w:rPr>
              <w:t xml:space="preserve"> </w:t>
            </w:r>
            <w:r w:rsidR="001974F4" w:rsidRPr="004811DC">
              <w:rPr>
                <w:rFonts w:ascii="Times New Roman" w:eastAsia="Arial" w:hAnsi="Times New Roman" w:cs="Times New Roman"/>
                <w:sz w:val="24"/>
                <w:szCs w:val="24"/>
              </w:rPr>
              <w:t>Sustained</w:t>
            </w:r>
            <w:r w:rsidRPr="004811DC">
              <w:rPr>
                <w:rFonts w:ascii="Times New Roman" w:eastAsia="Arial" w:hAnsi="Times New Roman" w:cs="Times New Roman"/>
                <w:sz w:val="24"/>
                <w:szCs w:val="24"/>
              </w:rPr>
              <w:t xml:space="preserve"> competitive advantage derives from valuable, rare and inimitable internal resources</w:t>
            </w:r>
            <w:r w:rsidR="001856E5" w:rsidRPr="004811DC">
              <w:rPr>
                <w:rFonts w:ascii="Times New Roman" w:eastAsia="Arial" w:hAnsi="Times New Roman" w:cs="Times New Roman"/>
                <w:sz w:val="24"/>
                <w:szCs w:val="24"/>
              </w:rPr>
              <w:t xml:space="preserve">, </w:t>
            </w:r>
            <w:r w:rsidR="003A44AA" w:rsidRPr="004811DC">
              <w:rPr>
                <w:rFonts w:ascii="Times New Roman" w:eastAsia="Arial" w:hAnsi="Times New Roman" w:cs="Times New Roman"/>
                <w:sz w:val="24"/>
                <w:szCs w:val="24"/>
              </w:rPr>
              <w:t>all</w:t>
            </w:r>
            <w:r w:rsidRPr="004811DC">
              <w:rPr>
                <w:rFonts w:ascii="Times New Roman" w:eastAsia="Arial" w:hAnsi="Times New Roman" w:cs="Times New Roman"/>
                <w:sz w:val="24"/>
                <w:szCs w:val="24"/>
              </w:rPr>
              <w:t xml:space="preserve"> </w:t>
            </w:r>
            <w:r w:rsidR="003A44AA" w:rsidRPr="004811DC">
              <w:rPr>
                <w:rFonts w:ascii="Times New Roman" w:eastAsia="Arial" w:hAnsi="Times New Roman" w:cs="Times New Roman"/>
                <w:sz w:val="24"/>
                <w:szCs w:val="24"/>
              </w:rPr>
              <w:t xml:space="preserve">of </w:t>
            </w:r>
            <w:r w:rsidRPr="004811DC">
              <w:rPr>
                <w:rFonts w:ascii="Times New Roman" w:eastAsia="Arial" w:hAnsi="Times New Roman" w:cs="Times New Roman"/>
                <w:sz w:val="24"/>
                <w:szCs w:val="24"/>
              </w:rPr>
              <w:t>which Marriott’s brand, Bonvoy ecosystem and operational scale represent.</w:t>
            </w:r>
          </w:p>
        </w:tc>
        <w:tc>
          <w:tcPr>
            <w:tcW w:w="4982" w:type="dxa"/>
            <w:shd w:val="clear" w:color="auto" w:fill="FBD4B4" w:themeFill="accent6" w:themeFillTint="66"/>
            <w:vAlign w:val="center"/>
          </w:tcPr>
          <w:p w14:paraId="0C2D7F71" w14:textId="52E3C387" w:rsidR="00615F71" w:rsidRPr="004811DC" w:rsidRDefault="001A3901" w:rsidP="003A44AA">
            <w:pPr>
              <w:pStyle w:val="ListParagraph"/>
              <w:numPr>
                <w:ilvl w:val="0"/>
                <w:numId w:val="11"/>
              </w:num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Implementation complexity across diverse hotels</w:t>
            </w:r>
          </w:p>
          <w:p w14:paraId="294B3E80" w14:textId="3C7E95B5" w:rsidR="00167CE9" w:rsidRPr="004811DC" w:rsidRDefault="009D6275" w:rsidP="003A44AA">
            <w:pPr>
              <w:pStyle w:val="ListParagraph"/>
              <w:numPr>
                <w:ilvl w:val="0"/>
                <w:numId w:val="11"/>
              </w:num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 technology and training costs</w:t>
            </w:r>
          </w:p>
          <w:p w14:paraId="08E42AD5" w14:textId="0317AC85" w:rsidR="00167CE9" w:rsidRPr="004811DC" w:rsidRDefault="009D6275" w:rsidP="003A44AA">
            <w:pPr>
              <w:pStyle w:val="ListParagraph"/>
              <w:numPr>
                <w:ilvl w:val="0"/>
                <w:numId w:val="11"/>
              </w:num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Dependence on third-party vendors</w:t>
            </w:r>
          </w:p>
          <w:p w14:paraId="1B20E3FA" w14:textId="77777777" w:rsidR="00CF7D74" w:rsidRPr="004811DC" w:rsidRDefault="009D6275" w:rsidP="003A44AA">
            <w:pPr>
              <w:pStyle w:val="ListParagraph"/>
              <w:numPr>
                <w:ilvl w:val="0"/>
                <w:numId w:val="11"/>
              </w:num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Uneven digital maturity across markets.</w:t>
            </w:r>
          </w:p>
          <w:p w14:paraId="5001F04A" w14:textId="77777777" w:rsidR="007306B1" w:rsidRPr="004811DC" w:rsidRDefault="007306B1" w:rsidP="007306B1">
            <w:pPr>
              <w:pStyle w:val="ListParagraph"/>
              <w:spacing w:before="40" w:after="40" w:line="276" w:lineRule="auto"/>
              <w:rPr>
                <w:rFonts w:ascii="Times New Roman" w:hAnsi="Times New Roman" w:cs="Times New Roman"/>
                <w:sz w:val="24"/>
                <w:szCs w:val="24"/>
              </w:rPr>
            </w:pPr>
          </w:p>
          <w:p w14:paraId="7EAF138A" w14:textId="1D8498AB" w:rsidR="00B9469E" w:rsidRPr="004811DC" w:rsidRDefault="00B9469E" w:rsidP="003A44AA">
            <w:pPr>
              <w:spacing w:before="40" w:after="40" w:line="276" w:lineRule="auto"/>
              <w:rPr>
                <w:rFonts w:ascii="Times New Roman" w:eastAsia="Arial" w:hAnsi="Times New Roman" w:cs="Times New Roman"/>
                <w:sz w:val="24"/>
                <w:szCs w:val="24"/>
              </w:rPr>
            </w:pPr>
            <w:r w:rsidRPr="004811DC">
              <w:rPr>
                <w:rFonts w:ascii="Times New Roman" w:eastAsia="Arial" w:hAnsi="Times New Roman" w:cs="Times New Roman"/>
                <w:sz w:val="24"/>
                <w:szCs w:val="24"/>
              </w:rPr>
              <w:t>(Pinto, 2013</w:t>
            </w:r>
            <w:r w:rsidR="0046418E" w:rsidRPr="004811DC">
              <w:rPr>
                <w:rFonts w:ascii="Times New Roman" w:eastAsia="Arial" w:hAnsi="Times New Roman" w:cs="Times New Roman"/>
                <w:sz w:val="24"/>
                <w:szCs w:val="24"/>
              </w:rPr>
              <w:t>) Large</w:t>
            </w:r>
            <w:r w:rsidR="001974F4" w:rsidRPr="004811DC">
              <w:rPr>
                <w:rFonts w:ascii="Times New Roman" w:eastAsia="Arial" w:hAnsi="Times New Roman" w:cs="Times New Roman"/>
                <w:sz w:val="24"/>
                <w:szCs w:val="24"/>
              </w:rPr>
              <w:t>-scale</w:t>
            </w:r>
            <w:r w:rsidRPr="004811DC">
              <w:rPr>
                <w:rFonts w:ascii="Times New Roman" w:eastAsia="Arial" w:hAnsi="Times New Roman" w:cs="Times New Roman"/>
                <w:sz w:val="24"/>
                <w:szCs w:val="24"/>
              </w:rPr>
              <w:t xml:space="preserve"> technology projects consistently underestimate implementation complexity and the organisational change effort required to sustain adoption.</w:t>
            </w:r>
          </w:p>
          <w:p w14:paraId="68D1377A" w14:textId="77777777" w:rsidR="001974F4" w:rsidRPr="004811DC" w:rsidRDefault="001974F4" w:rsidP="0074443E">
            <w:pPr>
              <w:spacing w:before="40" w:after="40"/>
              <w:rPr>
                <w:rFonts w:ascii="Times New Roman" w:hAnsi="Times New Roman" w:cs="Times New Roman"/>
                <w:sz w:val="24"/>
                <w:szCs w:val="24"/>
              </w:rPr>
            </w:pPr>
          </w:p>
          <w:p w14:paraId="0CF9DC06" w14:textId="0ADA64CD" w:rsidR="0046418E" w:rsidRPr="004811DC" w:rsidRDefault="0046418E" w:rsidP="00B9469E">
            <w:pPr>
              <w:spacing w:before="40" w:after="40" w:line="276" w:lineRule="auto"/>
              <w:rPr>
                <w:rFonts w:ascii="Times New Roman" w:hAnsi="Times New Roman" w:cs="Times New Roman"/>
                <w:sz w:val="24"/>
                <w:szCs w:val="24"/>
              </w:rPr>
            </w:pPr>
          </w:p>
        </w:tc>
      </w:tr>
      <w:tr w:rsidR="00CF7D74" w:rsidRPr="004811DC" w14:paraId="5141B2A1" w14:textId="77777777" w:rsidTr="008E06F5">
        <w:trPr>
          <w:jc w:val="center"/>
        </w:trPr>
        <w:tc>
          <w:tcPr>
            <w:tcW w:w="4703" w:type="dxa"/>
            <w:shd w:val="clear" w:color="auto" w:fill="632423" w:themeFill="accent2" w:themeFillShade="80"/>
            <w:vAlign w:val="center"/>
          </w:tcPr>
          <w:p w14:paraId="3FFEA8D9" w14:textId="4F88F6D0" w:rsidR="00CF7D74" w:rsidRPr="004811DC" w:rsidRDefault="00C47778" w:rsidP="001520B7">
            <w:pPr>
              <w:spacing w:before="40" w:after="40" w:line="276" w:lineRule="auto"/>
              <w:jc w:val="center"/>
              <w:rPr>
                <w:rFonts w:ascii="Times New Roman" w:hAnsi="Times New Roman" w:cs="Times New Roman"/>
                <w:b/>
                <w:bCs/>
                <w:sz w:val="24"/>
                <w:szCs w:val="24"/>
              </w:rPr>
            </w:pPr>
            <w:r w:rsidRPr="004811DC">
              <w:rPr>
                <w:rFonts w:ascii="Times New Roman" w:hAnsi="Times New Roman" w:cs="Times New Roman"/>
                <w:b/>
                <w:bCs/>
                <w:sz w:val="24"/>
                <w:szCs w:val="24"/>
              </w:rPr>
              <w:lastRenderedPageBreak/>
              <w:t>OPPORTUNITIES</w:t>
            </w:r>
          </w:p>
        </w:tc>
        <w:tc>
          <w:tcPr>
            <w:tcW w:w="4982" w:type="dxa"/>
            <w:shd w:val="clear" w:color="auto" w:fill="76923C" w:themeFill="accent3" w:themeFillShade="BF"/>
            <w:vAlign w:val="center"/>
          </w:tcPr>
          <w:p w14:paraId="27A071FD" w14:textId="1EF64176" w:rsidR="00CF7D74" w:rsidRPr="004811DC" w:rsidRDefault="00C47778" w:rsidP="001520B7">
            <w:pPr>
              <w:spacing w:before="40" w:after="40" w:line="276" w:lineRule="auto"/>
              <w:jc w:val="center"/>
              <w:rPr>
                <w:rFonts w:ascii="Times New Roman" w:hAnsi="Times New Roman" w:cs="Times New Roman"/>
                <w:b/>
                <w:bCs/>
                <w:color w:val="FFFFFF" w:themeColor="background1"/>
                <w:sz w:val="24"/>
                <w:szCs w:val="24"/>
              </w:rPr>
            </w:pPr>
            <w:r w:rsidRPr="004811DC">
              <w:rPr>
                <w:rFonts w:ascii="Times New Roman" w:hAnsi="Times New Roman" w:cs="Times New Roman"/>
                <w:b/>
                <w:bCs/>
                <w:color w:val="FFFFFF" w:themeColor="background1"/>
                <w:sz w:val="24"/>
                <w:szCs w:val="24"/>
              </w:rPr>
              <w:t>THREATS</w:t>
            </w:r>
          </w:p>
        </w:tc>
      </w:tr>
      <w:tr w:rsidR="00CF7D74" w:rsidRPr="004811DC" w14:paraId="37F65DD7" w14:textId="77777777" w:rsidTr="008E06F5">
        <w:trPr>
          <w:jc w:val="center"/>
        </w:trPr>
        <w:tc>
          <w:tcPr>
            <w:tcW w:w="4703" w:type="dxa"/>
            <w:shd w:val="clear" w:color="auto" w:fill="632423" w:themeFill="accent2" w:themeFillShade="80"/>
            <w:vAlign w:val="center"/>
          </w:tcPr>
          <w:p w14:paraId="5AC83770" w14:textId="77777777" w:rsidR="00103C74" w:rsidRPr="004811DC" w:rsidRDefault="00103C74" w:rsidP="00D637AD">
            <w:pPr>
              <w:pStyle w:val="ListParagraph"/>
              <w:numPr>
                <w:ilvl w:val="0"/>
                <w:numId w:val="12"/>
              </w:numPr>
              <w:spacing w:before="40" w:after="40"/>
              <w:rPr>
                <w:rFonts w:ascii="Times New Roman" w:hAnsi="Times New Roman" w:cs="Times New Roman"/>
                <w:sz w:val="24"/>
                <w:szCs w:val="24"/>
              </w:rPr>
            </w:pPr>
            <w:r w:rsidRPr="004811DC">
              <w:rPr>
                <w:rFonts w:ascii="Times New Roman" w:hAnsi="Times New Roman" w:cs="Times New Roman"/>
                <w:sz w:val="24"/>
                <w:szCs w:val="24"/>
              </w:rPr>
              <w:t>Growing expectation, especially among younger travellers, for hotel stays that combine individual personalisation with genuine sustainability.</w:t>
            </w:r>
          </w:p>
          <w:p w14:paraId="62BF9799" w14:textId="0A0E1F02" w:rsidR="00167CE9" w:rsidRPr="004811DC" w:rsidRDefault="00732715" w:rsidP="00D637AD">
            <w:pPr>
              <w:pStyle w:val="ListParagraph"/>
              <w:numPr>
                <w:ilvl w:val="0"/>
                <w:numId w:val="12"/>
              </w:numPr>
              <w:spacing w:before="40" w:after="40"/>
              <w:rPr>
                <w:rFonts w:ascii="Times New Roman" w:hAnsi="Times New Roman" w:cs="Times New Roman"/>
                <w:sz w:val="24"/>
                <w:szCs w:val="24"/>
              </w:rPr>
            </w:pPr>
            <w:r w:rsidRPr="004811DC">
              <w:rPr>
                <w:rFonts w:ascii="Times New Roman" w:hAnsi="Times New Roman" w:cs="Times New Roman"/>
                <w:sz w:val="24"/>
                <w:szCs w:val="24"/>
              </w:rPr>
              <w:t>Strong differentiation potential through AI-enabled service</w:t>
            </w:r>
          </w:p>
          <w:p w14:paraId="6E556BA9" w14:textId="77777777" w:rsidR="00CF7D74" w:rsidRPr="004811DC" w:rsidRDefault="00732715" w:rsidP="00D637AD">
            <w:pPr>
              <w:pStyle w:val="ListParagraph"/>
              <w:numPr>
                <w:ilvl w:val="0"/>
                <w:numId w:val="12"/>
              </w:numPr>
              <w:spacing w:before="40" w:after="40"/>
              <w:rPr>
                <w:rFonts w:ascii="Times New Roman" w:hAnsi="Times New Roman" w:cs="Times New Roman"/>
                <w:sz w:val="24"/>
                <w:szCs w:val="24"/>
              </w:rPr>
            </w:pPr>
            <w:r w:rsidRPr="004811DC">
              <w:rPr>
                <w:rFonts w:ascii="Times New Roman" w:hAnsi="Times New Roman" w:cs="Times New Roman"/>
                <w:sz w:val="24"/>
                <w:szCs w:val="24"/>
              </w:rPr>
              <w:t>Opportunities to deepen loyalty and guest insight.</w:t>
            </w:r>
          </w:p>
          <w:p w14:paraId="606E9B69" w14:textId="689F34D9" w:rsidR="0074443E" w:rsidRPr="004811DC" w:rsidRDefault="0074443E" w:rsidP="00D637AD">
            <w:pPr>
              <w:spacing w:before="40" w:after="40"/>
              <w:rPr>
                <w:rFonts w:ascii="Times New Roman" w:hAnsi="Times New Roman" w:cs="Times New Roman"/>
                <w:sz w:val="24"/>
                <w:szCs w:val="24"/>
              </w:rPr>
            </w:pPr>
            <w:r w:rsidRPr="004811DC">
              <w:rPr>
                <w:rFonts w:ascii="Times New Roman" w:eastAsia="Arial" w:hAnsi="Times New Roman" w:cs="Times New Roman"/>
                <w:sz w:val="24"/>
                <w:szCs w:val="24"/>
              </w:rPr>
              <w:t>(Porter, 1985: differentiation strategy yields sustainable competitive advantage when an organisation can deliver unique value that rivals cannot easily replicate.)</w:t>
            </w:r>
          </w:p>
        </w:tc>
        <w:tc>
          <w:tcPr>
            <w:tcW w:w="4982" w:type="dxa"/>
            <w:shd w:val="clear" w:color="auto" w:fill="76923C" w:themeFill="accent3" w:themeFillShade="BF"/>
            <w:vAlign w:val="center"/>
          </w:tcPr>
          <w:p w14:paraId="73A3BCF5" w14:textId="77777777" w:rsidR="009D6275" w:rsidRPr="004811DC" w:rsidRDefault="001A3901" w:rsidP="00DE68D8">
            <w:pPr>
              <w:pStyle w:val="ListParagraph"/>
              <w:numPr>
                <w:ilvl w:val="0"/>
                <w:numId w:val="13"/>
              </w:numPr>
              <w:spacing w:before="40" w:after="40"/>
              <w:rPr>
                <w:rFonts w:ascii="Times New Roman" w:hAnsi="Times New Roman" w:cs="Times New Roman"/>
                <w:color w:val="FFFFFF" w:themeColor="background1"/>
                <w:sz w:val="24"/>
                <w:szCs w:val="24"/>
              </w:rPr>
            </w:pPr>
            <w:r w:rsidRPr="004811DC">
              <w:rPr>
                <w:rFonts w:ascii="Times New Roman" w:hAnsi="Times New Roman" w:cs="Times New Roman"/>
                <w:color w:val="FFFFFF" w:themeColor="background1"/>
                <w:sz w:val="24"/>
                <w:szCs w:val="24"/>
              </w:rPr>
              <w:t>Cybersecurity and privacy risks</w:t>
            </w:r>
          </w:p>
          <w:p w14:paraId="4A30273B" w14:textId="7EEE38A0" w:rsidR="009D6275" w:rsidRPr="004811DC" w:rsidRDefault="00732715" w:rsidP="00DE68D8">
            <w:pPr>
              <w:pStyle w:val="ListParagraph"/>
              <w:numPr>
                <w:ilvl w:val="0"/>
                <w:numId w:val="13"/>
              </w:numPr>
              <w:spacing w:before="40" w:after="40"/>
              <w:rPr>
                <w:rFonts w:ascii="Times New Roman" w:hAnsi="Times New Roman" w:cs="Times New Roman"/>
                <w:color w:val="FFFFFF" w:themeColor="background1"/>
                <w:sz w:val="24"/>
                <w:szCs w:val="24"/>
              </w:rPr>
            </w:pPr>
            <w:r w:rsidRPr="004811DC">
              <w:rPr>
                <w:rFonts w:ascii="Times New Roman" w:hAnsi="Times New Roman" w:cs="Times New Roman"/>
                <w:color w:val="FFFFFF" w:themeColor="background1"/>
                <w:sz w:val="24"/>
                <w:szCs w:val="24"/>
              </w:rPr>
              <w:t>Regulatory variation</w:t>
            </w:r>
          </w:p>
          <w:p w14:paraId="01B37833" w14:textId="41EFB5C1" w:rsidR="009D6275" w:rsidRPr="004811DC" w:rsidRDefault="00732715" w:rsidP="00DE68D8">
            <w:pPr>
              <w:pStyle w:val="ListParagraph"/>
              <w:numPr>
                <w:ilvl w:val="0"/>
                <w:numId w:val="13"/>
              </w:numPr>
              <w:spacing w:before="40" w:after="40"/>
              <w:rPr>
                <w:rFonts w:ascii="Times New Roman" w:hAnsi="Times New Roman" w:cs="Times New Roman"/>
                <w:color w:val="FFFFFF" w:themeColor="background1"/>
                <w:sz w:val="24"/>
                <w:szCs w:val="24"/>
              </w:rPr>
            </w:pPr>
            <w:r w:rsidRPr="004811DC">
              <w:rPr>
                <w:rFonts w:ascii="Times New Roman" w:hAnsi="Times New Roman" w:cs="Times New Roman"/>
                <w:color w:val="FFFFFF" w:themeColor="background1"/>
                <w:sz w:val="24"/>
                <w:szCs w:val="24"/>
              </w:rPr>
              <w:t xml:space="preserve">Competitor imitation </w:t>
            </w:r>
          </w:p>
          <w:p w14:paraId="6FE09CBE" w14:textId="77777777" w:rsidR="00CF7D74" w:rsidRPr="004811DC" w:rsidRDefault="00732715" w:rsidP="00DE68D8">
            <w:pPr>
              <w:pStyle w:val="ListParagraph"/>
              <w:numPr>
                <w:ilvl w:val="0"/>
                <w:numId w:val="13"/>
              </w:numPr>
              <w:spacing w:before="40" w:after="40"/>
              <w:rPr>
                <w:rFonts w:ascii="Times New Roman" w:hAnsi="Times New Roman" w:cs="Times New Roman"/>
                <w:color w:val="FFFFFF" w:themeColor="background1"/>
                <w:sz w:val="24"/>
                <w:szCs w:val="24"/>
              </w:rPr>
            </w:pPr>
            <w:r w:rsidRPr="004811DC">
              <w:rPr>
                <w:rFonts w:ascii="Times New Roman" w:hAnsi="Times New Roman" w:cs="Times New Roman"/>
                <w:color w:val="FFFFFF" w:themeColor="background1"/>
                <w:sz w:val="24"/>
                <w:szCs w:val="24"/>
              </w:rPr>
              <w:t>Guest resistance to excessive automation.</w:t>
            </w:r>
          </w:p>
          <w:p w14:paraId="010D8289" w14:textId="77777777" w:rsidR="00DE68D8" w:rsidRPr="004811DC" w:rsidRDefault="00DE68D8" w:rsidP="00DE68D8">
            <w:pPr>
              <w:spacing w:before="40" w:after="40"/>
              <w:rPr>
                <w:rFonts w:ascii="Times New Roman" w:eastAsia="Arial" w:hAnsi="Times New Roman" w:cs="Times New Roman"/>
                <w:color w:val="FFFFFF" w:themeColor="background1"/>
                <w:sz w:val="24"/>
                <w:szCs w:val="24"/>
              </w:rPr>
            </w:pPr>
            <w:r w:rsidRPr="004811DC">
              <w:rPr>
                <w:rFonts w:ascii="Times New Roman" w:eastAsia="Arial" w:hAnsi="Times New Roman" w:cs="Times New Roman"/>
                <w:color w:val="FFFFFF" w:themeColor="background1"/>
                <w:sz w:val="24"/>
                <w:szCs w:val="24"/>
              </w:rPr>
              <w:t>(Grant, 2019: environmental threats such as regulatory shifts and competitor responses must be actively monitored, as they can rapidly erode first-mover advantages in service innovation.)</w:t>
            </w:r>
          </w:p>
          <w:p w14:paraId="4F951431" w14:textId="77777777" w:rsidR="007A13EA" w:rsidRPr="004811DC" w:rsidRDefault="007A13EA" w:rsidP="00DE68D8">
            <w:pPr>
              <w:spacing w:before="40" w:after="40"/>
              <w:rPr>
                <w:rFonts w:ascii="Times New Roman" w:eastAsia="Arial" w:hAnsi="Times New Roman" w:cs="Times New Roman"/>
                <w:color w:val="FFFFFF" w:themeColor="background1"/>
                <w:sz w:val="24"/>
                <w:szCs w:val="24"/>
              </w:rPr>
            </w:pPr>
          </w:p>
          <w:p w14:paraId="3DF5AEC5" w14:textId="77777777" w:rsidR="00C83A0A" w:rsidRPr="004811DC" w:rsidRDefault="00C83A0A" w:rsidP="00DE68D8">
            <w:pPr>
              <w:spacing w:before="40" w:after="40"/>
              <w:rPr>
                <w:rFonts w:ascii="Times New Roman" w:hAnsi="Times New Roman" w:cs="Times New Roman"/>
                <w:color w:val="FFFFFF" w:themeColor="background1"/>
                <w:sz w:val="24"/>
                <w:szCs w:val="24"/>
              </w:rPr>
            </w:pPr>
          </w:p>
          <w:p w14:paraId="0E4CEB95" w14:textId="65064E26" w:rsidR="00F850B7" w:rsidRPr="004811DC" w:rsidRDefault="00F850B7" w:rsidP="00DE68D8">
            <w:pPr>
              <w:spacing w:before="40" w:after="40"/>
              <w:rPr>
                <w:rFonts w:ascii="Times New Roman" w:hAnsi="Times New Roman" w:cs="Times New Roman"/>
                <w:color w:val="FFFFFF" w:themeColor="background1"/>
                <w:sz w:val="24"/>
                <w:szCs w:val="24"/>
              </w:rPr>
            </w:pPr>
          </w:p>
        </w:tc>
      </w:tr>
    </w:tbl>
    <w:p w14:paraId="07B02D01" w14:textId="77777777" w:rsidR="0066491D" w:rsidRPr="004811DC" w:rsidRDefault="0066491D" w:rsidP="00231C5B">
      <w:pPr>
        <w:spacing w:after="120"/>
        <w:rPr>
          <w:rFonts w:ascii="Times New Roman" w:hAnsi="Times New Roman" w:cs="Times New Roman"/>
          <w:sz w:val="24"/>
          <w:szCs w:val="24"/>
        </w:rPr>
      </w:pPr>
    </w:p>
    <w:p w14:paraId="01613782" w14:textId="620F8A33" w:rsidR="006C19A8" w:rsidRPr="004811DC" w:rsidRDefault="006C19A8" w:rsidP="00231C5B">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The SWOT analysis indicates that Marriott possesses the scale, brand strength and operational experience necessary to support the launch of StaySmart+. However, these strengths do not eliminate the risks associated with implementation. The success of the project depends on effective coordination across a diverse portfolio of properties and stakeholder groups. Importantly, the same global presence that enhances Marriott’s competitive advantage also introduces operational and organisational complexity. This highlights that stakeholder engagement cannot rely solely on top-down directives; instead, it must be responsive to local operational realities, varying levels of digital maturity and differing market expectations. A more adaptive and inclusive approach to engagement will therefore be essential to ensure consistent and effective implementation across regions. This suggests that a balanced approach, combining global strategic direction with local flexibility, will be critical to managing stakeholder expectations and achieving sustainable project outcomes.</w:t>
      </w:r>
    </w:p>
    <w:p w14:paraId="5E82265D" w14:textId="3AE1BECB" w:rsidR="00CF7D74" w:rsidRPr="004811DC" w:rsidRDefault="001A3901"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2.2 PESTLE Analysis</w:t>
      </w:r>
    </w:p>
    <w:p w14:paraId="05392712" w14:textId="38CA536B" w:rsidR="001C78E0" w:rsidRPr="004811DC" w:rsidRDefault="001C78E0" w:rsidP="00920AAA">
      <w:pPr>
        <w:spacing w:before="200" w:after="80"/>
        <w:jc w:val="both"/>
        <w:rPr>
          <w:rFonts w:ascii="Times New Roman" w:hAnsi="Times New Roman" w:cs="Times New Roman"/>
          <w:bCs/>
          <w:sz w:val="24"/>
          <w:szCs w:val="24"/>
        </w:rPr>
      </w:pPr>
      <w:r w:rsidRPr="004811DC">
        <w:rPr>
          <w:rFonts w:ascii="Times New Roman" w:hAnsi="Times New Roman" w:cs="Times New Roman"/>
          <w:bCs/>
          <w:sz w:val="24"/>
          <w:szCs w:val="24"/>
        </w:rPr>
        <w:t xml:space="preserve">The PESTLE analysis broadens the stakeholder perspective by highlighting the wider external forces shaping the StaySmart+ initiative. The project is not solely a customer experience </w:t>
      </w:r>
      <w:r w:rsidRPr="004811DC">
        <w:rPr>
          <w:rFonts w:ascii="Times New Roman" w:hAnsi="Times New Roman" w:cs="Times New Roman"/>
          <w:bCs/>
          <w:sz w:val="24"/>
          <w:szCs w:val="24"/>
        </w:rPr>
        <w:lastRenderedPageBreak/>
        <w:t xml:space="preserve">enhancement; it also represents a digital, legal and environmental transformation. This is significant because success will be evaluated across multiple dimensions rather than service convenience alone. Regulators will assess data governance and compliance, communities will evaluate the authenticity of sustainability practices, and guests will judge whether AI enhances or detracts from the hospitality experience. Consequently, stakeholder engagement must extend beyond operational delivery to address issues of legitimacy, trust and accountability. </w:t>
      </w:r>
      <w:r w:rsidR="002C7E44" w:rsidRPr="004811DC">
        <w:rPr>
          <w:rFonts w:ascii="Times New Roman" w:hAnsi="Times New Roman" w:cs="Times New Roman"/>
          <w:bCs/>
          <w:sz w:val="24"/>
          <w:szCs w:val="24"/>
        </w:rPr>
        <w:t>This complexity underscores the need for a proactive, transparent engagement approach that anticipates stakeholder concerns and aligns the project with broader societal and regulatory expectations</w:t>
      </w:r>
      <w:r w:rsidR="00184A65" w:rsidRPr="004811DC">
        <w:rPr>
          <w:rFonts w:ascii="Times New Roman" w:hAnsi="Times New Roman" w:cs="Times New Roman"/>
          <w:bCs/>
          <w:sz w:val="24"/>
          <w:szCs w:val="24"/>
        </w:rPr>
        <w:t>,</w:t>
      </w:r>
      <w:r w:rsidR="002C7E44" w:rsidRPr="004811DC">
        <w:rPr>
          <w:rFonts w:ascii="Times New Roman" w:hAnsi="Times New Roman" w:cs="Times New Roman"/>
          <w:bCs/>
          <w:sz w:val="24"/>
          <w:szCs w:val="24"/>
        </w:rPr>
        <w:t xml:space="preserve"> a point supported by Maharani, Sari and Azmi (2024), who demonstrate that effective stakeholder engagement enhances transparency, strengthens governance practices, and improves organisational legitimacy in sustainability-related initiatives.</w:t>
      </w:r>
    </w:p>
    <w:tbl>
      <w:tblPr>
        <w:tblStyle w:val="TableGrid"/>
        <w:tblW w:w="0" w:type="auto"/>
        <w:jc w:val="center"/>
        <w:tblLook w:val="04A0" w:firstRow="1" w:lastRow="0" w:firstColumn="1" w:lastColumn="0" w:noHBand="0" w:noVBand="1"/>
      </w:tblPr>
      <w:tblGrid>
        <w:gridCol w:w="1985"/>
        <w:gridCol w:w="4285"/>
        <w:gridCol w:w="3135"/>
      </w:tblGrid>
      <w:tr w:rsidR="00CF7D74" w:rsidRPr="004811DC" w14:paraId="50617495" w14:textId="77777777" w:rsidTr="00F4342A">
        <w:trPr>
          <w:jc w:val="center"/>
        </w:trPr>
        <w:tc>
          <w:tcPr>
            <w:tcW w:w="1985" w:type="dxa"/>
            <w:shd w:val="clear" w:color="auto" w:fill="9FC5E8"/>
            <w:vAlign w:val="center"/>
          </w:tcPr>
          <w:p w14:paraId="4206ACE8" w14:textId="77777777" w:rsidR="00CF7D74" w:rsidRPr="004811DC" w:rsidRDefault="001A3901" w:rsidP="00920AAA">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Factor</w:t>
            </w:r>
          </w:p>
        </w:tc>
        <w:tc>
          <w:tcPr>
            <w:tcW w:w="4285" w:type="dxa"/>
            <w:shd w:val="clear" w:color="auto" w:fill="9FC5E8"/>
            <w:vAlign w:val="center"/>
          </w:tcPr>
          <w:p w14:paraId="15240D89" w14:textId="77777777" w:rsidR="00CF7D74" w:rsidRPr="004811DC" w:rsidRDefault="001A3901" w:rsidP="00920AAA">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Relevance to StaySmart+</w:t>
            </w:r>
          </w:p>
        </w:tc>
        <w:tc>
          <w:tcPr>
            <w:tcW w:w="3135" w:type="dxa"/>
            <w:shd w:val="clear" w:color="auto" w:fill="9FC5E8"/>
            <w:vAlign w:val="center"/>
          </w:tcPr>
          <w:p w14:paraId="2327FEAA" w14:textId="77777777" w:rsidR="00CF7D74" w:rsidRPr="004811DC" w:rsidRDefault="001A3901" w:rsidP="00920AAA">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Stakeholder implication</w:t>
            </w:r>
          </w:p>
        </w:tc>
      </w:tr>
      <w:tr w:rsidR="00CF7D74" w:rsidRPr="004811DC" w14:paraId="120FAB54" w14:textId="77777777" w:rsidTr="00F4342A">
        <w:trPr>
          <w:jc w:val="center"/>
        </w:trPr>
        <w:tc>
          <w:tcPr>
            <w:tcW w:w="1985" w:type="dxa"/>
            <w:shd w:val="clear" w:color="auto" w:fill="F7FBFF"/>
            <w:vAlign w:val="center"/>
          </w:tcPr>
          <w:p w14:paraId="45C25424"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Political</w:t>
            </w:r>
          </w:p>
        </w:tc>
        <w:tc>
          <w:tcPr>
            <w:tcW w:w="4285" w:type="dxa"/>
            <w:shd w:val="clear" w:color="auto" w:fill="F7FBFF"/>
            <w:vAlign w:val="center"/>
          </w:tcPr>
          <w:p w14:paraId="0AE22D87" w14:textId="77777777" w:rsidR="00FB6C38" w:rsidRPr="004811DC" w:rsidRDefault="001A3901" w:rsidP="00922CF7">
            <w:pPr>
              <w:pStyle w:val="ListParagraph"/>
              <w:numPr>
                <w:ilvl w:val="0"/>
                <w:numId w:val="14"/>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Tourism policy</w:t>
            </w:r>
          </w:p>
          <w:p w14:paraId="5A38E620" w14:textId="77777777" w:rsidR="006B56B2" w:rsidRPr="004811DC" w:rsidRDefault="006B56B2" w:rsidP="00922CF7">
            <w:pPr>
              <w:pStyle w:val="ListParagraph"/>
              <w:numPr>
                <w:ilvl w:val="0"/>
                <w:numId w:val="14"/>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Labour frameworks</w:t>
            </w:r>
          </w:p>
          <w:p w14:paraId="4B22C504" w14:textId="01077357" w:rsidR="00CF7D74" w:rsidRPr="004811DC" w:rsidRDefault="006B56B2" w:rsidP="00922CF7">
            <w:pPr>
              <w:pStyle w:val="ListParagraph"/>
              <w:numPr>
                <w:ilvl w:val="0"/>
                <w:numId w:val="14"/>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National digital agendas can affect rollout conditions.</w:t>
            </w:r>
          </w:p>
        </w:tc>
        <w:tc>
          <w:tcPr>
            <w:tcW w:w="3135" w:type="dxa"/>
            <w:shd w:val="clear" w:color="auto" w:fill="F7FBFF"/>
            <w:vAlign w:val="center"/>
          </w:tcPr>
          <w:p w14:paraId="0FECFF6D" w14:textId="77777777" w:rsidR="00CF7D74" w:rsidRPr="004811DC" w:rsidRDefault="001A3901" w:rsidP="00922CF7">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Requires early engagement with authorities and destination stakeholders.</w:t>
            </w:r>
          </w:p>
        </w:tc>
      </w:tr>
      <w:tr w:rsidR="00CF7D74" w:rsidRPr="004811DC" w14:paraId="3EF5E564" w14:textId="77777777" w:rsidTr="00F4342A">
        <w:trPr>
          <w:jc w:val="center"/>
        </w:trPr>
        <w:tc>
          <w:tcPr>
            <w:tcW w:w="1985" w:type="dxa"/>
            <w:shd w:val="clear" w:color="auto" w:fill="EEF5FB"/>
            <w:vAlign w:val="center"/>
          </w:tcPr>
          <w:p w14:paraId="7E2C67DD"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Economic</w:t>
            </w:r>
          </w:p>
        </w:tc>
        <w:tc>
          <w:tcPr>
            <w:tcW w:w="4285" w:type="dxa"/>
            <w:shd w:val="clear" w:color="auto" w:fill="EEF5FB"/>
            <w:vAlign w:val="center"/>
          </w:tcPr>
          <w:p w14:paraId="3EAA3FA0" w14:textId="77777777" w:rsidR="00F91E56" w:rsidRPr="004811DC" w:rsidRDefault="001A3901" w:rsidP="00922CF7">
            <w:pPr>
              <w:pStyle w:val="ListParagraph"/>
              <w:numPr>
                <w:ilvl w:val="0"/>
                <w:numId w:val="15"/>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Travel demand</w:t>
            </w:r>
          </w:p>
          <w:p w14:paraId="28B08D7B" w14:textId="77777777" w:rsidR="00F91E56" w:rsidRPr="004811DC" w:rsidRDefault="00F91E56" w:rsidP="00922CF7">
            <w:pPr>
              <w:pStyle w:val="ListParagraph"/>
              <w:numPr>
                <w:ilvl w:val="0"/>
                <w:numId w:val="15"/>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Inflation</w:t>
            </w:r>
          </w:p>
          <w:p w14:paraId="08998BE4" w14:textId="4887700F" w:rsidR="00CF7D74" w:rsidRPr="004811DC" w:rsidRDefault="00F91E56" w:rsidP="00922CF7">
            <w:pPr>
              <w:pStyle w:val="ListParagraph"/>
              <w:numPr>
                <w:ilvl w:val="0"/>
                <w:numId w:val="15"/>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Labour costs influence business cases and guest spending patterns.</w:t>
            </w:r>
          </w:p>
        </w:tc>
        <w:tc>
          <w:tcPr>
            <w:tcW w:w="3135" w:type="dxa"/>
            <w:shd w:val="clear" w:color="auto" w:fill="EEF5FB"/>
            <w:vAlign w:val="center"/>
          </w:tcPr>
          <w:p w14:paraId="05984E06" w14:textId="161EBAC2" w:rsidR="00CF7D74" w:rsidRPr="004811DC" w:rsidRDefault="00032CF7" w:rsidP="00922CF7">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Executives and finance teams will prioritise return on investment, cost control and phased implementation.</w:t>
            </w:r>
          </w:p>
        </w:tc>
      </w:tr>
      <w:tr w:rsidR="00CF7D74" w:rsidRPr="004811DC" w14:paraId="77764D4C" w14:textId="77777777" w:rsidTr="00F4342A">
        <w:trPr>
          <w:jc w:val="center"/>
        </w:trPr>
        <w:tc>
          <w:tcPr>
            <w:tcW w:w="1985" w:type="dxa"/>
            <w:shd w:val="clear" w:color="auto" w:fill="F7FBFF"/>
            <w:vAlign w:val="center"/>
          </w:tcPr>
          <w:p w14:paraId="7A6E036B"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Social</w:t>
            </w:r>
          </w:p>
        </w:tc>
        <w:tc>
          <w:tcPr>
            <w:tcW w:w="4285" w:type="dxa"/>
            <w:shd w:val="clear" w:color="auto" w:fill="F7FBFF"/>
            <w:vAlign w:val="center"/>
          </w:tcPr>
          <w:p w14:paraId="698614C2" w14:textId="11DCF8A7" w:rsidR="00CF7D74" w:rsidRPr="004811DC" w:rsidRDefault="00376D64" w:rsidP="009879CB">
            <w:pPr>
              <w:pStyle w:val="ListParagraph"/>
              <w:numPr>
                <w:ilvl w:val="0"/>
                <w:numId w:val="16"/>
              </w:numPr>
              <w:spacing w:before="40" w:after="40" w:line="240" w:lineRule="auto"/>
              <w:rPr>
                <w:rFonts w:ascii="Times New Roman" w:hAnsi="Times New Roman" w:cs="Times New Roman"/>
                <w:sz w:val="24"/>
                <w:szCs w:val="24"/>
              </w:rPr>
            </w:pPr>
            <w:r w:rsidRPr="00376D64">
              <w:rPr>
                <w:rFonts w:ascii="Times New Roman" w:hAnsi="Times New Roman" w:cs="Times New Roman"/>
                <w:sz w:val="24"/>
                <w:szCs w:val="24"/>
              </w:rPr>
              <w:t>Guests increasingly expect personalised, convenient, and environmentally responsible hospitality experiences, with automation carefully balanced against the warmth central to luxury service</w:t>
            </w:r>
            <w:r w:rsidR="00F91E56" w:rsidRPr="004811DC">
              <w:rPr>
                <w:rFonts w:ascii="Times New Roman" w:hAnsi="Times New Roman" w:cs="Times New Roman"/>
                <w:sz w:val="24"/>
                <w:szCs w:val="24"/>
              </w:rPr>
              <w:t>.</w:t>
            </w:r>
          </w:p>
        </w:tc>
        <w:tc>
          <w:tcPr>
            <w:tcW w:w="3135" w:type="dxa"/>
            <w:shd w:val="clear" w:color="auto" w:fill="F7FBFF"/>
            <w:vAlign w:val="center"/>
          </w:tcPr>
          <w:p w14:paraId="57D73E1A" w14:textId="031B6228" w:rsidR="00CF7D74" w:rsidRPr="004811DC" w:rsidRDefault="00BD1A87" w:rsidP="00922CF7">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Guests increasingly expect seamless and convenient experiences</w:t>
            </w:r>
            <w:r w:rsidR="00826365">
              <w:rPr>
                <w:rFonts w:ascii="Times New Roman" w:hAnsi="Times New Roman" w:cs="Times New Roman"/>
                <w:sz w:val="24"/>
                <w:szCs w:val="24"/>
              </w:rPr>
              <w:t>.</w:t>
            </w:r>
          </w:p>
        </w:tc>
      </w:tr>
      <w:tr w:rsidR="00CF7D74" w:rsidRPr="004811DC" w14:paraId="16E3ACAC" w14:textId="77777777" w:rsidTr="009879CB">
        <w:trPr>
          <w:trHeight w:val="1200"/>
          <w:jc w:val="center"/>
        </w:trPr>
        <w:tc>
          <w:tcPr>
            <w:tcW w:w="1985" w:type="dxa"/>
            <w:shd w:val="clear" w:color="auto" w:fill="EEF5FB"/>
            <w:vAlign w:val="center"/>
          </w:tcPr>
          <w:p w14:paraId="1080655B"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Technological</w:t>
            </w:r>
          </w:p>
        </w:tc>
        <w:tc>
          <w:tcPr>
            <w:tcW w:w="4285" w:type="dxa"/>
            <w:shd w:val="clear" w:color="auto" w:fill="EEF5FB"/>
            <w:vAlign w:val="center"/>
          </w:tcPr>
          <w:p w14:paraId="28BD1A91" w14:textId="41C0E4BA" w:rsidR="0029113B" w:rsidRPr="004811DC" w:rsidRDefault="00AD2479" w:rsidP="009879CB">
            <w:pPr>
              <w:pStyle w:val="ListParagraph"/>
              <w:numPr>
                <w:ilvl w:val="0"/>
                <w:numId w:val="17"/>
              </w:numPr>
              <w:spacing w:before="40" w:after="40" w:line="240" w:lineRule="auto"/>
              <w:jc w:val="both"/>
              <w:rPr>
                <w:rFonts w:ascii="Times New Roman" w:hAnsi="Times New Roman" w:cs="Times New Roman"/>
                <w:sz w:val="24"/>
                <w:szCs w:val="24"/>
              </w:rPr>
            </w:pPr>
            <w:r w:rsidRPr="004811DC">
              <w:rPr>
                <w:rFonts w:ascii="Times New Roman" w:hAnsi="Times New Roman" w:cs="Times New Roman"/>
                <w:sz w:val="24"/>
                <w:szCs w:val="24"/>
              </w:rPr>
              <w:t>AI, data integration and mobile platforms enable the service but increase technical dependency and complexity.</w:t>
            </w:r>
          </w:p>
        </w:tc>
        <w:tc>
          <w:tcPr>
            <w:tcW w:w="3135" w:type="dxa"/>
            <w:shd w:val="clear" w:color="auto" w:fill="EEF5FB"/>
            <w:vAlign w:val="center"/>
          </w:tcPr>
          <w:p w14:paraId="79B10397" w14:textId="77777777" w:rsidR="00CF7D74" w:rsidRPr="004811DC" w:rsidRDefault="001A3901" w:rsidP="009879CB">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IT teams and technology partners become strategically important stakeholders.</w:t>
            </w:r>
          </w:p>
        </w:tc>
      </w:tr>
      <w:tr w:rsidR="00CF7D74" w:rsidRPr="004811DC" w14:paraId="74780C0E" w14:textId="77777777" w:rsidTr="00F4342A">
        <w:trPr>
          <w:jc w:val="center"/>
        </w:trPr>
        <w:tc>
          <w:tcPr>
            <w:tcW w:w="1985" w:type="dxa"/>
            <w:shd w:val="clear" w:color="auto" w:fill="F7FBFF"/>
            <w:vAlign w:val="center"/>
          </w:tcPr>
          <w:p w14:paraId="3763FCDB"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Legal</w:t>
            </w:r>
          </w:p>
        </w:tc>
        <w:tc>
          <w:tcPr>
            <w:tcW w:w="4285" w:type="dxa"/>
            <w:shd w:val="clear" w:color="auto" w:fill="F7FBFF"/>
            <w:vAlign w:val="center"/>
          </w:tcPr>
          <w:p w14:paraId="5A1B4349" w14:textId="77777777" w:rsidR="002C4993" w:rsidRPr="004811DC" w:rsidRDefault="001A3901" w:rsidP="009879CB">
            <w:pPr>
              <w:pStyle w:val="ListParagraph"/>
              <w:numPr>
                <w:ilvl w:val="0"/>
                <w:numId w:val="18"/>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Data protection,</w:t>
            </w:r>
          </w:p>
          <w:p w14:paraId="0B79E143" w14:textId="77777777" w:rsidR="002C4993" w:rsidRPr="004811DC" w:rsidRDefault="002C4993" w:rsidP="009879CB">
            <w:pPr>
              <w:pStyle w:val="ListParagraph"/>
              <w:numPr>
                <w:ilvl w:val="0"/>
                <w:numId w:val="18"/>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Accessibility</w:t>
            </w:r>
          </w:p>
          <w:p w14:paraId="11E82425" w14:textId="01358488" w:rsidR="00CF7D74" w:rsidRPr="004811DC" w:rsidRDefault="002C4993" w:rsidP="009879CB">
            <w:pPr>
              <w:pStyle w:val="ListParagraph"/>
              <w:numPr>
                <w:ilvl w:val="0"/>
                <w:numId w:val="18"/>
              </w:num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Consumer rights requirements vary by market.</w:t>
            </w:r>
          </w:p>
        </w:tc>
        <w:tc>
          <w:tcPr>
            <w:tcW w:w="3135" w:type="dxa"/>
            <w:shd w:val="clear" w:color="auto" w:fill="F7FBFF"/>
            <w:vAlign w:val="center"/>
          </w:tcPr>
          <w:p w14:paraId="11BF56F7" w14:textId="77777777" w:rsidR="00CF7D74" w:rsidRPr="004811DC" w:rsidRDefault="001A3901" w:rsidP="009879CB">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Legal and compliance stakeholders must be consulted proactively.</w:t>
            </w:r>
          </w:p>
        </w:tc>
      </w:tr>
      <w:tr w:rsidR="00CF7D74" w:rsidRPr="004811DC" w14:paraId="06F2D368" w14:textId="77777777" w:rsidTr="00F4342A">
        <w:trPr>
          <w:jc w:val="center"/>
        </w:trPr>
        <w:tc>
          <w:tcPr>
            <w:tcW w:w="1985" w:type="dxa"/>
            <w:shd w:val="clear" w:color="auto" w:fill="EEF5FB"/>
            <w:vAlign w:val="center"/>
          </w:tcPr>
          <w:p w14:paraId="3C737C7B"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Environmental</w:t>
            </w:r>
          </w:p>
        </w:tc>
        <w:tc>
          <w:tcPr>
            <w:tcW w:w="4285" w:type="dxa"/>
            <w:shd w:val="clear" w:color="auto" w:fill="EEF5FB"/>
            <w:vAlign w:val="center"/>
          </w:tcPr>
          <w:p w14:paraId="357B5D37" w14:textId="77777777" w:rsidR="00CF7D74" w:rsidRPr="004811DC" w:rsidRDefault="001A3901" w:rsidP="00920AAA">
            <w:pPr>
              <w:pStyle w:val="ListParagraph"/>
              <w:numPr>
                <w:ilvl w:val="0"/>
                <w:numId w:val="19"/>
              </w:num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Sustainability claims and operational impacts are under growing scrutiny.</w:t>
            </w:r>
          </w:p>
        </w:tc>
        <w:tc>
          <w:tcPr>
            <w:tcW w:w="3135" w:type="dxa"/>
            <w:shd w:val="clear" w:color="auto" w:fill="EEF5FB"/>
            <w:vAlign w:val="center"/>
          </w:tcPr>
          <w:p w14:paraId="58B3DB59" w14:textId="77777777" w:rsidR="00CF7D74" w:rsidRPr="004811DC" w:rsidRDefault="001A3901" w:rsidP="00920AAA">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Suppliers, communities and media affect project legitimacy and brand trust.</w:t>
            </w:r>
          </w:p>
        </w:tc>
      </w:tr>
    </w:tbl>
    <w:p w14:paraId="4DA7D0E6" w14:textId="4958D38E" w:rsidR="00CF7D74" w:rsidRPr="004811DC" w:rsidRDefault="001A3901" w:rsidP="00694433">
      <w:pPr>
        <w:spacing w:before="200" w:after="80"/>
        <w:jc w:val="both"/>
        <w:rPr>
          <w:rFonts w:ascii="Times New Roman" w:hAnsi="Times New Roman" w:cs="Times New Roman"/>
          <w:b/>
          <w:color w:val="2F5496"/>
          <w:sz w:val="24"/>
          <w:szCs w:val="24"/>
        </w:rPr>
      </w:pPr>
      <w:r w:rsidRPr="004811DC">
        <w:rPr>
          <w:rFonts w:ascii="Times New Roman" w:hAnsi="Times New Roman" w:cs="Times New Roman"/>
          <w:b/>
          <w:color w:val="2F5496"/>
          <w:sz w:val="24"/>
          <w:szCs w:val="24"/>
        </w:rPr>
        <w:lastRenderedPageBreak/>
        <w:t>2.3 SMART Objectives</w:t>
      </w:r>
    </w:p>
    <w:p w14:paraId="44C47CB1" w14:textId="5DE72EA0" w:rsidR="00F91153" w:rsidRPr="004811DC" w:rsidRDefault="00694433" w:rsidP="00694433">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SMART objectives provide a structured framework that reduces ambiguity, improves focus, and enables organisations to track progress systematically (Doran, 1981). In the context of SS+, they translate the strategic intent of the SWOT and PESTLE analysis into actionable, measurable targets.</w:t>
      </w:r>
    </w:p>
    <w:tbl>
      <w:tblPr>
        <w:tblStyle w:val="TableGrid"/>
        <w:tblW w:w="0" w:type="auto"/>
        <w:jc w:val="center"/>
        <w:tblLook w:val="04A0" w:firstRow="1" w:lastRow="0" w:firstColumn="1" w:lastColumn="0" w:noHBand="0" w:noVBand="1"/>
      </w:tblPr>
      <w:tblGrid>
        <w:gridCol w:w="2268"/>
        <w:gridCol w:w="7138"/>
      </w:tblGrid>
      <w:tr w:rsidR="00CF7D74" w:rsidRPr="004811DC" w14:paraId="083DD17B" w14:textId="77777777" w:rsidTr="00F40F11">
        <w:trPr>
          <w:jc w:val="center"/>
        </w:trPr>
        <w:tc>
          <w:tcPr>
            <w:tcW w:w="2268" w:type="dxa"/>
            <w:shd w:val="clear" w:color="auto" w:fill="B6D7A8"/>
            <w:vAlign w:val="center"/>
          </w:tcPr>
          <w:p w14:paraId="3A05EE35" w14:textId="55FCC50E" w:rsidR="00CF7D74" w:rsidRPr="004811DC" w:rsidRDefault="00C9777E" w:rsidP="00231C5B">
            <w:pPr>
              <w:spacing w:before="40" w:after="40"/>
              <w:jc w:val="center"/>
              <w:rPr>
                <w:rFonts w:ascii="Times New Roman" w:hAnsi="Times New Roman" w:cs="Times New Roman"/>
                <w:b/>
                <w:bCs/>
                <w:sz w:val="24"/>
                <w:szCs w:val="24"/>
              </w:rPr>
            </w:pPr>
            <w:r w:rsidRPr="004811DC">
              <w:rPr>
                <w:rFonts w:ascii="Times New Roman" w:hAnsi="Times New Roman" w:cs="Times New Roman"/>
                <w:b/>
                <w:bCs/>
                <w:sz w:val="24"/>
                <w:szCs w:val="24"/>
              </w:rPr>
              <w:t>SMART</w:t>
            </w:r>
          </w:p>
        </w:tc>
        <w:tc>
          <w:tcPr>
            <w:tcW w:w="7138" w:type="dxa"/>
            <w:shd w:val="clear" w:color="auto" w:fill="B6D7A8"/>
            <w:vAlign w:val="center"/>
          </w:tcPr>
          <w:p w14:paraId="10903B40" w14:textId="77777777" w:rsidR="00CF7D74" w:rsidRPr="004811DC" w:rsidRDefault="001A3901" w:rsidP="00231C5B">
            <w:pPr>
              <w:spacing w:before="40" w:after="40"/>
              <w:jc w:val="center"/>
              <w:rPr>
                <w:rFonts w:ascii="Times New Roman" w:hAnsi="Times New Roman" w:cs="Times New Roman"/>
                <w:sz w:val="24"/>
                <w:szCs w:val="24"/>
              </w:rPr>
            </w:pPr>
            <w:r w:rsidRPr="004811DC">
              <w:rPr>
                <w:rFonts w:ascii="Times New Roman" w:hAnsi="Times New Roman" w:cs="Times New Roman"/>
                <w:b/>
                <w:sz w:val="24"/>
                <w:szCs w:val="24"/>
              </w:rPr>
              <w:t>Objective</w:t>
            </w:r>
          </w:p>
        </w:tc>
      </w:tr>
      <w:tr w:rsidR="00CF7D74" w:rsidRPr="004811DC" w14:paraId="1A487C83" w14:textId="77777777" w:rsidTr="00F40F11">
        <w:trPr>
          <w:jc w:val="center"/>
        </w:trPr>
        <w:tc>
          <w:tcPr>
            <w:tcW w:w="2268" w:type="dxa"/>
            <w:shd w:val="clear" w:color="auto" w:fill="FFFFFF"/>
            <w:vAlign w:val="center"/>
          </w:tcPr>
          <w:p w14:paraId="469A1D3F" w14:textId="77777777"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b/>
                <w:bCs/>
                <w:sz w:val="24"/>
                <w:szCs w:val="24"/>
              </w:rPr>
              <w:t>S</w:t>
            </w:r>
            <w:r w:rsidRPr="004811DC">
              <w:rPr>
                <w:rFonts w:ascii="Times New Roman" w:hAnsi="Times New Roman" w:cs="Times New Roman"/>
                <w:sz w:val="24"/>
                <w:szCs w:val="24"/>
              </w:rPr>
              <w:t>pecific</w:t>
            </w:r>
          </w:p>
        </w:tc>
        <w:tc>
          <w:tcPr>
            <w:tcW w:w="7138" w:type="dxa"/>
            <w:shd w:val="clear" w:color="auto" w:fill="FFFFFF"/>
            <w:vAlign w:val="center"/>
          </w:tcPr>
          <w:p w14:paraId="2160D141" w14:textId="1DACF63A" w:rsidR="00CF7D74" w:rsidRPr="004811DC" w:rsidRDefault="00846B03"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Launch StaySmart+ in 50 selected Marriott hotels across priority markets in the UK, Europe, North America and Asia-Pacific, focusing on AI-enabled guest services, personalised travel planning and sustainability features</w:t>
            </w:r>
            <w:r w:rsidR="008C6E13" w:rsidRPr="004811DC">
              <w:rPr>
                <w:rFonts w:ascii="Times New Roman" w:hAnsi="Times New Roman" w:cs="Times New Roman"/>
                <w:sz w:val="24"/>
                <w:szCs w:val="24"/>
              </w:rPr>
              <w:t>.</w:t>
            </w:r>
          </w:p>
        </w:tc>
      </w:tr>
      <w:tr w:rsidR="00CF7D74" w:rsidRPr="004811DC" w14:paraId="3F153C5F" w14:textId="77777777" w:rsidTr="00F40F11">
        <w:trPr>
          <w:jc w:val="center"/>
        </w:trPr>
        <w:tc>
          <w:tcPr>
            <w:tcW w:w="2268" w:type="dxa"/>
            <w:shd w:val="clear" w:color="auto" w:fill="F3F9EE"/>
            <w:vAlign w:val="center"/>
          </w:tcPr>
          <w:p w14:paraId="69DD7585" w14:textId="77777777"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b/>
                <w:bCs/>
                <w:sz w:val="24"/>
                <w:szCs w:val="24"/>
              </w:rPr>
              <w:t>M</w:t>
            </w:r>
            <w:r w:rsidRPr="004811DC">
              <w:rPr>
                <w:rFonts w:ascii="Times New Roman" w:hAnsi="Times New Roman" w:cs="Times New Roman"/>
                <w:sz w:val="24"/>
                <w:szCs w:val="24"/>
              </w:rPr>
              <w:t>easurable</w:t>
            </w:r>
          </w:p>
        </w:tc>
        <w:tc>
          <w:tcPr>
            <w:tcW w:w="7138" w:type="dxa"/>
            <w:shd w:val="clear" w:color="auto" w:fill="F3F9EE"/>
            <w:vAlign w:val="center"/>
          </w:tcPr>
          <w:p w14:paraId="6FF2578A" w14:textId="2812CDBC"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Improve guest satisfaction</w:t>
            </w:r>
            <w:r w:rsidR="00193271" w:rsidRPr="004811DC">
              <w:rPr>
                <w:rFonts w:ascii="Times New Roman" w:hAnsi="Times New Roman" w:cs="Times New Roman"/>
                <w:sz w:val="24"/>
                <w:szCs w:val="24"/>
              </w:rPr>
              <w:t>/</w:t>
            </w:r>
            <w:r w:rsidR="00C125EF" w:rsidRPr="004811DC">
              <w:rPr>
                <w:rFonts w:ascii="Times New Roman" w:hAnsi="Times New Roman" w:cs="Times New Roman"/>
                <w:sz w:val="24"/>
                <w:szCs w:val="24"/>
              </w:rPr>
              <w:t>Net Promoter Score (NPS)</w:t>
            </w:r>
            <w:r w:rsidRPr="004811DC">
              <w:rPr>
                <w:rFonts w:ascii="Times New Roman" w:hAnsi="Times New Roman" w:cs="Times New Roman"/>
                <w:sz w:val="24"/>
                <w:szCs w:val="24"/>
              </w:rPr>
              <w:t xml:space="preserve"> in participating hotels by 15% within six months and achieve at least 60% awareness among targeted guest segments.</w:t>
            </w:r>
          </w:p>
        </w:tc>
      </w:tr>
      <w:tr w:rsidR="00CF7D74" w:rsidRPr="004811DC" w14:paraId="4EBF7AFB" w14:textId="77777777" w:rsidTr="00F40F11">
        <w:trPr>
          <w:jc w:val="center"/>
        </w:trPr>
        <w:tc>
          <w:tcPr>
            <w:tcW w:w="2268" w:type="dxa"/>
            <w:shd w:val="clear" w:color="auto" w:fill="FFFFFF"/>
            <w:vAlign w:val="center"/>
          </w:tcPr>
          <w:p w14:paraId="2CB9F070" w14:textId="77777777"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b/>
                <w:bCs/>
                <w:sz w:val="24"/>
                <w:szCs w:val="24"/>
              </w:rPr>
              <w:t>A</w:t>
            </w:r>
            <w:r w:rsidRPr="004811DC">
              <w:rPr>
                <w:rFonts w:ascii="Times New Roman" w:hAnsi="Times New Roman" w:cs="Times New Roman"/>
                <w:sz w:val="24"/>
                <w:szCs w:val="24"/>
              </w:rPr>
              <w:t>chievable</w:t>
            </w:r>
          </w:p>
        </w:tc>
        <w:tc>
          <w:tcPr>
            <w:tcW w:w="7138" w:type="dxa"/>
            <w:shd w:val="clear" w:color="auto" w:fill="FFFFFF"/>
            <w:vAlign w:val="center"/>
          </w:tcPr>
          <w:p w14:paraId="7449D00D" w14:textId="68E70CC8" w:rsidR="00CF7D74" w:rsidRPr="004811DC" w:rsidRDefault="004227FE"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Utilise Marriott’s existing digital platforms, Marriott Bonvoy loyalty ecosystem, supplier partnerships and staff training programmes to support phased and scalable implementation across regions</w:t>
            </w:r>
          </w:p>
        </w:tc>
      </w:tr>
      <w:tr w:rsidR="00CF7D74" w:rsidRPr="004811DC" w14:paraId="143826A1" w14:textId="77777777" w:rsidTr="00F40F11">
        <w:trPr>
          <w:jc w:val="center"/>
        </w:trPr>
        <w:tc>
          <w:tcPr>
            <w:tcW w:w="2268" w:type="dxa"/>
            <w:shd w:val="clear" w:color="auto" w:fill="F3F9EE"/>
            <w:vAlign w:val="center"/>
          </w:tcPr>
          <w:p w14:paraId="22DDDD8E" w14:textId="3C380551"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b/>
                <w:bCs/>
                <w:sz w:val="24"/>
                <w:szCs w:val="24"/>
              </w:rPr>
              <w:t>R</w:t>
            </w:r>
            <w:r w:rsidRPr="004811DC">
              <w:rPr>
                <w:rFonts w:ascii="Times New Roman" w:hAnsi="Times New Roman" w:cs="Times New Roman"/>
                <w:sz w:val="24"/>
                <w:szCs w:val="24"/>
              </w:rPr>
              <w:t>e</w:t>
            </w:r>
            <w:r w:rsidR="00322A16" w:rsidRPr="004811DC">
              <w:rPr>
                <w:rFonts w:ascii="Times New Roman" w:hAnsi="Times New Roman" w:cs="Times New Roman"/>
                <w:sz w:val="24"/>
                <w:szCs w:val="24"/>
              </w:rPr>
              <w:t>alistic</w:t>
            </w:r>
          </w:p>
        </w:tc>
        <w:tc>
          <w:tcPr>
            <w:tcW w:w="7138" w:type="dxa"/>
            <w:shd w:val="clear" w:color="auto" w:fill="F3F9EE"/>
            <w:vAlign w:val="center"/>
          </w:tcPr>
          <w:p w14:paraId="3489596B" w14:textId="20F93690" w:rsidR="00CF7D74" w:rsidRPr="004811DC" w:rsidRDefault="00CE58C1"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Align the initiative with Marriott’s strategic priorities of service innovation, customer loyalty, digital transformation and sustainability, while enhancing stakeholder value across guests, employees and partners.</w:t>
            </w:r>
          </w:p>
        </w:tc>
      </w:tr>
      <w:tr w:rsidR="00CF7D74" w:rsidRPr="004811DC" w14:paraId="29D713ED" w14:textId="77777777" w:rsidTr="00F40F11">
        <w:trPr>
          <w:jc w:val="center"/>
        </w:trPr>
        <w:tc>
          <w:tcPr>
            <w:tcW w:w="2268" w:type="dxa"/>
            <w:shd w:val="clear" w:color="auto" w:fill="FFFFFF"/>
            <w:vAlign w:val="center"/>
          </w:tcPr>
          <w:p w14:paraId="492EB046" w14:textId="77777777"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b/>
                <w:bCs/>
                <w:sz w:val="24"/>
                <w:szCs w:val="24"/>
              </w:rPr>
              <w:t>T</w:t>
            </w:r>
            <w:r w:rsidRPr="004811DC">
              <w:rPr>
                <w:rFonts w:ascii="Times New Roman" w:hAnsi="Times New Roman" w:cs="Times New Roman"/>
                <w:sz w:val="24"/>
                <w:szCs w:val="24"/>
              </w:rPr>
              <w:t>ime-bound</w:t>
            </w:r>
          </w:p>
        </w:tc>
        <w:tc>
          <w:tcPr>
            <w:tcW w:w="7138" w:type="dxa"/>
            <w:shd w:val="clear" w:color="auto" w:fill="FFFFFF"/>
            <w:vAlign w:val="center"/>
          </w:tcPr>
          <w:p w14:paraId="1F2D59B4" w14:textId="2C8ECCB4"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Complete design, pilot, staff readiness and initial rollout within six months, followed by a structured review in nine</w:t>
            </w:r>
            <w:r w:rsidR="00EF471A" w:rsidRPr="004811DC">
              <w:rPr>
                <w:rFonts w:ascii="Times New Roman" w:hAnsi="Times New Roman" w:cs="Times New Roman"/>
                <w:sz w:val="24"/>
                <w:szCs w:val="24"/>
              </w:rPr>
              <w:t xml:space="preserve"> </w:t>
            </w:r>
            <w:r w:rsidR="00E43B2E" w:rsidRPr="004811DC">
              <w:rPr>
                <w:rFonts w:ascii="Times New Roman" w:hAnsi="Times New Roman" w:cs="Times New Roman"/>
                <w:sz w:val="24"/>
                <w:szCs w:val="24"/>
              </w:rPr>
              <w:t>months</w:t>
            </w:r>
            <w:r w:rsidRPr="004811DC">
              <w:rPr>
                <w:rFonts w:ascii="Times New Roman" w:hAnsi="Times New Roman" w:cs="Times New Roman"/>
                <w:sz w:val="24"/>
                <w:szCs w:val="24"/>
              </w:rPr>
              <w:t>.</w:t>
            </w:r>
          </w:p>
        </w:tc>
      </w:tr>
    </w:tbl>
    <w:p w14:paraId="3B243427" w14:textId="7D4FE111" w:rsidR="00CF7D74" w:rsidRPr="004811DC" w:rsidRDefault="001A3901" w:rsidP="00231C5B">
      <w:pPr>
        <w:spacing w:before="240" w:after="120"/>
        <w:rPr>
          <w:rFonts w:ascii="Times New Roman" w:hAnsi="Times New Roman" w:cs="Times New Roman"/>
          <w:sz w:val="24"/>
          <w:szCs w:val="24"/>
        </w:rPr>
      </w:pPr>
      <w:r w:rsidRPr="004811DC">
        <w:rPr>
          <w:rFonts w:ascii="Times New Roman" w:hAnsi="Times New Roman" w:cs="Times New Roman"/>
          <w:b/>
          <w:color w:val="1F4E79"/>
          <w:sz w:val="24"/>
          <w:szCs w:val="24"/>
        </w:rPr>
        <w:t>3. Key Internal and External Stakeholders</w:t>
      </w:r>
    </w:p>
    <w:p w14:paraId="6692E8ED" w14:textId="70757671" w:rsidR="00F57768" w:rsidRPr="004811DC" w:rsidRDefault="00723004" w:rsidP="00231C5B">
      <w:pPr>
        <w:spacing w:after="120"/>
        <w:jc w:val="both"/>
        <w:rPr>
          <w:rFonts w:ascii="Times New Roman" w:hAnsi="Times New Roman" w:cs="Times New Roman"/>
          <w:sz w:val="24"/>
          <w:szCs w:val="24"/>
        </w:rPr>
      </w:pPr>
      <w:r w:rsidRPr="004811DC">
        <w:rPr>
          <w:rFonts w:ascii="Times New Roman" w:hAnsi="Times New Roman" w:cs="Times New Roman"/>
          <w:sz w:val="24"/>
          <w:szCs w:val="24"/>
        </w:rPr>
        <w:t xml:space="preserve">Stakeholder identification is fundamental to the project, as different groups bring distinct resources, constraints and levels of influence. Stakeholders are defined as “any group or individual who can affect or is affected by the achievement of the organisation’s objectives” </w:t>
      </w:r>
      <w:r w:rsidR="007813D4" w:rsidRPr="004811DC">
        <w:rPr>
          <w:rFonts w:ascii="Times New Roman" w:hAnsi="Times New Roman" w:cs="Times New Roman"/>
          <w:sz w:val="24"/>
          <w:szCs w:val="24"/>
        </w:rPr>
        <w:t>(Freeman</w:t>
      </w:r>
      <w:r w:rsidRPr="004811DC">
        <w:rPr>
          <w:rFonts w:ascii="Times New Roman" w:hAnsi="Times New Roman" w:cs="Times New Roman"/>
          <w:sz w:val="24"/>
          <w:szCs w:val="24"/>
        </w:rPr>
        <w:t>, 1984</w:t>
      </w:r>
      <w:r w:rsidR="007813D4" w:rsidRPr="004811DC">
        <w:rPr>
          <w:rFonts w:ascii="Times New Roman" w:hAnsi="Times New Roman" w:cs="Times New Roman"/>
          <w:sz w:val="24"/>
          <w:szCs w:val="24"/>
        </w:rPr>
        <w:t>,</w:t>
      </w:r>
      <w:r w:rsidR="007A0A5E" w:rsidRPr="004811DC">
        <w:rPr>
          <w:rFonts w:ascii="Times New Roman" w:hAnsi="Times New Roman" w:cs="Times New Roman"/>
          <w:sz w:val="24"/>
          <w:szCs w:val="24"/>
        </w:rPr>
        <w:t xml:space="preserve"> p.</w:t>
      </w:r>
      <w:r w:rsidRPr="004811DC">
        <w:rPr>
          <w:rFonts w:ascii="Times New Roman" w:hAnsi="Times New Roman" w:cs="Times New Roman"/>
          <w:sz w:val="24"/>
          <w:szCs w:val="24"/>
        </w:rPr>
        <w:t xml:space="preserve"> 46). In the hospitality context, influence is not determined solely by formal authority. </w:t>
      </w:r>
      <w:r w:rsidR="002E351D" w:rsidRPr="004811DC">
        <w:rPr>
          <w:rFonts w:ascii="Times New Roman" w:hAnsi="Times New Roman" w:cs="Times New Roman"/>
          <w:sz w:val="24"/>
          <w:szCs w:val="24"/>
        </w:rPr>
        <w:t xml:space="preserve">Guests and local communities, for example, may hold less structural power than executives or regulators, but they play a decisive role in shaping service adoption, brand </w:t>
      </w:r>
      <w:r w:rsidR="002E351D" w:rsidRPr="004811DC">
        <w:rPr>
          <w:rFonts w:ascii="Times New Roman" w:hAnsi="Times New Roman" w:cs="Times New Roman"/>
          <w:sz w:val="24"/>
          <w:szCs w:val="24"/>
        </w:rPr>
        <w:lastRenderedPageBreak/>
        <w:t>reputation, and social legitimacy. Mitchell, Agle and Wood's (1997) salience model adds further nuance by identifying three attributes</w:t>
      </w:r>
      <w:r w:rsidR="004D0ACF" w:rsidRPr="004811DC">
        <w:rPr>
          <w:rFonts w:ascii="Times New Roman" w:hAnsi="Times New Roman" w:cs="Times New Roman"/>
          <w:sz w:val="24"/>
          <w:szCs w:val="24"/>
        </w:rPr>
        <w:t>:</w:t>
      </w:r>
      <w:r w:rsidR="002E351D" w:rsidRPr="004811DC">
        <w:rPr>
          <w:rFonts w:ascii="Times New Roman" w:hAnsi="Times New Roman" w:cs="Times New Roman"/>
          <w:sz w:val="24"/>
          <w:szCs w:val="24"/>
        </w:rPr>
        <w:t xml:space="preserve"> power, legitimacy, and urgency</w:t>
      </w:r>
      <w:r w:rsidR="004D0ACF" w:rsidRPr="004811DC">
        <w:rPr>
          <w:rFonts w:ascii="Times New Roman" w:hAnsi="Times New Roman" w:cs="Times New Roman"/>
          <w:sz w:val="24"/>
          <w:szCs w:val="24"/>
        </w:rPr>
        <w:t>,</w:t>
      </w:r>
      <w:r w:rsidR="002E351D" w:rsidRPr="004811DC">
        <w:rPr>
          <w:rFonts w:ascii="Times New Roman" w:hAnsi="Times New Roman" w:cs="Times New Roman"/>
          <w:sz w:val="24"/>
          <w:szCs w:val="24"/>
        </w:rPr>
        <w:t xml:space="preserve"> that together determine which stakeholders warrant priority attention.</w:t>
      </w:r>
    </w:p>
    <w:tbl>
      <w:tblPr>
        <w:tblStyle w:val="TableGrid"/>
        <w:tblW w:w="0" w:type="auto"/>
        <w:jc w:val="center"/>
        <w:tblLook w:val="04A0" w:firstRow="1" w:lastRow="0" w:firstColumn="1" w:lastColumn="0" w:noHBand="0" w:noVBand="1"/>
      </w:tblPr>
      <w:tblGrid>
        <w:gridCol w:w="3135"/>
        <w:gridCol w:w="3135"/>
        <w:gridCol w:w="3135"/>
      </w:tblGrid>
      <w:tr w:rsidR="00CF7D74" w:rsidRPr="004811DC" w14:paraId="207BE60B" w14:textId="77777777">
        <w:trPr>
          <w:jc w:val="center"/>
        </w:trPr>
        <w:tc>
          <w:tcPr>
            <w:tcW w:w="3135" w:type="dxa"/>
            <w:shd w:val="clear" w:color="auto" w:fill="CFE2F3"/>
            <w:vAlign w:val="center"/>
          </w:tcPr>
          <w:p w14:paraId="2DA735CE" w14:textId="0FC356CA" w:rsidR="00CF7D74" w:rsidRPr="004811DC" w:rsidRDefault="00D24D35" w:rsidP="00231C5B">
            <w:pPr>
              <w:spacing w:before="40" w:after="40"/>
              <w:jc w:val="center"/>
              <w:rPr>
                <w:rFonts w:ascii="Times New Roman" w:hAnsi="Times New Roman" w:cs="Times New Roman"/>
                <w:sz w:val="24"/>
                <w:szCs w:val="24"/>
              </w:rPr>
            </w:pPr>
            <w:r w:rsidRPr="004811DC">
              <w:rPr>
                <w:rFonts w:ascii="Times New Roman" w:hAnsi="Times New Roman" w:cs="Times New Roman"/>
                <w:b/>
                <w:sz w:val="24"/>
                <w:szCs w:val="24"/>
              </w:rPr>
              <w:t>Internal</w:t>
            </w:r>
          </w:p>
        </w:tc>
        <w:tc>
          <w:tcPr>
            <w:tcW w:w="3135" w:type="dxa"/>
            <w:shd w:val="clear" w:color="auto" w:fill="CFE2F3"/>
            <w:vAlign w:val="center"/>
          </w:tcPr>
          <w:p w14:paraId="02C7E6F2" w14:textId="136B2250" w:rsidR="00CF7D74" w:rsidRPr="004811DC" w:rsidRDefault="00D24D35" w:rsidP="00231C5B">
            <w:pPr>
              <w:spacing w:before="40" w:after="40"/>
              <w:jc w:val="center"/>
              <w:rPr>
                <w:rFonts w:ascii="Times New Roman" w:hAnsi="Times New Roman" w:cs="Times New Roman"/>
                <w:sz w:val="24"/>
                <w:szCs w:val="24"/>
              </w:rPr>
            </w:pPr>
            <w:r w:rsidRPr="004811DC">
              <w:rPr>
                <w:rFonts w:ascii="Times New Roman" w:hAnsi="Times New Roman" w:cs="Times New Roman"/>
                <w:b/>
                <w:sz w:val="24"/>
                <w:szCs w:val="24"/>
              </w:rPr>
              <w:t>Connected</w:t>
            </w:r>
          </w:p>
        </w:tc>
        <w:tc>
          <w:tcPr>
            <w:tcW w:w="3135" w:type="dxa"/>
            <w:shd w:val="clear" w:color="auto" w:fill="CFE2F3"/>
            <w:vAlign w:val="center"/>
          </w:tcPr>
          <w:p w14:paraId="49F393DA" w14:textId="2934C623" w:rsidR="00CF7D74" w:rsidRPr="004811DC" w:rsidRDefault="00D24D35" w:rsidP="00231C5B">
            <w:pPr>
              <w:spacing w:before="40" w:after="40"/>
              <w:jc w:val="center"/>
              <w:rPr>
                <w:rFonts w:ascii="Times New Roman" w:hAnsi="Times New Roman" w:cs="Times New Roman"/>
                <w:sz w:val="24"/>
                <w:szCs w:val="24"/>
              </w:rPr>
            </w:pPr>
            <w:r w:rsidRPr="004811DC">
              <w:rPr>
                <w:rFonts w:ascii="Times New Roman" w:hAnsi="Times New Roman" w:cs="Times New Roman"/>
                <w:b/>
                <w:sz w:val="24"/>
                <w:szCs w:val="24"/>
              </w:rPr>
              <w:t>External</w:t>
            </w:r>
          </w:p>
        </w:tc>
      </w:tr>
      <w:tr w:rsidR="00CF7D74" w:rsidRPr="004811DC" w14:paraId="415881C6" w14:textId="77777777">
        <w:trPr>
          <w:jc w:val="center"/>
        </w:trPr>
        <w:tc>
          <w:tcPr>
            <w:tcW w:w="3135" w:type="dxa"/>
            <w:shd w:val="clear" w:color="auto" w:fill="F5FAFE"/>
            <w:vAlign w:val="center"/>
          </w:tcPr>
          <w:p w14:paraId="4C35084A" w14:textId="292F3D52" w:rsidR="00CF7D74" w:rsidRPr="004811DC" w:rsidRDefault="007F66BA"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Employees</w:t>
            </w:r>
          </w:p>
        </w:tc>
        <w:tc>
          <w:tcPr>
            <w:tcW w:w="3135" w:type="dxa"/>
            <w:shd w:val="clear" w:color="auto" w:fill="F5FAFE"/>
            <w:vAlign w:val="center"/>
          </w:tcPr>
          <w:p w14:paraId="298BE5FC" w14:textId="5A9BDC5E" w:rsidR="00CF7D74" w:rsidRPr="004811DC" w:rsidRDefault="00587307"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Financial institutions (e.g., banks and lenders)</w:t>
            </w:r>
          </w:p>
        </w:tc>
        <w:tc>
          <w:tcPr>
            <w:tcW w:w="3135" w:type="dxa"/>
            <w:shd w:val="clear" w:color="auto" w:fill="F5FAFE"/>
            <w:vAlign w:val="center"/>
          </w:tcPr>
          <w:p w14:paraId="7702CBFC" w14:textId="5BFB2729" w:rsidR="00CF7D74" w:rsidRPr="004811DC" w:rsidRDefault="00D646A7"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Government</w:t>
            </w:r>
          </w:p>
        </w:tc>
      </w:tr>
      <w:tr w:rsidR="00CF7D74" w:rsidRPr="004811DC" w14:paraId="7EA5BDCB" w14:textId="77777777">
        <w:trPr>
          <w:jc w:val="center"/>
        </w:trPr>
        <w:tc>
          <w:tcPr>
            <w:tcW w:w="3135" w:type="dxa"/>
            <w:shd w:val="clear" w:color="auto" w:fill="FCFCFF"/>
            <w:vAlign w:val="center"/>
          </w:tcPr>
          <w:p w14:paraId="7B777340" w14:textId="124E4055" w:rsidR="00CF7D74" w:rsidRPr="004811DC" w:rsidRDefault="00074344"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Project manager</w:t>
            </w:r>
          </w:p>
        </w:tc>
        <w:tc>
          <w:tcPr>
            <w:tcW w:w="3135" w:type="dxa"/>
            <w:shd w:val="clear" w:color="auto" w:fill="FCFCFF"/>
            <w:vAlign w:val="center"/>
          </w:tcPr>
          <w:p w14:paraId="308D54CA" w14:textId="03AD9261" w:rsidR="00CF7D74" w:rsidRPr="004811DC" w:rsidRDefault="003F0C4A"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Operational suppliers (e.g., food and service providers)</w:t>
            </w:r>
          </w:p>
        </w:tc>
        <w:tc>
          <w:tcPr>
            <w:tcW w:w="3135" w:type="dxa"/>
            <w:shd w:val="clear" w:color="auto" w:fill="FCFCFF"/>
            <w:vAlign w:val="center"/>
          </w:tcPr>
          <w:p w14:paraId="38FA8AA5" w14:textId="1F4F6430" w:rsidR="00CF7D74" w:rsidRPr="004811DC" w:rsidRDefault="00D646A7"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Regulators</w:t>
            </w:r>
          </w:p>
        </w:tc>
      </w:tr>
      <w:tr w:rsidR="00CF7D74" w:rsidRPr="004811DC" w14:paraId="42419D5A" w14:textId="77777777">
        <w:trPr>
          <w:jc w:val="center"/>
        </w:trPr>
        <w:tc>
          <w:tcPr>
            <w:tcW w:w="3135" w:type="dxa"/>
            <w:shd w:val="clear" w:color="auto" w:fill="F5FAFE"/>
            <w:vAlign w:val="center"/>
          </w:tcPr>
          <w:p w14:paraId="376F1D7E" w14:textId="79E777A3" w:rsidR="00CF7D74" w:rsidRPr="004811DC" w:rsidRDefault="00832370"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IT and operations teams</w:t>
            </w:r>
          </w:p>
        </w:tc>
        <w:tc>
          <w:tcPr>
            <w:tcW w:w="3135" w:type="dxa"/>
            <w:shd w:val="clear" w:color="auto" w:fill="F5FAFE"/>
            <w:vAlign w:val="center"/>
          </w:tcPr>
          <w:p w14:paraId="3CCB3148" w14:textId="6B7F35DE" w:rsidR="00CF7D74" w:rsidRPr="004811DC" w:rsidRDefault="00473077"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Strategic partners (AI vendors, software providers, sustainability partners such as WWF)</w:t>
            </w:r>
          </w:p>
        </w:tc>
        <w:tc>
          <w:tcPr>
            <w:tcW w:w="3135" w:type="dxa"/>
            <w:shd w:val="clear" w:color="auto" w:fill="F5FAFE"/>
            <w:vAlign w:val="center"/>
          </w:tcPr>
          <w:p w14:paraId="5A2E6E12" w14:textId="7908AF08" w:rsidR="00CF7D74" w:rsidRPr="004811DC" w:rsidRDefault="00671CDE"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Tourism authorities</w:t>
            </w:r>
          </w:p>
        </w:tc>
      </w:tr>
      <w:tr w:rsidR="00CF7D74" w:rsidRPr="004811DC" w14:paraId="7A13A3B9" w14:textId="77777777">
        <w:trPr>
          <w:jc w:val="center"/>
        </w:trPr>
        <w:tc>
          <w:tcPr>
            <w:tcW w:w="3135" w:type="dxa"/>
            <w:shd w:val="clear" w:color="auto" w:fill="FCFCFF"/>
            <w:vAlign w:val="center"/>
          </w:tcPr>
          <w:p w14:paraId="6A3E665A" w14:textId="7CBFDFFA" w:rsidR="00CF7D74" w:rsidRPr="004811DC" w:rsidRDefault="009E4438"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Executive leadership</w:t>
            </w:r>
          </w:p>
        </w:tc>
        <w:tc>
          <w:tcPr>
            <w:tcW w:w="3135" w:type="dxa"/>
            <w:shd w:val="clear" w:color="auto" w:fill="FCFCFF"/>
            <w:vAlign w:val="center"/>
          </w:tcPr>
          <w:p w14:paraId="76E970AB" w14:textId="77777777" w:rsidR="00CF7D74" w:rsidRPr="004811DC" w:rsidRDefault="001A3901"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Guests and Marriott Bonvoy members</w:t>
            </w:r>
          </w:p>
        </w:tc>
        <w:tc>
          <w:tcPr>
            <w:tcW w:w="3135" w:type="dxa"/>
            <w:shd w:val="clear" w:color="auto" w:fill="FCFCFF"/>
            <w:vAlign w:val="center"/>
          </w:tcPr>
          <w:p w14:paraId="7494587D" w14:textId="7E4E03FF" w:rsidR="00CF7D74" w:rsidRPr="004811DC" w:rsidRDefault="00671CDE"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Local communities</w:t>
            </w:r>
          </w:p>
        </w:tc>
      </w:tr>
      <w:tr w:rsidR="00CF7D74" w:rsidRPr="004811DC" w14:paraId="262E7CE4" w14:textId="77777777">
        <w:trPr>
          <w:jc w:val="center"/>
        </w:trPr>
        <w:tc>
          <w:tcPr>
            <w:tcW w:w="3135" w:type="dxa"/>
            <w:shd w:val="clear" w:color="auto" w:fill="F5FAFE"/>
            <w:vAlign w:val="center"/>
          </w:tcPr>
          <w:p w14:paraId="5E7CFB33" w14:textId="7F30B29C" w:rsidR="00CF7D74" w:rsidRPr="004811DC" w:rsidRDefault="009E4438"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 xml:space="preserve">Marketing and sales teams </w:t>
            </w:r>
          </w:p>
        </w:tc>
        <w:tc>
          <w:tcPr>
            <w:tcW w:w="3135" w:type="dxa"/>
            <w:shd w:val="clear" w:color="auto" w:fill="F5FAFE"/>
            <w:vAlign w:val="center"/>
          </w:tcPr>
          <w:p w14:paraId="7BBDAB44" w14:textId="687936B6" w:rsidR="00CF7D74" w:rsidRPr="004811DC" w:rsidRDefault="009C7AA9"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 xml:space="preserve">Financial </w:t>
            </w:r>
            <w:r w:rsidR="00C4474D" w:rsidRPr="004811DC">
              <w:rPr>
                <w:rFonts w:ascii="Times New Roman" w:hAnsi="Times New Roman" w:cs="Times New Roman"/>
                <w:sz w:val="24"/>
                <w:szCs w:val="24"/>
              </w:rPr>
              <w:t>institutions</w:t>
            </w:r>
          </w:p>
        </w:tc>
        <w:tc>
          <w:tcPr>
            <w:tcW w:w="3135" w:type="dxa"/>
            <w:shd w:val="clear" w:color="auto" w:fill="F5FAFE"/>
            <w:vAlign w:val="center"/>
          </w:tcPr>
          <w:p w14:paraId="36604471" w14:textId="500A6BBF" w:rsidR="00CF7D74" w:rsidRPr="004811DC" w:rsidRDefault="00F07388"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Media</w:t>
            </w:r>
          </w:p>
        </w:tc>
      </w:tr>
      <w:tr w:rsidR="00CF7D74" w:rsidRPr="004811DC" w14:paraId="6F0800D6" w14:textId="77777777">
        <w:trPr>
          <w:jc w:val="center"/>
        </w:trPr>
        <w:tc>
          <w:tcPr>
            <w:tcW w:w="3135" w:type="dxa"/>
            <w:shd w:val="clear" w:color="auto" w:fill="FCFCFF"/>
            <w:vAlign w:val="center"/>
          </w:tcPr>
          <w:p w14:paraId="607A0880" w14:textId="1504F2C2" w:rsidR="00CF7D74" w:rsidRPr="004811DC" w:rsidRDefault="00DE1B83"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Customer service teams</w:t>
            </w:r>
          </w:p>
        </w:tc>
        <w:tc>
          <w:tcPr>
            <w:tcW w:w="3135" w:type="dxa"/>
            <w:shd w:val="clear" w:color="auto" w:fill="FCFCFF"/>
            <w:vAlign w:val="center"/>
          </w:tcPr>
          <w:p w14:paraId="44A4EFE4" w14:textId="31E43955" w:rsidR="00CF7D74" w:rsidRPr="004811DC" w:rsidRDefault="003F0C4A"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Shareholders and investors</w:t>
            </w:r>
          </w:p>
        </w:tc>
        <w:tc>
          <w:tcPr>
            <w:tcW w:w="3135" w:type="dxa"/>
            <w:shd w:val="clear" w:color="auto" w:fill="FCFCFF"/>
            <w:vAlign w:val="center"/>
          </w:tcPr>
          <w:p w14:paraId="0693CC0F" w14:textId="26F3BBBD" w:rsidR="00CF7D74" w:rsidRPr="004811DC" w:rsidRDefault="00B615D6"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Pressure groups / NGOs</w:t>
            </w:r>
          </w:p>
        </w:tc>
      </w:tr>
      <w:tr w:rsidR="00CF7D74" w:rsidRPr="004811DC" w14:paraId="0E788399" w14:textId="77777777">
        <w:trPr>
          <w:jc w:val="center"/>
        </w:trPr>
        <w:tc>
          <w:tcPr>
            <w:tcW w:w="3135" w:type="dxa"/>
            <w:shd w:val="clear" w:color="auto" w:fill="F5FAFE"/>
            <w:vAlign w:val="center"/>
          </w:tcPr>
          <w:p w14:paraId="21150416" w14:textId="0971DACB" w:rsidR="00CF7D74" w:rsidRPr="004811DC" w:rsidRDefault="0069069A"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Finance, legal and compliance</w:t>
            </w:r>
          </w:p>
        </w:tc>
        <w:tc>
          <w:tcPr>
            <w:tcW w:w="3135" w:type="dxa"/>
            <w:shd w:val="clear" w:color="auto" w:fill="F5FAFE"/>
            <w:vAlign w:val="center"/>
          </w:tcPr>
          <w:p w14:paraId="3E4A7AA9" w14:textId="6C25039B" w:rsidR="00CF7D74" w:rsidRPr="004811DC" w:rsidRDefault="00CF7D74" w:rsidP="00231C5B">
            <w:pPr>
              <w:spacing w:before="40" w:after="40"/>
              <w:rPr>
                <w:rFonts w:ascii="Times New Roman" w:hAnsi="Times New Roman" w:cs="Times New Roman"/>
                <w:sz w:val="24"/>
                <w:szCs w:val="24"/>
              </w:rPr>
            </w:pPr>
          </w:p>
        </w:tc>
        <w:tc>
          <w:tcPr>
            <w:tcW w:w="3135" w:type="dxa"/>
            <w:shd w:val="clear" w:color="auto" w:fill="F5FAFE"/>
            <w:vAlign w:val="center"/>
          </w:tcPr>
          <w:p w14:paraId="4A5087DA" w14:textId="4219BE37" w:rsidR="00CF7D74" w:rsidRPr="004811DC" w:rsidRDefault="002032C4" w:rsidP="00231C5B">
            <w:pPr>
              <w:spacing w:before="40" w:after="40"/>
              <w:rPr>
                <w:rFonts w:ascii="Times New Roman" w:hAnsi="Times New Roman" w:cs="Times New Roman"/>
                <w:sz w:val="24"/>
                <w:szCs w:val="24"/>
              </w:rPr>
            </w:pPr>
            <w:r w:rsidRPr="004811DC">
              <w:rPr>
                <w:rFonts w:ascii="Times New Roman" w:hAnsi="Times New Roman" w:cs="Times New Roman"/>
                <w:sz w:val="24"/>
                <w:szCs w:val="24"/>
              </w:rPr>
              <w:t>Society</w:t>
            </w:r>
          </w:p>
        </w:tc>
      </w:tr>
    </w:tbl>
    <w:p w14:paraId="56E29F17" w14:textId="2E545B3C" w:rsidR="00CF7D74" w:rsidRPr="004811DC" w:rsidRDefault="001A3901"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3.1 Stakeholder A</w:t>
      </w:r>
      <w:r w:rsidR="00CD60D2" w:rsidRPr="004811DC">
        <w:rPr>
          <w:rFonts w:ascii="Times New Roman" w:hAnsi="Times New Roman" w:cs="Times New Roman"/>
          <w:b/>
          <w:color w:val="2F5496"/>
          <w:sz w:val="24"/>
          <w:szCs w:val="24"/>
        </w:rPr>
        <w:t>nalysis</w:t>
      </w:r>
    </w:p>
    <w:p w14:paraId="1C5F711A" w14:textId="77777777" w:rsidR="001B19CE" w:rsidRPr="004811DC" w:rsidRDefault="001B19CE" w:rsidP="001B19CE">
      <w:pPr>
        <w:spacing w:before="200" w:after="80"/>
        <w:rPr>
          <w:rFonts w:ascii="Times New Roman" w:hAnsi="Times New Roman" w:cs="Times New Roman"/>
          <w:bCs/>
          <w:sz w:val="24"/>
          <w:szCs w:val="24"/>
        </w:rPr>
      </w:pPr>
      <w:r w:rsidRPr="004811DC">
        <w:rPr>
          <w:rFonts w:ascii="Times New Roman" w:hAnsi="Times New Roman" w:cs="Times New Roman"/>
          <w:bCs/>
          <w:sz w:val="24"/>
          <w:szCs w:val="24"/>
        </w:rPr>
        <w:t>Low-power stakeholders can still strongly influence adoption and reputation, highlighting the need for inclusive engagement beyond hierarchical analysis (Mitchell, Agle and Wood, 1997).</w:t>
      </w:r>
    </w:p>
    <w:tbl>
      <w:tblPr>
        <w:tblStyle w:val="TableGrid"/>
        <w:tblW w:w="0" w:type="auto"/>
        <w:jc w:val="center"/>
        <w:tblLayout w:type="fixed"/>
        <w:tblLook w:val="04A0" w:firstRow="1" w:lastRow="0" w:firstColumn="1" w:lastColumn="0" w:noHBand="0" w:noVBand="1"/>
      </w:tblPr>
      <w:tblGrid>
        <w:gridCol w:w="2403"/>
        <w:gridCol w:w="1391"/>
        <w:gridCol w:w="1417"/>
        <w:gridCol w:w="2784"/>
        <w:gridCol w:w="1627"/>
      </w:tblGrid>
      <w:tr w:rsidR="00CF7D74" w:rsidRPr="004811DC" w14:paraId="1F48EFA6" w14:textId="77777777" w:rsidTr="00A074C5">
        <w:trPr>
          <w:jc w:val="center"/>
        </w:trPr>
        <w:tc>
          <w:tcPr>
            <w:tcW w:w="2403" w:type="dxa"/>
            <w:shd w:val="clear" w:color="auto" w:fill="D9D2E9"/>
            <w:vAlign w:val="center"/>
          </w:tcPr>
          <w:p w14:paraId="4EFE121E" w14:textId="77777777" w:rsidR="00CF7D74" w:rsidRPr="004811DC" w:rsidRDefault="001A3901" w:rsidP="00C823B4">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Stakeholder</w:t>
            </w:r>
          </w:p>
        </w:tc>
        <w:tc>
          <w:tcPr>
            <w:tcW w:w="1391" w:type="dxa"/>
            <w:shd w:val="clear" w:color="auto" w:fill="D9D2E9"/>
            <w:vAlign w:val="center"/>
          </w:tcPr>
          <w:p w14:paraId="0409DDCC" w14:textId="77777777" w:rsidR="00CF7D74" w:rsidRPr="004811DC" w:rsidRDefault="001A3901" w:rsidP="00C823B4">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Power</w:t>
            </w:r>
          </w:p>
        </w:tc>
        <w:tc>
          <w:tcPr>
            <w:tcW w:w="1417" w:type="dxa"/>
            <w:shd w:val="clear" w:color="auto" w:fill="D9D2E9"/>
            <w:vAlign w:val="center"/>
          </w:tcPr>
          <w:p w14:paraId="098E86DF" w14:textId="77777777" w:rsidR="00CF7D74" w:rsidRPr="004811DC" w:rsidRDefault="001A3901" w:rsidP="00C823B4">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Interest</w:t>
            </w:r>
          </w:p>
        </w:tc>
        <w:tc>
          <w:tcPr>
            <w:tcW w:w="2784" w:type="dxa"/>
            <w:shd w:val="clear" w:color="auto" w:fill="D9D2E9"/>
            <w:vAlign w:val="center"/>
          </w:tcPr>
          <w:p w14:paraId="3BD8CF7C" w14:textId="0B849730" w:rsidR="00CF7D74" w:rsidRPr="004811DC" w:rsidRDefault="001A3901" w:rsidP="00C823B4">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 xml:space="preserve">Primary </w:t>
            </w:r>
            <w:r w:rsidR="00986C3F" w:rsidRPr="004811DC">
              <w:rPr>
                <w:rFonts w:ascii="Times New Roman" w:hAnsi="Times New Roman" w:cs="Times New Roman"/>
                <w:b/>
                <w:sz w:val="24"/>
                <w:szCs w:val="24"/>
              </w:rPr>
              <w:t>concern/expectation</w:t>
            </w:r>
          </w:p>
        </w:tc>
        <w:tc>
          <w:tcPr>
            <w:tcW w:w="1627" w:type="dxa"/>
            <w:shd w:val="clear" w:color="auto" w:fill="D9D2E9"/>
            <w:vAlign w:val="center"/>
          </w:tcPr>
          <w:p w14:paraId="079CA3EA" w14:textId="77777777" w:rsidR="00CF7D74" w:rsidRPr="004811DC" w:rsidRDefault="001A3901" w:rsidP="00C823B4">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Priority</w:t>
            </w:r>
          </w:p>
        </w:tc>
      </w:tr>
      <w:tr w:rsidR="00CF7D74" w:rsidRPr="004811DC" w14:paraId="06E5BEF4" w14:textId="77777777" w:rsidTr="00A074C5">
        <w:trPr>
          <w:jc w:val="center"/>
        </w:trPr>
        <w:tc>
          <w:tcPr>
            <w:tcW w:w="2403" w:type="dxa"/>
            <w:shd w:val="clear" w:color="auto" w:fill="FBF8FD"/>
            <w:vAlign w:val="center"/>
          </w:tcPr>
          <w:p w14:paraId="4C1E6A27"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Executive leadership</w:t>
            </w:r>
          </w:p>
        </w:tc>
        <w:tc>
          <w:tcPr>
            <w:tcW w:w="1391" w:type="dxa"/>
            <w:shd w:val="clear" w:color="auto" w:fill="FBF8FD"/>
            <w:vAlign w:val="center"/>
          </w:tcPr>
          <w:p w14:paraId="45DB3282"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1417" w:type="dxa"/>
            <w:shd w:val="clear" w:color="auto" w:fill="FBF8FD"/>
            <w:vAlign w:val="center"/>
          </w:tcPr>
          <w:p w14:paraId="052D84FD"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BF8FD"/>
            <w:vAlign w:val="center"/>
          </w:tcPr>
          <w:p w14:paraId="3E5396A2" w14:textId="794E76F3" w:rsidR="00CF7D74" w:rsidRPr="004811DC" w:rsidRDefault="001A3901" w:rsidP="00A074C5">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R</w:t>
            </w:r>
            <w:r w:rsidR="001E0FC3" w:rsidRPr="004811DC">
              <w:rPr>
                <w:rFonts w:ascii="Times New Roman" w:hAnsi="Times New Roman" w:cs="Times New Roman"/>
                <w:sz w:val="24"/>
                <w:szCs w:val="24"/>
              </w:rPr>
              <w:t>eturn on investment</w:t>
            </w:r>
            <w:r w:rsidRPr="004811DC">
              <w:rPr>
                <w:rFonts w:ascii="Times New Roman" w:hAnsi="Times New Roman" w:cs="Times New Roman"/>
                <w:sz w:val="24"/>
                <w:szCs w:val="24"/>
              </w:rPr>
              <w:t>, brand differentiation and risk</w:t>
            </w:r>
            <w:r w:rsidR="00D27C52" w:rsidRPr="004811DC">
              <w:rPr>
                <w:rFonts w:ascii="Times New Roman" w:hAnsi="Times New Roman" w:cs="Times New Roman"/>
                <w:sz w:val="24"/>
                <w:szCs w:val="24"/>
              </w:rPr>
              <w:t xml:space="preserve"> control</w:t>
            </w:r>
          </w:p>
        </w:tc>
        <w:tc>
          <w:tcPr>
            <w:tcW w:w="1627" w:type="dxa"/>
            <w:shd w:val="clear" w:color="auto" w:fill="FBF8FD"/>
            <w:vAlign w:val="center"/>
          </w:tcPr>
          <w:p w14:paraId="27C68B96"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Manage closely</w:t>
            </w:r>
          </w:p>
        </w:tc>
      </w:tr>
      <w:tr w:rsidR="00CF7D74" w:rsidRPr="004811DC" w14:paraId="55169188" w14:textId="77777777" w:rsidTr="00A074C5">
        <w:trPr>
          <w:jc w:val="center"/>
        </w:trPr>
        <w:tc>
          <w:tcPr>
            <w:tcW w:w="2403" w:type="dxa"/>
            <w:shd w:val="clear" w:color="auto" w:fill="F4F0FA"/>
            <w:vAlign w:val="center"/>
          </w:tcPr>
          <w:p w14:paraId="36DB58BA" w14:textId="032FDB16"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Project manager</w:t>
            </w:r>
          </w:p>
        </w:tc>
        <w:tc>
          <w:tcPr>
            <w:tcW w:w="1391" w:type="dxa"/>
            <w:shd w:val="clear" w:color="auto" w:fill="F4F0FA"/>
            <w:vAlign w:val="center"/>
          </w:tcPr>
          <w:p w14:paraId="17E7B95B"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1417" w:type="dxa"/>
            <w:shd w:val="clear" w:color="auto" w:fill="F4F0FA"/>
            <w:vAlign w:val="center"/>
          </w:tcPr>
          <w:p w14:paraId="2FBE8D1C"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4F0FA"/>
            <w:vAlign w:val="center"/>
          </w:tcPr>
          <w:p w14:paraId="3C3835BA" w14:textId="5D4DD95A" w:rsidR="00CF7D74" w:rsidRPr="004811DC" w:rsidRDefault="001A3901" w:rsidP="00A074C5">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 xml:space="preserve">Clear governance, resources and </w:t>
            </w:r>
            <w:r w:rsidR="001318DC" w:rsidRPr="004811DC">
              <w:rPr>
                <w:rFonts w:ascii="Times New Roman" w:hAnsi="Times New Roman" w:cs="Times New Roman"/>
                <w:sz w:val="24"/>
                <w:szCs w:val="24"/>
              </w:rPr>
              <w:t xml:space="preserve">timely </w:t>
            </w:r>
            <w:r w:rsidRPr="004811DC">
              <w:rPr>
                <w:rFonts w:ascii="Times New Roman" w:hAnsi="Times New Roman" w:cs="Times New Roman"/>
                <w:sz w:val="24"/>
                <w:szCs w:val="24"/>
              </w:rPr>
              <w:t>decision</w:t>
            </w:r>
            <w:r w:rsidR="001318DC" w:rsidRPr="004811DC">
              <w:rPr>
                <w:rFonts w:ascii="Times New Roman" w:hAnsi="Times New Roman" w:cs="Times New Roman"/>
                <w:sz w:val="24"/>
                <w:szCs w:val="24"/>
              </w:rPr>
              <w:t>-making</w:t>
            </w:r>
          </w:p>
        </w:tc>
        <w:tc>
          <w:tcPr>
            <w:tcW w:w="1627" w:type="dxa"/>
            <w:shd w:val="clear" w:color="auto" w:fill="F4F0FA"/>
            <w:vAlign w:val="center"/>
          </w:tcPr>
          <w:p w14:paraId="5371F025"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Manage closely</w:t>
            </w:r>
          </w:p>
        </w:tc>
      </w:tr>
      <w:tr w:rsidR="00CF7D74" w:rsidRPr="004811DC" w14:paraId="38AC948E" w14:textId="77777777" w:rsidTr="00A074C5">
        <w:trPr>
          <w:jc w:val="center"/>
        </w:trPr>
        <w:tc>
          <w:tcPr>
            <w:tcW w:w="2403" w:type="dxa"/>
            <w:shd w:val="clear" w:color="auto" w:fill="FBF8FD"/>
            <w:vAlign w:val="center"/>
          </w:tcPr>
          <w:p w14:paraId="5DDA034B" w14:textId="428A2DAA"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IT and </w:t>
            </w:r>
            <w:r w:rsidR="00CA562B" w:rsidRPr="004811DC">
              <w:rPr>
                <w:rFonts w:ascii="Times New Roman" w:hAnsi="Times New Roman" w:cs="Times New Roman"/>
                <w:sz w:val="24"/>
                <w:szCs w:val="24"/>
              </w:rPr>
              <w:t>operation</w:t>
            </w:r>
            <w:r w:rsidRPr="004811DC">
              <w:rPr>
                <w:rFonts w:ascii="Times New Roman" w:hAnsi="Times New Roman" w:cs="Times New Roman"/>
                <w:sz w:val="24"/>
                <w:szCs w:val="24"/>
              </w:rPr>
              <w:t xml:space="preserve"> teams</w:t>
            </w:r>
          </w:p>
        </w:tc>
        <w:tc>
          <w:tcPr>
            <w:tcW w:w="1391" w:type="dxa"/>
            <w:shd w:val="clear" w:color="auto" w:fill="FBF8FD"/>
            <w:vAlign w:val="center"/>
          </w:tcPr>
          <w:p w14:paraId="0FBD3BE0"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1417" w:type="dxa"/>
            <w:shd w:val="clear" w:color="auto" w:fill="FBF8FD"/>
            <w:vAlign w:val="center"/>
          </w:tcPr>
          <w:p w14:paraId="69AEBBDE"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BF8FD"/>
            <w:vAlign w:val="center"/>
          </w:tcPr>
          <w:p w14:paraId="6F6A1607" w14:textId="0FD4C8A2" w:rsidR="00CF7D74" w:rsidRPr="004811DC" w:rsidRDefault="001A3901" w:rsidP="00A074C5">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 xml:space="preserve">Feasible integration, cybersecurity and </w:t>
            </w:r>
            <w:r w:rsidR="001318DC" w:rsidRPr="004811DC">
              <w:rPr>
                <w:rFonts w:ascii="Times New Roman" w:hAnsi="Times New Roman" w:cs="Times New Roman"/>
                <w:sz w:val="24"/>
                <w:szCs w:val="24"/>
              </w:rPr>
              <w:t>o</w:t>
            </w:r>
            <w:r w:rsidR="001C6A4D" w:rsidRPr="004811DC">
              <w:rPr>
                <w:rFonts w:ascii="Times New Roman" w:hAnsi="Times New Roman" w:cs="Times New Roman"/>
                <w:sz w:val="24"/>
                <w:szCs w:val="24"/>
              </w:rPr>
              <w:t xml:space="preserve">ngoing </w:t>
            </w:r>
            <w:r w:rsidRPr="004811DC">
              <w:rPr>
                <w:rFonts w:ascii="Times New Roman" w:hAnsi="Times New Roman" w:cs="Times New Roman"/>
                <w:sz w:val="24"/>
                <w:szCs w:val="24"/>
              </w:rPr>
              <w:t>support</w:t>
            </w:r>
          </w:p>
        </w:tc>
        <w:tc>
          <w:tcPr>
            <w:tcW w:w="1627" w:type="dxa"/>
            <w:shd w:val="clear" w:color="auto" w:fill="FBF8FD"/>
            <w:vAlign w:val="center"/>
          </w:tcPr>
          <w:p w14:paraId="53DBF757"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Manage closely</w:t>
            </w:r>
          </w:p>
        </w:tc>
      </w:tr>
      <w:tr w:rsidR="00CF7D74" w:rsidRPr="004811DC" w14:paraId="27F20CFE" w14:textId="77777777" w:rsidTr="00A074C5">
        <w:trPr>
          <w:jc w:val="center"/>
        </w:trPr>
        <w:tc>
          <w:tcPr>
            <w:tcW w:w="2403" w:type="dxa"/>
            <w:shd w:val="clear" w:color="auto" w:fill="F4F0FA"/>
            <w:vAlign w:val="center"/>
          </w:tcPr>
          <w:p w14:paraId="4FCBDE28"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lastRenderedPageBreak/>
              <w:t>Operations managers</w:t>
            </w:r>
          </w:p>
        </w:tc>
        <w:tc>
          <w:tcPr>
            <w:tcW w:w="1391" w:type="dxa"/>
            <w:shd w:val="clear" w:color="auto" w:fill="F4F0FA"/>
            <w:vAlign w:val="center"/>
          </w:tcPr>
          <w:p w14:paraId="5B1684D0"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1417" w:type="dxa"/>
            <w:shd w:val="clear" w:color="auto" w:fill="F4F0FA"/>
            <w:vAlign w:val="center"/>
          </w:tcPr>
          <w:p w14:paraId="09F20911"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4F0FA"/>
            <w:vAlign w:val="center"/>
          </w:tcPr>
          <w:p w14:paraId="25527B10"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Practical rollout with minimal disruption</w:t>
            </w:r>
          </w:p>
        </w:tc>
        <w:tc>
          <w:tcPr>
            <w:tcW w:w="1627" w:type="dxa"/>
            <w:shd w:val="clear" w:color="auto" w:fill="F4F0FA"/>
            <w:vAlign w:val="center"/>
          </w:tcPr>
          <w:p w14:paraId="6847DCE4"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Manage closely</w:t>
            </w:r>
          </w:p>
        </w:tc>
      </w:tr>
      <w:tr w:rsidR="00CF7D74" w:rsidRPr="004811DC" w14:paraId="2F793355" w14:textId="77777777" w:rsidTr="00A074C5">
        <w:trPr>
          <w:jc w:val="center"/>
        </w:trPr>
        <w:tc>
          <w:tcPr>
            <w:tcW w:w="2403" w:type="dxa"/>
            <w:shd w:val="clear" w:color="auto" w:fill="FBF8FD"/>
            <w:vAlign w:val="center"/>
          </w:tcPr>
          <w:p w14:paraId="0BE930E9"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Marketing and sales</w:t>
            </w:r>
          </w:p>
        </w:tc>
        <w:tc>
          <w:tcPr>
            <w:tcW w:w="1391" w:type="dxa"/>
            <w:shd w:val="clear" w:color="auto" w:fill="FBF8FD"/>
            <w:vAlign w:val="center"/>
          </w:tcPr>
          <w:p w14:paraId="0C061CCF"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Medium</w:t>
            </w:r>
          </w:p>
        </w:tc>
        <w:tc>
          <w:tcPr>
            <w:tcW w:w="1417" w:type="dxa"/>
            <w:shd w:val="clear" w:color="auto" w:fill="FBF8FD"/>
            <w:vAlign w:val="center"/>
          </w:tcPr>
          <w:p w14:paraId="618BF395"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BF8FD"/>
            <w:vAlign w:val="center"/>
          </w:tcPr>
          <w:p w14:paraId="510C98C8"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Compelling proposition and uptake</w:t>
            </w:r>
          </w:p>
        </w:tc>
        <w:tc>
          <w:tcPr>
            <w:tcW w:w="1627" w:type="dxa"/>
            <w:shd w:val="clear" w:color="auto" w:fill="FBF8FD"/>
            <w:vAlign w:val="center"/>
          </w:tcPr>
          <w:p w14:paraId="6B4E21F2"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Involve actively</w:t>
            </w:r>
          </w:p>
        </w:tc>
      </w:tr>
      <w:tr w:rsidR="00CF7D74" w:rsidRPr="004811DC" w14:paraId="61A4EABC" w14:textId="77777777" w:rsidTr="00A074C5">
        <w:trPr>
          <w:jc w:val="center"/>
        </w:trPr>
        <w:tc>
          <w:tcPr>
            <w:tcW w:w="2403" w:type="dxa"/>
            <w:shd w:val="clear" w:color="auto" w:fill="F4F0FA"/>
            <w:vAlign w:val="center"/>
          </w:tcPr>
          <w:p w14:paraId="57B30571" w14:textId="171199A0" w:rsidR="00CF7D74" w:rsidRPr="004811DC" w:rsidRDefault="002451E0"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Employees</w:t>
            </w:r>
          </w:p>
        </w:tc>
        <w:tc>
          <w:tcPr>
            <w:tcW w:w="1391" w:type="dxa"/>
            <w:shd w:val="clear" w:color="auto" w:fill="F4F0FA"/>
            <w:vAlign w:val="center"/>
          </w:tcPr>
          <w:p w14:paraId="09E4976C"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Medium</w:t>
            </w:r>
          </w:p>
        </w:tc>
        <w:tc>
          <w:tcPr>
            <w:tcW w:w="1417" w:type="dxa"/>
            <w:shd w:val="clear" w:color="auto" w:fill="F4F0FA"/>
            <w:vAlign w:val="center"/>
          </w:tcPr>
          <w:p w14:paraId="2191B5C5"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4F0FA"/>
            <w:vAlign w:val="center"/>
          </w:tcPr>
          <w:p w14:paraId="6DF70E7F"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Training, role clarity and confidence</w:t>
            </w:r>
          </w:p>
        </w:tc>
        <w:tc>
          <w:tcPr>
            <w:tcW w:w="1627" w:type="dxa"/>
            <w:shd w:val="clear" w:color="auto" w:fill="F4F0FA"/>
            <w:vAlign w:val="center"/>
          </w:tcPr>
          <w:p w14:paraId="39F4065D"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Involve and support</w:t>
            </w:r>
          </w:p>
        </w:tc>
      </w:tr>
      <w:tr w:rsidR="00CF7D74" w:rsidRPr="004811DC" w14:paraId="325027CE" w14:textId="77777777" w:rsidTr="00A074C5">
        <w:trPr>
          <w:jc w:val="center"/>
        </w:trPr>
        <w:tc>
          <w:tcPr>
            <w:tcW w:w="2403" w:type="dxa"/>
            <w:shd w:val="clear" w:color="auto" w:fill="FBF8FD"/>
            <w:vAlign w:val="center"/>
          </w:tcPr>
          <w:p w14:paraId="0ECE1D0B"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Guests / Bonvoy members</w:t>
            </w:r>
          </w:p>
        </w:tc>
        <w:tc>
          <w:tcPr>
            <w:tcW w:w="1391" w:type="dxa"/>
            <w:shd w:val="clear" w:color="auto" w:fill="FBF8FD"/>
            <w:vAlign w:val="center"/>
          </w:tcPr>
          <w:p w14:paraId="143CF44F"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Low</w:t>
            </w:r>
          </w:p>
        </w:tc>
        <w:tc>
          <w:tcPr>
            <w:tcW w:w="1417" w:type="dxa"/>
            <w:shd w:val="clear" w:color="auto" w:fill="FBF8FD"/>
            <w:vAlign w:val="center"/>
          </w:tcPr>
          <w:p w14:paraId="01752EDA"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2784" w:type="dxa"/>
            <w:shd w:val="clear" w:color="auto" w:fill="FBF8FD"/>
            <w:vAlign w:val="center"/>
          </w:tcPr>
          <w:p w14:paraId="079324DC"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Convenience, privacy and service quality</w:t>
            </w:r>
          </w:p>
        </w:tc>
        <w:tc>
          <w:tcPr>
            <w:tcW w:w="1627" w:type="dxa"/>
            <w:shd w:val="clear" w:color="auto" w:fill="FBF8FD"/>
            <w:vAlign w:val="center"/>
          </w:tcPr>
          <w:p w14:paraId="32F9C039"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Keep informed and consult</w:t>
            </w:r>
          </w:p>
        </w:tc>
      </w:tr>
      <w:tr w:rsidR="00CF7D74" w:rsidRPr="004811DC" w14:paraId="6BC4089B" w14:textId="77777777" w:rsidTr="00A074C5">
        <w:trPr>
          <w:jc w:val="center"/>
        </w:trPr>
        <w:tc>
          <w:tcPr>
            <w:tcW w:w="2403" w:type="dxa"/>
            <w:shd w:val="clear" w:color="auto" w:fill="F4F0FA"/>
            <w:vAlign w:val="center"/>
          </w:tcPr>
          <w:p w14:paraId="4813EAE8" w14:textId="7C23EFC5" w:rsidR="00CF7D74" w:rsidRPr="004811DC" w:rsidRDefault="002451E0"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Strategic partners</w:t>
            </w:r>
          </w:p>
        </w:tc>
        <w:tc>
          <w:tcPr>
            <w:tcW w:w="1391" w:type="dxa"/>
            <w:shd w:val="clear" w:color="auto" w:fill="F4F0FA"/>
            <w:vAlign w:val="center"/>
          </w:tcPr>
          <w:p w14:paraId="3F27990A"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Medium</w:t>
            </w:r>
          </w:p>
        </w:tc>
        <w:tc>
          <w:tcPr>
            <w:tcW w:w="1417" w:type="dxa"/>
            <w:shd w:val="clear" w:color="auto" w:fill="F4F0FA"/>
            <w:vAlign w:val="center"/>
          </w:tcPr>
          <w:p w14:paraId="6D26F331"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Medium</w:t>
            </w:r>
          </w:p>
        </w:tc>
        <w:tc>
          <w:tcPr>
            <w:tcW w:w="2784" w:type="dxa"/>
            <w:shd w:val="clear" w:color="auto" w:fill="F4F0FA"/>
            <w:vAlign w:val="center"/>
          </w:tcPr>
          <w:p w14:paraId="0A4C817C" w14:textId="7FE4BBDD"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Stable scope and </w:t>
            </w:r>
            <w:r w:rsidR="001C6A4D" w:rsidRPr="004811DC">
              <w:rPr>
                <w:rFonts w:ascii="Times New Roman" w:hAnsi="Times New Roman" w:cs="Times New Roman"/>
                <w:sz w:val="24"/>
                <w:szCs w:val="24"/>
              </w:rPr>
              <w:t>effective</w:t>
            </w:r>
            <w:r w:rsidRPr="004811DC">
              <w:rPr>
                <w:rFonts w:ascii="Times New Roman" w:hAnsi="Times New Roman" w:cs="Times New Roman"/>
                <w:sz w:val="24"/>
                <w:szCs w:val="24"/>
              </w:rPr>
              <w:t xml:space="preserve"> collaboration</w:t>
            </w:r>
          </w:p>
        </w:tc>
        <w:tc>
          <w:tcPr>
            <w:tcW w:w="1627" w:type="dxa"/>
            <w:shd w:val="clear" w:color="auto" w:fill="F4F0FA"/>
            <w:vAlign w:val="center"/>
          </w:tcPr>
          <w:p w14:paraId="34102E11"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Collaborate closely</w:t>
            </w:r>
          </w:p>
        </w:tc>
      </w:tr>
      <w:tr w:rsidR="00CF7D74" w:rsidRPr="004811DC" w14:paraId="47737400" w14:textId="77777777" w:rsidTr="00A074C5">
        <w:trPr>
          <w:jc w:val="center"/>
        </w:trPr>
        <w:tc>
          <w:tcPr>
            <w:tcW w:w="2403" w:type="dxa"/>
            <w:shd w:val="clear" w:color="auto" w:fill="FBF8FD"/>
            <w:vAlign w:val="center"/>
          </w:tcPr>
          <w:p w14:paraId="5A8B189E"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Sustainability suppliers</w:t>
            </w:r>
          </w:p>
        </w:tc>
        <w:tc>
          <w:tcPr>
            <w:tcW w:w="1391" w:type="dxa"/>
            <w:shd w:val="clear" w:color="auto" w:fill="FBF8FD"/>
            <w:vAlign w:val="center"/>
          </w:tcPr>
          <w:p w14:paraId="253C5E69"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Low to medium</w:t>
            </w:r>
          </w:p>
        </w:tc>
        <w:tc>
          <w:tcPr>
            <w:tcW w:w="1417" w:type="dxa"/>
            <w:shd w:val="clear" w:color="auto" w:fill="FBF8FD"/>
            <w:vAlign w:val="center"/>
          </w:tcPr>
          <w:p w14:paraId="17FEA309"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Medium</w:t>
            </w:r>
          </w:p>
        </w:tc>
        <w:tc>
          <w:tcPr>
            <w:tcW w:w="2784" w:type="dxa"/>
            <w:shd w:val="clear" w:color="auto" w:fill="FBF8FD"/>
            <w:vAlign w:val="center"/>
          </w:tcPr>
          <w:p w14:paraId="1EC14F49" w14:textId="2CC88289" w:rsidR="00CF7D74" w:rsidRPr="004811DC" w:rsidRDefault="002B2799"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Credible Environmental</w:t>
            </w:r>
            <w:r w:rsidR="0020743A" w:rsidRPr="004811DC">
              <w:rPr>
                <w:rFonts w:ascii="Times New Roman" w:hAnsi="Times New Roman" w:cs="Times New Roman"/>
                <w:sz w:val="24"/>
                <w:szCs w:val="24"/>
              </w:rPr>
              <w:t>,</w:t>
            </w:r>
            <w:r w:rsidR="009E6EA6" w:rsidRPr="004811DC">
              <w:rPr>
                <w:rFonts w:ascii="Times New Roman" w:hAnsi="Times New Roman" w:cs="Times New Roman"/>
                <w:sz w:val="24"/>
                <w:szCs w:val="24"/>
              </w:rPr>
              <w:t xml:space="preserve"> Social and Governance </w:t>
            </w:r>
            <w:r w:rsidR="0020743A" w:rsidRPr="004811DC">
              <w:rPr>
                <w:rFonts w:ascii="Times New Roman" w:hAnsi="Times New Roman" w:cs="Times New Roman"/>
                <w:sz w:val="24"/>
                <w:szCs w:val="24"/>
              </w:rPr>
              <w:t xml:space="preserve">(ESG) </w:t>
            </w:r>
            <w:r w:rsidRPr="004811DC">
              <w:rPr>
                <w:rFonts w:ascii="Times New Roman" w:hAnsi="Times New Roman" w:cs="Times New Roman"/>
                <w:sz w:val="24"/>
                <w:szCs w:val="24"/>
              </w:rPr>
              <w:t>delivery and reliable planning</w:t>
            </w:r>
          </w:p>
        </w:tc>
        <w:tc>
          <w:tcPr>
            <w:tcW w:w="1627" w:type="dxa"/>
            <w:shd w:val="clear" w:color="auto" w:fill="FBF8FD"/>
            <w:vAlign w:val="center"/>
          </w:tcPr>
          <w:p w14:paraId="790B7424"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Consult and coordinate</w:t>
            </w:r>
          </w:p>
        </w:tc>
      </w:tr>
      <w:tr w:rsidR="00CF7D74" w:rsidRPr="004811DC" w14:paraId="756F0751" w14:textId="77777777" w:rsidTr="00A074C5">
        <w:trPr>
          <w:jc w:val="center"/>
        </w:trPr>
        <w:tc>
          <w:tcPr>
            <w:tcW w:w="2403" w:type="dxa"/>
            <w:shd w:val="clear" w:color="auto" w:fill="F4F0FA"/>
            <w:vAlign w:val="center"/>
          </w:tcPr>
          <w:p w14:paraId="333605A2" w14:textId="66FF60C0"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Regulators</w:t>
            </w:r>
            <w:r w:rsidR="00DA313B" w:rsidRPr="004811DC">
              <w:rPr>
                <w:rFonts w:ascii="Times New Roman" w:hAnsi="Times New Roman" w:cs="Times New Roman"/>
                <w:sz w:val="24"/>
                <w:szCs w:val="24"/>
              </w:rPr>
              <w:t>/Aut</w:t>
            </w:r>
            <w:r w:rsidR="00565B20" w:rsidRPr="004811DC">
              <w:rPr>
                <w:rFonts w:ascii="Times New Roman" w:hAnsi="Times New Roman" w:cs="Times New Roman"/>
                <w:sz w:val="24"/>
                <w:szCs w:val="24"/>
              </w:rPr>
              <w:t>horities</w:t>
            </w:r>
          </w:p>
        </w:tc>
        <w:tc>
          <w:tcPr>
            <w:tcW w:w="1391" w:type="dxa"/>
            <w:shd w:val="clear" w:color="auto" w:fill="F4F0FA"/>
            <w:vAlign w:val="center"/>
          </w:tcPr>
          <w:p w14:paraId="3A82E554"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High</w:t>
            </w:r>
          </w:p>
        </w:tc>
        <w:tc>
          <w:tcPr>
            <w:tcW w:w="1417" w:type="dxa"/>
            <w:shd w:val="clear" w:color="auto" w:fill="F4F0FA"/>
            <w:vAlign w:val="center"/>
          </w:tcPr>
          <w:p w14:paraId="4AA49A50"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Low to medium</w:t>
            </w:r>
          </w:p>
        </w:tc>
        <w:tc>
          <w:tcPr>
            <w:tcW w:w="2784" w:type="dxa"/>
            <w:shd w:val="clear" w:color="auto" w:fill="F4F0FA"/>
            <w:vAlign w:val="center"/>
          </w:tcPr>
          <w:p w14:paraId="27C0BDE4"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Compliance and consumer protection</w:t>
            </w:r>
          </w:p>
        </w:tc>
        <w:tc>
          <w:tcPr>
            <w:tcW w:w="1627" w:type="dxa"/>
            <w:shd w:val="clear" w:color="auto" w:fill="F4F0FA"/>
            <w:vAlign w:val="center"/>
          </w:tcPr>
          <w:p w14:paraId="28418A9A"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Keep satisfied</w:t>
            </w:r>
          </w:p>
        </w:tc>
      </w:tr>
      <w:tr w:rsidR="00CF7D74" w:rsidRPr="004811DC" w14:paraId="7263E8C9" w14:textId="77777777" w:rsidTr="00A074C5">
        <w:trPr>
          <w:jc w:val="center"/>
        </w:trPr>
        <w:tc>
          <w:tcPr>
            <w:tcW w:w="2403" w:type="dxa"/>
            <w:shd w:val="clear" w:color="auto" w:fill="FBF8FD"/>
            <w:vAlign w:val="center"/>
          </w:tcPr>
          <w:p w14:paraId="3F78924E" w14:textId="15AB33B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Local communities</w:t>
            </w:r>
            <w:r w:rsidR="005A4B05" w:rsidRPr="004811DC">
              <w:rPr>
                <w:rFonts w:ascii="Times New Roman" w:hAnsi="Times New Roman" w:cs="Times New Roman"/>
                <w:sz w:val="24"/>
                <w:szCs w:val="24"/>
              </w:rPr>
              <w:t>/NGOs</w:t>
            </w:r>
          </w:p>
        </w:tc>
        <w:tc>
          <w:tcPr>
            <w:tcW w:w="1391" w:type="dxa"/>
            <w:shd w:val="clear" w:color="auto" w:fill="FBF8FD"/>
            <w:vAlign w:val="center"/>
          </w:tcPr>
          <w:p w14:paraId="0F919920"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Low to medium</w:t>
            </w:r>
          </w:p>
        </w:tc>
        <w:tc>
          <w:tcPr>
            <w:tcW w:w="1417" w:type="dxa"/>
            <w:shd w:val="clear" w:color="auto" w:fill="FBF8FD"/>
            <w:vAlign w:val="center"/>
          </w:tcPr>
          <w:p w14:paraId="5FAC0B7B"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Medium</w:t>
            </w:r>
          </w:p>
        </w:tc>
        <w:tc>
          <w:tcPr>
            <w:tcW w:w="2784" w:type="dxa"/>
            <w:shd w:val="clear" w:color="auto" w:fill="FBF8FD"/>
            <w:vAlign w:val="center"/>
          </w:tcPr>
          <w:p w14:paraId="664169FD"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Local benefit and authentic sustainability</w:t>
            </w:r>
          </w:p>
        </w:tc>
        <w:tc>
          <w:tcPr>
            <w:tcW w:w="1627" w:type="dxa"/>
            <w:shd w:val="clear" w:color="auto" w:fill="FBF8FD"/>
            <w:vAlign w:val="center"/>
          </w:tcPr>
          <w:p w14:paraId="768BF5DC" w14:textId="77777777" w:rsidR="00CF7D74" w:rsidRPr="004811DC" w:rsidRDefault="001A3901" w:rsidP="00C823B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Consult and monitor</w:t>
            </w:r>
          </w:p>
        </w:tc>
      </w:tr>
    </w:tbl>
    <w:p w14:paraId="0C2C7AC9" w14:textId="5241ACBB" w:rsidR="00CF7D74" w:rsidRPr="004811DC" w:rsidRDefault="002929C5" w:rsidP="00231C5B">
      <w:pPr>
        <w:spacing w:before="240" w:after="120"/>
        <w:rPr>
          <w:rFonts w:ascii="Times New Roman" w:hAnsi="Times New Roman" w:cs="Times New Roman"/>
          <w:b/>
          <w:color w:val="1F4E79"/>
          <w:sz w:val="24"/>
          <w:szCs w:val="24"/>
        </w:rPr>
      </w:pPr>
      <w:r w:rsidRPr="004811DC">
        <w:rPr>
          <w:rFonts w:ascii="Times New Roman" w:hAnsi="Times New Roman" w:cs="Times New Roman"/>
          <w:b/>
          <w:color w:val="1F4E79"/>
          <w:sz w:val="24"/>
          <w:szCs w:val="24"/>
        </w:rPr>
        <w:t>3</w:t>
      </w:r>
      <w:r w:rsidR="00B8437C" w:rsidRPr="004811DC">
        <w:rPr>
          <w:rFonts w:ascii="Times New Roman" w:hAnsi="Times New Roman" w:cs="Times New Roman"/>
          <w:b/>
          <w:color w:val="1F4E79"/>
          <w:sz w:val="24"/>
          <w:szCs w:val="24"/>
        </w:rPr>
        <w:t>.</w:t>
      </w:r>
      <w:r w:rsidR="001220D9" w:rsidRPr="004811DC">
        <w:rPr>
          <w:rFonts w:ascii="Times New Roman" w:hAnsi="Times New Roman" w:cs="Times New Roman"/>
          <w:b/>
          <w:color w:val="1F4E79"/>
          <w:sz w:val="24"/>
          <w:szCs w:val="24"/>
        </w:rPr>
        <w:t>2</w:t>
      </w:r>
      <w:r w:rsidR="00B8437C" w:rsidRPr="004811DC">
        <w:rPr>
          <w:rFonts w:ascii="Times New Roman" w:hAnsi="Times New Roman" w:cs="Times New Roman"/>
          <w:b/>
          <w:color w:val="1F4E79"/>
          <w:sz w:val="24"/>
          <w:szCs w:val="24"/>
        </w:rPr>
        <w:t xml:space="preserve"> </w:t>
      </w:r>
      <w:r w:rsidR="00203C88" w:rsidRPr="004811DC">
        <w:rPr>
          <w:rFonts w:ascii="Times New Roman" w:hAnsi="Times New Roman" w:cs="Times New Roman"/>
          <w:b/>
          <w:color w:val="1F4E79"/>
          <w:sz w:val="24"/>
          <w:szCs w:val="24"/>
        </w:rPr>
        <w:t xml:space="preserve">Stakeholder </w:t>
      </w:r>
      <w:r w:rsidR="00B8437C" w:rsidRPr="004811DC">
        <w:rPr>
          <w:rFonts w:ascii="Times New Roman" w:hAnsi="Times New Roman" w:cs="Times New Roman"/>
          <w:b/>
          <w:color w:val="1F4E79"/>
          <w:sz w:val="24"/>
          <w:szCs w:val="24"/>
        </w:rPr>
        <w:t>Roles, Responsibilities, Benefits and Challenges</w:t>
      </w:r>
    </w:p>
    <w:p w14:paraId="1B3EC104" w14:textId="65DF231A" w:rsidR="0052665C" w:rsidRPr="004811DC" w:rsidRDefault="00141A96" w:rsidP="00141A96">
      <w:pPr>
        <w:spacing w:before="240" w:after="120"/>
        <w:jc w:val="both"/>
        <w:rPr>
          <w:rFonts w:ascii="Times New Roman" w:hAnsi="Times New Roman" w:cs="Times New Roman"/>
          <w:bCs/>
          <w:sz w:val="24"/>
          <w:szCs w:val="24"/>
        </w:rPr>
      </w:pPr>
      <w:r w:rsidRPr="004811DC">
        <w:rPr>
          <w:rFonts w:ascii="Times New Roman" w:hAnsi="Times New Roman" w:cs="Times New Roman"/>
          <w:bCs/>
          <w:sz w:val="24"/>
          <w:szCs w:val="24"/>
        </w:rPr>
        <w:t>Understanding stakeholder roles and expectations is essential for effective project delivery, as different groups contribute distinct resources and face different constraints (Freeman, 1984). It is equally important, however, to recognise that roles are not static: as the project progresses from design to pilot to full rollout, the nature of each stakeholder's involvement will shift, requiring continuous re-assessment rather than a one-time mapping exercise (Bourne, 2015).</w:t>
      </w:r>
    </w:p>
    <w:tbl>
      <w:tblPr>
        <w:tblStyle w:val="TableGrid"/>
        <w:tblW w:w="9992" w:type="dxa"/>
        <w:jc w:val="center"/>
        <w:tblLook w:val="04A0" w:firstRow="1" w:lastRow="0" w:firstColumn="1" w:lastColumn="0" w:noHBand="0" w:noVBand="1"/>
      </w:tblPr>
      <w:tblGrid>
        <w:gridCol w:w="2278"/>
        <w:gridCol w:w="3073"/>
        <w:gridCol w:w="2313"/>
        <w:gridCol w:w="2328"/>
      </w:tblGrid>
      <w:tr w:rsidR="00126D30" w:rsidRPr="004811DC" w14:paraId="5FE13BCD" w14:textId="77777777" w:rsidTr="001766F0">
        <w:trPr>
          <w:jc w:val="center"/>
        </w:trPr>
        <w:tc>
          <w:tcPr>
            <w:tcW w:w="2278" w:type="dxa"/>
            <w:shd w:val="clear" w:color="auto" w:fill="D9D2E9"/>
            <w:vAlign w:val="center"/>
          </w:tcPr>
          <w:p w14:paraId="51658BD9" w14:textId="77777777" w:rsidR="00126D30" w:rsidRPr="004811DC" w:rsidRDefault="00126D30" w:rsidP="004A787D">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Stakeholder</w:t>
            </w:r>
          </w:p>
        </w:tc>
        <w:tc>
          <w:tcPr>
            <w:tcW w:w="3073" w:type="dxa"/>
            <w:shd w:val="clear" w:color="auto" w:fill="D9D2E9"/>
            <w:vAlign w:val="center"/>
          </w:tcPr>
          <w:p w14:paraId="3FB2EB02" w14:textId="3F645B85" w:rsidR="00126D30" w:rsidRPr="004811DC" w:rsidRDefault="00126D30" w:rsidP="004A787D">
            <w:pPr>
              <w:spacing w:before="40" w:after="40" w:line="276" w:lineRule="auto"/>
              <w:jc w:val="center"/>
              <w:rPr>
                <w:rFonts w:ascii="Times New Roman" w:hAnsi="Times New Roman" w:cs="Times New Roman"/>
                <w:sz w:val="24"/>
                <w:szCs w:val="24"/>
              </w:rPr>
            </w:pPr>
            <w:r w:rsidRPr="004811DC">
              <w:rPr>
                <w:rFonts w:ascii="Times New Roman" w:hAnsi="Times New Roman" w:cs="Times New Roman"/>
                <w:sz w:val="24"/>
                <w:szCs w:val="24"/>
              </w:rPr>
              <w:t xml:space="preserve">Role &amp; </w:t>
            </w:r>
            <w:r w:rsidR="00AB3400" w:rsidRPr="004811DC">
              <w:rPr>
                <w:rFonts w:ascii="Times New Roman" w:hAnsi="Times New Roman" w:cs="Times New Roman"/>
                <w:sz w:val="24"/>
                <w:szCs w:val="24"/>
              </w:rPr>
              <w:t>Responsibility</w:t>
            </w:r>
          </w:p>
        </w:tc>
        <w:tc>
          <w:tcPr>
            <w:tcW w:w="2313" w:type="dxa"/>
            <w:shd w:val="clear" w:color="auto" w:fill="D9D2E9"/>
            <w:vAlign w:val="center"/>
          </w:tcPr>
          <w:p w14:paraId="4DEE8A23" w14:textId="2B665A24" w:rsidR="00126D30" w:rsidRPr="004811DC" w:rsidRDefault="00126D30" w:rsidP="004A787D">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Benefit</w:t>
            </w:r>
          </w:p>
        </w:tc>
        <w:tc>
          <w:tcPr>
            <w:tcW w:w="2328" w:type="dxa"/>
            <w:shd w:val="clear" w:color="auto" w:fill="D9D2E9"/>
            <w:vAlign w:val="center"/>
          </w:tcPr>
          <w:p w14:paraId="53363575" w14:textId="6BD61DB5" w:rsidR="00126D30" w:rsidRPr="004811DC" w:rsidRDefault="00126D30" w:rsidP="004A787D">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Challenges</w:t>
            </w:r>
          </w:p>
        </w:tc>
      </w:tr>
      <w:tr w:rsidR="00DA0BDB" w:rsidRPr="004811DC" w14:paraId="193E5D7B" w14:textId="77777777" w:rsidTr="001766F0">
        <w:trPr>
          <w:jc w:val="center"/>
        </w:trPr>
        <w:tc>
          <w:tcPr>
            <w:tcW w:w="2278" w:type="dxa"/>
            <w:shd w:val="clear" w:color="auto" w:fill="FBF8FD"/>
            <w:vAlign w:val="center"/>
          </w:tcPr>
          <w:p w14:paraId="5EC00295" w14:textId="1AF5BDA7"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Executive leadership</w:t>
            </w:r>
          </w:p>
        </w:tc>
        <w:tc>
          <w:tcPr>
            <w:tcW w:w="3073" w:type="dxa"/>
            <w:shd w:val="clear" w:color="auto" w:fill="FBF8FD"/>
            <w:vAlign w:val="center"/>
          </w:tcPr>
          <w:p w14:paraId="0730098A" w14:textId="0F6EC672"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Provide strategic direction, approve investment and </w:t>
            </w:r>
            <w:r w:rsidR="00A87A9A" w:rsidRPr="004811DC">
              <w:rPr>
                <w:rFonts w:ascii="Times New Roman" w:hAnsi="Times New Roman" w:cs="Times New Roman"/>
                <w:sz w:val="24"/>
                <w:szCs w:val="24"/>
              </w:rPr>
              <w:t xml:space="preserve">oversee </w:t>
            </w:r>
            <w:r w:rsidRPr="004811DC">
              <w:rPr>
                <w:rFonts w:ascii="Times New Roman" w:hAnsi="Times New Roman" w:cs="Times New Roman"/>
                <w:sz w:val="24"/>
                <w:szCs w:val="24"/>
              </w:rPr>
              <w:t>risk</w:t>
            </w:r>
            <w:r w:rsidR="00F467D3" w:rsidRPr="004811DC">
              <w:rPr>
                <w:rFonts w:ascii="Times New Roman" w:hAnsi="Times New Roman" w:cs="Times New Roman"/>
                <w:sz w:val="24"/>
                <w:szCs w:val="24"/>
              </w:rPr>
              <w:t xml:space="preserve"> management</w:t>
            </w:r>
            <w:r w:rsidR="008C6E13" w:rsidRPr="004811DC">
              <w:rPr>
                <w:rFonts w:ascii="Times New Roman" w:hAnsi="Times New Roman" w:cs="Times New Roman"/>
                <w:sz w:val="24"/>
                <w:szCs w:val="24"/>
              </w:rPr>
              <w:t>.</w:t>
            </w:r>
          </w:p>
        </w:tc>
        <w:tc>
          <w:tcPr>
            <w:tcW w:w="2313" w:type="dxa"/>
            <w:shd w:val="clear" w:color="auto" w:fill="FBF8FD"/>
            <w:vAlign w:val="center"/>
          </w:tcPr>
          <w:p w14:paraId="58EAACD4" w14:textId="73A1BCCC"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Ensures alignment with organisational goals and long-term </w:t>
            </w:r>
            <w:r w:rsidR="00F467D3" w:rsidRPr="004811DC">
              <w:rPr>
                <w:rFonts w:ascii="Times New Roman" w:hAnsi="Times New Roman" w:cs="Times New Roman"/>
                <w:sz w:val="24"/>
                <w:szCs w:val="24"/>
              </w:rPr>
              <w:t>strategy</w:t>
            </w:r>
          </w:p>
        </w:tc>
        <w:tc>
          <w:tcPr>
            <w:tcW w:w="2328" w:type="dxa"/>
            <w:shd w:val="clear" w:color="auto" w:fill="FBF8FD"/>
            <w:vAlign w:val="center"/>
          </w:tcPr>
          <w:p w14:paraId="3DF5159C" w14:textId="37D2ACD1"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Balancing innovation with financial and reputational risks</w:t>
            </w:r>
          </w:p>
        </w:tc>
      </w:tr>
      <w:tr w:rsidR="00DA0BDB" w:rsidRPr="004811DC" w14:paraId="2DFBDD37" w14:textId="77777777" w:rsidTr="00F16168">
        <w:trPr>
          <w:trHeight w:val="35"/>
          <w:jc w:val="center"/>
        </w:trPr>
        <w:tc>
          <w:tcPr>
            <w:tcW w:w="2278" w:type="dxa"/>
            <w:shd w:val="clear" w:color="auto" w:fill="F4F0FA"/>
            <w:vAlign w:val="center"/>
          </w:tcPr>
          <w:p w14:paraId="0894EBC3" w14:textId="38229137"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Project manager</w:t>
            </w:r>
          </w:p>
        </w:tc>
        <w:tc>
          <w:tcPr>
            <w:tcW w:w="3073" w:type="dxa"/>
            <w:shd w:val="clear" w:color="auto" w:fill="F4F0FA"/>
            <w:vAlign w:val="center"/>
          </w:tcPr>
          <w:p w14:paraId="54255488" w14:textId="6218AD49"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Coordinate project delivery, manage stakeholders and timelines</w:t>
            </w:r>
            <w:r w:rsidR="00826365">
              <w:rPr>
                <w:rFonts w:ascii="Times New Roman" w:hAnsi="Times New Roman" w:cs="Times New Roman"/>
                <w:sz w:val="24"/>
                <w:szCs w:val="24"/>
              </w:rPr>
              <w:t>.</w:t>
            </w:r>
          </w:p>
        </w:tc>
        <w:tc>
          <w:tcPr>
            <w:tcW w:w="2313" w:type="dxa"/>
            <w:shd w:val="clear" w:color="auto" w:fill="F4F0FA"/>
            <w:vAlign w:val="center"/>
          </w:tcPr>
          <w:p w14:paraId="2B10331B" w14:textId="77777777" w:rsidR="00F16168" w:rsidRPr="004811DC" w:rsidRDefault="00F16168" w:rsidP="00DA0BDB">
            <w:pPr>
              <w:spacing w:before="40" w:after="40" w:line="276" w:lineRule="auto"/>
              <w:rPr>
                <w:rFonts w:ascii="Times New Roman" w:hAnsi="Times New Roman" w:cs="Times New Roman"/>
                <w:sz w:val="24"/>
                <w:szCs w:val="24"/>
              </w:rPr>
            </w:pPr>
          </w:p>
          <w:p w14:paraId="3728C431" w14:textId="3C39FB21" w:rsidR="00F16168" w:rsidRPr="004811DC" w:rsidRDefault="00DA0BDB" w:rsidP="00803F14">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Enables efficient implementation and cross-functional alignment</w:t>
            </w:r>
          </w:p>
        </w:tc>
        <w:tc>
          <w:tcPr>
            <w:tcW w:w="2328" w:type="dxa"/>
            <w:shd w:val="clear" w:color="auto" w:fill="F4F0FA"/>
            <w:vAlign w:val="center"/>
          </w:tcPr>
          <w:p w14:paraId="31FB5D06" w14:textId="4394F82C"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Managing complexity across multiple regions</w:t>
            </w:r>
          </w:p>
        </w:tc>
      </w:tr>
      <w:tr w:rsidR="00DA0BDB" w:rsidRPr="004811DC" w14:paraId="3CEB81E6" w14:textId="77777777" w:rsidTr="001766F0">
        <w:trPr>
          <w:jc w:val="center"/>
        </w:trPr>
        <w:tc>
          <w:tcPr>
            <w:tcW w:w="2278" w:type="dxa"/>
            <w:shd w:val="clear" w:color="auto" w:fill="FBF8FD"/>
            <w:vAlign w:val="center"/>
          </w:tcPr>
          <w:p w14:paraId="3262507C" w14:textId="6719D4EF"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lastRenderedPageBreak/>
              <w:t>IT &amp; operations teams</w:t>
            </w:r>
          </w:p>
        </w:tc>
        <w:tc>
          <w:tcPr>
            <w:tcW w:w="3073" w:type="dxa"/>
            <w:shd w:val="clear" w:color="auto" w:fill="FBF8FD"/>
            <w:vAlign w:val="center"/>
          </w:tcPr>
          <w:p w14:paraId="00B68628" w14:textId="69AFB554"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Develop and implement AI systems and operational processes</w:t>
            </w:r>
          </w:p>
        </w:tc>
        <w:tc>
          <w:tcPr>
            <w:tcW w:w="2313" w:type="dxa"/>
            <w:shd w:val="clear" w:color="auto" w:fill="FBF8FD"/>
            <w:vAlign w:val="center"/>
          </w:tcPr>
          <w:p w14:paraId="75456F97" w14:textId="7A9C4A10"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Drive innovation and operational efficiency</w:t>
            </w:r>
          </w:p>
        </w:tc>
        <w:tc>
          <w:tcPr>
            <w:tcW w:w="2328" w:type="dxa"/>
            <w:shd w:val="clear" w:color="auto" w:fill="FBF8FD"/>
            <w:vAlign w:val="center"/>
          </w:tcPr>
          <w:p w14:paraId="03D6E381" w14:textId="12479F7D"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Integration issues and varying digital maturity</w:t>
            </w:r>
          </w:p>
        </w:tc>
      </w:tr>
      <w:tr w:rsidR="00DA0BDB" w:rsidRPr="004811DC" w14:paraId="6DE2D874" w14:textId="77777777" w:rsidTr="001766F0">
        <w:trPr>
          <w:jc w:val="center"/>
        </w:trPr>
        <w:tc>
          <w:tcPr>
            <w:tcW w:w="2278" w:type="dxa"/>
            <w:shd w:val="clear" w:color="auto" w:fill="F4F0FA"/>
            <w:vAlign w:val="center"/>
          </w:tcPr>
          <w:p w14:paraId="31E32E3F" w14:textId="7A984E20"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Marketing &amp; customer service teams</w:t>
            </w:r>
          </w:p>
        </w:tc>
        <w:tc>
          <w:tcPr>
            <w:tcW w:w="3073" w:type="dxa"/>
            <w:shd w:val="clear" w:color="auto" w:fill="F4F0FA"/>
            <w:vAlign w:val="center"/>
          </w:tcPr>
          <w:p w14:paraId="7371EA9E" w14:textId="42C0F2D3"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Communicate value, manage customer experience and </w:t>
            </w:r>
            <w:r w:rsidR="00E33141" w:rsidRPr="004811DC">
              <w:rPr>
                <w:rFonts w:ascii="Times New Roman" w:hAnsi="Times New Roman" w:cs="Times New Roman"/>
                <w:sz w:val="24"/>
                <w:szCs w:val="24"/>
              </w:rPr>
              <w:t xml:space="preserve">gather </w:t>
            </w:r>
            <w:r w:rsidRPr="004811DC">
              <w:rPr>
                <w:rFonts w:ascii="Times New Roman" w:hAnsi="Times New Roman" w:cs="Times New Roman"/>
                <w:sz w:val="24"/>
                <w:szCs w:val="24"/>
              </w:rPr>
              <w:t>feedback</w:t>
            </w:r>
          </w:p>
        </w:tc>
        <w:tc>
          <w:tcPr>
            <w:tcW w:w="2313" w:type="dxa"/>
            <w:shd w:val="clear" w:color="auto" w:fill="F4F0FA"/>
            <w:vAlign w:val="center"/>
          </w:tcPr>
          <w:p w14:paraId="7442B764" w14:textId="1B68A143"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Increase adoption and customer satisfaction</w:t>
            </w:r>
          </w:p>
        </w:tc>
        <w:tc>
          <w:tcPr>
            <w:tcW w:w="2328" w:type="dxa"/>
            <w:shd w:val="clear" w:color="auto" w:fill="F4F0FA"/>
            <w:vAlign w:val="center"/>
          </w:tcPr>
          <w:p w14:paraId="3E826B3E" w14:textId="37C7BB58"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Managing expectations and resistance to automation</w:t>
            </w:r>
          </w:p>
        </w:tc>
      </w:tr>
      <w:tr w:rsidR="00DA0BDB" w:rsidRPr="004811DC" w14:paraId="0F6ADE47" w14:textId="77777777" w:rsidTr="001766F0">
        <w:trPr>
          <w:jc w:val="center"/>
        </w:trPr>
        <w:tc>
          <w:tcPr>
            <w:tcW w:w="2278" w:type="dxa"/>
            <w:shd w:val="clear" w:color="auto" w:fill="FBF8FD"/>
            <w:vAlign w:val="center"/>
          </w:tcPr>
          <w:p w14:paraId="3296D9E5" w14:textId="17E342D9"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Guests (customers)</w:t>
            </w:r>
          </w:p>
        </w:tc>
        <w:tc>
          <w:tcPr>
            <w:tcW w:w="3073" w:type="dxa"/>
            <w:shd w:val="clear" w:color="auto" w:fill="FBF8FD"/>
            <w:vAlign w:val="center"/>
          </w:tcPr>
          <w:p w14:paraId="6031F47D" w14:textId="77FBF27F"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Use the service and provide feedback</w:t>
            </w:r>
          </w:p>
        </w:tc>
        <w:tc>
          <w:tcPr>
            <w:tcW w:w="2313" w:type="dxa"/>
            <w:shd w:val="clear" w:color="auto" w:fill="FBF8FD"/>
            <w:vAlign w:val="center"/>
          </w:tcPr>
          <w:p w14:paraId="777D587E" w14:textId="7BF49EF0"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Validate value and influence loyalty and reputation</w:t>
            </w:r>
          </w:p>
        </w:tc>
        <w:tc>
          <w:tcPr>
            <w:tcW w:w="2328" w:type="dxa"/>
            <w:shd w:val="clear" w:color="auto" w:fill="FBF8FD"/>
            <w:vAlign w:val="center"/>
          </w:tcPr>
          <w:p w14:paraId="1EB8C7FF" w14:textId="29C86B90"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Privacy concerns and reluctance towards AI</w:t>
            </w:r>
            <w:r w:rsidR="00B66C6D" w:rsidRPr="004811DC">
              <w:rPr>
                <w:rFonts w:ascii="Times New Roman" w:hAnsi="Times New Roman" w:cs="Times New Roman"/>
                <w:sz w:val="24"/>
                <w:szCs w:val="24"/>
              </w:rPr>
              <w:t xml:space="preserve"> </w:t>
            </w:r>
            <w:r w:rsidR="009028BC" w:rsidRPr="004811DC">
              <w:rPr>
                <w:rFonts w:ascii="Times New Roman" w:hAnsi="Times New Roman" w:cs="Times New Roman"/>
                <w:sz w:val="24"/>
                <w:szCs w:val="24"/>
              </w:rPr>
              <w:t>adoption</w:t>
            </w:r>
          </w:p>
        </w:tc>
      </w:tr>
      <w:tr w:rsidR="00DA0BDB" w:rsidRPr="004811DC" w14:paraId="3A190819" w14:textId="77777777" w:rsidTr="001766F0">
        <w:trPr>
          <w:jc w:val="center"/>
        </w:trPr>
        <w:tc>
          <w:tcPr>
            <w:tcW w:w="2278" w:type="dxa"/>
            <w:shd w:val="clear" w:color="auto" w:fill="F4F0FA"/>
            <w:vAlign w:val="center"/>
          </w:tcPr>
          <w:p w14:paraId="11DE06B6" w14:textId="20A2B59E"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Suppliers &amp; partners</w:t>
            </w:r>
          </w:p>
        </w:tc>
        <w:tc>
          <w:tcPr>
            <w:tcW w:w="3073" w:type="dxa"/>
            <w:shd w:val="clear" w:color="auto" w:fill="F4F0FA"/>
            <w:vAlign w:val="center"/>
          </w:tcPr>
          <w:p w14:paraId="0DB44172" w14:textId="2AD4FFB8"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Provide technology, services and sustainability solutions</w:t>
            </w:r>
          </w:p>
        </w:tc>
        <w:tc>
          <w:tcPr>
            <w:tcW w:w="2313" w:type="dxa"/>
            <w:shd w:val="clear" w:color="auto" w:fill="F4F0FA"/>
            <w:vAlign w:val="center"/>
          </w:tcPr>
          <w:p w14:paraId="573F7746" w14:textId="166137AB"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Offer expertise and enable scalability</w:t>
            </w:r>
          </w:p>
        </w:tc>
        <w:tc>
          <w:tcPr>
            <w:tcW w:w="2328" w:type="dxa"/>
            <w:shd w:val="clear" w:color="auto" w:fill="F4F0FA"/>
            <w:vAlign w:val="center"/>
          </w:tcPr>
          <w:p w14:paraId="38CF8F7F" w14:textId="3A645DD9"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Dependency </w:t>
            </w:r>
            <w:r w:rsidR="009028BC" w:rsidRPr="004811DC">
              <w:rPr>
                <w:rFonts w:ascii="Times New Roman" w:hAnsi="Times New Roman" w:cs="Times New Roman"/>
                <w:sz w:val="24"/>
                <w:szCs w:val="24"/>
              </w:rPr>
              <w:t xml:space="preserve">risks </w:t>
            </w:r>
            <w:r w:rsidRPr="004811DC">
              <w:rPr>
                <w:rFonts w:ascii="Times New Roman" w:hAnsi="Times New Roman" w:cs="Times New Roman"/>
                <w:sz w:val="24"/>
                <w:szCs w:val="24"/>
              </w:rPr>
              <w:t xml:space="preserve">and coordination </w:t>
            </w:r>
            <w:r w:rsidR="00C34624" w:rsidRPr="004811DC">
              <w:rPr>
                <w:rFonts w:ascii="Times New Roman" w:hAnsi="Times New Roman" w:cs="Times New Roman"/>
                <w:sz w:val="24"/>
                <w:szCs w:val="24"/>
              </w:rPr>
              <w:t>challenges</w:t>
            </w:r>
          </w:p>
        </w:tc>
      </w:tr>
      <w:tr w:rsidR="00DA0BDB" w:rsidRPr="004811DC" w14:paraId="706ECD98" w14:textId="77777777" w:rsidTr="001766F0">
        <w:trPr>
          <w:jc w:val="center"/>
        </w:trPr>
        <w:tc>
          <w:tcPr>
            <w:tcW w:w="2278" w:type="dxa"/>
            <w:shd w:val="clear" w:color="auto" w:fill="FBF8FD"/>
            <w:vAlign w:val="center"/>
          </w:tcPr>
          <w:p w14:paraId="6D586771" w14:textId="272BF38F"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Regulators &amp; authorities</w:t>
            </w:r>
          </w:p>
        </w:tc>
        <w:tc>
          <w:tcPr>
            <w:tcW w:w="3073" w:type="dxa"/>
            <w:shd w:val="clear" w:color="auto" w:fill="FBF8FD"/>
            <w:vAlign w:val="center"/>
          </w:tcPr>
          <w:p w14:paraId="73855B60" w14:textId="0B378DE8"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Ensure legal and data compliance</w:t>
            </w:r>
          </w:p>
        </w:tc>
        <w:tc>
          <w:tcPr>
            <w:tcW w:w="2313" w:type="dxa"/>
            <w:shd w:val="clear" w:color="auto" w:fill="FBF8FD"/>
            <w:vAlign w:val="center"/>
          </w:tcPr>
          <w:p w14:paraId="5E0F5F7E" w14:textId="0D5B420C"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Provide legitimacy and market access</w:t>
            </w:r>
          </w:p>
        </w:tc>
        <w:tc>
          <w:tcPr>
            <w:tcW w:w="2328" w:type="dxa"/>
            <w:shd w:val="clear" w:color="auto" w:fill="FBF8FD"/>
            <w:vAlign w:val="center"/>
          </w:tcPr>
          <w:p w14:paraId="0ECF5B17" w14:textId="3066DB85"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Regulatory complexity across regions</w:t>
            </w:r>
          </w:p>
        </w:tc>
      </w:tr>
      <w:tr w:rsidR="00DA0BDB" w:rsidRPr="004811DC" w14:paraId="0CAFB857" w14:textId="77777777" w:rsidTr="001766F0">
        <w:trPr>
          <w:jc w:val="center"/>
        </w:trPr>
        <w:tc>
          <w:tcPr>
            <w:tcW w:w="2278" w:type="dxa"/>
            <w:shd w:val="clear" w:color="auto" w:fill="F4F0FA"/>
            <w:vAlign w:val="center"/>
          </w:tcPr>
          <w:p w14:paraId="65D229B7" w14:textId="269E536B"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Local communities &amp; NGOs</w:t>
            </w:r>
          </w:p>
        </w:tc>
        <w:tc>
          <w:tcPr>
            <w:tcW w:w="3073" w:type="dxa"/>
            <w:shd w:val="clear" w:color="auto" w:fill="F4F0FA"/>
            <w:vAlign w:val="center"/>
          </w:tcPr>
          <w:p w14:paraId="4A974817" w14:textId="5C4A9085"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Influence reputation and sustainability perception</w:t>
            </w:r>
          </w:p>
        </w:tc>
        <w:tc>
          <w:tcPr>
            <w:tcW w:w="2313" w:type="dxa"/>
            <w:shd w:val="clear" w:color="auto" w:fill="F4F0FA"/>
            <w:vAlign w:val="center"/>
          </w:tcPr>
          <w:p w14:paraId="28B588CD" w14:textId="46474B0C"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Enhance trust and social licence</w:t>
            </w:r>
          </w:p>
        </w:tc>
        <w:tc>
          <w:tcPr>
            <w:tcW w:w="2328" w:type="dxa"/>
            <w:shd w:val="clear" w:color="auto" w:fill="F4F0FA"/>
            <w:vAlign w:val="center"/>
          </w:tcPr>
          <w:p w14:paraId="574DF045" w14:textId="6B28BF6A" w:rsidR="00DA0BDB" w:rsidRPr="004811DC" w:rsidRDefault="00DA0BDB" w:rsidP="00DA0BDB">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Concerns over environmental and social impact</w:t>
            </w:r>
            <w:r w:rsidR="00561DA1" w:rsidRPr="004811DC">
              <w:rPr>
                <w:rFonts w:ascii="Times New Roman" w:hAnsi="Times New Roman" w:cs="Times New Roman"/>
                <w:sz w:val="24"/>
                <w:szCs w:val="24"/>
              </w:rPr>
              <w:t>s</w:t>
            </w:r>
          </w:p>
        </w:tc>
      </w:tr>
    </w:tbl>
    <w:p w14:paraId="31F58A22" w14:textId="77777777" w:rsidR="005556AC" w:rsidRPr="004811DC" w:rsidRDefault="005556AC" w:rsidP="00BB34ED">
      <w:pPr>
        <w:spacing w:after="160"/>
        <w:rPr>
          <w:rFonts w:ascii="Times New Roman" w:eastAsia="Aptos" w:hAnsi="Times New Roman" w:cs="Times New Roman"/>
          <w:b/>
          <w:bCs/>
          <w:color w:val="002060"/>
          <w:kern w:val="2"/>
          <w:sz w:val="24"/>
          <w:szCs w:val="24"/>
          <w14:ligatures w14:val="standardContextual"/>
        </w:rPr>
      </w:pPr>
    </w:p>
    <w:p w14:paraId="20D3A702" w14:textId="51E0A3B7" w:rsidR="00BB34ED" w:rsidRPr="004811DC" w:rsidRDefault="001220D9" w:rsidP="00BB34ED">
      <w:pPr>
        <w:spacing w:after="160"/>
        <w:rPr>
          <w:rFonts w:ascii="Times New Roman" w:eastAsia="Aptos" w:hAnsi="Times New Roman" w:cs="Times New Roman"/>
          <w:b/>
          <w:bCs/>
          <w:color w:val="002060"/>
          <w:kern w:val="2"/>
          <w:sz w:val="24"/>
          <w:szCs w:val="24"/>
          <w14:ligatures w14:val="standardContextual"/>
        </w:rPr>
      </w:pPr>
      <w:r w:rsidRPr="004811DC">
        <w:rPr>
          <w:rFonts w:ascii="Times New Roman" w:eastAsia="Aptos" w:hAnsi="Times New Roman" w:cs="Times New Roman"/>
          <w:b/>
          <w:bCs/>
          <w:color w:val="002060"/>
          <w:kern w:val="2"/>
          <w:sz w:val="24"/>
          <w:szCs w:val="24"/>
          <w14:ligatures w14:val="standardContextual"/>
        </w:rPr>
        <w:t>4</w:t>
      </w:r>
      <w:r w:rsidR="00BB34ED" w:rsidRPr="004811DC">
        <w:rPr>
          <w:rFonts w:ascii="Times New Roman" w:eastAsia="Aptos" w:hAnsi="Times New Roman" w:cs="Times New Roman"/>
          <w:b/>
          <w:bCs/>
          <w:color w:val="002060"/>
          <w:kern w:val="2"/>
          <w:sz w:val="24"/>
          <w:szCs w:val="24"/>
          <w14:ligatures w14:val="standardContextual"/>
        </w:rPr>
        <w:t>. Stakeholder Engagement Frameworks and Plans</w:t>
      </w:r>
    </w:p>
    <w:p w14:paraId="2FDB82D4" w14:textId="77777777" w:rsidR="00EA29B9" w:rsidRPr="004811DC" w:rsidRDefault="00EA29B9" w:rsidP="00EA29B9">
      <w:pPr>
        <w:spacing w:after="160"/>
        <w:jc w:val="both"/>
        <w:rPr>
          <w:rFonts w:ascii="Times New Roman" w:eastAsia="Aptos" w:hAnsi="Times New Roman" w:cs="Times New Roman"/>
          <w:kern w:val="2"/>
          <w14:ligatures w14:val="standardContextual"/>
        </w:rPr>
      </w:pPr>
      <w:r w:rsidRPr="004811DC">
        <w:rPr>
          <w:rFonts w:ascii="Times New Roman" w:eastAsia="Aptos" w:hAnsi="Times New Roman" w:cs="Times New Roman"/>
          <w:kern w:val="2"/>
          <w14:ligatures w14:val="standardContextual"/>
        </w:rPr>
        <w:t>Effective stakeholder engagement is a critical component of successful project delivery, particularly in complex, global hospitality initiatives such as the implementation of StaySmart+. Stakeholders have varying levels of power, interest, and influence, requiring structured frameworks to manage relationships and expectations effectively. As argued by Bourne (2015), stakeholder engagement is not a one-time activity but a continuous process that supports communication, collaboration, and trust throughout the project lifecycle.</w:t>
      </w:r>
    </w:p>
    <w:p w14:paraId="1336C6BA" w14:textId="5717D589" w:rsidR="00EA29B9" w:rsidRPr="004811DC" w:rsidRDefault="00EA29B9" w:rsidP="00EA29B9">
      <w:pPr>
        <w:spacing w:after="160"/>
        <w:jc w:val="both"/>
        <w:rPr>
          <w:rFonts w:ascii="Times New Roman" w:eastAsia="Aptos" w:hAnsi="Times New Roman" w:cs="Times New Roman"/>
          <w:kern w:val="2"/>
          <w14:ligatures w14:val="standardContextual"/>
        </w:rPr>
      </w:pPr>
      <w:r w:rsidRPr="004811DC">
        <w:rPr>
          <w:rFonts w:ascii="Times New Roman" w:eastAsia="Aptos" w:hAnsi="Times New Roman" w:cs="Times New Roman"/>
          <w:kern w:val="2"/>
          <w14:ligatures w14:val="standardContextual"/>
        </w:rPr>
        <w:t>To ensure systematic and strategic engagement, this section applies key project management tools, including the stakeholder power–interest matrix, RACI matrix, stakeholder engagement plan, and communication plan. These frameworks provide clarity in stakeholder prioritisation, define roles and responsibilities, and establish appropriate communication strategies. According to the Project Management Institute (PMI, 2008), structured stakeholder management enhances decision-making, reduces conflict, and improves overall project performance.</w:t>
      </w:r>
    </w:p>
    <w:p w14:paraId="11D04F67" w14:textId="55D9FCFB" w:rsidR="00CF7D74" w:rsidRPr="004811DC" w:rsidRDefault="00E92169"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4</w:t>
      </w:r>
      <w:r w:rsidR="00C32E74" w:rsidRPr="004811DC">
        <w:rPr>
          <w:rFonts w:ascii="Times New Roman" w:hAnsi="Times New Roman" w:cs="Times New Roman"/>
          <w:b/>
          <w:color w:val="2F5496"/>
          <w:sz w:val="24"/>
          <w:szCs w:val="24"/>
        </w:rPr>
        <w:t>.</w:t>
      </w:r>
      <w:r w:rsidR="00BB34ED" w:rsidRPr="004811DC">
        <w:rPr>
          <w:rFonts w:ascii="Times New Roman" w:hAnsi="Times New Roman" w:cs="Times New Roman"/>
          <w:b/>
          <w:color w:val="2F5496"/>
          <w:sz w:val="24"/>
          <w:szCs w:val="24"/>
        </w:rPr>
        <w:t xml:space="preserve">1 Stakeholder </w:t>
      </w:r>
      <w:r w:rsidR="00A44A1C" w:rsidRPr="004811DC">
        <w:rPr>
          <w:rFonts w:ascii="Times New Roman" w:hAnsi="Times New Roman" w:cs="Times New Roman"/>
          <w:b/>
          <w:color w:val="2F5496"/>
          <w:sz w:val="24"/>
          <w:szCs w:val="24"/>
        </w:rPr>
        <w:t>Map</w:t>
      </w:r>
      <w:r w:rsidR="00192B64" w:rsidRPr="004811DC">
        <w:rPr>
          <w:rFonts w:ascii="Times New Roman" w:hAnsi="Times New Roman" w:cs="Times New Roman"/>
          <w:b/>
          <w:color w:val="2F5496"/>
          <w:sz w:val="24"/>
          <w:szCs w:val="24"/>
        </w:rPr>
        <w:t>,</w:t>
      </w:r>
      <w:r w:rsidR="00A44A1C" w:rsidRPr="004811DC">
        <w:rPr>
          <w:rFonts w:ascii="Times New Roman" w:hAnsi="Times New Roman" w:cs="Times New Roman"/>
          <w:b/>
          <w:color w:val="2F5496"/>
          <w:sz w:val="24"/>
          <w:szCs w:val="24"/>
        </w:rPr>
        <w:t xml:space="preserve"> Mendelow</w:t>
      </w:r>
      <w:r w:rsidR="00BB34ED" w:rsidRPr="004811DC">
        <w:rPr>
          <w:rFonts w:ascii="Times New Roman" w:hAnsi="Times New Roman" w:cs="Times New Roman"/>
          <w:b/>
          <w:color w:val="2F5496"/>
          <w:sz w:val="24"/>
          <w:szCs w:val="24"/>
        </w:rPr>
        <w:t xml:space="preserve"> Matrix</w:t>
      </w:r>
    </w:p>
    <w:p w14:paraId="1ABB78CC" w14:textId="7026814C" w:rsidR="006205FF" w:rsidRPr="004811DC" w:rsidRDefault="00B56717" w:rsidP="00C250BF">
      <w:pPr>
        <w:spacing w:after="120"/>
        <w:jc w:val="both"/>
        <w:rPr>
          <w:rFonts w:ascii="Times New Roman" w:hAnsi="Times New Roman" w:cs="Times New Roman"/>
          <w:sz w:val="24"/>
          <w:szCs w:val="24"/>
        </w:rPr>
      </w:pPr>
      <w:r w:rsidRPr="004811DC">
        <w:rPr>
          <w:rFonts w:ascii="Times New Roman" w:hAnsi="Times New Roman" w:cs="Times New Roman"/>
          <w:noProof/>
          <w:sz w:val="24"/>
          <w:szCs w:val="24"/>
        </w:rPr>
        <w:lastRenderedPageBreak/>
        <mc:AlternateContent>
          <mc:Choice Requires="wps">
            <w:drawing>
              <wp:anchor distT="0" distB="0" distL="114300" distR="114300" simplePos="0" relativeHeight="251657216" behindDoc="0" locked="0" layoutInCell="1" allowOverlap="1" wp14:anchorId="00981A20" wp14:editId="60D86BA0">
                <wp:simplePos x="0" y="0"/>
                <wp:positionH relativeFrom="column">
                  <wp:posOffset>-68922</wp:posOffset>
                </wp:positionH>
                <wp:positionV relativeFrom="paragraph">
                  <wp:posOffset>768105</wp:posOffset>
                </wp:positionV>
                <wp:extent cx="519430" cy="3895962"/>
                <wp:effectExtent l="57150" t="38100" r="71120" b="104775"/>
                <wp:wrapNone/>
                <wp:docPr id="283590962" name="Arrow: Down 6"/>
                <wp:cNvGraphicFramePr/>
                <a:graphic xmlns:a="http://schemas.openxmlformats.org/drawingml/2006/main">
                  <a:graphicData uri="http://schemas.microsoft.com/office/word/2010/wordprocessingShape">
                    <wps:wsp>
                      <wps:cNvSpPr/>
                      <wps:spPr>
                        <a:xfrm flipV="1">
                          <a:off x="0" y="0"/>
                          <a:ext cx="519430" cy="3895962"/>
                        </a:xfrm>
                        <a:prstGeom prst="downArrow">
                          <a:avLst/>
                        </a:prstGeom>
                        <a:solidFill>
                          <a:schemeClr val="tx1">
                            <a:lumMod val="50000"/>
                            <a:lumOff val="50000"/>
                          </a:schemeClr>
                        </a:solidFill>
                      </wps:spPr>
                      <wps:style>
                        <a:lnRef idx="1">
                          <a:schemeClr val="accent1"/>
                        </a:lnRef>
                        <a:fillRef idx="3">
                          <a:schemeClr val="accent1"/>
                        </a:fillRef>
                        <a:effectRef idx="2">
                          <a:schemeClr val="accent1"/>
                        </a:effectRef>
                        <a:fontRef idx="minor">
                          <a:schemeClr val="lt1"/>
                        </a:fontRef>
                      </wps:style>
                      <wps:txbx>
                        <w:txbxContent>
                          <w:p w14:paraId="4C1E5683" w14:textId="77777777" w:rsidR="00AA434A" w:rsidRDefault="00AA434A" w:rsidP="00AA434A">
                            <w:pPr>
                              <w:jc w:val="center"/>
                            </w:pPr>
                            <w:r>
                              <w:t>LOW</w:t>
                            </w:r>
                          </w:p>
                          <w:p w14:paraId="1313469F" w14:textId="77777777" w:rsidR="008126E4" w:rsidRDefault="008126E4" w:rsidP="00AA434A">
                            <w:pPr>
                              <w:jc w:val="center"/>
                            </w:pPr>
                          </w:p>
                          <w:p w14:paraId="1E8F1F33" w14:textId="77777777" w:rsidR="00AA434A" w:rsidRDefault="00AA434A" w:rsidP="00AA434A">
                            <w:pPr>
                              <w:jc w:val="center"/>
                            </w:pPr>
                            <w:r>
                              <w:t>POWER</w:t>
                            </w:r>
                          </w:p>
                          <w:p w14:paraId="244D7C79" w14:textId="73ACB048" w:rsidR="00AA434A" w:rsidRDefault="00AA434A" w:rsidP="00AA434A">
                            <w:pPr>
                              <w:jc w:val="center"/>
                            </w:pPr>
                            <w:r>
                              <w:t xml:space="preserve"> 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981A2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left:0;text-align:left;margin-left:-5.45pt;margin-top:60.5pt;width:40.9pt;height:306.7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" adj="20160" fillcolor="gray [1629]" strokecolor="#4579b8 [3044]">
                <v:shadow on="t" color="black" opacity="22937f" origin=",.5" offset="0,.63889mm"/>
                <v:textbox>
                  <w:txbxContent>
                    <w:p w14:paraId="4C1E5683" w14:textId="77777777" w:rsidR="00AA434A" w:rsidRDefault="00AA434A" w:rsidP="00AA434A">
                      <w:pPr>
                        <w:jc w:val="center"/>
                      </w:pPr>
                      <w:r>
                        <w:t>LOW</w:t>
                      </w:r>
                    </w:p>
                    <w:p w14:paraId="1313469F" w14:textId="77777777" w:rsidR="008126E4" w:rsidRDefault="008126E4" w:rsidP="00AA434A">
                      <w:pPr>
                        <w:jc w:val="center"/>
                      </w:pPr>
                    </w:p>
                    <w:p w14:paraId="1E8F1F33" w14:textId="77777777" w:rsidR="00AA434A" w:rsidRDefault="00AA434A" w:rsidP="00AA434A">
                      <w:pPr>
                        <w:jc w:val="center"/>
                      </w:pPr>
                      <w:r>
                        <w:t>POWER</w:t>
                      </w:r>
                    </w:p>
                    <w:p w14:paraId="244D7C79" w14:textId="73ACB048" w:rsidR="00AA434A" w:rsidRDefault="00AA434A" w:rsidP="00AA434A">
                      <w:pPr>
                        <w:jc w:val="center"/>
                      </w:pPr>
                      <w:r>
                        <w:t xml:space="preserve"> HIGH</w:t>
                      </w:r>
                    </w:p>
                  </w:txbxContent>
                </v:textbox>
              </v:shape>
            </w:pict>
          </mc:Fallback>
        </mc:AlternateContent>
      </w:r>
      <w:r w:rsidR="00C250BF" w:rsidRPr="004811DC">
        <w:rPr>
          <w:rFonts w:ascii="Times New Roman" w:hAnsi="Times New Roman" w:cs="Times New Roman"/>
          <w:sz w:val="24"/>
          <w:szCs w:val="24"/>
        </w:rPr>
        <w:t>The stakeholder power–interest matrix (Mendelow, 1991) helps prioritise engagement by focusing on key stakeholders. However, in hospitality, lower-power stakeholders can still influence outcomes through experience, so they should not be overlooked.</w:t>
      </w:r>
    </w:p>
    <w:p w14:paraId="26D827F9" w14:textId="2F83D8F2" w:rsidR="00AB295D" w:rsidRPr="004811DC" w:rsidRDefault="00CB511B" w:rsidP="00C250BF">
      <w:pPr>
        <w:spacing w:after="120"/>
        <w:jc w:val="both"/>
        <w:rPr>
          <w:rFonts w:ascii="Times New Roman" w:hAnsi="Times New Roman" w:cs="Times New Roman"/>
          <w:sz w:val="24"/>
          <w:szCs w:val="24"/>
        </w:rPr>
      </w:pPr>
      <w:r w:rsidRPr="004811DC">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A3E44B8" wp14:editId="0C3CBA3D">
                <wp:simplePos x="0" y="0"/>
                <wp:positionH relativeFrom="column">
                  <wp:posOffset>3038649</wp:posOffset>
                </wp:positionH>
                <wp:positionV relativeFrom="paragraph">
                  <wp:posOffset>216170</wp:posOffset>
                </wp:positionV>
                <wp:extent cx="2686050" cy="1579245"/>
                <wp:effectExtent l="57150" t="19050" r="76200" b="97155"/>
                <wp:wrapNone/>
                <wp:docPr id="1556214909" name="Rectangle 2"/>
                <wp:cNvGraphicFramePr/>
                <a:graphic xmlns:a="http://schemas.openxmlformats.org/drawingml/2006/main">
                  <a:graphicData uri="http://schemas.microsoft.com/office/word/2010/wordprocessingShape">
                    <wps:wsp>
                      <wps:cNvSpPr/>
                      <wps:spPr>
                        <a:xfrm>
                          <a:off x="0" y="0"/>
                          <a:ext cx="2686050" cy="1579245"/>
                        </a:xfrm>
                        <a:prstGeom prst="rect">
                          <a:avLst/>
                        </a:prstGeom>
                        <a:solidFill>
                          <a:schemeClr val="accent6">
                            <a:lumMod val="50000"/>
                          </a:schemeClr>
                        </a:solidFill>
                      </wps:spPr>
                      <wps:style>
                        <a:lnRef idx="1">
                          <a:schemeClr val="accent1"/>
                        </a:lnRef>
                        <a:fillRef idx="3">
                          <a:schemeClr val="accent1"/>
                        </a:fillRef>
                        <a:effectRef idx="2">
                          <a:schemeClr val="accent1"/>
                        </a:effectRef>
                        <a:fontRef idx="minor">
                          <a:schemeClr val="lt1"/>
                        </a:fontRef>
                      </wps:style>
                      <wps:txbx>
                        <w:txbxContent>
                          <w:p w14:paraId="4CC7F980" w14:textId="77777777" w:rsidR="00BE54AE" w:rsidRPr="00BE54AE" w:rsidRDefault="00BE54AE" w:rsidP="00D642E7">
                            <w:pPr>
                              <w:spacing w:line="240" w:lineRule="auto"/>
                              <w:jc w:val="center"/>
                              <w:rPr>
                                <w:rFonts w:ascii="Times New Roman" w:hAnsi="Times New Roman" w:cs="Times New Roman"/>
                                <w:b/>
                                <w:bCs/>
                                <w:sz w:val="24"/>
                                <w:szCs w:val="24"/>
                              </w:rPr>
                            </w:pPr>
                          </w:p>
                          <w:p w14:paraId="595D53E6" w14:textId="6F23D5A4" w:rsidR="006205FF" w:rsidRPr="00BE54AE" w:rsidRDefault="00041D56" w:rsidP="00D642E7">
                            <w:pPr>
                              <w:spacing w:line="240" w:lineRule="auto"/>
                              <w:jc w:val="center"/>
                              <w:rPr>
                                <w:rFonts w:ascii="Times New Roman" w:hAnsi="Times New Roman" w:cs="Times New Roman"/>
                                <w:b/>
                                <w:bCs/>
                                <w:sz w:val="24"/>
                                <w:szCs w:val="24"/>
                              </w:rPr>
                            </w:pPr>
                            <w:r w:rsidRPr="00BE54AE">
                              <w:rPr>
                                <w:rFonts w:ascii="Times New Roman" w:hAnsi="Times New Roman" w:cs="Times New Roman"/>
                                <w:b/>
                                <w:bCs/>
                                <w:sz w:val="24"/>
                                <w:szCs w:val="24"/>
                              </w:rPr>
                              <w:t>MANAGE CLOSELY</w:t>
                            </w:r>
                          </w:p>
                          <w:p w14:paraId="1ED491B1" w14:textId="09794592" w:rsidR="00041D56" w:rsidRPr="00BE54AE" w:rsidRDefault="00041D56" w:rsidP="00D642E7">
                            <w:pPr>
                              <w:spacing w:line="240" w:lineRule="auto"/>
                              <w:jc w:val="center"/>
                              <w:rPr>
                                <w:rFonts w:ascii="Times New Roman" w:hAnsi="Times New Roman" w:cs="Times New Roman"/>
                                <w:sz w:val="24"/>
                                <w:szCs w:val="24"/>
                              </w:rPr>
                            </w:pPr>
                            <w:r w:rsidRPr="00BE54AE">
                              <w:rPr>
                                <w:rFonts w:ascii="Times New Roman" w:hAnsi="Times New Roman" w:cs="Times New Roman"/>
                                <w:sz w:val="24"/>
                                <w:szCs w:val="24"/>
                              </w:rPr>
                              <w:t>(</w:t>
                            </w:r>
                            <w:r w:rsidR="00184EA4" w:rsidRPr="00BE54AE">
                              <w:rPr>
                                <w:rFonts w:ascii="Times New Roman" w:hAnsi="Times New Roman" w:cs="Times New Roman"/>
                                <w:sz w:val="24"/>
                                <w:szCs w:val="24"/>
                              </w:rPr>
                              <w:t>High Power/ High Interest</w:t>
                            </w:r>
                            <w:r w:rsidRPr="00BE54AE">
                              <w:rPr>
                                <w:rFonts w:ascii="Times New Roman" w:hAnsi="Times New Roman" w:cs="Times New Roman"/>
                                <w:sz w:val="24"/>
                                <w:szCs w:val="24"/>
                              </w:rPr>
                              <w:t>)</w:t>
                            </w:r>
                          </w:p>
                          <w:p w14:paraId="12E1F246" w14:textId="4F6F7B28" w:rsidR="001677C9" w:rsidRPr="00BE54AE" w:rsidRDefault="008F517A" w:rsidP="00850AB9">
                            <w:pPr>
                              <w:pStyle w:val="ListParagraph"/>
                              <w:numPr>
                                <w:ilvl w:val="0"/>
                                <w:numId w:val="21"/>
                              </w:numPr>
                              <w:spacing w:line="240" w:lineRule="auto"/>
                              <w:rPr>
                                <w:rFonts w:ascii="Times New Roman" w:hAnsi="Times New Roman" w:cs="Times New Roman"/>
                                <w:sz w:val="24"/>
                                <w:szCs w:val="24"/>
                              </w:rPr>
                            </w:pPr>
                            <w:r w:rsidRPr="00BE54AE">
                              <w:rPr>
                                <w:rFonts w:ascii="Times New Roman" w:hAnsi="Times New Roman" w:cs="Times New Roman"/>
                                <w:sz w:val="24"/>
                                <w:szCs w:val="24"/>
                              </w:rPr>
                              <w:t>Executive</w:t>
                            </w:r>
                            <w:r w:rsidR="001677C9" w:rsidRPr="00BE54AE">
                              <w:rPr>
                                <w:rFonts w:ascii="Times New Roman" w:hAnsi="Times New Roman" w:cs="Times New Roman"/>
                                <w:sz w:val="24"/>
                                <w:szCs w:val="24"/>
                              </w:rPr>
                              <w:t xml:space="preserve"> leadership</w:t>
                            </w:r>
                          </w:p>
                          <w:p w14:paraId="3DE443D3" w14:textId="77777777" w:rsidR="00850AB9" w:rsidRPr="008F517A" w:rsidRDefault="00850AB9" w:rsidP="00D642E7">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E44B8" id="Rectangle 2" o:spid="_x0000_s1027" style="position:absolute;left:0;text-align:left;margin-left:239.25pt;margin-top:17pt;width:211.5pt;height:12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" fillcolor="#974706 [1609]" strokecolor="#4579b8 [3044]">
                <v:shadow on="t" color="black" opacity="22937f" origin=",.5" offset="0,.63889mm"/>
                <v:textbox>
                  <w:txbxContent>
                    <w:p w14:paraId="4CC7F980" w14:textId="77777777" w:rsidR="00BE54AE" w:rsidRPr="00BE54AE" w:rsidRDefault="00BE54AE" w:rsidP="00D642E7">
                      <w:pPr>
                        <w:spacing w:line="240" w:lineRule="auto"/>
                        <w:jc w:val="center"/>
                        <w:rPr>
                          <w:rFonts w:ascii="Times New Roman" w:hAnsi="Times New Roman" w:cs="Times New Roman"/>
                          <w:b/>
                          <w:bCs/>
                          <w:sz w:val="24"/>
                          <w:szCs w:val="24"/>
                        </w:rPr>
                      </w:pPr>
                    </w:p>
                    <w:p w14:paraId="595D53E6" w14:textId="6F23D5A4" w:rsidR="006205FF" w:rsidRPr="00BE54AE" w:rsidRDefault="00041D56" w:rsidP="00D642E7">
                      <w:pPr>
                        <w:spacing w:line="240" w:lineRule="auto"/>
                        <w:jc w:val="center"/>
                        <w:rPr>
                          <w:rFonts w:ascii="Times New Roman" w:hAnsi="Times New Roman" w:cs="Times New Roman"/>
                          <w:b/>
                          <w:bCs/>
                          <w:sz w:val="24"/>
                          <w:szCs w:val="24"/>
                        </w:rPr>
                      </w:pPr>
                      <w:r w:rsidRPr="00BE54AE">
                        <w:rPr>
                          <w:rFonts w:ascii="Times New Roman" w:hAnsi="Times New Roman" w:cs="Times New Roman"/>
                          <w:b/>
                          <w:bCs/>
                          <w:sz w:val="24"/>
                          <w:szCs w:val="24"/>
                        </w:rPr>
                        <w:t>MANAGE CLOSELY</w:t>
                      </w:r>
                    </w:p>
                    <w:p w14:paraId="1ED491B1" w14:textId="09794592" w:rsidR="00041D56" w:rsidRPr="00BE54AE" w:rsidRDefault="00041D56" w:rsidP="00D642E7">
                      <w:pPr>
                        <w:spacing w:line="240" w:lineRule="auto"/>
                        <w:jc w:val="center"/>
                        <w:rPr>
                          <w:rFonts w:ascii="Times New Roman" w:hAnsi="Times New Roman" w:cs="Times New Roman"/>
                          <w:sz w:val="24"/>
                          <w:szCs w:val="24"/>
                        </w:rPr>
                      </w:pPr>
                      <w:r w:rsidRPr="00BE54AE">
                        <w:rPr>
                          <w:rFonts w:ascii="Times New Roman" w:hAnsi="Times New Roman" w:cs="Times New Roman"/>
                          <w:sz w:val="24"/>
                          <w:szCs w:val="24"/>
                        </w:rPr>
                        <w:t>(</w:t>
                      </w:r>
                      <w:r w:rsidR="00184EA4" w:rsidRPr="00BE54AE">
                        <w:rPr>
                          <w:rFonts w:ascii="Times New Roman" w:hAnsi="Times New Roman" w:cs="Times New Roman"/>
                          <w:sz w:val="24"/>
                          <w:szCs w:val="24"/>
                        </w:rPr>
                        <w:t>High Power/ High Interest</w:t>
                      </w:r>
                      <w:r w:rsidRPr="00BE54AE">
                        <w:rPr>
                          <w:rFonts w:ascii="Times New Roman" w:hAnsi="Times New Roman" w:cs="Times New Roman"/>
                          <w:sz w:val="24"/>
                          <w:szCs w:val="24"/>
                        </w:rPr>
                        <w:t>)</w:t>
                      </w:r>
                    </w:p>
                    <w:p w14:paraId="12E1F246" w14:textId="4F6F7B28" w:rsidR="001677C9" w:rsidRPr="00BE54AE" w:rsidRDefault="008F517A" w:rsidP="00850AB9">
                      <w:pPr>
                        <w:pStyle w:val="ListParagraph"/>
                        <w:numPr>
                          <w:ilvl w:val="0"/>
                          <w:numId w:val="21"/>
                        </w:numPr>
                        <w:spacing w:line="240" w:lineRule="auto"/>
                        <w:rPr>
                          <w:rFonts w:ascii="Times New Roman" w:hAnsi="Times New Roman" w:cs="Times New Roman"/>
                          <w:sz w:val="24"/>
                          <w:szCs w:val="24"/>
                        </w:rPr>
                      </w:pPr>
                      <w:r w:rsidRPr="00BE54AE">
                        <w:rPr>
                          <w:rFonts w:ascii="Times New Roman" w:hAnsi="Times New Roman" w:cs="Times New Roman"/>
                          <w:sz w:val="24"/>
                          <w:szCs w:val="24"/>
                        </w:rPr>
                        <w:t>Executive</w:t>
                      </w:r>
                      <w:r w:rsidR="001677C9" w:rsidRPr="00BE54AE">
                        <w:rPr>
                          <w:rFonts w:ascii="Times New Roman" w:hAnsi="Times New Roman" w:cs="Times New Roman"/>
                          <w:sz w:val="24"/>
                          <w:szCs w:val="24"/>
                        </w:rPr>
                        <w:t xml:space="preserve"> leadership</w:t>
                      </w:r>
                    </w:p>
                    <w:p w14:paraId="3DE443D3" w14:textId="77777777" w:rsidR="00850AB9" w:rsidRPr="008F517A" w:rsidRDefault="00850AB9" w:rsidP="00D642E7">
                      <w:pPr>
                        <w:spacing w:line="240" w:lineRule="auto"/>
                        <w:jc w:val="center"/>
                      </w:pPr>
                    </w:p>
                  </w:txbxContent>
                </v:textbox>
              </v:rect>
            </w:pict>
          </mc:Fallback>
        </mc:AlternateContent>
      </w:r>
      <w:r w:rsidR="00AC6FDE" w:rsidRPr="004811DC">
        <w:rPr>
          <w:rFonts w:ascii="Times New Roman" w:hAnsi="Times New Roman" w:cs="Times New Roman"/>
          <w:noProof/>
          <w:sz w:val="24"/>
          <w:szCs w:val="24"/>
        </w:rPr>
        <mc:AlternateContent>
          <mc:Choice Requires="wps">
            <w:drawing>
              <wp:anchor distT="0" distB="0" distL="114300" distR="114300" simplePos="0" relativeHeight="251640832" behindDoc="0" locked="0" layoutInCell="1" allowOverlap="1" wp14:anchorId="10D5DCB8" wp14:editId="3190513A">
                <wp:simplePos x="0" y="0"/>
                <wp:positionH relativeFrom="column">
                  <wp:posOffset>410977</wp:posOffset>
                </wp:positionH>
                <wp:positionV relativeFrom="paragraph">
                  <wp:posOffset>196547</wp:posOffset>
                </wp:positionV>
                <wp:extent cx="2527134" cy="1612265"/>
                <wp:effectExtent l="57150" t="19050" r="83185" b="102235"/>
                <wp:wrapNone/>
                <wp:docPr id="484434137" name="Rectangle 2"/>
                <wp:cNvGraphicFramePr/>
                <a:graphic xmlns:a="http://schemas.openxmlformats.org/drawingml/2006/main">
                  <a:graphicData uri="http://schemas.microsoft.com/office/word/2010/wordprocessingShape">
                    <wps:wsp>
                      <wps:cNvSpPr/>
                      <wps:spPr>
                        <a:xfrm>
                          <a:off x="0" y="0"/>
                          <a:ext cx="2527134" cy="1612265"/>
                        </a:xfrm>
                        <a:prstGeom prst="rect">
                          <a:avLst/>
                        </a:prstGeom>
                        <a:solidFill>
                          <a:schemeClr val="accent2">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B9BB2B7" w14:textId="77777777" w:rsidR="00BE54AE" w:rsidRDefault="00BE54AE" w:rsidP="002327C7">
                            <w:pPr>
                              <w:spacing w:line="240" w:lineRule="auto"/>
                              <w:jc w:val="center"/>
                              <w:rPr>
                                <w:b/>
                                <w:bCs/>
                              </w:rPr>
                            </w:pPr>
                          </w:p>
                          <w:p w14:paraId="62F8C025" w14:textId="595777CC" w:rsidR="00855AB3" w:rsidRPr="00BE54AE" w:rsidRDefault="00D80853" w:rsidP="002327C7">
                            <w:pPr>
                              <w:spacing w:line="240" w:lineRule="auto"/>
                              <w:jc w:val="center"/>
                              <w:rPr>
                                <w:rFonts w:ascii="Times New Roman" w:hAnsi="Times New Roman" w:cs="Times New Roman"/>
                                <w:b/>
                                <w:bCs/>
                                <w:sz w:val="24"/>
                                <w:szCs w:val="24"/>
                              </w:rPr>
                            </w:pPr>
                            <w:r w:rsidRPr="00BE54AE">
                              <w:rPr>
                                <w:rFonts w:ascii="Times New Roman" w:hAnsi="Times New Roman" w:cs="Times New Roman"/>
                                <w:b/>
                                <w:bCs/>
                                <w:sz w:val="24"/>
                                <w:szCs w:val="24"/>
                              </w:rPr>
                              <w:t>KEEP SATISFIED</w:t>
                            </w:r>
                          </w:p>
                          <w:p w14:paraId="3A2195C5" w14:textId="7048FA29" w:rsidR="00D80853" w:rsidRPr="00BE54AE" w:rsidRDefault="00D80853" w:rsidP="002327C7">
                            <w:pPr>
                              <w:spacing w:line="240" w:lineRule="auto"/>
                              <w:jc w:val="center"/>
                              <w:rPr>
                                <w:rFonts w:ascii="Times New Roman" w:hAnsi="Times New Roman" w:cs="Times New Roman"/>
                                <w:sz w:val="24"/>
                                <w:szCs w:val="24"/>
                              </w:rPr>
                            </w:pPr>
                            <w:r w:rsidRPr="00BE54AE">
                              <w:rPr>
                                <w:rFonts w:ascii="Times New Roman" w:hAnsi="Times New Roman" w:cs="Times New Roman"/>
                                <w:sz w:val="24"/>
                                <w:szCs w:val="24"/>
                              </w:rPr>
                              <w:t>(High Power</w:t>
                            </w:r>
                            <w:r w:rsidR="00B85BBE" w:rsidRPr="00BE54AE">
                              <w:rPr>
                                <w:rFonts w:ascii="Times New Roman" w:hAnsi="Times New Roman" w:cs="Times New Roman"/>
                                <w:sz w:val="24"/>
                                <w:szCs w:val="24"/>
                              </w:rPr>
                              <w:t>/ Low interest</w:t>
                            </w:r>
                            <w:r w:rsidRPr="00BE54AE">
                              <w:rPr>
                                <w:rFonts w:ascii="Times New Roman" w:hAnsi="Times New Roman" w:cs="Times New Roman"/>
                                <w:sz w:val="24"/>
                                <w:szCs w:val="24"/>
                              </w:rPr>
                              <w:t>)</w:t>
                            </w:r>
                          </w:p>
                          <w:p w14:paraId="311CE7D7" w14:textId="699B2DDA" w:rsidR="00855AB3" w:rsidRPr="00BE54AE" w:rsidRDefault="002327C7" w:rsidP="00722C00">
                            <w:pPr>
                              <w:pStyle w:val="ListParagraph"/>
                              <w:numPr>
                                <w:ilvl w:val="0"/>
                                <w:numId w:val="20"/>
                              </w:numPr>
                              <w:spacing w:line="240" w:lineRule="auto"/>
                              <w:rPr>
                                <w:rFonts w:ascii="Times New Roman" w:hAnsi="Times New Roman" w:cs="Times New Roman"/>
                                <w:sz w:val="24"/>
                                <w:szCs w:val="24"/>
                              </w:rPr>
                            </w:pPr>
                            <w:r w:rsidRPr="00BE54AE">
                              <w:rPr>
                                <w:rFonts w:ascii="Times New Roman" w:hAnsi="Times New Roman" w:cs="Times New Roman"/>
                                <w:sz w:val="24"/>
                                <w:szCs w:val="24"/>
                              </w:rPr>
                              <w:t>R</w:t>
                            </w:r>
                            <w:r w:rsidR="00B85BBE" w:rsidRPr="00BE54AE">
                              <w:rPr>
                                <w:rFonts w:ascii="Times New Roman" w:hAnsi="Times New Roman" w:cs="Times New Roman"/>
                                <w:sz w:val="24"/>
                                <w:szCs w:val="24"/>
                              </w:rPr>
                              <w:t>egulator</w:t>
                            </w:r>
                            <w:r w:rsidRPr="00BE54AE">
                              <w:rPr>
                                <w:rFonts w:ascii="Times New Roman" w:hAnsi="Times New Roman" w:cs="Times New Roman"/>
                                <w:sz w:val="24"/>
                                <w:szCs w:val="24"/>
                              </w:rPr>
                              <w:t>s</w:t>
                            </w:r>
                          </w:p>
                          <w:p w14:paraId="48207DD3" w14:textId="77777777" w:rsidR="00855AB3" w:rsidRDefault="00855AB3" w:rsidP="00855AB3">
                            <w:pPr>
                              <w:jc w:val="center"/>
                            </w:pPr>
                          </w:p>
                          <w:p w14:paraId="77F04D44" w14:textId="77777777" w:rsidR="00855AB3" w:rsidRDefault="00855AB3" w:rsidP="00855A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5DCB8" id="_x0000_s1028" style="position:absolute;left:0;text-align:left;margin-left:32.35pt;margin-top:15.5pt;width:199pt;height:126.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" fillcolor="#943634 [2405]" strokecolor="#4579b8 [3044]">
                <v:shadow on="t" color="black" opacity="22937f" origin=",.5" offset="0,.63889mm"/>
                <v:textbox>
                  <w:txbxContent>
                    <w:p w14:paraId="0B9BB2B7" w14:textId="77777777" w:rsidR="00BE54AE" w:rsidRDefault="00BE54AE" w:rsidP="002327C7">
                      <w:pPr>
                        <w:spacing w:line="240" w:lineRule="auto"/>
                        <w:jc w:val="center"/>
                        <w:rPr>
                          <w:b/>
                          <w:bCs/>
                        </w:rPr>
                      </w:pPr>
                    </w:p>
                    <w:p w14:paraId="62F8C025" w14:textId="595777CC" w:rsidR="00855AB3" w:rsidRPr="00BE54AE" w:rsidRDefault="00D80853" w:rsidP="002327C7">
                      <w:pPr>
                        <w:spacing w:line="240" w:lineRule="auto"/>
                        <w:jc w:val="center"/>
                        <w:rPr>
                          <w:rFonts w:ascii="Times New Roman" w:hAnsi="Times New Roman" w:cs="Times New Roman"/>
                          <w:b/>
                          <w:bCs/>
                          <w:sz w:val="24"/>
                          <w:szCs w:val="24"/>
                        </w:rPr>
                      </w:pPr>
                      <w:r w:rsidRPr="00BE54AE">
                        <w:rPr>
                          <w:rFonts w:ascii="Times New Roman" w:hAnsi="Times New Roman" w:cs="Times New Roman"/>
                          <w:b/>
                          <w:bCs/>
                          <w:sz w:val="24"/>
                          <w:szCs w:val="24"/>
                        </w:rPr>
                        <w:t>KEEP SATISFIED</w:t>
                      </w:r>
                    </w:p>
                    <w:p w14:paraId="3A2195C5" w14:textId="7048FA29" w:rsidR="00D80853" w:rsidRPr="00BE54AE" w:rsidRDefault="00D80853" w:rsidP="002327C7">
                      <w:pPr>
                        <w:spacing w:line="240" w:lineRule="auto"/>
                        <w:jc w:val="center"/>
                        <w:rPr>
                          <w:rFonts w:ascii="Times New Roman" w:hAnsi="Times New Roman" w:cs="Times New Roman"/>
                          <w:sz w:val="24"/>
                          <w:szCs w:val="24"/>
                        </w:rPr>
                      </w:pPr>
                      <w:r w:rsidRPr="00BE54AE">
                        <w:rPr>
                          <w:rFonts w:ascii="Times New Roman" w:hAnsi="Times New Roman" w:cs="Times New Roman"/>
                          <w:sz w:val="24"/>
                          <w:szCs w:val="24"/>
                        </w:rPr>
                        <w:t>(High Power</w:t>
                      </w:r>
                      <w:r w:rsidR="00B85BBE" w:rsidRPr="00BE54AE">
                        <w:rPr>
                          <w:rFonts w:ascii="Times New Roman" w:hAnsi="Times New Roman" w:cs="Times New Roman"/>
                          <w:sz w:val="24"/>
                          <w:szCs w:val="24"/>
                        </w:rPr>
                        <w:t>/ Low interest</w:t>
                      </w:r>
                      <w:r w:rsidRPr="00BE54AE">
                        <w:rPr>
                          <w:rFonts w:ascii="Times New Roman" w:hAnsi="Times New Roman" w:cs="Times New Roman"/>
                          <w:sz w:val="24"/>
                          <w:szCs w:val="24"/>
                        </w:rPr>
                        <w:t>)</w:t>
                      </w:r>
                    </w:p>
                    <w:p w14:paraId="311CE7D7" w14:textId="699B2DDA" w:rsidR="00855AB3" w:rsidRPr="00BE54AE" w:rsidRDefault="002327C7" w:rsidP="00722C00">
                      <w:pPr>
                        <w:pStyle w:val="ListParagraph"/>
                        <w:numPr>
                          <w:ilvl w:val="0"/>
                          <w:numId w:val="20"/>
                        </w:numPr>
                        <w:spacing w:line="240" w:lineRule="auto"/>
                        <w:rPr>
                          <w:rFonts w:ascii="Times New Roman" w:hAnsi="Times New Roman" w:cs="Times New Roman"/>
                          <w:sz w:val="24"/>
                          <w:szCs w:val="24"/>
                        </w:rPr>
                      </w:pPr>
                      <w:r w:rsidRPr="00BE54AE">
                        <w:rPr>
                          <w:rFonts w:ascii="Times New Roman" w:hAnsi="Times New Roman" w:cs="Times New Roman"/>
                          <w:sz w:val="24"/>
                          <w:szCs w:val="24"/>
                        </w:rPr>
                        <w:t>R</w:t>
                      </w:r>
                      <w:r w:rsidR="00B85BBE" w:rsidRPr="00BE54AE">
                        <w:rPr>
                          <w:rFonts w:ascii="Times New Roman" w:hAnsi="Times New Roman" w:cs="Times New Roman"/>
                          <w:sz w:val="24"/>
                          <w:szCs w:val="24"/>
                        </w:rPr>
                        <w:t>egulator</w:t>
                      </w:r>
                      <w:r w:rsidRPr="00BE54AE">
                        <w:rPr>
                          <w:rFonts w:ascii="Times New Roman" w:hAnsi="Times New Roman" w:cs="Times New Roman"/>
                          <w:sz w:val="24"/>
                          <w:szCs w:val="24"/>
                        </w:rPr>
                        <w:t>s</w:t>
                      </w:r>
                    </w:p>
                    <w:p w14:paraId="48207DD3" w14:textId="77777777" w:rsidR="00855AB3" w:rsidRDefault="00855AB3" w:rsidP="00855AB3">
                      <w:pPr>
                        <w:jc w:val="center"/>
                      </w:pPr>
                    </w:p>
                    <w:p w14:paraId="77F04D44" w14:textId="77777777" w:rsidR="00855AB3" w:rsidRDefault="00855AB3" w:rsidP="00855AB3">
                      <w:pPr>
                        <w:jc w:val="center"/>
                      </w:pPr>
                    </w:p>
                  </w:txbxContent>
                </v:textbox>
              </v:rect>
            </w:pict>
          </mc:Fallback>
        </mc:AlternateContent>
      </w:r>
    </w:p>
    <w:p w14:paraId="63E9FF42" w14:textId="787F979A" w:rsidR="00AB295D" w:rsidRPr="004811DC" w:rsidRDefault="00AB295D" w:rsidP="00C250BF">
      <w:pPr>
        <w:spacing w:after="120"/>
        <w:jc w:val="both"/>
        <w:rPr>
          <w:rFonts w:ascii="Times New Roman" w:hAnsi="Times New Roman" w:cs="Times New Roman"/>
          <w:sz w:val="24"/>
          <w:szCs w:val="24"/>
        </w:rPr>
      </w:pPr>
    </w:p>
    <w:p w14:paraId="48BAF51D" w14:textId="3CCAFA6F" w:rsidR="00AB295D" w:rsidRPr="004811DC" w:rsidRDefault="00AB295D" w:rsidP="00C250BF">
      <w:pPr>
        <w:spacing w:after="120"/>
        <w:jc w:val="both"/>
        <w:rPr>
          <w:rFonts w:ascii="Times New Roman" w:hAnsi="Times New Roman" w:cs="Times New Roman"/>
          <w:sz w:val="24"/>
          <w:szCs w:val="24"/>
        </w:rPr>
      </w:pPr>
    </w:p>
    <w:p w14:paraId="6A327E64" w14:textId="593F5381" w:rsidR="00AB295D" w:rsidRPr="004811DC" w:rsidRDefault="00AB295D" w:rsidP="00C250BF">
      <w:pPr>
        <w:spacing w:after="120"/>
        <w:jc w:val="both"/>
        <w:rPr>
          <w:rFonts w:ascii="Times New Roman" w:hAnsi="Times New Roman" w:cs="Times New Roman"/>
          <w:sz w:val="24"/>
          <w:szCs w:val="24"/>
        </w:rPr>
      </w:pPr>
    </w:p>
    <w:p w14:paraId="42A45804" w14:textId="2FF022A7" w:rsidR="00AB295D" w:rsidRPr="004811DC" w:rsidRDefault="00AB295D" w:rsidP="00C250BF">
      <w:pPr>
        <w:spacing w:after="120"/>
        <w:jc w:val="both"/>
        <w:rPr>
          <w:rFonts w:ascii="Times New Roman" w:hAnsi="Times New Roman" w:cs="Times New Roman"/>
          <w:sz w:val="24"/>
          <w:szCs w:val="24"/>
        </w:rPr>
      </w:pPr>
    </w:p>
    <w:p w14:paraId="3C0E44F0" w14:textId="3BEBB7F9" w:rsidR="00AB295D" w:rsidRPr="004811DC" w:rsidRDefault="00CB511B" w:rsidP="00C250BF">
      <w:pPr>
        <w:spacing w:after="120"/>
        <w:jc w:val="both"/>
        <w:rPr>
          <w:rFonts w:ascii="Times New Roman" w:hAnsi="Times New Roman" w:cs="Times New Roman"/>
          <w:sz w:val="24"/>
          <w:szCs w:val="24"/>
        </w:rPr>
      </w:pPr>
      <w:r w:rsidRPr="004811DC">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5D2EEA3D" wp14:editId="2FDF91DF">
                <wp:simplePos x="0" y="0"/>
                <wp:positionH relativeFrom="column">
                  <wp:posOffset>3066121</wp:posOffset>
                </wp:positionH>
                <wp:positionV relativeFrom="paragraph">
                  <wp:posOffset>168995</wp:posOffset>
                </wp:positionV>
                <wp:extent cx="2682125" cy="1605678"/>
                <wp:effectExtent l="57150" t="19050" r="80645" b="90170"/>
                <wp:wrapNone/>
                <wp:docPr id="471188277" name="Rectangle 2"/>
                <wp:cNvGraphicFramePr/>
                <a:graphic xmlns:a="http://schemas.openxmlformats.org/drawingml/2006/main">
                  <a:graphicData uri="http://schemas.microsoft.com/office/word/2010/wordprocessingShape">
                    <wps:wsp>
                      <wps:cNvSpPr/>
                      <wps:spPr>
                        <a:xfrm>
                          <a:off x="0" y="0"/>
                          <a:ext cx="2682125" cy="1605678"/>
                        </a:xfrm>
                        <a:prstGeom prst="rect">
                          <a:avLst/>
                        </a:prstGeom>
                        <a:solidFill>
                          <a:schemeClr val="accent5">
                            <a:lumMod val="50000"/>
                          </a:schemeClr>
                        </a:solidFill>
                      </wps:spPr>
                      <wps:style>
                        <a:lnRef idx="1">
                          <a:schemeClr val="accent1"/>
                        </a:lnRef>
                        <a:fillRef idx="3">
                          <a:schemeClr val="accent1"/>
                        </a:fillRef>
                        <a:effectRef idx="2">
                          <a:schemeClr val="accent1"/>
                        </a:effectRef>
                        <a:fontRef idx="minor">
                          <a:schemeClr val="lt1"/>
                        </a:fontRef>
                      </wps:style>
                      <wps:txbx>
                        <w:txbxContent>
                          <w:p w14:paraId="7C32EBB3" w14:textId="49FDA173" w:rsidR="00CF41A9" w:rsidRPr="0077425F" w:rsidRDefault="00CF41A9" w:rsidP="006B0D13">
                            <w:pPr>
                              <w:ind w:firstLine="720"/>
                              <w:rPr>
                                <w:rFonts w:ascii="Times New Roman" w:hAnsi="Times New Roman" w:cs="Times New Roman"/>
                                <w:sz w:val="24"/>
                                <w:szCs w:val="24"/>
                              </w:rPr>
                            </w:pPr>
                            <w:r w:rsidRPr="0077425F">
                              <w:rPr>
                                <w:rFonts w:ascii="Times New Roman" w:hAnsi="Times New Roman" w:cs="Times New Roman"/>
                                <w:sz w:val="24"/>
                                <w:szCs w:val="24"/>
                              </w:rPr>
                              <w:t>KEEP INFORMED</w:t>
                            </w:r>
                          </w:p>
                          <w:p w14:paraId="45C40D5C" w14:textId="1965D4BD" w:rsidR="00CF41A9" w:rsidRDefault="00CF41A9" w:rsidP="00F17557">
                            <w:pPr>
                              <w:spacing w:line="240" w:lineRule="auto"/>
                              <w:jc w:val="center"/>
                              <w:rPr>
                                <w:rFonts w:ascii="Times New Roman" w:hAnsi="Times New Roman" w:cs="Times New Roman"/>
                                <w:sz w:val="24"/>
                                <w:szCs w:val="24"/>
                              </w:rPr>
                            </w:pPr>
                            <w:r w:rsidRPr="0077425F">
                              <w:rPr>
                                <w:rFonts w:ascii="Times New Roman" w:hAnsi="Times New Roman" w:cs="Times New Roman"/>
                                <w:sz w:val="24"/>
                                <w:szCs w:val="24"/>
                              </w:rPr>
                              <w:t>(Low Power/ High Interest)</w:t>
                            </w:r>
                          </w:p>
                          <w:p w14:paraId="4A004B45" w14:textId="14370035" w:rsidR="00351BD7" w:rsidRPr="0077425F" w:rsidRDefault="00351BD7" w:rsidP="00F17557">
                            <w:pPr>
                              <w:pStyle w:val="ListParagraph"/>
                              <w:numPr>
                                <w:ilvl w:val="0"/>
                                <w:numId w:val="23"/>
                              </w:numPr>
                              <w:spacing w:line="240" w:lineRule="auto"/>
                              <w:rPr>
                                <w:rFonts w:ascii="Times New Roman" w:hAnsi="Times New Roman" w:cs="Times New Roman"/>
                                <w:sz w:val="24"/>
                                <w:szCs w:val="24"/>
                              </w:rPr>
                            </w:pPr>
                            <w:r w:rsidRPr="0077425F">
                              <w:rPr>
                                <w:rFonts w:ascii="Times New Roman" w:hAnsi="Times New Roman" w:cs="Times New Roman"/>
                                <w:sz w:val="24"/>
                                <w:szCs w:val="24"/>
                              </w:rPr>
                              <w:t>Guest/ Bonvoy members</w:t>
                            </w:r>
                          </w:p>
                          <w:p w14:paraId="6D373E03" w14:textId="45A0EF00" w:rsidR="00832D04" w:rsidRDefault="00832D04" w:rsidP="0077425F">
                            <w:pPr>
                              <w:pStyle w:val="ListParagraph"/>
                              <w:spacing w:line="240" w:lineRule="auto"/>
                            </w:pPr>
                          </w:p>
                          <w:p w14:paraId="541744EC" w14:textId="77777777" w:rsidR="006B0D13" w:rsidRDefault="006B0D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EEA3D" id="_x0000_s1029" style="position:absolute;left:0;text-align:left;margin-left:241.45pt;margin-top:13.3pt;width:211.2pt;height:126.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" fillcolor="#205867 [1608]" strokecolor="#4579b8 [3044]">
                <v:shadow on="t" color="black" opacity="22937f" origin=",.5" offset="0,.63889mm"/>
                <v:textbox>
                  <w:txbxContent>
                    <w:p w14:paraId="7C32EBB3" w14:textId="49FDA173" w:rsidR="00CF41A9" w:rsidRPr="0077425F" w:rsidRDefault="00CF41A9" w:rsidP="006B0D13">
                      <w:pPr>
                        <w:ind w:firstLine="720"/>
                        <w:rPr>
                          <w:rFonts w:ascii="Times New Roman" w:hAnsi="Times New Roman" w:cs="Times New Roman"/>
                          <w:sz w:val="24"/>
                          <w:szCs w:val="24"/>
                        </w:rPr>
                      </w:pPr>
                      <w:r w:rsidRPr="0077425F">
                        <w:rPr>
                          <w:rFonts w:ascii="Times New Roman" w:hAnsi="Times New Roman" w:cs="Times New Roman"/>
                          <w:sz w:val="24"/>
                          <w:szCs w:val="24"/>
                        </w:rPr>
                        <w:t>KEEP INFORMED</w:t>
                      </w:r>
                    </w:p>
                    <w:p w14:paraId="45C40D5C" w14:textId="1965D4BD" w:rsidR="00CF41A9" w:rsidRDefault="00CF41A9" w:rsidP="00F17557">
                      <w:pPr>
                        <w:spacing w:line="240" w:lineRule="auto"/>
                        <w:jc w:val="center"/>
                        <w:rPr>
                          <w:rFonts w:ascii="Times New Roman" w:hAnsi="Times New Roman" w:cs="Times New Roman"/>
                          <w:sz w:val="24"/>
                          <w:szCs w:val="24"/>
                        </w:rPr>
                      </w:pPr>
                      <w:r w:rsidRPr="0077425F">
                        <w:rPr>
                          <w:rFonts w:ascii="Times New Roman" w:hAnsi="Times New Roman" w:cs="Times New Roman"/>
                          <w:sz w:val="24"/>
                          <w:szCs w:val="24"/>
                        </w:rPr>
                        <w:t>(Low Power/ High Interest)</w:t>
                      </w:r>
                    </w:p>
                    <w:p w14:paraId="4A004B45" w14:textId="14370035" w:rsidR="00351BD7" w:rsidRPr="0077425F" w:rsidRDefault="00351BD7" w:rsidP="00F17557">
                      <w:pPr>
                        <w:pStyle w:val="ListParagraph"/>
                        <w:numPr>
                          <w:ilvl w:val="0"/>
                          <w:numId w:val="23"/>
                        </w:numPr>
                        <w:spacing w:line="240" w:lineRule="auto"/>
                        <w:rPr>
                          <w:rFonts w:ascii="Times New Roman" w:hAnsi="Times New Roman" w:cs="Times New Roman"/>
                          <w:sz w:val="24"/>
                          <w:szCs w:val="24"/>
                        </w:rPr>
                      </w:pPr>
                      <w:r w:rsidRPr="0077425F">
                        <w:rPr>
                          <w:rFonts w:ascii="Times New Roman" w:hAnsi="Times New Roman" w:cs="Times New Roman"/>
                          <w:sz w:val="24"/>
                          <w:szCs w:val="24"/>
                        </w:rPr>
                        <w:t>Guest/ Bonvoy members</w:t>
                      </w:r>
                    </w:p>
                    <w:p w14:paraId="6D373E03" w14:textId="45A0EF00" w:rsidR="00832D04" w:rsidRDefault="00832D04" w:rsidP="0077425F">
                      <w:pPr>
                        <w:pStyle w:val="ListParagraph"/>
                        <w:spacing w:line="240" w:lineRule="auto"/>
                      </w:pPr>
                    </w:p>
                    <w:p w14:paraId="541744EC" w14:textId="77777777" w:rsidR="006B0D13" w:rsidRDefault="006B0D13"/>
                  </w:txbxContent>
                </v:textbox>
              </v:rect>
            </w:pict>
          </mc:Fallback>
        </mc:AlternateContent>
      </w:r>
      <w:r w:rsidR="00AC6FDE" w:rsidRPr="004811DC">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553D664B" wp14:editId="12BE89C9">
                <wp:simplePos x="0" y="0"/>
                <wp:positionH relativeFrom="column">
                  <wp:posOffset>426674</wp:posOffset>
                </wp:positionH>
                <wp:positionV relativeFrom="paragraph">
                  <wp:posOffset>176843</wp:posOffset>
                </wp:positionV>
                <wp:extent cx="2523803" cy="1609603"/>
                <wp:effectExtent l="57150" t="19050" r="67310" b="86360"/>
                <wp:wrapNone/>
                <wp:docPr id="1360759159" name="Rectangle 2"/>
                <wp:cNvGraphicFramePr/>
                <a:graphic xmlns:a="http://schemas.openxmlformats.org/drawingml/2006/main">
                  <a:graphicData uri="http://schemas.microsoft.com/office/word/2010/wordprocessingShape">
                    <wps:wsp>
                      <wps:cNvSpPr/>
                      <wps:spPr>
                        <a:xfrm>
                          <a:off x="0" y="0"/>
                          <a:ext cx="2523803" cy="1609603"/>
                        </a:xfrm>
                        <a:prstGeom prst="rect">
                          <a:avLst/>
                        </a:prstGeom>
                        <a:solidFill>
                          <a:schemeClr val="accent3">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0C4C2D6" w14:textId="6595C974" w:rsidR="00A16C8A" w:rsidRPr="00C229A8" w:rsidRDefault="00A16C8A" w:rsidP="0024302D">
                            <w:pPr>
                              <w:ind w:firstLine="720"/>
                              <w:jc w:val="both"/>
                              <w:rPr>
                                <w:rFonts w:ascii="Times New Roman" w:hAnsi="Times New Roman" w:cs="Times New Roman"/>
                                <w:b/>
                                <w:bCs/>
                                <w:sz w:val="24"/>
                                <w:szCs w:val="24"/>
                              </w:rPr>
                            </w:pPr>
                            <w:r w:rsidRPr="00C229A8">
                              <w:rPr>
                                <w:rFonts w:ascii="Times New Roman" w:hAnsi="Times New Roman" w:cs="Times New Roman"/>
                                <w:b/>
                                <w:bCs/>
                                <w:sz w:val="24"/>
                                <w:szCs w:val="24"/>
                              </w:rPr>
                              <w:t>MONITOR</w:t>
                            </w:r>
                          </w:p>
                          <w:p w14:paraId="36C3FECD" w14:textId="55C326B8" w:rsidR="00A16C8A" w:rsidRPr="00C229A8" w:rsidRDefault="00A16C8A" w:rsidP="0024302D">
                            <w:pPr>
                              <w:jc w:val="both"/>
                              <w:rPr>
                                <w:rFonts w:ascii="Times New Roman" w:hAnsi="Times New Roman" w:cs="Times New Roman"/>
                                <w:sz w:val="24"/>
                                <w:szCs w:val="24"/>
                              </w:rPr>
                            </w:pPr>
                            <w:r w:rsidRPr="00C229A8">
                              <w:rPr>
                                <w:rFonts w:ascii="Times New Roman" w:hAnsi="Times New Roman" w:cs="Times New Roman"/>
                                <w:sz w:val="24"/>
                                <w:szCs w:val="24"/>
                              </w:rPr>
                              <w:t>(L</w:t>
                            </w:r>
                            <w:r w:rsidR="00FA0EB0" w:rsidRPr="00C229A8">
                              <w:rPr>
                                <w:rFonts w:ascii="Times New Roman" w:hAnsi="Times New Roman" w:cs="Times New Roman"/>
                                <w:sz w:val="24"/>
                                <w:szCs w:val="24"/>
                              </w:rPr>
                              <w:t>ow Power/Low Interest</w:t>
                            </w:r>
                            <w:r w:rsidRPr="00C229A8">
                              <w:rPr>
                                <w:rFonts w:ascii="Times New Roman" w:hAnsi="Times New Roman" w:cs="Times New Roman"/>
                                <w:sz w:val="24"/>
                                <w:szCs w:val="24"/>
                              </w:rPr>
                              <w:t>)</w:t>
                            </w:r>
                          </w:p>
                          <w:p w14:paraId="36701B01" w14:textId="5F21E296" w:rsidR="003D0D2E" w:rsidRPr="00C229A8" w:rsidRDefault="003D0D2E" w:rsidP="0024302D">
                            <w:pPr>
                              <w:pStyle w:val="ListParagraph"/>
                              <w:numPr>
                                <w:ilvl w:val="0"/>
                                <w:numId w:val="22"/>
                              </w:numPr>
                              <w:jc w:val="both"/>
                              <w:rPr>
                                <w:rFonts w:ascii="Times New Roman" w:hAnsi="Times New Roman" w:cs="Times New Roman"/>
                                <w:sz w:val="24"/>
                                <w:szCs w:val="24"/>
                              </w:rPr>
                            </w:pPr>
                            <w:r w:rsidRPr="00C229A8">
                              <w:rPr>
                                <w:rFonts w:ascii="Times New Roman" w:hAnsi="Times New Roman" w:cs="Times New Roman"/>
                                <w:sz w:val="24"/>
                                <w:szCs w:val="24"/>
                              </w:rPr>
                              <w:t>The wider public</w:t>
                            </w:r>
                          </w:p>
                          <w:p w14:paraId="3F63D7DF" w14:textId="77777777" w:rsidR="00FA0EB0" w:rsidRDefault="00FA0EB0" w:rsidP="00A16C8A">
                            <w:pPr>
                              <w:jc w:val="center"/>
                            </w:pPr>
                          </w:p>
                          <w:p w14:paraId="3CDFA39E" w14:textId="77777777" w:rsidR="00FA0EB0" w:rsidRDefault="00FA0EB0" w:rsidP="00A16C8A">
                            <w:pPr>
                              <w:jc w:val="center"/>
                            </w:pPr>
                          </w:p>
                          <w:p w14:paraId="67EE34D9" w14:textId="77777777" w:rsidR="00FA0EB0" w:rsidRDefault="00FA0EB0" w:rsidP="00A16C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D664B" id="_x0000_s1030" style="position:absolute;left:0;text-align:left;margin-left:33.6pt;margin-top:13.9pt;width:198.7pt;height:126.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" fillcolor="#76923c [2406]" strokecolor="#4579b8 [3044]">
                <v:shadow on="t" color="black" opacity="22937f" origin=",.5" offset="0,.63889mm"/>
                <v:textbox>
                  <w:txbxContent>
                    <w:p w14:paraId="10C4C2D6" w14:textId="6595C974" w:rsidR="00A16C8A" w:rsidRPr="00C229A8" w:rsidRDefault="00A16C8A" w:rsidP="0024302D">
                      <w:pPr>
                        <w:ind w:firstLine="720"/>
                        <w:jc w:val="both"/>
                        <w:rPr>
                          <w:rFonts w:ascii="Times New Roman" w:hAnsi="Times New Roman" w:cs="Times New Roman"/>
                          <w:b/>
                          <w:bCs/>
                          <w:sz w:val="24"/>
                          <w:szCs w:val="24"/>
                        </w:rPr>
                      </w:pPr>
                      <w:r w:rsidRPr="00C229A8">
                        <w:rPr>
                          <w:rFonts w:ascii="Times New Roman" w:hAnsi="Times New Roman" w:cs="Times New Roman"/>
                          <w:b/>
                          <w:bCs/>
                          <w:sz w:val="24"/>
                          <w:szCs w:val="24"/>
                        </w:rPr>
                        <w:t>MONITOR</w:t>
                      </w:r>
                    </w:p>
                    <w:p w14:paraId="36C3FECD" w14:textId="55C326B8" w:rsidR="00A16C8A" w:rsidRPr="00C229A8" w:rsidRDefault="00A16C8A" w:rsidP="0024302D">
                      <w:pPr>
                        <w:jc w:val="both"/>
                        <w:rPr>
                          <w:rFonts w:ascii="Times New Roman" w:hAnsi="Times New Roman" w:cs="Times New Roman"/>
                          <w:sz w:val="24"/>
                          <w:szCs w:val="24"/>
                        </w:rPr>
                      </w:pPr>
                      <w:r w:rsidRPr="00C229A8">
                        <w:rPr>
                          <w:rFonts w:ascii="Times New Roman" w:hAnsi="Times New Roman" w:cs="Times New Roman"/>
                          <w:sz w:val="24"/>
                          <w:szCs w:val="24"/>
                        </w:rPr>
                        <w:t>(L</w:t>
                      </w:r>
                      <w:r w:rsidR="00FA0EB0" w:rsidRPr="00C229A8">
                        <w:rPr>
                          <w:rFonts w:ascii="Times New Roman" w:hAnsi="Times New Roman" w:cs="Times New Roman"/>
                          <w:sz w:val="24"/>
                          <w:szCs w:val="24"/>
                        </w:rPr>
                        <w:t>ow Power/Low Interest</w:t>
                      </w:r>
                      <w:r w:rsidRPr="00C229A8">
                        <w:rPr>
                          <w:rFonts w:ascii="Times New Roman" w:hAnsi="Times New Roman" w:cs="Times New Roman"/>
                          <w:sz w:val="24"/>
                          <w:szCs w:val="24"/>
                        </w:rPr>
                        <w:t>)</w:t>
                      </w:r>
                    </w:p>
                    <w:p w14:paraId="36701B01" w14:textId="5F21E296" w:rsidR="003D0D2E" w:rsidRPr="00C229A8" w:rsidRDefault="003D0D2E" w:rsidP="0024302D">
                      <w:pPr>
                        <w:pStyle w:val="ListParagraph"/>
                        <w:numPr>
                          <w:ilvl w:val="0"/>
                          <w:numId w:val="22"/>
                        </w:numPr>
                        <w:jc w:val="both"/>
                        <w:rPr>
                          <w:rFonts w:ascii="Times New Roman" w:hAnsi="Times New Roman" w:cs="Times New Roman"/>
                          <w:sz w:val="24"/>
                          <w:szCs w:val="24"/>
                        </w:rPr>
                      </w:pPr>
                      <w:r w:rsidRPr="00C229A8">
                        <w:rPr>
                          <w:rFonts w:ascii="Times New Roman" w:hAnsi="Times New Roman" w:cs="Times New Roman"/>
                          <w:sz w:val="24"/>
                          <w:szCs w:val="24"/>
                        </w:rPr>
                        <w:t>The wider public</w:t>
                      </w:r>
                    </w:p>
                    <w:p w14:paraId="3F63D7DF" w14:textId="77777777" w:rsidR="00FA0EB0" w:rsidRDefault="00FA0EB0" w:rsidP="00A16C8A">
                      <w:pPr>
                        <w:jc w:val="center"/>
                      </w:pPr>
                    </w:p>
                    <w:p w14:paraId="3CDFA39E" w14:textId="77777777" w:rsidR="00FA0EB0" w:rsidRDefault="00FA0EB0" w:rsidP="00A16C8A">
                      <w:pPr>
                        <w:jc w:val="center"/>
                      </w:pPr>
                    </w:p>
                    <w:p w14:paraId="67EE34D9" w14:textId="77777777" w:rsidR="00FA0EB0" w:rsidRDefault="00FA0EB0" w:rsidP="00A16C8A">
                      <w:pPr>
                        <w:jc w:val="center"/>
                      </w:pPr>
                    </w:p>
                  </w:txbxContent>
                </v:textbox>
              </v:rect>
            </w:pict>
          </mc:Fallback>
        </mc:AlternateContent>
      </w:r>
    </w:p>
    <w:p w14:paraId="5515FBD1" w14:textId="343E8238" w:rsidR="006205FF" w:rsidRPr="004811DC" w:rsidRDefault="006205FF" w:rsidP="00C85635">
      <w:pPr>
        <w:spacing w:after="120"/>
        <w:rPr>
          <w:rFonts w:ascii="Times New Roman" w:hAnsi="Times New Roman" w:cs="Times New Roman"/>
          <w:sz w:val="24"/>
          <w:szCs w:val="24"/>
        </w:rPr>
      </w:pPr>
    </w:p>
    <w:p w14:paraId="55C72745" w14:textId="39ABD16A" w:rsidR="006205FF" w:rsidRPr="004811DC" w:rsidRDefault="006205FF" w:rsidP="00C85635">
      <w:pPr>
        <w:spacing w:after="120"/>
        <w:rPr>
          <w:rFonts w:ascii="Times New Roman" w:hAnsi="Times New Roman" w:cs="Times New Roman"/>
          <w:sz w:val="24"/>
          <w:szCs w:val="24"/>
        </w:rPr>
      </w:pPr>
    </w:p>
    <w:p w14:paraId="61937A88" w14:textId="70E56C6E" w:rsidR="006205FF" w:rsidRPr="004811DC" w:rsidRDefault="006205FF" w:rsidP="00C85635">
      <w:pPr>
        <w:spacing w:after="120"/>
        <w:rPr>
          <w:rFonts w:ascii="Times New Roman" w:hAnsi="Times New Roman" w:cs="Times New Roman"/>
          <w:sz w:val="24"/>
          <w:szCs w:val="24"/>
        </w:rPr>
      </w:pPr>
    </w:p>
    <w:p w14:paraId="6D1D09A3" w14:textId="0160F027" w:rsidR="006205FF" w:rsidRPr="004811DC" w:rsidRDefault="006205FF" w:rsidP="00C85635">
      <w:pPr>
        <w:spacing w:after="120"/>
        <w:rPr>
          <w:rFonts w:ascii="Times New Roman" w:hAnsi="Times New Roman" w:cs="Times New Roman"/>
          <w:sz w:val="24"/>
          <w:szCs w:val="24"/>
        </w:rPr>
      </w:pPr>
    </w:p>
    <w:p w14:paraId="0BBC3A85" w14:textId="5C2B1F0C" w:rsidR="00C357C9" w:rsidRDefault="0003795E" w:rsidP="00C85635">
      <w:pPr>
        <w:spacing w:after="120"/>
        <w:rPr>
          <w:rFonts w:ascii="Times New Roman" w:hAnsi="Times New Roman" w:cs="Times New Roman"/>
          <w:sz w:val="24"/>
          <w:szCs w:val="24"/>
        </w:rPr>
      </w:pPr>
      <w:r w:rsidRPr="004811DC">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240A31F0" wp14:editId="22E3D2DC">
                <wp:simplePos x="0" y="0"/>
                <wp:positionH relativeFrom="column">
                  <wp:posOffset>380557</wp:posOffset>
                </wp:positionH>
                <wp:positionV relativeFrom="paragraph">
                  <wp:posOffset>43538</wp:posOffset>
                </wp:positionV>
                <wp:extent cx="5861329" cy="487045"/>
                <wp:effectExtent l="57150" t="38100" r="82550" b="122555"/>
                <wp:wrapNone/>
                <wp:docPr id="198444601" name="Arrow: Right 3"/>
                <wp:cNvGraphicFramePr/>
                <a:graphic xmlns:a="http://schemas.openxmlformats.org/drawingml/2006/main">
                  <a:graphicData uri="http://schemas.microsoft.com/office/word/2010/wordprocessingShape">
                    <wps:wsp>
                      <wps:cNvSpPr/>
                      <wps:spPr>
                        <a:xfrm>
                          <a:off x="0" y="0"/>
                          <a:ext cx="5861329" cy="487045"/>
                        </a:xfrm>
                        <a:prstGeom prst="rightArrow">
                          <a:avLst/>
                        </a:prstGeom>
                        <a:solidFill>
                          <a:schemeClr val="bg1">
                            <a:lumMod val="50000"/>
                          </a:schemeClr>
                        </a:solidFill>
                      </wps:spPr>
                      <wps:style>
                        <a:lnRef idx="1">
                          <a:schemeClr val="accent1"/>
                        </a:lnRef>
                        <a:fillRef idx="3">
                          <a:schemeClr val="accent1"/>
                        </a:fillRef>
                        <a:effectRef idx="2">
                          <a:schemeClr val="accent1"/>
                        </a:effectRef>
                        <a:fontRef idx="minor">
                          <a:schemeClr val="lt1"/>
                        </a:fontRef>
                      </wps:style>
                      <wps:txbx>
                        <w:txbxContent>
                          <w:p w14:paraId="0EC08A5B" w14:textId="65D11D75" w:rsidR="00DA464F" w:rsidRDefault="007D7964" w:rsidP="00DA3A51">
                            <w:r>
                              <w:t xml:space="preserve">LOW </w:t>
                            </w:r>
                            <w:r w:rsidR="00DA3A51">
                              <w:tab/>
                            </w:r>
                            <w:r w:rsidR="00DA3A51">
                              <w:tab/>
                            </w:r>
                            <w:r w:rsidR="00DA3A51">
                              <w:tab/>
                            </w:r>
                            <w:r w:rsidR="00DA3A51">
                              <w:tab/>
                            </w:r>
                            <w:r w:rsidR="00DA3A51">
                              <w:tab/>
                            </w:r>
                            <w:r w:rsidR="000F25F9">
                              <w:t>INTER</w:t>
                            </w:r>
                            <w:r>
                              <w:t>EST</w:t>
                            </w:r>
                            <w:r w:rsidR="00B32417">
                              <w:t xml:space="preserve">      </w:t>
                            </w:r>
                            <w:r w:rsidR="00DA3A51">
                              <w:tab/>
                            </w:r>
                            <w:r w:rsidR="00DA3A51">
                              <w:tab/>
                              <w:t xml:space="preserve">                </w:t>
                            </w:r>
                            <w:r w:rsidR="00B32417">
                              <w:t xml:space="preserve">           </w:t>
                            </w:r>
                            <w:r w:rsidR="0014790B">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0A31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31" type="#_x0000_t13" style="position:absolute;margin-left:29.95pt;margin-top:3.45pt;width:461.5pt;height:3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" adj="20703" fillcolor="#7f7f7f [1612]" strokecolor="#4579b8 [3044]">
                <v:shadow on="t" color="black" opacity="22937f" origin=",.5" offset="0,.63889mm"/>
                <v:textbox>
                  <w:txbxContent>
                    <w:p w14:paraId="0EC08A5B" w14:textId="65D11D75" w:rsidR="00DA464F" w:rsidRDefault="007D7964" w:rsidP="00DA3A51">
                      <w:r>
                        <w:t xml:space="preserve">LOW </w:t>
                      </w:r>
                      <w:r w:rsidR="00DA3A51">
                        <w:tab/>
                      </w:r>
                      <w:r w:rsidR="00DA3A51">
                        <w:tab/>
                      </w:r>
                      <w:r w:rsidR="00DA3A51">
                        <w:tab/>
                      </w:r>
                      <w:r w:rsidR="00DA3A51">
                        <w:tab/>
                      </w:r>
                      <w:r w:rsidR="00DA3A51">
                        <w:tab/>
                      </w:r>
                      <w:r w:rsidR="000F25F9">
                        <w:t>INTER</w:t>
                      </w:r>
                      <w:r>
                        <w:t>EST</w:t>
                      </w:r>
                      <w:r w:rsidR="00B32417">
                        <w:t xml:space="preserve">      </w:t>
                      </w:r>
                      <w:r w:rsidR="00DA3A51">
                        <w:tab/>
                      </w:r>
                      <w:r w:rsidR="00DA3A51">
                        <w:tab/>
                        <w:t xml:space="preserve">                </w:t>
                      </w:r>
                      <w:r w:rsidR="00B32417">
                        <w:t xml:space="preserve">           </w:t>
                      </w:r>
                      <w:r w:rsidR="0014790B">
                        <w:t>HIGH</w:t>
                      </w:r>
                    </w:p>
                  </w:txbxContent>
                </v:textbox>
              </v:shape>
            </w:pict>
          </mc:Fallback>
        </mc:AlternateContent>
      </w:r>
    </w:p>
    <w:p w14:paraId="5597242C" w14:textId="25C04531" w:rsidR="006205FF" w:rsidRPr="004811DC" w:rsidRDefault="006205FF" w:rsidP="00C85635">
      <w:pPr>
        <w:spacing w:after="120"/>
        <w:rPr>
          <w:rFonts w:ascii="Times New Roman" w:hAnsi="Times New Roman" w:cs="Times New Roman"/>
          <w:sz w:val="24"/>
          <w:szCs w:val="24"/>
        </w:rPr>
      </w:pPr>
    </w:p>
    <w:p w14:paraId="7665C842" w14:textId="7D083596" w:rsidR="006205FF" w:rsidRPr="004811DC" w:rsidRDefault="00E75040" w:rsidP="003D5A4C">
      <w:pPr>
        <w:spacing w:after="120"/>
        <w:jc w:val="both"/>
        <w:rPr>
          <w:rFonts w:ascii="Times New Roman" w:hAnsi="Times New Roman" w:cs="Times New Roman"/>
          <w:sz w:val="24"/>
          <w:szCs w:val="24"/>
        </w:rPr>
      </w:pPr>
      <w:r w:rsidRPr="004811DC">
        <w:rPr>
          <w:rFonts w:ascii="Times New Roman" w:hAnsi="Times New Roman" w:cs="Times New Roman"/>
          <w:sz w:val="24"/>
          <w:szCs w:val="24"/>
        </w:rPr>
        <w:t xml:space="preserve">The Mendelow matrix highlights how different stakeholders should be prioritised based on their level of power and interest. In the “manage closely” quadrant, executive leadership is a key stakeholder due to their high power and high interest, as they control investment decisions and strategic direction. In the “keep satisfied” quadrant, regulators represent stakeholders with high power but lower interest, requiring careful management to ensure compliance without over-engagement. In the “keep informed” quadrant, guests are an important example, as they have </w:t>
      </w:r>
      <w:r w:rsidR="00F16168" w:rsidRPr="004811DC">
        <w:rPr>
          <w:rFonts w:ascii="Times New Roman" w:hAnsi="Times New Roman" w:cs="Times New Roman"/>
          <w:sz w:val="24"/>
          <w:szCs w:val="24"/>
        </w:rPr>
        <w:t xml:space="preserve">a </w:t>
      </w:r>
      <w:r w:rsidRPr="004811DC">
        <w:rPr>
          <w:rFonts w:ascii="Times New Roman" w:hAnsi="Times New Roman" w:cs="Times New Roman"/>
          <w:sz w:val="24"/>
          <w:szCs w:val="24"/>
        </w:rPr>
        <w:t>high interest but limited formal power, yet strongly influence adoption and reputation. Finally, in the “monitor” quadrant, the wider public has low power and low interest but should still be observed for potential changes in perception or external influence.</w:t>
      </w:r>
    </w:p>
    <w:p w14:paraId="0FF73F13" w14:textId="2348289D" w:rsidR="00CF7D74" w:rsidRPr="004811DC" w:rsidRDefault="00E92169"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4</w:t>
      </w:r>
      <w:r w:rsidR="00014699" w:rsidRPr="004811DC">
        <w:rPr>
          <w:rFonts w:ascii="Times New Roman" w:hAnsi="Times New Roman" w:cs="Times New Roman"/>
          <w:b/>
          <w:color w:val="2F5496"/>
          <w:sz w:val="24"/>
          <w:szCs w:val="24"/>
        </w:rPr>
        <w:t>.</w:t>
      </w:r>
      <w:r w:rsidR="00B630E2" w:rsidRPr="004811DC">
        <w:rPr>
          <w:rFonts w:ascii="Times New Roman" w:hAnsi="Times New Roman" w:cs="Times New Roman"/>
          <w:b/>
          <w:color w:val="2F5496"/>
          <w:sz w:val="24"/>
          <w:szCs w:val="24"/>
        </w:rPr>
        <w:t xml:space="preserve">2 </w:t>
      </w:r>
      <w:r w:rsidR="009D4CCC" w:rsidRPr="004811DC">
        <w:rPr>
          <w:rFonts w:ascii="Times New Roman" w:hAnsi="Times New Roman" w:cs="Times New Roman"/>
          <w:b/>
          <w:color w:val="2F5496"/>
          <w:sz w:val="24"/>
          <w:szCs w:val="24"/>
        </w:rPr>
        <w:t>RACI Matrix</w:t>
      </w:r>
    </w:p>
    <w:p w14:paraId="777D93BF" w14:textId="752BE317" w:rsidR="00DB4EC2" w:rsidRPr="004811DC" w:rsidRDefault="00DB4EC2" w:rsidP="008E2BE4">
      <w:pPr>
        <w:spacing w:before="200" w:after="80"/>
        <w:jc w:val="both"/>
        <w:rPr>
          <w:rFonts w:ascii="Times New Roman" w:hAnsi="Times New Roman" w:cs="Times New Roman"/>
          <w:bCs/>
          <w:sz w:val="24"/>
          <w:szCs w:val="24"/>
        </w:rPr>
      </w:pPr>
      <w:r w:rsidRPr="004811DC">
        <w:rPr>
          <w:rFonts w:ascii="Times New Roman" w:hAnsi="Times New Roman" w:cs="Times New Roman"/>
          <w:bCs/>
          <w:sz w:val="24"/>
          <w:szCs w:val="24"/>
        </w:rPr>
        <w:t xml:space="preserve">The RACI matrix is beneficial because it clearly defines roles and responsibilities, ensuring accountability and reducing confusion or duplication in decision-making (Triaster, 2024). </w:t>
      </w:r>
      <w:r w:rsidRPr="004811DC">
        <w:rPr>
          <w:rFonts w:ascii="Times New Roman" w:hAnsi="Times New Roman" w:cs="Times New Roman"/>
          <w:bCs/>
          <w:sz w:val="24"/>
          <w:szCs w:val="24"/>
        </w:rPr>
        <w:lastRenderedPageBreak/>
        <w:t>However, it can present relationships as more fixed than they are in practice, so it should be regularly reviewed and adapted as the project progresses from design to rollout.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76"/>
        <w:gridCol w:w="570"/>
        <w:gridCol w:w="583"/>
        <w:gridCol w:w="630"/>
        <w:gridCol w:w="570"/>
        <w:gridCol w:w="570"/>
        <w:gridCol w:w="640"/>
        <w:gridCol w:w="587"/>
        <w:gridCol w:w="574"/>
        <w:gridCol w:w="585"/>
      </w:tblGrid>
      <w:tr w:rsidR="00881DD0" w:rsidRPr="004811DC" w14:paraId="5C2EA81B" w14:textId="77777777" w:rsidTr="00B07CA7">
        <w:trPr>
          <w:tblHeader/>
          <w:tblCellSpacing w:w="15" w:type="dxa"/>
        </w:trPr>
        <w:tc>
          <w:tcPr>
            <w:tcW w:w="0" w:type="auto"/>
            <w:vAlign w:val="center"/>
            <w:hideMark/>
          </w:tcPr>
          <w:p w14:paraId="1AA29FFE" w14:textId="6DD7EC54" w:rsidR="00C76790" w:rsidRPr="004811DC" w:rsidRDefault="00C76790" w:rsidP="001C3F07">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 xml:space="preserve">Process / </w:t>
            </w:r>
            <w:r w:rsidR="00D12F5C" w:rsidRPr="004811DC">
              <w:rPr>
                <w:rFonts w:ascii="Times New Roman" w:eastAsia="Times New Roman" w:hAnsi="Times New Roman" w:cs="Times New Roman"/>
                <w:b/>
                <w:bCs/>
                <w:sz w:val="24"/>
                <w:szCs w:val="24"/>
                <w:lang w:eastAsia="en-GB"/>
              </w:rPr>
              <w:t>Role</w:t>
            </w:r>
          </w:p>
        </w:tc>
        <w:tc>
          <w:tcPr>
            <w:tcW w:w="0" w:type="auto"/>
            <w:vAlign w:val="center"/>
            <w:hideMark/>
          </w:tcPr>
          <w:p w14:paraId="6BE09F9F"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PM</w:t>
            </w:r>
          </w:p>
        </w:tc>
        <w:tc>
          <w:tcPr>
            <w:tcW w:w="0" w:type="auto"/>
            <w:vAlign w:val="center"/>
            <w:hideMark/>
          </w:tcPr>
          <w:p w14:paraId="23589A7D"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Exec</w:t>
            </w:r>
          </w:p>
        </w:tc>
        <w:tc>
          <w:tcPr>
            <w:tcW w:w="0" w:type="auto"/>
            <w:vAlign w:val="center"/>
            <w:hideMark/>
          </w:tcPr>
          <w:p w14:paraId="192B6D7A"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IT</w:t>
            </w:r>
          </w:p>
        </w:tc>
        <w:tc>
          <w:tcPr>
            <w:tcW w:w="0" w:type="auto"/>
            <w:vAlign w:val="center"/>
            <w:hideMark/>
          </w:tcPr>
          <w:p w14:paraId="3213A069"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Ops</w:t>
            </w:r>
          </w:p>
        </w:tc>
        <w:tc>
          <w:tcPr>
            <w:tcW w:w="0" w:type="auto"/>
            <w:vAlign w:val="center"/>
            <w:hideMark/>
          </w:tcPr>
          <w:p w14:paraId="35FDB3BD"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CS</w:t>
            </w:r>
          </w:p>
        </w:tc>
        <w:tc>
          <w:tcPr>
            <w:tcW w:w="0" w:type="auto"/>
            <w:vAlign w:val="center"/>
            <w:hideMark/>
          </w:tcPr>
          <w:p w14:paraId="60E51A19"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Mktg</w:t>
            </w:r>
          </w:p>
        </w:tc>
        <w:tc>
          <w:tcPr>
            <w:tcW w:w="0" w:type="auto"/>
            <w:vAlign w:val="center"/>
            <w:hideMark/>
          </w:tcPr>
          <w:p w14:paraId="50271303" w14:textId="77777777"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Govt</w:t>
            </w:r>
          </w:p>
        </w:tc>
        <w:tc>
          <w:tcPr>
            <w:tcW w:w="0" w:type="auto"/>
            <w:vAlign w:val="center"/>
            <w:hideMark/>
          </w:tcPr>
          <w:p w14:paraId="06114371" w14:textId="66E76DD8"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C</w:t>
            </w:r>
            <w:r w:rsidR="00366829" w:rsidRPr="004811DC">
              <w:rPr>
                <w:rFonts w:ascii="Times New Roman" w:eastAsia="Times New Roman" w:hAnsi="Times New Roman" w:cs="Times New Roman"/>
                <w:b/>
                <w:bCs/>
                <w:sz w:val="24"/>
                <w:szCs w:val="24"/>
                <w:lang w:eastAsia="en-GB"/>
              </w:rPr>
              <w:t>om</w:t>
            </w:r>
          </w:p>
        </w:tc>
        <w:tc>
          <w:tcPr>
            <w:tcW w:w="0" w:type="auto"/>
            <w:vAlign w:val="center"/>
            <w:hideMark/>
          </w:tcPr>
          <w:p w14:paraId="5F55085C" w14:textId="03394A41" w:rsidR="00C76790" w:rsidRPr="004811DC" w:rsidRDefault="00C76790" w:rsidP="00C76790">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Cus</w:t>
            </w:r>
            <w:r w:rsidR="00881DD0" w:rsidRPr="004811DC">
              <w:rPr>
                <w:rFonts w:ascii="Times New Roman" w:eastAsia="Times New Roman" w:hAnsi="Times New Roman" w:cs="Times New Roman"/>
                <w:b/>
                <w:bCs/>
                <w:sz w:val="24"/>
                <w:szCs w:val="24"/>
                <w:lang w:eastAsia="en-GB"/>
              </w:rPr>
              <w:t>t</w:t>
            </w:r>
          </w:p>
        </w:tc>
      </w:tr>
      <w:tr w:rsidR="00881DD0" w:rsidRPr="004811DC" w14:paraId="1AE5F6EC" w14:textId="77777777" w:rsidTr="00B07CA7">
        <w:trPr>
          <w:tblCellSpacing w:w="15" w:type="dxa"/>
        </w:trPr>
        <w:tc>
          <w:tcPr>
            <w:tcW w:w="0" w:type="auto"/>
            <w:vAlign w:val="center"/>
            <w:hideMark/>
          </w:tcPr>
          <w:p w14:paraId="04F4093A" w14:textId="4ACD92EE"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Stakeholder Plan</w:t>
            </w:r>
            <w:r w:rsidR="007D6133" w:rsidRPr="004811DC">
              <w:rPr>
                <w:rFonts w:ascii="Times New Roman" w:eastAsia="Times New Roman" w:hAnsi="Times New Roman" w:cs="Times New Roman"/>
                <w:b/>
                <w:bCs/>
                <w:sz w:val="24"/>
                <w:szCs w:val="24"/>
                <w:lang w:eastAsia="en-GB"/>
              </w:rPr>
              <w:t>ning</w:t>
            </w:r>
          </w:p>
        </w:tc>
        <w:tc>
          <w:tcPr>
            <w:tcW w:w="0" w:type="auto"/>
            <w:vAlign w:val="center"/>
            <w:hideMark/>
          </w:tcPr>
          <w:p w14:paraId="21129B63" w14:textId="40BBC93E" w:rsidR="00C7679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61DFE9F9" w14:textId="70E8BD8F"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A</w:t>
            </w:r>
          </w:p>
        </w:tc>
        <w:tc>
          <w:tcPr>
            <w:tcW w:w="0" w:type="auto"/>
            <w:vAlign w:val="center"/>
            <w:hideMark/>
          </w:tcPr>
          <w:p w14:paraId="661FDA75" w14:textId="7870078C" w:rsidR="00C7679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6F0CB502" w14:textId="46D0B981" w:rsidR="00C7679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55890D41"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05CE5673"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C</w:t>
            </w:r>
          </w:p>
        </w:tc>
        <w:tc>
          <w:tcPr>
            <w:tcW w:w="0" w:type="auto"/>
            <w:vAlign w:val="center"/>
            <w:hideMark/>
          </w:tcPr>
          <w:p w14:paraId="57D7397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76C47334"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69847E16" w14:textId="4ABB9F0B" w:rsidR="00C76790" w:rsidRPr="004811DC" w:rsidRDefault="00124FE1"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w:t>
            </w:r>
            <w:r w:rsidRPr="004811DC">
              <w:rPr>
                <w:rFonts w:ascii="Times New Roman" w:hAnsi="Times New Roman" w:cs="Times New Roman"/>
                <w:sz w:val="24"/>
                <w:szCs w:val="24"/>
              </w:rPr>
              <w:t>I</w:t>
            </w:r>
            <w:r w:rsidRPr="004811DC">
              <w:rPr>
                <w:rFonts w:ascii="Times New Roman" w:hAnsi="Times New Roman" w:cs="Times New Roman"/>
                <w:b/>
                <w:bCs/>
                <w:sz w:val="24"/>
                <w:szCs w:val="24"/>
              </w:rPr>
              <w:t xml:space="preserve"> </w:t>
            </w:r>
          </w:p>
        </w:tc>
      </w:tr>
      <w:tr w:rsidR="00881DD0" w:rsidRPr="004811DC" w14:paraId="2077CA7D" w14:textId="77777777" w:rsidTr="00B07CA7">
        <w:trPr>
          <w:tblCellSpacing w:w="15" w:type="dxa"/>
        </w:trPr>
        <w:tc>
          <w:tcPr>
            <w:tcW w:w="0" w:type="auto"/>
            <w:vAlign w:val="center"/>
            <w:hideMark/>
          </w:tcPr>
          <w:p w14:paraId="033E88EA" w14:textId="360023F5" w:rsidR="00C76790" w:rsidRPr="004811DC" w:rsidRDefault="00A413C5" w:rsidP="00C76790">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Solution Design (</w:t>
            </w:r>
            <w:r w:rsidR="00142666" w:rsidRPr="004811DC">
              <w:rPr>
                <w:rFonts w:ascii="Times New Roman" w:eastAsia="Times New Roman" w:hAnsi="Times New Roman" w:cs="Times New Roman"/>
                <w:b/>
                <w:bCs/>
                <w:sz w:val="24"/>
                <w:szCs w:val="24"/>
                <w:lang w:eastAsia="en-GB"/>
              </w:rPr>
              <w:t>SS+</w:t>
            </w:r>
            <w:r w:rsidRPr="004811DC">
              <w:rPr>
                <w:rFonts w:ascii="Times New Roman" w:eastAsia="Times New Roman" w:hAnsi="Times New Roman" w:cs="Times New Roman"/>
                <w:b/>
                <w:bCs/>
                <w:sz w:val="24"/>
                <w:szCs w:val="24"/>
                <w:lang w:eastAsia="en-GB"/>
              </w:rPr>
              <w:t>)</w:t>
            </w:r>
          </w:p>
        </w:tc>
        <w:tc>
          <w:tcPr>
            <w:tcW w:w="0" w:type="auto"/>
            <w:vAlign w:val="center"/>
            <w:hideMark/>
          </w:tcPr>
          <w:p w14:paraId="11172FEF" w14:textId="02F0BA32" w:rsidR="00C7679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41969CC6" w14:textId="0EDBFDD4"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A</w:t>
            </w:r>
          </w:p>
        </w:tc>
        <w:tc>
          <w:tcPr>
            <w:tcW w:w="0" w:type="auto"/>
            <w:vAlign w:val="center"/>
            <w:hideMark/>
          </w:tcPr>
          <w:p w14:paraId="4A092435" w14:textId="6210FDB8" w:rsidR="00C76790" w:rsidRPr="004811DC" w:rsidRDefault="0051724B"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5BBEDBA5" w14:textId="155D0CD4" w:rsidR="00C76790" w:rsidRPr="004811DC" w:rsidRDefault="00976FF7"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43FD335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63A767BF" w14:textId="2A17C5FD" w:rsidR="00C76790" w:rsidRPr="004811DC" w:rsidRDefault="00976FF7"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2843EDBE"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51046651"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30D6188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r>
      <w:tr w:rsidR="00A96CD0" w:rsidRPr="004811DC" w14:paraId="11F3DAC5" w14:textId="77777777" w:rsidTr="00B07CA7">
        <w:trPr>
          <w:tblCellSpacing w:w="15" w:type="dxa"/>
        </w:trPr>
        <w:tc>
          <w:tcPr>
            <w:tcW w:w="0" w:type="auto"/>
            <w:vAlign w:val="center"/>
          </w:tcPr>
          <w:p w14:paraId="25375D8B" w14:textId="365A6181" w:rsidR="00A96CD0" w:rsidRPr="004811DC" w:rsidRDefault="008B6E10" w:rsidP="00C76790">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App</w:t>
            </w:r>
            <w:r w:rsidR="0075671B" w:rsidRPr="004811DC">
              <w:rPr>
                <w:rFonts w:ascii="Times New Roman" w:eastAsia="Times New Roman" w:hAnsi="Times New Roman" w:cs="Times New Roman"/>
                <w:b/>
                <w:bCs/>
                <w:sz w:val="24"/>
                <w:szCs w:val="24"/>
                <w:lang w:eastAsia="en-GB"/>
              </w:rPr>
              <w:t xml:space="preserve"> </w:t>
            </w:r>
            <w:r w:rsidRPr="004811DC">
              <w:rPr>
                <w:rFonts w:ascii="Times New Roman" w:eastAsia="Times New Roman" w:hAnsi="Times New Roman" w:cs="Times New Roman"/>
                <w:b/>
                <w:bCs/>
                <w:sz w:val="24"/>
                <w:szCs w:val="24"/>
                <w:lang w:eastAsia="en-GB"/>
              </w:rPr>
              <w:t>Implementation</w:t>
            </w:r>
          </w:p>
        </w:tc>
        <w:tc>
          <w:tcPr>
            <w:tcW w:w="0" w:type="auto"/>
            <w:vAlign w:val="center"/>
          </w:tcPr>
          <w:p w14:paraId="580C602E" w14:textId="62D2E8C9" w:rsidR="00A96CD0" w:rsidRPr="004811DC" w:rsidRDefault="006766C8"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tcPr>
          <w:p w14:paraId="6DD2B7E0" w14:textId="67003919" w:rsidR="00A96CD0" w:rsidRPr="004811DC" w:rsidRDefault="00CD2EDF"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00183DCD" w:rsidRPr="004811DC">
              <w:rPr>
                <w:rFonts w:ascii="Times New Roman" w:hAnsi="Times New Roman" w:cs="Times New Roman"/>
                <w:bCs/>
                <w:sz w:val="24"/>
                <w:szCs w:val="24"/>
              </w:rPr>
              <w:t xml:space="preserve"> I</w:t>
            </w:r>
          </w:p>
        </w:tc>
        <w:tc>
          <w:tcPr>
            <w:tcW w:w="0" w:type="auto"/>
            <w:vAlign w:val="center"/>
          </w:tcPr>
          <w:p w14:paraId="47E4ED2F" w14:textId="458DF294" w:rsidR="00A96CD0" w:rsidRPr="004811DC" w:rsidRDefault="00183DCD"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bCs/>
                <w:sz w:val="24"/>
                <w:szCs w:val="24"/>
              </w:rPr>
              <w:t xml:space="preserve"> R</w:t>
            </w:r>
          </w:p>
        </w:tc>
        <w:tc>
          <w:tcPr>
            <w:tcW w:w="0" w:type="auto"/>
            <w:vAlign w:val="center"/>
          </w:tcPr>
          <w:p w14:paraId="346BF1A0" w14:textId="3ECC29FB" w:rsidR="00A96CD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tcPr>
          <w:p w14:paraId="2C2160E4" w14:textId="350D8E57" w:rsidR="00A96CD0" w:rsidRPr="004811DC" w:rsidRDefault="00EB1BFB"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bCs/>
                <w:sz w:val="24"/>
                <w:szCs w:val="24"/>
              </w:rPr>
              <w:t xml:space="preserve"> I</w:t>
            </w:r>
          </w:p>
        </w:tc>
        <w:tc>
          <w:tcPr>
            <w:tcW w:w="0" w:type="auto"/>
            <w:vAlign w:val="center"/>
          </w:tcPr>
          <w:p w14:paraId="178ED589" w14:textId="799D714B" w:rsidR="00A96CD0" w:rsidRPr="004811DC" w:rsidRDefault="00ED16C2"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tcPr>
          <w:p w14:paraId="5DA29FEA" w14:textId="4C1767DC" w:rsidR="00A96CD0" w:rsidRPr="004811DC" w:rsidRDefault="005468C8"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tcPr>
          <w:p w14:paraId="42DDC839" w14:textId="47067FCE" w:rsidR="00A96CD0" w:rsidRPr="004811DC" w:rsidRDefault="001E66F2"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tcPr>
          <w:p w14:paraId="515701FB" w14:textId="2ABA4C78" w:rsidR="00A96CD0" w:rsidRPr="004811DC" w:rsidRDefault="007F3E4C"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w:t>
            </w:r>
            <w:r w:rsidR="009B7426" w:rsidRPr="004811DC">
              <w:rPr>
                <w:rFonts w:ascii="Times New Roman" w:eastAsia="Times New Roman" w:hAnsi="Times New Roman" w:cs="Times New Roman"/>
                <w:sz w:val="24"/>
                <w:szCs w:val="24"/>
                <w:lang w:eastAsia="en-GB"/>
              </w:rPr>
              <w:t>I</w:t>
            </w:r>
          </w:p>
        </w:tc>
      </w:tr>
      <w:tr w:rsidR="00881DD0" w:rsidRPr="004811DC" w14:paraId="0447A31B" w14:textId="77777777" w:rsidTr="00B07CA7">
        <w:trPr>
          <w:tblCellSpacing w:w="15" w:type="dxa"/>
        </w:trPr>
        <w:tc>
          <w:tcPr>
            <w:tcW w:w="0" w:type="auto"/>
            <w:vAlign w:val="center"/>
            <w:hideMark/>
          </w:tcPr>
          <w:p w14:paraId="2E9FCFEA" w14:textId="1FB623A0" w:rsidR="00C76790" w:rsidRPr="004811DC" w:rsidRDefault="006F7556" w:rsidP="00C76790">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Te</w:t>
            </w:r>
            <w:r w:rsidR="001A3C13" w:rsidRPr="004811DC">
              <w:rPr>
                <w:rFonts w:ascii="Times New Roman" w:eastAsia="Times New Roman" w:hAnsi="Times New Roman" w:cs="Times New Roman"/>
                <w:b/>
                <w:bCs/>
                <w:sz w:val="24"/>
                <w:szCs w:val="24"/>
                <w:lang w:eastAsia="en-GB"/>
              </w:rPr>
              <w:t>s</w:t>
            </w:r>
            <w:r w:rsidRPr="004811DC">
              <w:rPr>
                <w:rFonts w:ascii="Times New Roman" w:eastAsia="Times New Roman" w:hAnsi="Times New Roman" w:cs="Times New Roman"/>
                <w:b/>
                <w:bCs/>
                <w:sz w:val="24"/>
                <w:szCs w:val="24"/>
                <w:lang w:eastAsia="en-GB"/>
              </w:rPr>
              <w:t>ting &amp; Integration</w:t>
            </w:r>
          </w:p>
        </w:tc>
        <w:tc>
          <w:tcPr>
            <w:tcW w:w="0" w:type="auto"/>
            <w:vAlign w:val="center"/>
            <w:hideMark/>
          </w:tcPr>
          <w:p w14:paraId="43F807D1" w14:textId="3A079075" w:rsidR="00C76790" w:rsidRPr="004811DC" w:rsidRDefault="005B0DFD"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1D50C587" w14:textId="6D06E0CE" w:rsidR="00C76790" w:rsidRPr="004811DC" w:rsidRDefault="00216A20"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bCs/>
                <w:sz w:val="24"/>
                <w:szCs w:val="24"/>
              </w:rPr>
              <w:t xml:space="preserve"> I</w:t>
            </w:r>
          </w:p>
        </w:tc>
        <w:tc>
          <w:tcPr>
            <w:tcW w:w="0" w:type="auto"/>
            <w:vAlign w:val="center"/>
            <w:hideMark/>
          </w:tcPr>
          <w:p w14:paraId="3EB69566" w14:textId="2BF6E025" w:rsidR="00C76790" w:rsidRPr="004811DC" w:rsidRDefault="00FD6D4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7D8E3D39" w14:textId="1CA5C872" w:rsidR="00C76790" w:rsidRPr="004811DC" w:rsidRDefault="00370B1E"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54CFA55F" w14:textId="5E1672D4" w:rsidR="00C76790" w:rsidRPr="004811DC" w:rsidRDefault="00370B1E"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3D081C7B"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7B3974E5"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664669B4"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3652099D"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r>
      <w:tr w:rsidR="00881DD0" w:rsidRPr="004811DC" w14:paraId="1E816BFD" w14:textId="77777777" w:rsidTr="00B07CA7">
        <w:trPr>
          <w:tblCellSpacing w:w="15" w:type="dxa"/>
        </w:trPr>
        <w:tc>
          <w:tcPr>
            <w:tcW w:w="0" w:type="auto"/>
            <w:vAlign w:val="center"/>
            <w:hideMark/>
          </w:tcPr>
          <w:p w14:paraId="4B48F8D5"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Customer Communication</w:t>
            </w:r>
          </w:p>
        </w:tc>
        <w:tc>
          <w:tcPr>
            <w:tcW w:w="0" w:type="auto"/>
            <w:vAlign w:val="center"/>
            <w:hideMark/>
          </w:tcPr>
          <w:p w14:paraId="497EDBCB" w14:textId="13E6B6B8" w:rsidR="00C76790" w:rsidRPr="004811DC" w:rsidRDefault="00FF7DFB"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22C2E17A" w14:textId="6B5213AD"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A</w:t>
            </w:r>
          </w:p>
        </w:tc>
        <w:tc>
          <w:tcPr>
            <w:tcW w:w="0" w:type="auto"/>
            <w:vAlign w:val="center"/>
            <w:hideMark/>
          </w:tcPr>
          <w:p w14:paraId="2950B9EC" w14:textId="7A8F1AB1" w:rsidR="00C7679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18F959D8"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30F87568" w14:textId="7375B5B3" w:rsidR="00C76790" w:rsidRPr="004811DC" w:rsidRDefault="00AB385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46BCEAA0" w14:textId="0DC32CF6" w:rsidR="00C76790" w:rsidRPr="004811DC" w:rsidRDefault="00FF7DFB"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000C76B0" w:rsidRPr="004811DC">
              <w:rPr>
                <w:rFonts w:ascii="Times New Roman" w:hAnsi="Times New Roman" w:cs="Times New Roman"/>
                <w:bCs/>
                <w:sz w:val="24"/>
                <w:szCs w:val="24"/>
              </w:rPr>
              <w:t xml:space="preserve"> </w:t>
            </w:r>
            <w:r w:rsidRPr="004811DC">
              <w:rPr>
                <w:rFonts w:ascii="Times New Roman" w:hAnsi="Times New Roman" w:cs="Times New Roman"/>
                <w:sz w:val="24"/>
                <w:szCs w:val="24"/>
              </w:rPr>
              <w:t>R</w:t>
            </w:r>
          </w:p>
        </w:tc>
        <w:tc>
          <w:tcPr>
            <w:tcW w:w="0" w:type="auto"/>
            <w:vAlign w:val="center"/>
            <w:hideMark/>
          </w:tcPr>
          <w:p w14:paraId="5881DFC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0972C57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130E167D"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r>
      <w:tr w:rsidR="00881DD0" w:rsidRPr="004811DC" w14:paraId="39E9695A" w14:textId="77777777" w:rsidTr="00B07CA7">
        <w:trPr>
          <w:tblCellSpacing w:w="15" w:type="dxa"/>
        </w:trPr>
        <w:tc>
          <w:tcPr>
            <w:tcW w:w="0" w:type="auto"/>
            <w:vAlign w:val="center"/>
            <w:hideMark/>
          </w:tcPr>
          <w:p w14:paraId="661893B0" w14:textId="0742A5AF" w:rsidR="00C76790" w:rsidRPr="004811DC" w:rsidRDefault="00415AEE" w:rsidP="00C76790">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Staff Training &amp; Rollout</w:t>
            </w:r>
          </w:p>
        </w:tc>
        <w:tc>
          <w:tcPr>
            <w:tcW w:w="0" w:type="auto"/>
            <w:vAlign w:val="center"/>
            <w:hideMark/>
          </w:tcPr>
          <w:p w14:paraId="57E6AB6A" w14:textId="2C8F7639" w:rsidR="00C76790" w:rsidRPr="004811DC" w:rsidRDefault="008F360D"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474AF19A" w14:textId="45F8BDFE"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A</w:t>
            </w:r>
          </w:p>
        </w:tc>
        <w:tc>
          <w:tcPr>
            <w:tcW w:w="0" w:type="auto"/>
            <w:vAlign w:val="center"/>
            <w:hideMark/>
          </w:tcPr>
          <w:p w14:paraId="21237099"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67A3544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7FE5188E"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12EC0DF4"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C</w:t>
            </w:r>
          </w:p>
        </w:tc>
        <w:tc>
          <w:tcPr>
            <w:tcW w:w="0" w:type="auto"/>
            <w:vAlign w:val="center"/>
            <w:hideMark/>
          </w:tcPr>
          <w:p w14:paraId="04E0019E" w14:textId="4653D3A6" w:rsidR="00C76790" w:rsidRPr="004811DC" w:rsidRDefault="00AB385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20AAB1D0" w14:textId="3D113EF8"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4F7440DE"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r>
      <w:tr w:rsidR="00881DD0" w:rsidRPr="004811DC" w14:paraId="7FC9EE57" w14:textId="77777777" w:rsidTr="00B07CA7">
        <w:trPr>
          <w:tblCellSpacing w:w="15" w:type="dxa"/>
        </w:trPr>
        <w:tc>
          <w:tcPr>
            <w:tcW w:w="0" w:type="auto"/>
            <w:vAlign w:val="center"/>
            <w:hideMark/>
          </w:tcPr>
          <w:p w14:paraId="4A7B8054" w14:textId="2A49730E" w:rsidR="00C76790" w:rsidRPr="004811DC" w:rsidRDefault="00FB67E9" w:rsidP="00C76790">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Local C</w:t>
            </w:r>
            <w:r w:rsidR="00727E01" w:rsidRPr="004811DC">
              <w:rPr>
                <w:rFonts w:ascii="Times New Roman" w:eastAsia="Times New Roman" w:hAnsi="Times New Roman" w:cs="Times New Roman"/>
                <w:b/>
                <w:bCs/>
                <w:sz w:val="24"/>
                <w:szCs w:val="24"/>
                <w:lang w:eastAsia="en-GB"/>
              </w:rPr>
              <w:t>om</w:t>
            </w:r>
            <w:r w:rsidRPr="004811DC">
              <w:rPr>
                <w:rFonts w:ascii="Times New Roman" w:eastAsia="Times New Roman" w:hAnsi="Times New Roman" w:cs="Times New Roman"/>
                <w:b/>
                <w:bCs/>
                <w:sz w:val="24"/>
                <w:szCs w:val="24"/>
                <w:lang w:eastAsia="en-GB"/>
              </w:rPr>
              <w:t xml:space="preserve"> &amp; Sustainability Integration</w:t>
            </w:r>
          </w:p>
        </w:tc>
        <w:tc>
          <w:tcPr>
            <w:tcW w:w="0" w:type="auto"/>
            <w:vAlign w:val="center"/>
            <w:hideMark/>
          </w:tcPr>
          <w:p w14:paraId="7EF70029" w14:textId="6BBF357E" w:rsidR="00C76790" w:rsidRPr="004811DC" w:rsidRDefault="00AB385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64CE2971" w14:textId="21B735FF"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A</w:t>
            </w:r>
          </w:p>
        </w:tc>
        <w:tc>
          <w:tcPr>
            <w:tcW w:w="0" w:type="auto"/>
            <w:vAlign w:val="center"/>
            <w:hideMark/>
          </w:tcPr>
          <w:p w14:paraId="5418BA54" w14:textId="75E842A5" w:rsidR="00C76790" w:rsidRPr="004811DC" w:rsidRDefault="006B784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bCs/>
                <w:sz w:val="24"/>
                <w:szCs w:val="24"/>
              </w:rPr>
              <w:t xml:space="preserve"> I</w:t>
            </w:r>
          </w:p>
        </w:tc>
        <w:tc>
          <w:tcPr>
            <w:tcW w:w="0" w:type="auto"/>
            <w:vAlign w:val="center"/>
            <w:hideMark/>
          </w:tcPr>
          <w:p w14:paraId="53B10008" w14:textId="6706E6EB" w:rsidR="00C76790" w:rsidRPr="004811DC" w:rsidRDefault="0067242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bCs/>
                <w:sz w:val="24"/>
                <w:szCs w:val="24"/>
              </w:rPr>
              <w:t xml:space="preserve"> I</w:t>
            </w:r>
          </w:p>
        </w:tc>
        <w:tc>
          <w:tcPr>
            <w:tcW w:w="0" w:type="auto"/>
            <w:vAlign w:val="center"/>
            <w:hideMark/>
          </w:tcPr>
          <w:p w14:paraId="485B12BD" w14:textId="3931D3C6" w:rsidR="00C76790" w:rsidRPr="004811DC" w:rsidRDefault="0067242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bCs/>
                <w:sz w:val="24"/>
                <w:szCs w:val="24"/>
              </w:rPr>
              <w:t xml:space="preserve"> I</w:t>
            </w:r>
          </w:p>
        </w:tc>
        <w:tc>
          <w:tcPr>
            <w:tcW w:w="0" w:type="auto"/>
            <w:vAlign w:val="center"/>
            <w:hideMark/>
          </w:tcPr>
          <w:p w14:paraId="68EAC2B6"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C</w:t>
            </w:r>
          </w:p>
        </w:tc>
        <w:tc>
          <w:tcPr>
            <w:tcW w:w="0" w:type="auto"/>
            <w:vAlign w:val="center"/>
            <w:hideMark/>
          </w:tcPr>
          <w:p w14:paraId="113CA918" w14:textId="7B83C63F" w:rsidR="00C76790" w:rsidRPr="004811DC" w:rsidRDefault="00AB385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5F2FC38D" w14:textId="7779FE3C" w:rsidR="00C76790" w:rsidRPr="004811DC" w:rsidRDefault="0002163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466DDD27"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r>
      <w:tr w:rsidR="00881DD0" w:rsidRPr="004811DC" w14:paraId="5E42A7EF" w14:textId="77777777" w:rsidTr="00B07CA7">
        <w:trPr>
          <w:tblCellSpacing w:w="15" w:type="dxa"/>
        </w:trPr>
        <w:tc>
          <w:tcPr>
            <w:tcW w:w="0" w:type="auto"/>
            <w:vAlign w:val="center"/>
            <w:hideMark/>
          </w:tcPr>
          <w:p w14:paraId="00C98342"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Monitoring &amp; Feedback</w:t>
            </w:r>
          </w:p>
        </w:tc>
        <w:tc>
          <w:tcPr>
            <w:tcW w:w="0" w:type="auto"/>
            <w:vAlign w:val="center"/>
            <w:hideMark/>
          </w:tcPr>
          <w:p w14:paraId="4DBD33FF" w14:textId="5A3A191D" w:rsidR="00C76790" w:rsidRPr="004811DC" w:rsidRDefault="006766C8"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6E80A03E" w14:textId="51120B89" w:rsidR="00C76790" w:rsidRPr="004811DC" w:rsidRDefault="00B91426"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A</w:t>
            </w:r>
          </w:p>
        </w:tc>
        <w:tc>
          <w:tcPr>
            <w:tcW w:w="0" w:type="auto"/>
            <w:vAlign w:val="center"/>
            <w:hideMark/>
          </w:tcPr>
          <w:p w14:paraId="57905153" w14:textId="286FF644" w:rsidR="00C76790" w:rsidRPr="004811DC" w:rsidRDefault="006D4CC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568CBF15" w14:textId="562B56F9" w:rsidR="00C76790" w:rsidRPr="004811DC" w:rsidRDefault="006D4CC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708B71FA" w14:textId="32E31BFE" w:rsidR="00C76790" w:rsidRPr="004811DC" w:rsidRDefault="004128CF"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R</w:t>
            </w:r>
          </w:p>
        </w:tc>
        <w:tc>
          <w:tcPr>
            <w:tcW w:w="0" w:type="auto"/>
            <w:vAlign w:val="center"/>
            <w:hideMark/>
          </w:tcPr>
          <w:p w14:paraId="30A06C7F"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C</w:t>
            </w:r>
          </w:p>
        </w:tc>
        <w:tc>
          <w:tcPr>
            <w:tcW w:w="0" w:type="auto"/>
            <w:vAlign w:val="center"/>
            <w:hideMark/>
          </w:tcPr>
          <w:p w14:paraId="156F148A" w14:textId="77777777" w:rsidR="00C76790" w:rsidRPr="004811DC" w:rsidRDefault="00C76790" w:rsidP="00C76790">
            <w:pPr>
              <w:spacing w:after="0" w:line="240" w:lineRule="auto"/>
              <w:rPr>
                <w:rFonts w:ascii="Times New Roman" w:eastAsia="Times New Roman" w:hAnsi="Times New Roman" w:cs="Times New Roman"/>
                <w:sz w:val="24"/>
                <w:szCs w:val="24"/>
                <w:lang w:eastAsia="en-GB"/>
              </w:rPr>
            </w:pPr>
            <w:r w:rsidRPr="004811DC">
              <w:rPr>
                <w:rFonts w:ascii="Segoe UI Emoji" w:eastAsia="Times New Roman" w:hAnsi="Segoe UI Emoji" w:cs="Segoe UI Emoji"/>
                <w:sz w:val="24"/>
                <w:szCs w:val="24"/>
                <w:lang w:eastAsia="en-GB"/>
              </w:rPr>
              <w:t>🟪</w:t>
            </w:r>
            <w:r w:rsidRPr="004811DC">
              <w:rPr>
                <w:rFonts w:ascii="Times New Roman" w:eastAsia="Times New Roman" w:hAnsi="Times New Roman" w:cs="Times New Roman"/>
                <w:sz w:val="24"/>
                <w:szCs w:val="24"/>
                <w:lang w:eastAsia="en-GB"/>
              </w:rPr>
              <w:t xml:space="preserve"> I</w:t>
            </w:r>
          </w:p>
        </w:tc>
        <w:tc>
          <w:tcPr>
            <w:tcW w:w="0" w:type="auto"/>
            <w:vAlign w:val="center"/>
            <w:hideMark/>
          </w:tcPr>
          <w:p w14:paraId="6173A1C9" w14:textId="19BB3173" w:rsidR="00C76790" w:rsidRPr="004811DC" w:rsidRDefault="00AB3853"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c>
          <w:tcPr>
            <w:tcW w:w="0" w:type="auto"/>
            <w:vAlign w:val="center"/>
            <w:hideMark/>
          </w:tcPr>
          <w:p w14:paraId="2C1289F1" w14:textId="736EB22E" w:rsidR="00C76790" w:rsidRPr="004811DC" w:rsidRDefault="004E2E5A" w:rsidP="00C76790">
            <w:pPr>
              <w:spacing w:after="0" w:line="240" w:lineRule="auto"/>
              <w:rPr>
                <w:rFonts w:ascii="Times New Roman" w:eastAsia="Times New Roman" w:hAnsi="Times New Roman" w:cs="Times New Roman"/>
                <w:sz w:val="24"/>
                <w:szCs w:val="24"/>
                <w:lang w:eastAsia="en-GB"/>
              </w:rPr>
            </w:pPr>
            <w:r w:rsidRPr="004811DC">
              <w:rPr>
                <w:rFonts w:ascii="Segoe UI Emoji" w:hAnsi="Segoe UI Emoji" w:cs="Segoe UI Emoji"/>
                <w:bCs/>
                <w:sz w:val="24"/>
                <w:szCs w:val="24"/>
              </w:rPr>
              <w:t>🟩</w:t>
            </w:r>
            <w:r w:rsidRPr="004811DC">
              <w:rPr>
                <w:rFonts w:ascii="Times New Roman" w:hAnsi="Times New Roman" w:cs="Times New Roman"/>
                <w:sz w:val="24"/>
                <w:szCs w:val="24"/>
              </w:rPr>
              <w:t>C</w:t>
            </w:r>
          </w:p>
        </w:tc>
      </w:tr>
    </w:tbl>
    <w:p w14:paraId="25426CDB" w14:textId="02703A75" w:rsidR="00C76790" w:rsidRPr="004811DC" w:rsidRDefault="00B82E9C" w:rsidP="00B82E9C">
      <w:pPr>
        <w:spacing w:before="200" w:after="80"/>
        <w:rPr>
          <w:rFonts w:ascii="Times New Roman" w:hAnsi="Times New Roman" w:cs="Times New Roman"/>
          <w:b/>
          <w:bCs/>
          <w:sz w:val="24"/>
          <w:szCs w:val="24"/>
        </w:rPr>
      </w:pPr>
      <w:r w:rsidRPr="004811DC">
        <w:rPr>
          <w:rFonts w:ascii="Segoe UI Emoji" w:hAnsi="Segoe UI Emoji" w:cs="Segoe UI Emoji"/>
          <w:bCs/>
          <w:sz w:val="24"/>
          <w:szCs w:val="24"/>
        </w:rPr>
        <w:t>🟧</w:t>
      </w:r>
      <w:r w:rsidRPr="004811DC">
        <w:rPr>
          <w:rFonts w:ascii="Times New Roman" w:hAnsi="Times New Roman" w:cs="Times New Roman"/>
          <w:b/>
          <w:bCs/>
          <w:sz w:val="24"/>
          <w:szCs w:val="24"/>
        </w:rPr>
        <w:t xml:space="preserve">R = </w:t>
      </w:r>
      <w:r w:rsidR="003D3267" w:rsidRPr="004811DC">
        <w:rPr>
          <w:rFonts w:ascii="Times New Roman" w:hAnsi="Times New Roman" w:cs="Times New Roman"/>
          <w:b/>
          <w:bCs/>
          <w:sz w:val="24"/>
          <w:szCs w:val="24"/>
        </w:rPr>
        <w:t xml:space="preserve">Responsible </w:t>
      </w:r>
      <w:r w:rsidR="003D3267" w:rsidRPr="004811DC">
        <w:rPr>
          <w:rFonts w:ascii="Segoe UI Emoji" w:hAnsi="Segoe UI Emoji" w:cs="Segoe UI Emoji"/>
          <w:bCs/>
          <w:sz w:val="24"/>
          <w:szCs w:val="24"/>
        </w:rPr>
        <w:t>🟨</w:t>
      </w:r>
      <w:r w:rsidRPr="004811DC">
        <w:rPr>
          <w:rFonts w:ascii="Times New Roman" w:hAnsi="Times New Roman" w:cs="Times New Roman"/>
          <w:b/>
          <w:bCs/>
          <w:sz w:val="24"/>
          <w:szCs w:val="24"/>
        </w:rPr>
        <w:t>A = Accountable</w:t>
      </w:r>
      <w:r w:rsidRPr="004811DC">
        <w:rPr>
          <w:rFonts w:ascii="Times New Roman" w:hAnsi="Times New Roman" w:cs="Times New Roman"/>
          <w:bCs/>
          <w:sz w:val="24"/>
          <w:szCs w:val="24"/>
        </w:rPr>
        <w:t xml:space="preserve">   </w:t>
      </w:r>
      <w:r w:rsidRPr="004811DC">
        <w:rPr>
          <w:rFonts w:ascii="Segoe UI Emoji" w:hAnsi="Segoe UI Emoji" w:cs="Segoe UI Emoji"/>
          <w:bCs/>
          <w:sz w:val="24"/>
          <w:szCs w:val="24"/>
        </w:rPr>
        <w:t>🟩</w:t>
      </w:r>
      <w:r w:rsidRPr="004811DC">
        <w:rPr>
          <w:rFonts w:ascii="Times New Roman" w:hAnsi="Times New Roman" w:cs="Times New Roman"/>
          <w:b/>
          <w:bCs/>
          <w:sz w:val="24"/>
          <w:szCs w:val="24"/>
        </w:rPr>
        <w:t xml:space="preserve">C = </w:t>
      </w:r>
      <w:r w:rsidR="00FA1967" w:rsidRPr="004811DC">
        <w:rPr>
          <w:rFonts w:ascii="Times New Roman" w:hAnsi="Times New Roman" w:cs="Times New Roman"/>
          <w:b/>
          <w:bCs/>
          <w:sz w:val="24"/>
          <w:szCs w:val="24"/>
        </w:rPr>
        <w:t xml:space="preserve">Consulted </w:t>
      </w:r>
      <w:r w:rsidR="000B1D90" w:rsidRPr="004811DC">
        <w:rPr>
          <w:rFonts w:ascii="Segoe UI Emoji" w:eastAsia="Times New Roman" w:hAnsi="Segoe UI Emoji" w:cs="Segoe UI Emoji"/>
          <w:sz w:val="24"/>
          <w:szCs w:val="24"/>
          <w:lang w:eastAsia="en-GB"/>
        </w:rPr>
        <w:t>🟪</w:t>
      </w:r>
      <w:r w:rsidR="000B1D90" w:rsidRPr="004811DC">
        <w:rPr>
          <w:rFonts w:ascii="Times New Roman" w:eastAsia="Times New Roman" w:hAnsi="Times New Roman" w:cs="Times New Roman"/>
          <w:sz w:val="24"/>
          <w:szCs w:val="24"/>
          <w:lang w:eastAsia="en-GB"/>
        </w:rPr>
        <w:t xml:space="preserve"> </w:t>
      </w:r>
      <w:r w:rsidRPr="004811DC">
        <w:rPr>
          <w:rFonts w:ascii="Times New Roman" w:hAnsi="Times New Roman" w:cs="Times New Roman"/>
          <w:b/>
          <w:bCs/>
          <w:sz w:val="24"/>
          <w:szCs w:val="24"/>
        </w:rPr>
        <w:t>I = Informed</w:t>
      </w:r>
    </w:p>
    <w:tbl>
      <w:tblPr>
        <w:tblW w:w="95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1"/>
        <w:gridCol w:w="2835"/>
        <w:gridCol w:w="5387"/>
      </w:tblGrid>
      <w:tr w:rsidR="005F3E3C" w:rsidRPr="004811DC" w14:paraId="3BA2AE1A" w14:textId="77777777" w:rsidTr="007C081C">
        <w:trPr>
          <w:tblHeader/>
          <w:tblCellSpacing w:w="15" w:type="dxa"/>
        </w:trPr>
        <w:tc>
          <w:tcPr>
            <w:tcW w:w="1286" w:type="dxa"/>
            <w:vAlign w:val="center"/>
            <w:hideMark/>
          </w:tcPr>
          <w:p w14:paraId="24603B1D" w14:textId="77777777" w:rsidR="005F3E3C" w:rsidRPr="004811DC" w:rsidRDefault="005F3E3C" w:rsidP="005F3E3C">
            <w:pPr>
              <w:spacing w:after="0" w:line="240" w:lineRule="auto"/>
              <w:jc w:val="center"/>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Label</w:t>
            </w:r>
          </w:p>
        </w:tc>
        <w:tc>
          <w:tcPr>
            <w:tcW w:w="2805" w:type="dxa"/>
            <w:vAlign w:val="center"/>
            <w:hideMark/>
          </w:tcPr>
          <w:p w14:paraId="1AC891B7" w14:textId="77777777" w:rsidR="005F3E3C" w:rsidRPr="004811DC" w:rsidRDefault="005F3E3C" w:rsidP="005F3E3C">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Meaning</w:t>
            </w:r>
          </w:p>
        </w:tc>
        <w:tc>
          <w:tcPr>
            <w:tcW w:w="5342" w:type="dxa"/>
            <w:vAlign w:val="center"/>
            <w:hideMark/>
          </w:tcPr>
          <w:p w14:paraId="1B8AEC94" w14:textId="3852D3E4" w:rsidR="005F3E3C" w:rsidRPr="004811DC" w:rsidRDefault="005F3E3C" w:rsidP="005F3E3C">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Role in My Project</w:t>
            </w:r>
          </w:p>
        </w:tc>
      </w:tr>
      <w:tr w:rsidR="005F3E3C" w:rsidRPr="004811DC" w14:paraId="277DAA15" w14:textId="77777777" w:rsidTr="007C081C">
        <w:trPr>
          <w:tblCellSpacing w:w="15" w:type="dxa"/>
        </w:trPr>
        <w:tc>
          <w:tcPr>
            <w:tcW w:w="1286" w:type="dxa"/>
            <w:vAlign w:val="center"/>
            <w:hideMark/>
          </w:tcPr>
          <w:p w14:paraId="6AFDE818"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PM</w:t>
            </w:r>
          </w:p>
        </w:tc>
        <w:tc>
          <w:tcPr>
            <w:tcW w:w="2805" w:type="dxa"/>
            <w:vAlign w:val="center"/>
            <w:hideMark/>
          </w:tcPr>
          <w:p w14:paraId="29BDD9F4"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Project Manager</w:t>
            </w:r>
          </w:p>
        </w:tc>
        <w:tc>
          <w:tcPr>
            <w:tcW w:w="5342" w:type="dxa"/>
            <w:vAlign w:val="center"/>
            <w:hideMark/>
          </w:tcPr>
          <w:p w14:paraId="735F3B95"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Leads the project, coordinates tasks</w:t>
            </w:r>
          </w:p>
        </w:tc>
      </w:tr>
      <w:tr w:rsidR="005F3E3C" w:rsidRPr="004811DC" w14:paraId="51951738" w14:textId="77777777" w:rsidTr="007C081C">
        <w:trPr>
          <w:tblCellSpacing w:w="15" w:type="dxa"/>
        </w:trPr>
        <w:tc>
          <w:tcPr>
            <w:tcW w:w="1286" w:type="dxa"/>
            <w:vAlign w:val="center"/>
            <w:hideMark/>
          </w:tcPr>
          <w:p w14:paraId="1AF2B149"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Exec</w:t>
            </w:r>
          </w:p>
        </w:tc>
        <w:tc>
          <w:tcPr>
            <w:tcW w:w="2805" w:type="dxa"/>
            <w:vAlign w:val="center"/>
            <w:hideMark/>
          </w:tcPr>
          <w:p w14:paraId="6B880633"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Executive Leadership</w:t>
            </w:r>
          </w:p>
        </w:tc>
        <w:tc>
          <w:tcPr>
            <w:tcW w:w="5342" w:type="dxa"/>
            <w:vAlign w:val="center"/>
            <w:hideMark/>
          </w:tcPr>
          <w:p w14:paraId="5C62B3B5"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Makes final decisions, approves strategy</w:t>
            </w:r>
          </w:p>
        </w:tc>
      </w:tr>
      <w:tr w:rsidR="005F3E3C" w:rsidRPr="004811DC" w14:paraId="1EF5043B" w14:textId="77777777" w:rsidTr="007C081C">
        <w:trPr>
          <w:tblCellSpacing w:w="15" w:type="dxa"/>
        </w:trPr>
        <w:tc>
          <w:tcPr>
            <w:tcW w:w="1286" w:type="dxa"/>
            <w:vAlign w:val="center"/>
            <w:hideMark/>
          </w:tcPr>
          <w:p w14:paraId="5FA8B1D5"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IT</w:t>
            </w:r>
          </w:p>
        </w:tc>
        <w:tc>
          <w:tcPr>
            <w:tcW w:w="2805" w:type="dxa"/>
            <w:vAlign w:val="center"/>
            <w:hideMark/>
          </w:tcPr>
          <w:p w14:paraId="65BB2732"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IT / Digital Team</w:t>
            </w:r>
          </w:p>
        </w:tc>
        <w:tc>
          <w:tcPr>
            <w:tcW w:w="5342" w:type="dxa"/>
            <w:vAlign w:val="center"/>
            <w:hideMark/>
          </w:tcPr>
          <w:p w14:paraId="57DB9BCE"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Handles system development, AI tools</w:t>
            </w:r>
          </w:p>
        </w:tc>
      </w:tr>
      <w:tr w:rsidR="005F3E3C" w:rsidRPr="004811DC" w14:paraId="4FAF7AF6" w14:textId="77777777" w:rsidTr="007C081C">
        <w:trPr>
          <w:tblCellSpacing w:w="15" w:type="dxa"/>
        </w:trPr>
        <w:tc>
          <w:tcPr>
            <w:tcW w:w="1286" w:type="dxa"/>
            <w:vAlign w:val="center"/>
            <w:hideMark/>
          </w:tcPr>
          <w:p w14:paraId="38B00F78"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Ops</w:t>
            </w:r>
          </w:p>
        </w:tc>
        <w:tc>
          <w:tcPr>
            <w:tcW w:w="2805" w:type="dxa"/>
            <w:vAlign w:val="center"/>
            <w:hideMark/>
          </w:tcPr>
          <w:p w14:paraId="554E45BC"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Operations Managers</w:t>
            </w:r>
          </w:p>
        </w:tc>
        <w:tc>
          <w:tcPr>
            <w:tcW w:w="5342" w:type="dxa"/>
            <w:vAlign w:val="center"/>
            <w:hideMark/>
          </w:tcPr>
          <w:p w14:paraId="36D620A7"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Ensure service works in hotels</w:t>
            </w:r>
          </w:p>
        </w:tc>
      </w:tr>
      <w:tr w:rsidR="005F3E3C" w:rsidRPr="004811DC" w14:paraId="62124587" w14:textId="77777777" w:rsidTr="007C081C">
        <w:trPr>
          <w:tblCellSpacing w:w="15" w:type="dxa"/>
        </w:trPr>
        <w:tc>
          <w:tcPr>
            <w:tcW w:w="1286" w:type="dxa"/>
            <w:vAlign w:val="center"/>
            <w:hideMark/>
          </w:tcPr>
          <w:p w14:paraId="1A0D1679"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CS</w:t>
            </w:r>
          </w:p>
        </w:tc>
        <w:tc>
          <w:tcPr>
            <w:tcW w:w="2805" w:type="dxa"/>
            <w:vAlign w:val="center"/>
            <w:hideMark/>
          </w:tcPr>
          <w:p w14:paraId="0323D10A"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Customer Service</w:t>
            </w:r>
          </w:p>
        </w:tc>
        <w:tc>
          <w:tcPr>
            <w:tcW w:w="5342" w:type="dxa"/>
            <w:vAlign w:val="center"/>
            <w:hideMark/>
          </w:tcPr>
          <w:p w14:paraId="10171F23"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Interacts with guests, supports users</w:t>
            </w:r>
          </w:p>
        </w:tc>
      </w:tr>
      <w:tr w:rsidR="005F3E3C" w:rsidRPr="004811DC" w14:paraId="74B9C721" w14:textId="77777777" w:rsidTr="007C081C">
        <w:trPr>
          <w:tblCellSpacing w:w="15" w:type="dxa"/>
        </w:trPr>
        <w:tc>
          <w:tcPr>
            <w:tcW w:w="1286" w:type="dxa"/>
            <w:vAlign w:val="center"/>
            <w:hideMark/>
          </w:tcPr>
          <w:p w14:paraId="72022548"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Mktg</w:t>
            </w:r>
          </w:p>
        </w:tc>
        <w:tc>
          <w:tcPr>
            <w:tcW w:w="2805" w:type="dxa"/>
            <w:vAlign w:val="center"/>
            <w:hideMark/>
          </w:tcPr>
          <w:p w14:paraId="575D21CF"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Marketing Team</w:t>
            </w:r>
          </w:p>
        </w:tc>
        <w:tc>
          <w:tcPr>
            <w:tcW w:w="5342" w:type="dxa"/>
            <w:vAlign w:val="center"/>
            <w:hideMark/>
          </w:tcPr>
          <w:p w14:paraId="2AE6D658"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Promotes StaySmart+, customer communication</w:t>
            </w:r>
          </w:p>
        </w:tc>
      </w:tr>
      <w:tr w:rsidR="00B07CA7" w:rsidRPr="004811DC" w14:paraId="2FBB8D53" w14:textId="77777777" w:rsidTr="007C081C">
        <w:trPr>
          <w:tblCellSpacing w:w="15" w:type="dxa"/>
        </w:trPr>
        <w:tc>
          <w:tcPr>
            <w:tcW w:w="1286" w:type="dxa"/>
            <w:vAlign w:val="center"/>
          </w:tcPr>
          <w:p w14:paraId="5FD0CBE7" w14:textId="712D6615" w:rsidR="00B07CA7" w:rsidRPr="004811DC" w:rsidRDefault="004657E6" w:rsidP="005F3E3C">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 xml:space="preserve">Com </w:t>
            </w:r>
          </w:p>
        </w:tc>
        <w:tc>
          <w:tcPr>
            <w:tcW w:w="2805" w:type="dxa"/>
            <w:vAlign w:val="center"/>
          </w:tcPr>
          <w:p w14:paraId="682B3C26" w14:textId="7A7AC7C6" w:rsidR="00B07CA7" w:rsidRPr="004811DC" w:rsidRDefault="004657E6"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Communit</w:t>
            </w:r>
            <w:r w:rsidR="00C6220D" w:rsidRPr="004811DC">
              <w:rPr>
                <w:rFonts w:ascii="Times New Roman" w:eastAsia="Times New Roman" w:hAnsi="Times New Roman" w:cs="Times New Roman"/>
                <w:sz w:val="24"/>
                <w:szCs w:val="24"/>
                <w:lang w:eastAsia="en-GB"/>
              </w:rPr>
              <w:t>y</w:t>
            </w:r>
          </w:p>
        </w:tc>
        <w:tc>
          <w:tcPr>
            <w:tcW w:w="5342" w:type="dxa"/>
            <w:vAlign w:val="center"/>
          </w:tcPr>
          <w:p w14:paraId="5DAF78D6" w14:textId="6718C55A" w:rsidR="00B07CA7" w:rsidRPr="004811DC" w:rsidRDefault="00C6220D"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Influence sustainability and social acceptance</w:t>
            </w:r>
          </w:p>
        </w:tc>
      </w:tr>
      <w:tr w:rsidR="005F3E3C" w:rsidRPr="004811DC" w14:paraId="27638F44" w14:textId="77777777" w:rsidTr="007C081C">
        <w:trPr>
          <w:tblCellSpacing w:w="15" w:type="dxa"/>
        </w:trPr>
        <w:tc>
          <w:tcPr>
            <w:tcW w:w="1286" w:type="dxa"/>
            <w:vAlign w:val="center"/>
            <w:hideMark/>
          </w:tcPr>
          <w:p w14:paraId="1619430A"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b/>
                <w:bCs/>
                <w:sz w:val="24"/>
                <w:szCs w:val="24"/>
                <w:lang w:eastAsia="en-GB"/>
              </w:rPr>
              <w:t>Govt</w:t>
            </w:r>
          </w:p>
        </w:tc>
        <w:tc>
          <w:tcPr>
            <w:tcW w:w="2805" w:type="dxa"/>
            <w:vAlign w:val="center"/>
            <w:hideMark/>
          </w:tcPr>
          <w:p w14:paraId="622D8875"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Government / Regulators</w:t>
            </w:r>
          </w:p>
        </w:tc>
        <w:tc>
          <w:tcPr>
            <w:tcW w:w="5342" w:type="dxa"/>
            <w:vAlign w:val="center"/>
            <w:hideMark/>
          </w:tcPr>
          <w:p w14:paraId="07D8E8B1" w14:textId="77777777" w:rsidR="005F3E3C" w:rsidRPr="004811DC" w:rsidRDefault="005F3E3C"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Ensure legal and compliance requirements</w:t>
            </w:r>
          </w:p>
        </w:tc>
      </w:tr>
      <w:tr w:rsidR="00881DD0" w:rsidRPr="004811DC" w14:paraId="15906F64" w14:textId="77777777" w:rsidTr="007C081C">
        <w:trPr>
          <w:tblCellSpacing w:w="15" w:type="dxa"/>
        </w:trPr>
        <w:tc>
          <w:tcPr>
            <w:tcW w:w="1286" w:type="dxa"/>
            <w:vAlign w:val="center"/>
          </w:tcPr>
          <w:p w14:paraId="44C61519" w14:textId="1DDEEFFC" w:rsidR="00881DD0" w:rsidRPr="004811DC" w:rsidRDefault="00881DD0" w:rsidP="005F3E3C">
            <w:pPr>
              <w:spacing w:after="0" w:line="240" w:lineRule="auto"/>
              <w:rPr>
                <w:rFonts w:ascii="Times New Roman" w:eastAsia="Times New Roman" w:hAnsi="Times New Roman" w:cs="Times New Roman"/>
                <w:b/>
                <w:bCs/>
                <w:sz w:val="24"/>
                <w:szCs w:val="24"/>
                <w:lang w:eastAsia="en-GB"/>
              </w:rPr>
            </w:pPr>
            <w:r w:rsidRPr="004811DC">
              <w:rPr>
                <w:rFonts w:ascii="Times New Roman" w:eastAsia="Times New Roman" w:hAnsi="Times New Roman" w:cs="Times New Roman"/>
                <w:b/>
                <w:bCs/>
                <w:sz w:val="24"/>
                <w:szCs w:val="24"/>
                <w:lang w:eastAsia="en-GB"/>
              </w:rPr>
              <w:t>Cust</w:t>
            </w:r>
          </w:p>
        </w:tc>
        <w:tc>
          <w:tcPr>
            <w:tcW w:w="2805" w:type="dxa"/>
            <w:vAlign w:val="center"/>
          </w:tcPr>
          <w:p w14:paraId="7E2439C5" w14:textId="2C1D14AB" w:rsidR="00881DD0" w:rsidRPr="004811DC" w:rsidRDefault="00233DE1"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Guests / Users</w:t>
            </w:r>
          </w:p>
        </w:tc>
        <w:tc>
          <w:tcPr>
            <w:tcW w:w="5342" w:type="dxa"/>
            <w:vAlign w:val="center"/>
          </w:tcPr>
          <w:p w14:paraId="4EC924AA" w14:textId="3F318396" w:rsidR="00881DD0" w:rsidRPr="004811DC" w:rsidRDefault="00233DE1" w:rsidP="005F3E3C">
            <w:pPr>
              <w:spacing w:after="0" w:line="240" w:lineRule="auto"/>
              <w:rPr>
                <w:rFonts w:ascii="Times New Roman" w:eastAsia="Times New Roman" w:hAnsi="Times New Roman" w:cs="Times New Roman"/>
                <w:sz w:val="24"/>
                <w:szCs w:val="24"/>
                <w:lang w:eastAsia="en-GB"/>
              </w:rPr>
            </w:pPr>
            <w:r w:rsidRPr="004811DC">
              <w:rPr>
                <w:rFonts w:ascii="Times New Roman" w:eastAsia="Times New Roman" w:hAnsi="Times New Roman" w:cs="Times New Roman"/>
                <w:sz w:val="24"/>
                <w:szCs w:val="24"/>
                <w:lang w:eastAsia="en-GB"/>
              </w:rPr>
              <w:t>End-users of the StaySmart+</w:t>
            </w:r>
            <w:r w:rsidR="00DC6EA6" w:rsidRPr="004811DC">
              <w:rPr>
                <w:rFonts w:ascii="Times New Roman" w:eastAsia="Times New Roman" w:hAnsi="Times New Roman" w:cs="Times New Roman"/>
                <w:sz w:val="24"/>
                <w:szCs w:val="24"/>
                <w:lang w:eastAsia="en-GB"/>
              </w:rPr>
              <w:t xml:space="preserve"> (SS+)</w:t>
            </w:r>
            <w:r w:rsidRPr="004811DC">
              <w:rPr>
                <w:rFonts w:ascii="Times New Roman" w:eastAsia="Times New Roman" w:hAnsi="Times New Roman" w:cs="Times New Roman"/>
                <w:sz w:val="24"/>
                <w:szCs w:val="24"/>
                <w:lang w:eastAsia="en-GB"/>
              </w:rPr>
              <w:t xml:space="preserve"> service</w:t>
            </w:r>
          </w:p>
        </w:tc>
      </w:tr>
    </w:tbl>
    <w:p w14:paraId="4E7142FC" w14:textId="0139BE58" w:rsidR="00ED777F" w:rsidRPr="004811DC" w:rsidRDefault="00F361F9" w:rsidP="008B7547">
      <w:pPr>
        <w:spacing w:before="200" w:after="80"/>
        <w:jc w:val="both"/>
        <w:rPr>
          <w:rFonts w:ascii="Times New Roman" w:hAnsi="Times New Roman" w:cs="Times New Roman"/>
          <w:bCs/>
          <w:sz w:val="24"/>
          <w:szCs w:val="24"/>
        </w:rPr>
      </w:pPr>
      <w:r w:rsidRPr="004811DC">
        <w:rPr>
          <w:rFonts w:ascii="Times New Roman" w:hAnsi="Times New Roman" w:cs="Times New Roman"/>
          <w:bCs/>
          <w:sz w:val="24"/>
          <w:szCs w:val="24"/>
        </w:rPr>
        <w:t>The role of the project manager is particularly critical within the RACI framework. As the individual responsible (R) for coordinating delivery and accountable (A) for ensuring project outcomes, the project manager acts as the central point of integration across all stakeholder groups. Their responsibilities include aligning technical teams, managing timelines, and facilitating communication between executives, operations and external partners. This role is essential to the success of StaySmart+, as ineffective coordination could lead to delays, misalignment and increased implementation risks. Therefore, the project manager’s position within the RACI matrix highlights both their operational importance and their influence on overall project performance.</w:t>
      </w:r>
    </w:p>
    <w:p w14:paraId="40029040" w14:textId="77777777" w:rsidR="008B762F" w:rsidRPr="004811DC" w:rsidRDefault="008B762F" w:rsidP="008B7547">
      <w:pPr>
        <w:spacing w:before="200" w:after="80"/>
        <w:jc w:val="both"/>
        <w:rPr>
          <w:rFonts w:ascii="Times New Roman" w:hAnsi="Times New Roman" w:cs="Times New Roman"/>
          <w:bCs/>
          <w:sz w:val="24"/>
          <w:szCs w:val="24"/>
        </w:rPr>
      </w:pPr>
    </w:p>
    <w:p w14:paraId="451DCCE3" w14:textId="69F8C36B" w:rsidR="00CF7D74" w:rsidRPr="004811DC" w:rsidRDefault="00607565"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lastRenderedPageBreak/>
        <w:t>4.3 Stakeholder Engagement Plan</w:t>
      </w:r>
      <w:r w:rsidR="006F4612" w:rsidRPr="004811DC">
        <w:rPr>
          <w:rFonts w:ascii="Times New Roman" w:hAnsi="Times New Roman" w:cs="Times New Roman"/>
          <w:b/>
          <w:color w:val="2F5496"/>
          <w:sz w:val="24"/>
          <w:szCs w:val="24"/>
        </w:rPr>
        <w:t xml:space="preserve"> </w:t>
      </w:r>
    </w:p>
    <w:p w14:paraId="35DDF3BA" w14:textId="09945E85" w:rsidR="00547357" w:rsidRPr="004811DC" w:rsidRDefault="00036E8C" w:rsidP="002E7FDE">
      <w:pPr>
        <w:spacing w:before="200" w:after="80"/>
        <w:jc w:val="both"/>
        <w:rPr>
          <w:rFonts w:ascii="Times New Roman" w:hAnsi="Times New Roman" w:cs="Times New Roman"/>
          <w:bCs/>
          <w:sz w:val="24"/>
          <w:szCs w:val="24"/>
        </w:rPr>
      </w:pPr>
      <w:r w:rsidRPr="004811DC">
        <w:rPr>
          <w:rFonts w:ascii="Times New Roman" w:hAnsi="Times New Roman" w:cs="Times New Roman"/>
          <w:bCs/>
          <w:sz w:val="24"/>
          <w:szCs w:val="24"/>
        </w:rPr>
        <w:t>A stakeholder engagement plan (SEP) is a structured document that defines how an organisation communicates and interacts with stakeholders throughout the project lifecycle (</w:t>
      </w:r>
      <w:proofErr w:type="spellStart"/>
      <w:r w:rsidRPr="004811DC">
        <w:rPr>
          <w:rFonts w:ascii="Times New Roman" w:hAnsi="Times New Roman" w:cs="Times New Roman"/>
          <w:bCs/>
          <w:sz w:val="24"/>
          <w:szCs w:val="24"/>
        </w:rPr>
        <w:t>ProofHub</w:t>
      </w:r>
      <w:proofErr w:type="spellEnd"/>
      <w:r w:rsidRPr="004811DC">
        <w:rPr>
          <w:rFonts w:ascii="Times New Roman" w:hAnsi="Times New Roman" w:cs="Times New Roman"/>
          <w:bCs/>
          <w:sz w:val="24"/>
          <w:szCs w:val="24"/>
        </w:rPr>
        <w:t xml:space="preserve">, 2025). It plays a critical role in ensuring alignment, reducing conflict, and maintaining transparency across both internal and external stakeholder groups. </w:t>
      </w:r>
      <w:r w:rsidR="00393D21" w:rsidRPr="004811DC">
        <w:rPr>
          <w:rFonts w:ascii="Times New Roman" w:hAnsi="Times New Roman" w:cs="Times New Roman"/>
          <w:bCs/>
          <w:sz w:val="24"/>
          <w:szCs w:val="24"/>
        </w:rPr>
        <w:t>According to Ashcroft (2017), effective engagement plans move beyond transactional information-sharing to build genuinely relational connections between the organisation and its stakeholders</w:t>
      </w:r>
      <w:r w:rsidR="00547357" w:rsidRPr="004811DC">
        <w:rPr>
          <w:rFonts w:ascii="Times New Roman" w:hAnsi="Times New Roman" w:cs="Times New Roman"/>
          <w:bCs/>
          <w:sz w:val="24"/>
          <w:szCs w:val="24"/>
        </w:rPr>
        <w:t>,</w:t>
      </w:r>
      <w:r w:rsidR="00393D21" w:rsidRPr="004811DC">
        <w:rPr>
          <w:rFonts w:ascii="Times New Roman" w:hAnsi="Times New Roman" w:cs="Times New Roman"/>
          <w:bCs/>
          <w:sz w:val="24"/>
          <w:szCs w:val="24"/>
        </w:rPr>
        <w:t xml:space="preserve"> a distinction that is particularly relevant in hospitality, where trust and personalisation are central to the brand promise.</w:t>
      </w:r>
    </w:p>
    <w:p w14:paraId="3E90077D" w14:textId="328BBCFD" w:rsidR="00036E8C" w:rsidRPr="004811DC" w:rsidRDefault="00036E8C" w:rsidP="002E7FDE">
      <w:pPr>
        <w:spacing w:before="200" w:after="80"/>
        <w:jc w:val="both"/>
        <w:rPr>
          <w:rFonts w:ascii="Times New Roman" w:hAnsi="Times New Roman" w:cs="Times New Roman"/>
          <w:b/>
          <w:color w:val="2F5496"/>
          <w:sz w:val="24"/>
          <w:szCs w:val="24"/>
        </w:rPr>
      </w:pPr>
      <w:r w:rsidRPr="004811DC">
        <w:rPr>
          <w:rFonts w:ascii="Times New Roman" w:hAnsi="Times New Roman" w:cs="Times New Roman"/>
          <w:bCs/>
          <w:sz w:val="24"/>
          <w:szCs w:val="24"/>
        </w:rPr>
        <w:t>In the context of the StaySmart+ project, applying this structured approach ensures that all stakeholders</w:t>
      </w:r>
      <w:r w:rsidR="003844DC" w:rsidRPr="004811DC">
        <w:rPr>
          <w:rFonts w:ascii="Times New Roman" w:hAnsi="Times New Roman" w:cs="Times New Roman"/>
          <w:bCs/>
          <w:sz w:val="24"/>
          <w:szCs w:val="24"/>
        </w:rPr>
        <w:t xml:space="preserve">, </w:t>
      </w:r>
      <w:r w:rsidRPr="004811DC">
        <w:rPr>
          <w:rFonts w:ascii="Times New Roman" w:hAnsi="Times New Roman" w:cs="Times New Roman"/>
          <w:bCs/>
          <w:sz w:val="24"/>
          <w:szCs w:val="24"/>
        </w:rPr>
        <w:t>from executive leadership to local communities and customers</w:t>
      </w:r>
      <w:r w:rsidR="00D56FF5" w:rsidRPr="004811DC">
        <w:rPr>
          <w:rFonts w:ascii="Times New Roman" w:hAnsi="Times New Roman" w:cs="Times New Roman"/>
          <w:bCs/>
          <w:sz w:val="24"/>
          <w:szCs w:val="24"/>
        </w:rPr>
        <w:t xml:space="preserve">, </w:t>
      </w:r>
      <w:r w:rsidRPr="004811DC">
        <w:rPr>
          <w:rFonts w:ascii="Times New Roman" w:hAnsi="Times New Roman" w:cs="Times New Roman"/>
          <w:bCs/>
          <w:sz w:val="24"/>
          <w:szCs w:val="24"/>
        </w:rPr>
        <w:t>are appropriately engaged, informed, and aligned with project objectives</w:t>
      </w:r>
      <w:r w:rsidRPr="004811DC">
        <w:rPr>
          <w:rFonts w:ascii="Times New Roman" w:hAnsi="Times New Roman" w:cs="Times New Roman"/>
          <w:b/>
          <w:color w:val="2F5496"/>
          <w:sz w:val="24"/>
          <w:szCs w:val="24"/>
        </w:rPr>
        <w:t>.</w:t>
      </w:r>
    </w:p>
    <w:tbl>
      <w:tblPr>
        <w:tblStyle w:val="TableGrid"/>
        <w:tblW w:w="0" w:type="auto"/>
        <w:jc w:val="center"/>
        <w:tblLayout w:type="fixed"/>
        <w:tblLook w:val="04A0" w:firstRow="1" w:lastRow="0" w:firstColumn="1" w:lastColumn="0" w:noHBand="0" w:noVBand="1"/>
      </w:tblPr>
      <w:tblGrid>
        <w:gridCol w:w="1526"/>
        <w:gridCol w:w="2126"/>
        <w:gridCol w:w="1701"/>
        <w:gridCol w:w="1577"/>
        <w:gridCol w:w="1200"/>
        <w:gridCol w:w="1492"/>
      </w:tblGrid>
      <w:tr w:rsidR="00CF7D74" w:rsidRPr="004811DC" w14:paraId="0513AD2C" w14:textId="77777777" w:rsidTr="00100C89">
        <w:trPr>
          <w:jc w:val="center"/>
        </w:trPr>
        <w:tc>
          <w:tcPr>
            <w:tcW w:w="1526" w:type="dxa"/>
            <w:shd w:val="clear" w:color="auto" w:fill="B4A7D6"/>
            <w:vAlign w:val="center"/>
          </w:tcPr>
          <w:p w14:paraId="234A03AC" w14:textId="77777777" w:rsidR="00CF7D74" w:rsidRPr="004811DC" w:rsidRDefault="001A3901" w:rsidP="002E7FDE">
            <w:pPr>
              <w:spacing w:before="40" w:after="40" w:line="240" w:lineRule="auto"/>
              <w:jc w:val="center"/>
              <w:rPr>
                <w:rFonts w:ascii="Times New Roman" w:hAnsi="Times New Roman" w:cs="Times New Roman"/>
                <w:sz w:val="24"/>
                <w:szCs w:val="24"/>
              </w:rPr>
            </w:pPr>
            <w:r w:rsidRPr="004811DC">
              <w:rPr>
                <w:rFonts w:ascii="Times New Roman" w:hAnsi="Times New Roman" w:cs="Times New Roman"/>
                <w:b/>
                <w:sz w:val="24"/>
                <w:szCs w:val="24"/>
              </w:rPr>
              <w:t>Stakeholder</w:t>
            </w:r>
          </w:p>
        </w:tc>
        <w:tc>
          <w:tcPr>
            <w:tcW w:w="2126" w:type="dxa"/>
            <w:shd w:val="clear" w:color="auto" w:fill="B4A7D6"/>
            <w:vAlign w:val="center"/>
          </w:tcPr>
          <w:p w14:paraId="697BA3D7" w14:textId="77777777" w:rsidR="00CF7D74" w:rsidRPr="004811DC" w:rsidRDefault="001A3901" w:rsidP="002E7FDE">
            <w:pPr>
              <w:spacing w:before="40" w:after="40" w:line="240" w:lineRule="auto"/>
              <w:jc w:val="center"/>
              <w:rPr>
                <w:rFonts w:ascii="Times New Roman" w:hAnsi="Times New Roman" w:cs="Times New Roman"/>
                <w:sz w:val="24"/>
                <w:szCs w:val="24"/>
              </w:rPr>
            </w:pPr>
            <w:r w:rsidRPr="004811DC">
              <w:rPr>
                <w:rFonts w:ascii="Times New Roman" w:hAnsi="Times New Roman" w:cs="Times New Roman"/>
                <w:b/>
                <w:sz w:val="24"/>
                <w:szCs w:val="24"/>
              </w:rPr>
              <w:t>Objective</w:t>
            </w:r>
          </w:p>
        </w:tc>
        <w:tc>
          <w:tcPr>
            <w:tcW w:w="1701" w:type="dxa"/>
            <w:shd w:val="clear" w:color="auto" w:fill="B4A7D6"/>
            <w:vAlign w:val="center"/>
          </w:tcPr>
          <w:p w14:paraId="47495E73" w14:textId="77777777" w:rsidR="00CF7D74" w:rsidRPr="004811DC" w:rsidRDefault="001A3901" w:rsidP="002E7FDE">
            <w:pPr>
              <w:spacing w:before="40" w:after="40" w:line="240" w:lineRule="auto"/>
              <w:jc w:val="center"/>
              <w:rPr>
                <w:rFonts w:ascii="Times New Roman" w:hAnsi="Times New Roman" w:cs="Times New Roman"/>
                <w:sz w:val="24"/>
                <w:szCs w:val="24"/>
              </w:rPr>
            </w:pPr>
            <w:r w:rsidRPr="004811DC">
              <w:rPr>
                <w:rFonts w:ascii="Times New Roman" w:hAnsi="Times New Roman" w:cs="Times New Roman"/>
                <w:b/>
                <w:sz w:val="24"/>
                <w:szCs w:val="24"/>
              </w:rPr>
              <w:t>Method</w:t>
            </w:r>
          </w:p>
        </w:tc>
        <w:tc>
          <w:tcPr>
            <w:tcW w:w="1577" w:type="dxa"/>
            <w:shd w:val="clear" w:color="auto" w:fill="B4A7D6"/>
            <w:vAlign w:val="center"/>
          </w:tcPr>
          <w:p w14:paraId="64B93878" w14:textId="77777777" w:rsidR="00CF7D74" w:rsidRPr="00100C89" w:rsidRDefault="001A3901" w:rsidP="002E7FDE">
            <w:pPr>
              <w:spacing w:before="40" w:after="40" w:line="240" w:lineRule="auto"/>
              <w:jc w:val="center"/>
              <w:rPr>
                <w:rFonts w:ascii="Times New Roman" w:hAnsi="Times New Roman" w:cs="Times New Roman"/>
                <w:b/>
                <w:sz w:val="24"/>
                <w:szCs w:val="24"/>
              </w:rPr>
            </w:pPr>
            <w:r w:rsidRPr="00100C89">
              <w:rPr>
                <w:rFonts w:ascii="Times New Roman" w:hAnsi="Times New Roman" w:cs="Times New Roman"/>
                <w:b/>
                <w:sz w:val="24"/>
                <w:szCs w:val="24"/>
              </w:rPr>
              <w:t>Frequency</w:t>
            </w:r>
          </w:p>
        </w:tc>
        <w:tc>
          <w:tcPr>
            <w:tcW w:w="1200" w:type="dxa"/>
            <w:shd w:val="clear" w:color="auto" w:fill="B4A7D6"/>
            <w:vAlign w:val="center"/>
          </w:tcPr>
          <w:p w14:paraId="30B83381" w14:textId="77777777" w:rsidR="00CF7D74" w:rsidRPr="004811DC" w:rsidRDefault="001A3901" w:rsidP="002E7FDE">
            <w:pPr>
              <w:spacing w:before="40" w:after="40" w:line="240" w:lineRule="auto"/>
              <w:jc w:val="center"/>
              <w:rPr>
                <w:rFonts w:ascii="Times New Roman" w:hAnsi="Times New Roman" w:cs="Times New Roman"/>
                <w:sz w:val="24"/>
                <w:szCs w:val="24"/>
              </w:rPr>
            </w:pPr>
            <w:r w:rsidRPr="004811DC">
              <w:rPr>
                <w:rFonts w:ascii="Times New Roman" w:hAnsi="Times New Roman" w:cs="Times New Roman"/>
                <w:b/>
                <w:sz w:val="24"/>
                <w:szCs w:val="24"/>
              </w:rPr>
              <w:t>Project stage</w:t>
            </w:r>
          </w:p>
        </w:tc>
        <w:tc>
          <w:tcPr>
            <w:tcW w:w="1492" w:type="dxa"/>
            <w:shd w:val="clear" w:color="auto" w:fill="B4A7D6"/>
            <w:vAlign w:val="center"/>
          </w:tcPr>
          <w:p w14:paraId="259CA286" w14:textId="77777777" w:rsidR="00CF7D74" w:rsidRPr="004811DC" w:rsidRDefault="001A3901" w:rsidP="002E7FDE">
            <w:pPr>
              <w:spacing w:before="40" w:after="40" w:line="240" w:lineRule="auto"/>
              <w:jc w:val="center"/>
              <w:rPr>
                <w:rFonts w:ascii="Times New Roman" w:hAnsi="Times New Roman" w:cs="Times New Roman"/>
                <w:sz w:val="24"/>
                <w:szCs w:val="24"/>
              </w:rPr>
            </w:pPr>
            <w:r w:rsidRPr="004811DC">
              <w:rPr>
                <w:rFonts w:ascii="Times New Roman" w:hAnsi="Times New Roman" w:cs="Times New Roman"/>
                <w:b/>
                <w:sz w:val="24"/>
                <w:szCs w:val="24"/>
              </w:rPr>
              <w:t>Owner</w:t>
            </w:r>
          </w:p>
        </w:tc>
      </w:tr>
      <w:tr w:rsidR="00CF7D74" w:rsidRPr="004811DC" w14:paraId="69971E62" w14:textId="77777777" w:rsidTr="00100C89">
        <w:trPr>
          <w:jc w:val="center"/>
        </w:trPr>
        <w:tc>
          <w:tcPr>
            <w:tcW w:w="1526" w:type="dxa"/>
            <w:shd w:val="clear" w:color="auto" w:fill="FCFAFF"/>
            <w:vAlign w:val="center"/>
          </w:tcPr>
          <w:p w14:paraId="5EE73731"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Executive leadership</w:t>
            </w:r>
          </w:p>
        </w:tc>
        <w:tc>
          <w:tcPr>
            <w:tcW w:w="2126" w:type="dxa"/>
            <w:shd w:val="clear" w:color="auto" w:fill="FCFAFF"/>
            <w:vAlign w:val="center"/>
          </w:tcPr>
          <w:p w14:paraId="673D3435"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Maintain sponsorship and remove barriers</w:t>
            </w:r>
          </w:p>
        </w:tc>
        <w:tc>
          <w:tcPr>
            <w:tcW w:w="1701" w:type="dxa"/>
            <w:shd w:val="clear" w:color="auto" w:fill="FCFAFF"/>
            <w:vAlign w:val="center"/>
          </w:tcPr>
          <w:p w14:paraId="3208B430"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Steering meetings and decision packs</w:t>
            </w:r>
          </w:p>
        </w:tc>
        <w:tc>
          <w:tcPr>
            <w:tcW w:w="1577" w:type="dxa"/>
            <w:shd w:val="clear" w:color="auto" w:fill="FCFAFF"/>
            <w:vAlign w:val="center"/>
          </w:tcPr>
          <w:p w14:paraId="12F57499"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Monthly</w:t>
            </w:r>
          </w:p>
        </w:tc>
        <w:tc>
          <w:tcPr>
            <w:tcW w:w="1200" w:type="dxa"/>
            <w:shd w:val="clear" w:color="auto" w:fill="FCFAFF"/>
            <w:vAlign w:val="center"/>
          </w:tcPr>
          <w:p w14:paraId="6D86DF48"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All stages</w:t>
            </w:r>
          </w:p>
        </w:tc>
        <w:tc>
          <w:tcPr>
            <w:tcW w:w="1492" w:type="dxa"/>
            <w:shd w:val="clear" w:color="auto" w:fill="FCFAFF"/>
            <w:vAlign w:val="center"/>
          </w:tcPr>
          <w:p w14:paraId="6A30B4DB"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Project Manager</w:t>
            </w:r>
          </w:p>
        </w:tc>
      </w:tr>
      <w:tr w:rsidR="00CF7D74" w:rsidRPr="004811DC" w14:paraId="3C9D4D3B" w14:textId="77777777" w:rsidTr="00100C89">
        <w:trPr>
          <w:jc w:val="center"/>
        </w:trPr>
        <w:tc>
          <w:tcPr>
            <w:tcW w:w="1526" w:type="dxa"/>
            <w:shd w:val="clear" w:color="auto" w:fill="F5F1FB"/>
            <w:vAlign w:val="center"/>
          </w:tcPr>
          <w:p w14:paraId="657573DC"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IT / digital teams</w:t>
            </w:r>
          </w:p>
        </w:tc>
        <w:tc>
          <w:tcPr>
            <w:tcW w:w="2126" w:type="dxa"/>
            <w:shd w:val="clear" w:color="auto" w:fill="F5F1FB"/>
            <w:vAlign w:val="center"/>
          </w:tcPr>
          <w:p w14:paraId="65EAAC17"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Coordinate build, testing and issue resolution</w:t>
            </w:r>
          </w:p>
        </w:tc>
        <w:tc>
          <w:tcPr>
            <w:tcW w:w="1701" w:type="dxa"/>
            <w:shd w:val="clear" w:color="auto" w:fill="F5F1FB"/>
            <w:vAlign w:val="center"/>
          </w:tcPr>
          <w:p w14:paraId="76D8E125"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Sprint reviews and dashboards</w:t>
            </w:r>
          </w:p>
        </w:tc>
        <w:tc>
          <w:tcPr>
            <w:tcW w:w="1577" w:type="dxa"/>
            <w:shd w:val="clear" w:color="auto" w:fill="F5F1FB"/>
            <w:vAlign w:val="center"/>
          </w:tcPr>
          <w:p w14:paraId="79422CC4"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Weekly</w:t>
            </w:r>
          </w:p>
        </w:tc>
        <w:tc>
          <w:tcPr>
            <w:tcW w:w="1200" w:type="dxa"/>
            <w:shd w:val="clear" w:color="auto" w:fill="F5F1FB"/>
            <w:vAlign w:val="center"/>
          </w:tcPr>
          <w:p w14:paraId="7ABC63CB"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Design and pilot</w:t>
            </w:r>
          </w:p>
        </w:tc>
        <w:tc>
          <w:tcPr>
            <w:tcW w:w="1492" w:type="dxa"/>
            <w:shd w:val="clear" w:color="auto" w:fill="F5F1FB"/>
            <w:vAlign w:val="center"/>
          </w:tcPr>
          <w:p w14:paraId="284D680C"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IT Lead</w:t>
            </w:r>
          </w:p>
        </w:tc>
      </w:tr>
      <w:tr w:rsidR="00CF7D74" w:rsidRPr="004811DC" w14:paraId="300B95F2" w14:textId="77777777" w:rsidTr="00100C89">
        <w:trPr>
          <w:jc w:val="center"/>
        </w:trPr>
        <w:tc>
          <w:tcPr>
            <w:tcW w:w="1526" w:type="dxa"/>
            <w:shd w:val="clear" w:color="auto" w:fill="FCFAFF"/>
            <w:vAlign w:val="center"/>
          </w:tcPr>
          <w:p w14:paraId="79A8A519"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Operations managers</w:t>
            </w:r>
          </w:p>
        </w:tc>
        <w:tc>
          <w:tcPr>
            <w:tcW w:w="2126" w:type="dxa"/>
            <w:shd w:val="clear" w:color="auto" w:fill="FCFAFF"/>
            <w:vAlign w:val="center"/>
          </w:tcPr>
          <w:p w14:paraId="55D2BA06"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Ensure practical readiness and local fit</w:t>
            </w:r>
          </w:p>
        </w:tc>
        <w:tc>
          <w:tcPr>
            <w:tcW w:w="1701" w:type="dxa"/>
            <w:shd w:val="clear" w:color="auto" w:fill="FCFAFF"/>
            <w:vAlign w:val="center"/>
          </w:tcPr>
          <w:p w14:paraId="10376175"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Workshops and readiness reviews</w:t>
            </w:r>
          </w:p>
        </w:tc>
        <w:tc>
          <w:tcPr>
            <w:tcW w:w="1577" w:type="dxa"/>
            <w:shd w:val="clear" w:color="auto" w:fill="FCFAFF"/>
            <w:vAlign w:val="center"/>
          </w:tcPr>
          <w:p w14:paraId="37A280D9"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Bi-weekly</w:t>
            </w:r>
          </w:p>
        </w:tc>
        <w:tc>
          <w:tcPr>
            <w:tcW w:w="1200" w:type="dxa"/>
            <w:shd w:val="clear" w:color="auto" w:fill="FCFAFF"/>
            <w:vAlign w:val="center"/>
          </w:tcPr>
          <w:p w14:paraId="7035D946"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Pilot and rollout</w:t>
            </w:r>
          </w:p>
        </w:tc>
        <w:tc>
          <w:tcPr>
            <w:tcW w:w="1492" w:type="dxa"/>
            <w:shd w:val="clear" w:color="auto" w:fill="FCFAFF"/>
            <w:vAlign w:val="center"/>
          </w:tcPr>
          <w:p w14:paraId="5CDD4777"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Operations Director</w:t>
            </w:r>
          </w:p>
        </w:tc>
      </w:tr>
      <w:tr w:rsidR="00CF7D74" w:rsidRPr="004811DC" w14:paraId="419A702B" w14:textId="77777777" w:rsidTr="00100C89">
        <w:trPr>
          <w:jc w:val="center"/>
        </w:trPr>
        <w:tc>
          <w:tcPr>
            <w:tcW w:w="1526" w:type="dxa"/>
            <w:shd w:val="clear" w:color="auto" w:fill="F5F1FB"/>
            <w:vAlign w:val="center"/>
          </w:tcPr>
          <w:p w14:paraId="4784261A" w14:textId="1D5F2033" w:rsidR="00CF7D74" w:rsidRPr="004811DC" w:rsidRDefault="00857EBC"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Employees</w:t>
            </w:r>
          </w:p>
        </w:tc>
        <w:tc>
          <w:tcPr>
            <w:tcW w:w="2126" w:type="dxa"/>
            <w:shd w:val="clear" w:color="auto" w:fill="F5F1FB"/>
            <w:vAlign w:val="center"/>
          </w:tcPr>
          <w:p w14:paraId="33B68E56"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Build confidence and reduce resistance</w:t>
            </w:r>
          </w:p>
        </w:tc>
        <w:tc>
          <w:tcPr>
            <w:tcW w:w="1701" w:type="dxa"/>
            <w:shd w:val="clear" w:color="auto" w:fill="F5F1FB"/>
            <w:vAlign w:val="center"/>
          </w:tcPr>
          <w:p w14:paraId="7D7F3961"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Training, FAQs and briefings</w:t>
            </w:r>
          </w:p>
        </w:tc>
        <w:tc>
          <w:tcPr>
            <w:tcW w:w="1577" w:type="dxa"/>
            <w:shd w:val="clear" w:color="auto" w:fill="F5F1FB"/>
            <w:vAlign w:val="center"/>
          </w:tcPr>
          <w:p w14:paraId="14C92AAA"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Weekly during rollout</w:t>
            </w:r>
          </w:p>
        </w:tc>
        <w:tc>
          <w:tcPr>
            <w:tcW w:w="1200" w:type="dxa"/>
            <w:shd w:val="clear" w:color="auto" w:fill="F5F1FB"/>
            <w:vAlign w:val="center"/>
          </w:tcPr>
          <w:p w14:paraId="047668F2"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Pre-launch and rollout</w:t>
            </w:r>
          </w:p>
        </w:tc>
        <w:tc>
          <w:tcPr>
            <w:tcW w:w="1492" w:type="dxa"/>
            <w:shd w:val="clear" w:color="auto" w:fill="F5F1FB"/>
            <w:vAlign w:val="center"/>
          </w:tcPr>
          <w:p w14:paraId="4DA4AD55"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HR / Hotel Managers</w:t>
            </w:r>
          </w:p>
        </w:tc>
      </w:tr>
      <w:tr w:rsidR="00CF7D74" w:rsidRPr="004811DC" w14:paraId="7A732D09" w14:textId="77777777" w:rsidTr="00100C89">
        <w:trPr>
          <w:jc w:val="center"/>
        </w:trPr>
        <w:tc>
          <w:tcPr>
            <w:tcW w:w="1526" w:type="dxa"/>
            <w:shd w:val="clear" w:color="auto" w:fill="FCFAFF"/>
            <w:vAlign w:val="center"/>
          </w:tcPr>
          <w:p w14:paraId="5CCDF6BD"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Guests / Bonvoy members</w:t>
            </w:r>
          </w:p>
        </w:tc>
        <w:tc>
          <w:tcPr>
            <w:tcW w:w="2126" w:type="dxa"/>
            <w:shd w:val="clear" w:color="auto" w:fill="FCFAFF"/>
            <w:vAlign w:val="center"/>
          </w:tcPr>
          <w:p w14:paraId="647F97AF"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Explain value and gather insight</w:t>
            </w:r>
          </w:p>
        </w:tc>
        <w:tc>
          <w:tcPr>
            <w:tcW w:w="1701" w:type="dxa"/>
            <w:shd w:val="clear" w:color="auto" w:fill="FCFAFF"/>
            <w:vAlign w:val="center"/>
          </w:tcPr>
          <w:p w14:paraId="0DEB0B6A"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Email, app messaging and surveys</w:t>
            </w:r>
          </w:p>
        </w:tc>
        <w:tc>
          <w:tcPr>
            <w:tcW w:w="1577" w:type="dxa"/>
            <w:shd w:val="clear" w:color="auto" w:fill="FCFAFF"/>
            <w:vAlign w:val="center"/>
          </w:tcPr>
          <w:p w14:paraId="0D219822"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Monthly / ad hoc</w:t>
            </w:r>
          </w:p>
        </w:tc>
        <w:tc>
          <w:tcPr>
            <w:tcW w:w="1200" w:type="dxa"/>
            <w:shd w:val="clear" w:color="auto" w:fill="FCFAFF"/>
            <w:vAlign w:val="center"/>
          </w:tcPr>
          <w:p w14:paraId="5CD613C9"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Pre-launch to launch</w:t>
            </w:r>
          </w:p>
        </w:tc>
        <w:tc>
          <w:tcPr>
            <w:tcW w:w="1492" w:type="dxa"/>
            <w:shd w:val="clear" w:color="auto" w:fill="FCFAFF"/>
            <w:vAlign w:val="center"/>
          </w:tcPr>
          <w:p w14:paraId="1BC1F225"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Marketing</w:t>
            </w:r>
          </w:p>
        </w:tc>
      </w:tr>
      <w:tr w:rsidR="00CF7D74" w:rsidRPr="004811DC" w14:paraId="7047775C" w14:textId="77777777" w:rsidTr="00100C89">
        <w:trPr>
          <w:jc w:val="center"/>
        </w:trPr>
        <w:tc>
          <w:tcPr>
            <w:tcW w:w="1526" w:type="dxa"/>
            <w:shd w:val="clear" w:color="auto" w:fill="F5F1FB"/>
            <w:vAlign w:val="center"/>
          </w:tcPr>
          <w:p w14:paraId="2F93A9EE"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Technology partners</w:t>
            </w:r>
          </w:p>
        </w:tc>
        <w:tc>
          <w:tcPr>
            <w:tcW w:w="2126" w:type="dxa"/>
            <w:shd w:val="clear" w:color="auto" w:fill="F5F1FB"/>
            <w:vAlign w:val="center"/>
          </w:tcPr>
          <w:p w14:paraId="4EEAEC72"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Maintain quality and timely delivery</w:t>
            </w:r>
          </w:p>
        </w:tc>
        <w:tc>
          <w:tcPr>
            <w:tcW w:w="1701" w:type="dxa"/>
            <w:shd w:val="clear" w:color="auto" w:fill="F5F1FB"/>
            <w:vAlign w:val="center"/>
          </w:tcPr>
          <w:p w14:paraId="257DBB37"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Joint review meetings and shared plans</w:t>
            </w:r>
          </w:p>
        </w:tc>
        <w:tc>
          <w:tcPr>
            <w:tcW w:w="1577" w:type="dxa"/>
            <w:shd w:val="clear" w:color="auto" w:fill="F5F1FB"/>
            <w:vAlign w:val="center"/>
          </w:tcPr>
          <w:p w14:paraId="6383F2BD"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Bi-weekly</w:t>
            </w:r>
          </w:p>
        </w:tc>
        <w:tc>
          <w:tcPr>
            <w:tcW w:w="1200" w:type="dxa"/>
            <w:shd w:val="clear" w:color="auto" w:fill="F5F1FB"/>
            <w:vAlign w:val="center"/>
          </w:tcPr>
          <w:p w14:paraId="58041A9E"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All stages</w:t>
            </w:r>
          </w:p>
        </w:tc>
        <w:tc>
          <w:tcPr>
            <w:tcW w:w="1492" w:type="dxa"/>
            <w:shd w:val="clear" w:color="auto" w:fill="F5F1FB"/>
            <w:vAlign w:val="center"/>
          </w:tcPr>
          <w:p w14:paraId="307E170F"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PM / Procurement</w:t>
            </w:r>
          </w:p>
        </w:tc>
      </w:tr>
      <w:tr w:rsidR="00CF7D74" w:rsidRPr="004811DC" w14:paraId="23DA9965" w14:textId="77777777" w:rsidTr="00100C89">
        <w:trPr>
          <w:jc w:val="center"/>
        </w:trPr>
        <w:tc>
          <w:tcPr>
            <w:tcW w:w="1526" w:type="dxa"/>
            <w:shd w:val="clear" w:color="auto" w:fill="FCFAFF"/>
            <w:vAlign w:val="center"/>
          </w:tcPr>
          <w:p w14:paraId="00BAE742"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Sustainability suppliers</w:t>
            </w:r>
          </w:p>
        </w:tc>
        <w:tc>
          <w:tcPr>
            <w:tcW w:w="2126" w:type="dxa"/>
            <w:shd w:val="clear" w:color="auto" w:fill="FCFAFF"/>
            <w:vAlign w:val="center"/>
          </w:tcPr>
          <w:p w14:paraId="1D467292"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Coordinate local implementation</w:t>
            </w:r>
          </w:p>
        </w:tc>
        <w:tc>
          <w:tcPr>
            <w:tcW w:w="1701" w:type="dxa"/>
            <w:shd w:val="clear" w:color="auto" w:fill="FCFAFF"/>
            <w:vAlign w:val="center"/>
          </w:tcPr>
          <w:p w14:paraId="32A6093B"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Supplier reviews and site checks</w:t>
            </w:r>
          </w:p>
        </w:tc>
        <w:tc>
          <w:tcPr>
            <w:tcW w:w="1577" w:type="dxa"/>
            <w:shd w:val="clear" w:color="auto" w:fill="FCFAFF"/>
            <w:vAlign w:val="center"/>
          </w:tcPr>
          <w:p w14:paraId="26BCF8A2"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Monthly</w:t>
            </w:r>
          </w:p>
        </w:tc>
        <w:tc>
          <w:tcPr>
            <w:tcW w:w="1200" w:type="dxa"/>
            <w:shd w:val="clear" w:color="auto" w:fill="FCFAFF"/>
            <w:vAlign w:val="center"/>
          </w:tcPr>
          <w:p w14:paraId="3A9B3907"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Pilot and rollout</w:t>
            </w:r>
          </w:p>
        </w:tc>
        <w:tc>
          <w:tcPr>
            <w:tcW w:w="1492" w:type="dxa"/>
            <w:shd w:val="clear" w:color="auto" w:fill="FCFAFF"/>
            <w:vAlign w:val="center"/>
          </w:tcPr>
          <w:p w14:paraId="6FE79F63"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Operations</w:t>
            </w:r>
          </w:p>
        </w:tc>
      </w:tr>
      <w:tr w:rsidR="00CF7D74" w:rsidRPr="004811DC" w14:paraId="0FFB8A04" w14:textId="77777777" w:rsidTr="00100C89">
        <w:trPr>
          <w:jc w:val="center"/>
        </w:trPr>
        <w:tc>
          <w:tcPr>
            <w:tcW w:w="1526" w:type="dxa"/>
            <w:shd w:val="clear" w:color="auto" w:fill="F5F1FB"/>
            <w:vAlign w:val="center"/>
          </w:tcPr>
          <w:p w14:paraId="143B780F" w14:textId="7C871B57" w:rsidR="00CF7D74" w:rsidRPr="004811DC" w:rsidRDefault="00A81907"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Regulators/authorities</w:t>
            </w:r>
          </w:p>
        </w:tc>
        <w:tc>
          <w:tcPr>
            <w:tcW w:w="2126" w:type="dxa"/>
            <w:shd w:val="clear" w:color="auto" w:fill="F5F1FB"/>
            <w:vAlign w:val="center"/>
          </w:tcPr>
          <w:p w14:paraId="48798C0C"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Demonstrate compliance and transparency</w:t>
            </w:r>
          </w:p>
        </w:tc>
        <w:tc>
          <w:tcPr>
            <w:tcW w:w="1701" w:type="dxa"/>
            <w:shd w:val="clear" w:color="auto" w:fill="F5F1FB"/>
            <w:vAlign w:val="center"/>
          </w:tcPr>
          <w:p w14:paraId="79FE95D4"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Formal submissions and briefings</w:t>
            </w:r>
          </w:p>
        </w:tc>
        <w:tc>
          <w:tcPr>
            <w:tcW w:w="1577" w:type="dxa"/>
            <w:shd w:val="clear" w:color="auto" w:fill="F5F1FB"/>
            <w:vAlign w:val="center"/>
          </w:tcPr>
          <w:p w14:paraId="36C6CE51"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As required</w:t>
            </w:r>
          </w:p>
        </w:tc>
        <w:tc>
          <w:tcPr>
            <w:tcW w:w="1200" w:type="dxa"/>
            <w:shd w:val="clear" w:color="auto" w:fill="F5F1FB"/>
            <w:vAlign w:val="center"/>
          </w:tcPr>
          <w:p w14:paraId="03E5CD46"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Design to launch</w:t>
            </w:r>
          </w:p>
        </w:tc>
        <w:tc>
          <w:tcPr>
            <w:tcW w:w="1492" w:type="dxa"/>
            <w:shd w:val="clear" w:color="auto" w:fill="F5F1FB"/>
            <w:vAlign w:val="center"/>
          </w:tcPr>
          <w:p w14:paraId="2200B3B9" w14:textId="77777777" w:rsidR="00CF7D74" w:rsidRPr="004811DC" w:rsidRDefault="001A3901" w:rsidP="002E7FDE">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Legal / Compliance</w:t>
            </w:r>
          </w:p>
        </w:tc>
      </w:tr>
    </w:tbl>
    <w:p w14:paraId="3FEA6BB5" w14:textId="405DFD99" w:rsidR="00CF7D74" w:rsidRPr="004811DC" w:rsidRDefault="00056BE1" w:rsidP="00231C5B">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lastRenderedPageBreak/>
        <w:t>4.4 Communication Plan</w:t>
      </w:r>
    </w:p>
    <w:p w14:paraId="6C627985" w14:textId="55CDF8F3" w:rsidR="00817B0B" w:rsidRPr="004811DC" w:rsidRDefault="00CA523C" w:rsidP="00817B0B">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Effective communication is essential across the project life cycle because stakeholders need the right information at the right stage, from planning through rollout and review. The project life cycle approach highlights the importance of regular stakeholder updates, clear communication protocols, and review meetings to reduce misunderstandings and keep delivery on track (SixSigma.us, 2024). In the StaySmart+ project, this matters because poor communication could create staff uncertainty, guest concern about privacy, or community scepticism about sustainability claims. Therefore, the communication plan should be followed consistently to support trust, alignment, and successful implementation.</w:t>
      </w:r>
    </w:p>
    <w:tbl>
      <w:tblPr>
        <w:tblStyle w:val="TableGrid"/>
        <w:tblW w:w="0" w:type="auto"/>
        <w:jc w:val="center"/>
        <w:tblLook w:val="04A0" w:firstRow="1" w:lastRow="0" w:firstColumn="1" w:lastColumn="0" w:noHBand="0" w:noVBand="1"/>
      </w:tblPr>
      <w:tblGrid>
        <w:gridCol w:w="1564"/>
        <w:gridCol w:w="1632"/>
        <w:gridCol w:w="1736"/>
        <w:gridCol w:w="1557"/>
        <w:gridCol w:w="1567"/>
        <w:gridCol w:w="1566"/>
      </w:tblGrid>
      <w:tr w:rsidR="00CF7D74" w:rsidRPr="004811DC" w14:paraId="6D10FD70" w14:textId="77777777" w:rsidTr="00D33C92">
        <w:trPr>
          <w:jc w:val="center"/>
        </w:trPr>
        <w:tc>
          <w:tcPr>
            <w:tcW w:w="1568" w:type="dxa"/>
            <w:shd w:val="clear" w:color="auto" w:fill="A4C2F4"/>
            <w:vAlign w:val="center"/>
          </w:tcPr>
          <w:p w14:paraId="1F32D7B2" w14:textId="77777777" w:rsidR="00CF7D74" w:rsidRPr="004811DC" w:rsidRDefault="001A3901" w:rsidP="004468E2">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Audience</w:t>
            </w:r>
          </w:p>
        </w:tc>
        <w:tc>
          <w:tcPr>
            <w:tcW w:w="1636" w:type="dxa"/>
            <w:shd w:val="clear" w:color="auto" w:fill="A4C2F4"/>
            <w:vAlign w:val="center"/>
          </w:tcPr>
          <w:p w14:paraId="7C899270" w14:textId="77777777" w:rsidR="00CF7D74" w:rsidRPr="004811DC" w:rsidRDefault="001A3901" w:rsidP="004468E2">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Message focus</w:t>
            </w:r>
          </w:p>
        </w:tc>
        <w:tc>
          <w:tcPr>
            <w:tcW w:w="1668" w:type="dxa"/>
            <w:shd w:val="clear" w:color="auto" w:fill="A4C2F4"/>
            <w:vAlign w:val="center"/>
          </w:tcPr>
          <w:p w14:paraId="44C3DD88" w14:textId="77777777" w:rsidR="00CF7D74" w:rsidRPr="004811DC" w:rsidRDefault="001A3901" w:rsidP="004468E2">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Channel</w:t>
            </w:r>
          </w:p>
        </w:tc>
        <w:tc>
          <w:tcPr>
            <w:tcW w:w="1568" w:type="dxa"/>
            <w:shd w:val="clear" w:color="auto" w:fill="A4C2F4"/>
            <w:vAlign w:val="center"/>
          </w:tcPr>
          <w:p w14:paraId="29167436" w14:textId="77777777" w:rsidR="00CF7D74" w:rsidRPr="004811DC" w:rsidRDefault="001A3901" w:rsidP="004468E2">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Timing</w:t>
            </w:r>
          </w:p>
        </w:tc>
        <w:tc>
          <w:tcPr>
            <w:tcW w:w="1568" w:type="dxa"/>
            <w:shd w:val="clear" w:color="auto" w:fill="A4C2F4"/>
            <w:vAlign w:val="center"/>
          </w:tcPr>
          <w:p w14:paraId="5D75123C" w14:textId="77777777" w:rsidR="00CF7D74" w:rsidRPr="004811DC" w:rsidRDefault="001A3901" w:rsidP="004468E2">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Tone</w:t>
            </w:r>
          </w:p>
        </w:tc>
        <w:tc>
          <w:tcPr>
            <w:tcW w:w="1568" w:type="dxa"/>
            <w:shd w:val="clear" w:color="auto" w:fill="A4C2F4"/>
            <w:vAlign w:val="center"/>
          </w:tcPr>
          <w:p w14:paraId="6F4960BC" w14:textId="77777777" w:rsidR="00CF7D74" w:rsidRPr="004811DC" w:rsidRDefault="001A3901" w:rsidP="004468E2">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Measure of effectiveness</w:t>
            </w:r>
          </w:p>
        </w:tc>
      </w:tr>
      <w:tr w:rsidR="00CF7D74" w:rsidRPr="004811DC" w14:paraId="1E72B194" w14:textId="77777777" w:rsidTr="00D33C92">
        <w:trPr>
          <w:jc w:val="center"/>
        </w:trPr>
        <w:tc>
          <w:tcPr>
            <w:tcW w:w="1568" w:type="dxa"/>
            <w:shd w:val="clear" w:color="auto" w:fill="F7FBFF"/>
            <w:vAlign w:val="center"/>
          </w:tcPr>
          <w:p w14:paraId="3FD79651"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Executives</w:t>
            </w:r>
          </w:p>
        </w:tc>
        <w:tc>
          <w:tcPr>
            <w:tcW w:w="1636" w:type="dxa"/>
            <w:shd w:val="clear" w:color="auto" w:fill="F7FBFF"/>
            <w:vAlign w:val="center"/>
          </w:tcPr>
          <w:p w14:paraId="4CAE792B"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Progress, risk, ROI and key decisions</w:t>
            </w:r>
          </w:p>
        </w:tc>
        <w:tc>
          <w:tcPr>
            <w:tcW w:w="1668" w:type="dxa"/>
            <w:shd w:val="clear" w:color="auto" w:fill="F7FBFF"/>
            <w:vAlign w:val="center"/>
          </w:tcPr>
          <w:p w14:paraId="5C6B34FF"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Sponsor briefings and board reports</w:t>
            </w:r>
          </w:p>
        </w:tc>
        <w:tc>
          <w:tcPr>
            <w:tcW w:w="1568" w:type="dxa"/>
            <w:shd w:val="clear" w:color="auto" w:fill="F7FBFF"/>
            <w:vAlign w:val="center"/>
          </w:tcPr>
          <w:p w14:paraId="17DCF454"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Monthly</w:t>
            </w:r>
          </w:p>
        </w:tc>
        <w:tc>
          <w:tcPr>
            <w:tcW w:w="1568" w:type="dxa"/>
            <w:shd w:val="clear" w:color="auto" w:fill="F7FBFF"/>
            <w:vAlign w:val="center"/>
          </w:tcPr>
          <w:p w14:paraId="1295FE41"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Concise and evidence-led</w:t>
            </w:r>
          </w:p>
        </w:tc>
        <w:tc>
          <w:tcPr>
            <w:tcW w:w="1568" w:type="dxa"/>
            <w:shd w:val="clear" w:color="auto" w:fill="F7FBFF"/>
            <w:vAlign w:val="center"/>
          </w:tcPr>
          <w:p w14:paraId="1F47BEE2"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Decision speed and resource support</w:t>
            </w:r>
          </w:p>
        </w:tc>
      </w:tr>
      <w:tr w:rsidR="00CF7D74" w:rsidRPr="004811DC" w14:paraId="725CACDC" w14:textId="77777777" w:rsidTr="00D33C92">
        <w:trPr>
          <w:jc w:val="center"/>
        </w:trPr>
        <w:tc>
          <w:tcPr>
            <w:tcW w:w="1568" w:type="dxa"/>
            <w:shd w:val="clear" w:color="auto" w:fill="EEF5FB"/>
            <w:vAlign w:val="center"/>
          </w:tcPr>
          <w:p w14:paraId="31134D90"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Hotel managers</w:t>
            </w:r>
          </w:p>
        </w:tc>
        <w:tc>
          <w:tcPr>
            <w:tcW w:w="1636" w:type="dxa"/>
            <w:shd w:val="clear" w:color="auto" w:fill="EEF5FB"/>
            <w:vAlign w:val="center"/>
          </w:tcPr>
          <w:p w14:paraId="4C935C23" w14:textId="7FA304CD"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What changes, when</w:t>
            </w:r>
            <w:r w:rsidR="00FC3694" w:rsidRPr="004811DC">
              <w:rPr>
                <w:rFonts w:ascii="Times New Roman" w:hAnsi="Times New Roman" w:cs="Times New Roman"/>
                <w:sz w:val="24"/>
                <w:szCs w:val="24"/>
              </w:rPr>
              <w:t>,</w:t>
            </w:r>
            <w:r w:rsidRPr="004811DC">
              <w:rPr>
                <w:rFonts w:ascii="Times New Roman" w:hAnsi="Times New Roman" w:cs="Times New Roman"/>
                <w:sz w:val="24"/>
                <w:szCs w:val="24"/>
              </w:rPr>
              <w:t xml:space="preserve"> and why</w:t>
            </w:r>
          </w:p>
        </w:tc>
        <w:tc>
          <w:tcPr>
            <w:tcW w:w="1668" w:type="dxa"/>
            <w:shd w:val="clear" w:color="auto" w:fill="EEF5FB"/>
            <w:vAlign w:val="center"/>
          </w:tcPr>
          <w:p w14:paraId="4C4287DA"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Implementation packs and workshops</w:t>
            </w:r>
          </w:p>
        </w:tc>
        <w:tc>
          <w:tcPr>
            <w:tcW w:w="1568" w:type="dxa"/>
            <w:shd w:val="clear" w:color="auto" w:fill="EEF5FB"/>
            <w:vAlign w:val="center"/>
          </w:tcPr>
          <w:p w14:paraId="2F628792"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Bi-weekly</w:t>
            </w:r>
          </w:p>
        </w:tc>
        <w:tc>
          <w:tcPr>
            <w:tcW w:w="1568" w:type="dxa"/>
            <w:shd w:val="clear" w:color="auto" w:fill="EEF5FB"/>
            <w:vAlign w:val="center"/>
          </w:tcPr>
          <w:p w14:paraId="71F7A98D"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Practical and action-oriented</w:t>
            </w:r>
          </w:p>
        </w:tc>
        <w:tc>
          <w:tcPr>
            <w:tcW w:w="1568" w:type="dxa"/>
            <w:shd w:val="clear" w:color="auto" w:fill="EEF5FB"/>
            <w:vAlign w:val="center"/>
          </w:tcPr>
          <w:p w14:paraId="45308B4C"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Readiness and issue closure</w:t>
            </w:r>
          </w:p>
        </w:tc>
      </w:tr>
      <w:tr w:rsidR="00CF7D74" w:rsidRPr="004811DC" w14:paraId="124325A6" w14:textId="77777777" w:rsidTr="00D33C92">
        <w:trPr>
          <w:jc w:val="center"/>
        </w:trPr>
        <w:tc>
          <w:tcPr>
            <w:tcW w:w="1568" w:type="dxa"/>
            <w:shd w:val="clear" w:color="auto" w:fill="F7FBFF"/>
            <w:vAlign w:val="center"/>
          </w:tcPr>
          <w:p w14:paraId="68607459"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Staff</w:t>
            </w:r>
          </w:p>
        </w:tc>
        <w:tc>
          <w:tcPr>
            <w:tcW w:w="1636" w:type="dxa"/>
            <w:shd w:val="clear" w:color="auto" w:fill="F7FBFF"/>
            <w:vAlign w:val="center"/>
          </w:tcPr>
          <w:p w14:paraId="575C610F"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Role clarity, service process and support</w:t>
            </w:r>
          </w:p>
        </w:tc>
        <w:tc>
          <w:tcPr>
            <w:tcW w:w="1668" w:type="dxa"/>
            <w:shd w:val="clear" w:color="auto" w:fill="F7FBFF"/>
            <w:vAlign w:val="center"/>
          </w:tcPr>
          <w:p w14:paraId="0E04576A"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Training sessions, intranet, FAQs</w:t>
            </w:r>
          </w:p>
        </w:tc>
        <w:tc>
          <w:tcPr>
            <w:tcW w:w="1568" w:type="dxa"/>
            <w:shd w:val="clear" w:color="auto" w:fill="F7FBFF"/>
            <w:vAlign w:val="center"/>
          </w:tcPr>
          <w:p w14:paraId="579A449D"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Weekly during rollout</w:t>
            </w:r>
          </w:p>
        </w:tc>
        <w:tc>
          <w:tcPr>
            <w:tcW w:w="1568" w:type="dxa"/>
            <w:shd w:val="clear" w:color="auto" w:fill="F7FBFF"/>
            <w:vAlign w:val="center"/>
          </w:tcPr>
          <w:p w14:paraId="54472356"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Supportive and clear</w:t>
            </w:r>
          </w:p>
        </w:tc>
        <w:tc>
          <w:tcPr>
            <w:tcW w:w="1568" w:type="dxa"/>
            <w:shd w:val="clear" w:color="auto" w:fill="F7FBFF"/>
            <w:vAlign w:val="center"/>
          </w:tcPr>
          <w:p w14:paraId="48236E16"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Training completion and confidence</w:t>
            </w:r>
          </w:p>
        </w:tc>
      </w:tr>
      <w:tr w:rsidR="00CF7D74" w:rsidRPr="004811DC" w14:paraId="7F8DADCD" w14:textId="77777777" w:rsidTr="00D33C92">
        <w:trPr>
          <w:jc w:val="center"/>
        </w:trPr>
        <w:tc>
          <w:tcPr>
            <w:tcW w:w="1568" w:type="dxa"/>
            <w:shd w:val="clear" w:color="auto" w:fill="EEF5FB"/>
            <w:vAlign w:val="center"/>
          </w:tcPr>
          <w:p w14:paraId="35081B1C"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Guests</w:t>
            </w:r>
          </w:p>
        </w:tc>
        <w:tc>
          <w:tcPr>
            <w:tcW w:w="1636" w:type="dxa"/>
            <w:shd w:val="clear" w:color="auto" w:fill="EEF5FB"/>
            <w:vAlign w:val="center"/>
          </w:tcPr>
          <w:p w14:paraId="1304D7CB"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Benefits, privacy safeguards and service choice</w:t>
            </w:r>
          </w:p>
        </w:tc>
        <w:tc>
          <w:tcPr>
            <w:tcW w:w="1668" w:type="dxa"/>
            <w:shd w:val="clear" w:color="auto" w:fill="EEF5FB"/>
            <w:vAlign w:val="center"/>
          </w:tcPr>
          <w:p w14:paraId="3BD73953"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App, email, website, in-hotel messaging</w:t>
            </w:r>
          </w:p>
        </w:tc>
        <w:tc>
          <w:tcPr>
            <w:tcW w:w="1568" w:type="dxa"/>
            <w:shd w:val="clear" w:color="auto" w:fill="EEF5FB"/>
            <w:vAlign w:val="center"/>
          </w:tcPr>
          <w:p w14:paraId="4ABEEFEE"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Pre-launch and launch</w:t>
            </w:r>
          </w:p>
        </w:tc>
        <w:tc>
          <w:tcPr>
            <w:tcW w:w="1568" w:type="dxa"/>
            <w:shd w:val="clear" w:color="auto" w:fill="EEF5FB"/>
            <w:vAlign w:val="center"/>
          </w:tcPr>
          <w:p w14:paraId="1A0761F1"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Reassuring and value-led</w:t>
            </w:r>
          </w:p>
        </w:tc>
        <w:tc>
          <w:tcPr>
            <w:tcW w:w="1568" w:type="dxa"/>
            <w:shd w:val="clear" w:color="auto" w:fill="EEF5FB"/>
            <w:vAlign w:val="center"/>
          </w:tcPr>
          <w:p w14:paraId="28452448"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Awareness, open rate and uptake</w:t>
            </w:r>
          </w:p>
        </w:tc>
      </w:tr>
      <w:tr w:rsidR="00CF7D74" w:rsidRPr="004811DC" w14:paraId="19F175F7" w14:textId="77777777" w:rsidTr="00D33C92">
        <w:trPr>
          <w:jc w:val="center"/>
        </w:trPr>
        <w:tc>
          <w:tcPr>
            <w:tcW w:w="1568" w:type="dxa"/>
            <w:shd w:val="clear" w:color="auto" w:fill="F7FBFF"/>
            <w:vAlign w:val="center"/>
          </w:tcPr>
          <w:p w14:paraId="795194E5"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Technology partners</w:t>
            </w:r>
          </w:p>
        </w:tc>
        <w:tc>
          <w:tcPr>
            <w:tcW w:w="1636" w:type="dxa"/>
            <w:shd w:val="clear" w:color="auto" w:fill="F7FBFF"/>
            <w:vAlign w:val="center"/>
          </w:tcPr>
          <w:p w14:paraId="49CA061C"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Scope, milestones and support issues</w:t>
            </w:r>
          </w:p>
        </w:tc>
        <w:tc>
          <w:tcPr>
            <w:tcW w:w="1668" w:type="dxa"/>
            <w:shd w:val="clear" w:color="auto" w:fill="F7FBFF"/>
            <w:vAlign w:val="center"/>
          </w:tcPr>
          <w:p w14:paraId="66592FD2"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Shared portal and meetings</w:t>
            </w:r>
          </w:p>
        </w:tc>
        <w:tc>
          <w:tcPr>
            <w:tcW w:w="1568" w:type="dxa"/>
            <w:shd w:val="clear" w:color="auto" w:fill="F7FBFF"/>
            <w:vAlign w:val="center"/>
          </w:tcPr>
          <w:p w14:paraId="068C685B"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Bi-weekly</w:t>
            </w:r>
          </w:p>
        </w:tc>
        <w:tc>
          <w:tcPr>
            <w:tcW w:w="1568" w:type="dxa"/>
            <w:shd w:val="clear" w:color="auto" w:fill="F7FBFF"/>
            <w:vAlign w:val="center"/>
          </w:tcPr>
          <w:p w14:paraId="538C0F19"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Collaborative and precise</w:t>
            </w:r>
          </w:p>
        </w:tc>
        <w:tc>
          <w:tcPr>
            <w:tcW w:w="1568" w:type="dxa"/>
            <w:shd w:val="clear" w:color="auto" w:fill="F7FBFF"/>
            <w:vAlign w:val="center"/>
          </w:tcPr>
          <w:p w14:paraId="3F2C1A15"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Milestone delivery</w:t>
            </w:r>
          </w:p>
        </w:tc>
      </w:tr>
      <w:tr w:rsidR="00CF7D74" w:rsidRPr="004811DC" w14:paraId="086F0BA4" w14:textId="77777777" w:rsidTr="00D33C92">
        <w:trPr>
          <w:jc w:val="center"/>
        </w:trPr>
        <w:tc>
          <w:tcPr>
            <w:tcW w:w="1568" w:type="dxa"/>
            <w:shd w:val="clear" w:color="auto" w:fill="EEF5FB"/>
            <w:vAlign w:val="center"/>
          </w:tcPr>
          <w:p w14:paraId="5F475281"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Community / local stakeholders</w:t>
            </w:r>
          </w:p>
        </w:tc>
        <w:tc>
          <w:tcPr>
            <w:tcW w:w="1636" w:type="dxa"/>
            <w:shd w:val="clear" w:color="auto" w:fill="EEF5FB"/>
            <w:vAlign w:val="center"/>
          </w:tcPr>
          <w:p w14:paraId="4E350D88"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Local value and sustainability relevance</w:t>
            </w:r>
          </w:p>
        </w:tc>
        <w:tc>
          <w:tcPr>
            <w:tcW w:w="1668" w:type="dxa"/>
            <w:shd w:val="clear" w:color="auto" w:fill="EEF5FB"/>
            <w:vAlign w:val="center"/>
          </w:tcPr>
          <w:p w14:paraId="6454FF1C"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Community updates and local meetings</w:t>
            </w:r>
          </w:p>
        </w:tc>
        <w:tc>
          <w:tcPr>
            <w:tcW w:w="1568" w:type="dxa"/>
            <w:shd w:val="clear" w:color="auto" w:fill="EEF5FB"/>
            <w:vAlign w:val="center"/>
          </w:tcPr>
          <w:p w14:paraId="2BCBB3CF"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Quarterly</w:t>
            </w:r>
          </w:p>
        </w:tc>
        <w:tc>
          <w:tcPr>
            <w:tcW w:w="1568" w:type="dxa"/>
            <w:shd w:val="clear" w:color="auto" w:fill="EEF5FB"/>
            <w:vAlign w:val="center"/>
          </w:tcPr>
          <w:p w14:paraId="40BDCF7C"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Transparent and relational</w:t>
            </w:r>
          </w:p>
        </w:tc>
        <w:tc>
          <w:tcPr>
            <w:tcW w:w="1568" w:type="dxa"/>
            <w:shd w:val="clear" w:color="auto" w:fill="EEF5FB"/>
            <w:vAlign w:val="center"/>
          </w:tcPr>
          <w:p w14:paraId="4CCDA63B" w14:textId="77777777" w:rsidR="00CF7D74" w:rsidRPr="004811DC" w:rsidRDefault="001A3901" w:rsidP="004468E2">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Sentiment and participation</w:t>
            </w:r>
          </w:p>
        </w:tc>
      </w:tr>
    </w:tbl>
    <w:p w14:paraId="4E0DE8CB" w14:textId="3830E946" w:rsidR="00CF7D74" w:rsidRPr="004811DC" w:rsidRDefault="00056BE1" w:rsidP="00231C5B">
      <w:pPr>
        <w:spacing w:before="240" w:after="120"/>
        <w:rPr>
          <w:rFonts w:ascii="Times New Roman" w:hAnsi="Times New Roman" w:cs="Times New Roman"/>
          <w:sz w:val="24"/>
          <w:szCs w:val="24"/>
        </w:rPr>
      </w:pPr>
      <w:r w:rsidRPr="004811DC">
        <w:rPr>
          <w:rFonts w:ascii="Times New Roman" w:hAnsi="Times New Roman" w:cs="Times New Roman"/>
          <w:b/>
          <w:color w:val="1F4E79"/>
          <w:sz w:val="24"/>
          <w:szCs w:val="24"/>
        </w:rPr>
        <w:lastRenderedPageBreak/>
        <w:t>5. Stakeholder Engagement Process and Conflict Management</w:t>
      </w:r>
    </w:p>
    <w:p w14:paraId="09DBAB7A" w14:textId="77777777" w:rsidR="00095D22" w:rsidRPr="004811DC" w:rsidRDefault="00095D22" w:rsidP="00761B31">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 xml:space="preserve">The project manager should approach stakeholder engagement as a continuous cycle of identifying, analysing, engaging, monitoring, and adapting. The 4C’s model reinforces that effective engagement goes beyond simply sharing information; it requires building understanding, encouraging participation, fostering shared ownership, and sustaining long-term relationships (Doherty and </w:t>
      </w:r>
      <w:proofErr w:type="spellStart"/>
      <w:r w:rsidRPr="004811DC">
        <w:rPr>
          <w:rFonts w:ascii="Times New Roman" w:hAnsi="Times New Roman" w:cs="Times New Roman"/>
          <w:sz w:val="24"/>
          <w:szCs w:val="24"/>
        </w:rPr>
        <w:t>Guyler</w:t>
      </w:r>
      <w:proofErr w:type="spellEnd"/>
      <w:r w:rsidRPr="004811DC">
        <w:rPr>
          <w:rFonts w:ascii="Times New Roman" w:hAnsi="Times New Roman" w:cs="Times New Roman"/>
          <w:sz w:val="24"/>
          <w:szCs w:val="24"/>
        </w:rPr>
        <w:t>, 2008).</w:t>
      </w:r>
    </w:p>
    <w:p w14:paraId="0D12B0BC" w14:textId="5E0CB6E3" w:rsidR="00CF7D74" w:rsidRPr="004811DC" w:rsidRDefault="00056BE1" w:rsidP="00231C5B">
      <w:pPr>
        <w:spacing w:before="200" w:after="80"/>
        <w:rPr>
          <w:rFonts w:ascii="Times New Roman" w:hAnsi="Times New Roman" w:cs="Times New Roman"/>
          <w:sz w:val="24"/>
          <w:szCs w:val="24"/>
        </w:rPr>
      </w:pPr>
      <w:r w:rsidRPr="004811DC">
        <w:rPr>
          <w:rFonts w:ascii="Times New Roman" w:hAnsi="Times New Roman" w:cs="Times New Roman"/>
          <w:b/>
          <w:color w:val="2F5496"/>
          <w:sz w:val="24"/>
          <w:szCs w:val="24"/>
        </w:rPr>
        <w:t>5.1 Applying the 4C's Model</w:t>
      </w:r>
    </w:p>
    <w:p w14:paraId="7AB762B4" w14:textId="30B0B8E9" w:rsidR="00A66A36" w:rsidRPr="004811DC" w:rsidRDefault="00A66A36" w:rsidP="00050E5B">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Communication forms the foundation of stakeholder engagement for StaySmart+, requiring clear, timely and tailored messaging across audiences: executives need concise evidence on value and risk; staff need practical guidance on role changes; and guests need transparent reassurance on privacy and service choices. Poor communication</w:t>
      </w:r>
      <w:r w:rsidR="006F5F23" w:rsidRPr="004811DC">
        <w:rPr>
          <w:rFonts w:ascii="Times New Roman" w:hAnsi="Times New Roman" w:cs="Times New Roman"/>
          <w:sz w:val="24"/>
          <w:szCs w:val="24"/>
        </w:rPr>
        <w:t>,</w:t>
      </w:r>
      <w:r w:rsidRPr="004811DC">
        <w:rPr>
          <w:rFonts w:ascii="Times New Roman" w:hAnsi="Times New Roman" w:cs="Times New Roman"/>
          <w:sz w:val="24"/>
          <w:szCs w:val="24"/>
        </w:rPr>
        <w:t xml:space="preserve"> vague, delayed or </w:t>
      </w:r>
      <w:r w:rsidR="00754776" w:rsidRPr="004811DC">
        <w:rPr>
          <w:rFonts w:ascii="Times New Roman" w:hAnsi="Times New Roman" w:cs="Times New Roman"/>
          <w:sz w:val="24"/>
          <w:szCs w:val="24"/>
        </w:rPr>
        <w:t>inconsistent, is</w:t>
      </w:r>
      <w:r w:rsidRPr="004811DC">
        <w:rPr>
          <w:rFonts w:ascii="Times New Roman" w:hAnsi="Times New Roman" w:cs="Times New Roman"/>
          <w:sz w:val="24"/>
          <w:szCs w:val="24"/>
        </w:rPr>
        <w:t xml:space="preserve"> frequently cited as the primary driver of project resistance and disengagement (Pinto, 2013).</w:t>
      </w:r>
    </w:p>
    <w:p w14:paraId="7E67871E" w14:textId="77777777" w:rsidR="002843D3" w:rsidRPr="004811DC" w:rsidRDefault="002843D3" w:rsidP="00050E5B">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Consultation enables stakeholders to contribute to design and implementation through mechanisms such as staff focus groups, guest surveys and operational reviews, helping to identify practical challenges early. In the SS+ project, this could take the form of staff focus groups during the design phase to identify practical operational concerns, guest surveys to gauge appetite for specific AI features, and operational readiness reviews with hotel managers before each rollout wave.</w:t>
      </w:r>
    </w:p>
    <w:p w14:paraId="403D5F43" w14:textId="5189EA70" w:rsidR="00A66A36" w:rsidRPr="004811DC" w:rsidRDefault="00A66A36" w:rsidP="00050E5B">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 xml:space="preserve">Collaboration extends this into joint problem-solving, particularly between IT teams and operations managers, and between Marriott and its technology partners. As Doherty and </w:t>
      </w:r>
      <w:proofErr w:type="spellStart"/>
      <w:r w:rsidRPr="004811DC">
        <w:rPr>
          <w:rFonts w:ascii="Times New Roman" w:hAnsi="Times New Roman" w:cs="Times New Roman"/>
          <w:sz w:val="24"/>
          <w:szCs w:val="24"/>
        </w:rPr>
        <w:t>Guyler</w:t>
      </w:r>
      <w:proofErr w:type="spellEnd"/>
      <w:r w:rsidRPr="004811DC">
        <w:rPr>
          <w:rFonts w:ascii="Times New Roman" w:hAnsi="Times New Roman" w:cs="Times New Roman"/>
          <w:sz w:val="24"/>
          <w:szCs w:val="24"/>
        </w:rPr>
        <w:t xml:space="preserve"> (2008) argue, effective collaboration depends not on goodwill alone but on deliberate structural mechanisms</w:t>
      </w:r>
      <w:r w:rsidR="006F5F23" w:rsidRPr="004811DC">
        <w:rPr>
          <w:rFonts w:ascii="Times New Roman" w:hAnsi="Times New Roman" w:cs="Times New Roman"/>
          <w:sz w:val="24"/>
          <w:szCs w:val="24"/>
        </w:rPr>
        <w:t>,</w:t>
      </w:r>
      <w:r w:rsidRPr="004811DC">
        <w:rPr>
          <w:rFonts w:ascii="Times New Roman" w:hAnsi="Times New Roman" w:cs="Times New Roman"/>
          <w:sz w:val="24"/>
          <w:szCs w:val="24"/>
        </w:rPr>
        <w:t xml:space="preserve"> shared platforms, joint design sprints and clear escalation processes</w:t>
      </w:r>
      <w:r w:rsidR="00E75061" w:rsidRPr="004811DC">
        <w:rPr>
          <w:rFonts w:ascii="Times New Roman" w:hAnsi="Times New Roman" w:cs="Times New Roman"/>
          <w:sz w:val="24"/>
          <w:szCs w:val="24"/>
        </w:rPr>
        <w:t xml:space="preserve"> </w:t>
      </w:r>
      <w:r w:rsidRPr="004811DC">
        <w:rPr>
          <w:rFonts w:ascii="Times New Roman" w:hAnsi="Times New Roman" w:cs="Times New Roman"/>
          <w:sz w:val="24"/>
          <w:szCs w:val="24"/>
        </w:rPr>
        <w:t>that create shared accountability.</w:t>
      </w:r>
    </w:p>
    <w:p w14:paraId="2568D809" w14:textId="379545CE" w:rsidR="00E62623" w:rsidRPr="004811DC" w:rsidRDefault="00E62623" w:rsidP="00050E5B">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 xml:space="preserve">Commitment sustains engagement over time through visible, consistent follow-through on promises made during the consultation and collaboration phases. This is particularly important where stakeholders have invested time in contributing to design decisions: if their input is not visibly reflected in outcomes, engagement fatigue will set in quickly. Kotter (1996) argues that one of the most common reasons organisational change initiatives fail is the absence of sustained, </w:t>
      </w:r>
      <w:r w:rsidRPr="004811DC">
        <w:rPr>
          <w:rFonts w:ascii="Times New Roman" w:hAnsi="Times New Roman" w:cs="Times New Roman"/>
          <w:sz w:val="24"/>
          <w:szCs w:val="24"/>
        </w:rPr>
        <w:lastRenderedPageBreak/>
        <w:t>visible leadership commitment; without it, employees and partners quickly revert to familiar behaviours and disengage from the change process altogether</w:t>
      </w:r>
      <w:r w:rsidR="00DB0D09">
        <w:rPr>
          <w:rFonts w:ascii="Times New Roman" w:hAnsi="Times New Roman" w:cs="Times New Roman"/>
          <w:sz w:val="24"/>
          <w:szCs w:val="24"/>
        </w:rPr>
        <w:t>.</w:t>
      </w:r>
    </w:p>
    <w:p w14:paraId="4DA5E0FC" w14:textId="634C5E69" w:rsidR="00802051" w:rsidRPr="004811DC" w:rsidRDefault="00A66A36" w:rsidP="00BC653E">
      <w:pPr>
        <w:spacing w:before="200" w:after="80" w:line="276" w:lineRule="auto"/>
        <w:jc w:val="both"/>
        <w:rPr>
          <w:rFonts w:ascii="Times New Roman" w:hAnsi="Times New Roman" w:cs="Times New Roman"/>
          <w:sz w:val="24"/>
          <w:szCs w:val="24"/>
        </w:rPr>
      </w:pPr>
      <w:r w:rsidRPr="004811DC">
        <w:rPr>
          <w:rFonts w:ascii="Times New Roman" w:hAnsi="Times New Roman" w:cs="Times New Roman"/>
          <w:sz w:val="24"/>
          <w:szCs w:val="24"/>
        </w:rPr>
        <w:t>While the 4C's model is a practical framework, it does not inherently address power imbalances. The project manager must therefore ensure that lower-power stakeholders</w:t>
      </w:r>
      <w:r w:rsidR="00050E5B" w:rsidRPr="004811DC">
        <w:rPr>
          <w:rFonts w:ascii="Times New Roman" w:hAnsi="Times New Roman" w:cs="Times New Roman"/>
          <w:sz w:val="24"/>
          <w:szCs w:val="24"/>
        </w:rPr>
        <w:t>,</w:t>
      </w:r>
      <w:r w:rsidRPr="004811DC">
        <w:rPr>
          <w:rFonts w:ascii="Times New Roman" w:hAnsi="Times New Roman" w:cs="Times New Roman"/>
          <w:sz w:val="24"/>
          <w:szCs w:val="24"/>
        </w:rPr>
        <w:t xml:space="preserve"> such as front-line staff and local communities</w:t>
      </w:r>
      <w:r w:rsidR="00050E5B" w:rsidRPr="004811DC">
        <w:rPr>
          <w:rFonts w:ascii="Times New Roman" w:hAnsi="Times New Roman" w:cs="Times New Roman"/>
          <w:sz w:val="24"/>
          <w:szCs w:val="24"/>
        </w:rPr>
        <w:t>,</w:t>
      </w:r>
      <w:r w:rsidRPr="004811DC">
        <w:rPr>
          <w:rFonts w:ascii="Times New Roman" w:hAnsi="Times New Roman" w:cs="Times New Roman"/>
          <w:sz w:val="24"/>
          <w:szCs w:val="24"/>
        </w:rPr>
        <w:t xml:space="preserve"> meaningfully influence decisions, not merely receive information about them (Lindgreen, 2019).</w:t>
      </w:r>
    </w:p>
    <w:p w14:paraId="0E21CE90" w14:textId="3476D3BE" w:rsidR="00CF7D74" w:rsidRPr="004811DC" w:rsidRDefault="00056BE1" w:rsidP="00A66A36">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5.2 Conflict Management Plan</w:t>
      </w:r>
    </w:p>
    <w:p w14:paraId="0C4EFC2F" w14:textId="048ACE70" w:rsidR="00A80173" w:rsidRPr="004811DC" w:rsidRDefault="00FA204E" w:rsidP="009B4C05">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Conflict is inevitable in complex, cross-functional projects and should be treated not as a failure of management but as a signal of competing stakeholder priorities that require active resolution. As Hill (2016) argues, effective project management requires identifying underlying causes of disagreement rather than addressing only surface tensions, a principle that underpins the conflict management approach below</w:t>
      </w:r>
      <w:r w:rsidR="00DB0D09">
        <w:rPr>
          <w:rFonts w:ascii="Times New Roman" w:hAnsi="Times New Roman" w:cs="Times New Roman"/>
          <w:sz w:val="24"/>
          <w:szCs w:val="24"/>
        </w:rPr>
        <w:t>.</w:t>
      </w:r>
    </w:p>
    <w:tbl>
      <w:tblPr>
        <w:tblStyle w:val="TableGrid"/>
        <w:tblW w:w="0" w:type="auto"/>
        <w:jc w:val="center"/>
        <w:tblLook w:val="04A0" w:firstRow="1" w:lastRow="0" w:firstColumn="1" w:lastColumn="0" w:noHBand="0" w:noVBand="1"/>
      </w:tblPr>
      <w:tblGrid>
        <w:gridCol w:w="1881"/>
        <w:gridCol w:w="1881"/>
        <w:gridCol w:w="1881"/>
        <w:gridCol w:w="1881"/>
        <w:gridCol w:w="1881"/>
      </w:tblGrid>
      <w:tr w:rsidR="00CF7D74" w:rsidRPr="004811DC" w14:paraId="423AB795" w14:textId="77777777" w:rsidTr="00BC5873">
        <w:trPr>
          <w:jc w:val="center"/>
        </w:trPr>
        <w:tc>
          <w:tcPr>
            <w:tcW w:w="1881" w:type="dxa"/>
            <w:shd w:val="clear" w:color="auto" w:fill="632423" w:themeFill="accent2" w:themeFillShade="80"/>
            <w:vAlign w:val="center"/>
          </w:tcPr>
          <w:p w14:paraId="41FE33D1" w14:textId="77777777" w:rsidR="00CF7D74" w:rsidRPr="004811DC" w:rsidRDefault="001A3901" w:rsidP="00885A1E">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Potential conflict</w:t>
            </w:r>
          </w:p>
        </w:tc>
        <w:tc>
          <w:tcPr>
            <w:tcW w:w="1881" w:type="dxa"/>
            <w:shd w:val="clear" w:color="auto" w:fill="632423" w:themeFill="accent2" w:themeFillShade="80"/>
            <w:vAlign w:val="center"/>
          </w:tcPr>
          <w:p w14:paraId="5016BA08" w14:textId="77777777" w:rsidR="00CF7D74" w:rsidRPr="004811DC" w:rsidRDefault="001A3901" w:rsidP="00885A1E">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Stakeholders involved</w:t>
            </w:r>
          </w:p>
        </w:tc>
        <w:tc>
          <w:tcPr>
            <w:tcW w:w="1881" w:type="dxa"/>
            <w:shd w:val="clear" w:color="auto" w:fill="632423" w:themeFill="accent2" w:themeFillShade="80"/>
            <w:vAlign w:val="center"/>
          </w:tcPr>
          <w:p w14:paraId="12EBAE55" w14:textId="77777777" w:rsidR="00CF7D74" w:rsidRPr="004811DC" w:rsidRDefault="001A3901" w:rsidP="00885A1E">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Likely cause</w:t>
            </w:r>
          </w:p>
        </w:tc>
        <w:tc>
          <w:tcPr>
            <w:tcW w:w="1881" w:type="dxa"/>
            <w:shd w:val="clear" w:color="auto" w:fill="632423" w:themeFill="accent2" w:themeFillShade="80"/>
            <w:vAlign w:val="center"/>
          </w:tcPr>
          <w:p w14:paraId="768BBC28" w14:textId="77777777" w:rsidR="00CF7D74" w:rsidRPr="004811DC" w:rsidRDefault="001A3901" w:rsidP="00885A1E">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Management response</w:t>
            </w:r>
          </w:p>
        </w:tc>
        <w:tc>
          <w:tcPr>
            <w:tcW w:w="1881" w:type="dxa"/>
            <w:shd w:val="clear" w:color="auto" w:fill="632423" w:themeFill="accent2" w:themeFillShade="80"/>
            <w:vAlign w:val="center"/>
          </w:tcPr>
          <w:p w14:paraId="69BE3D18" w14:textId="77777777" w:rsidR="00CF7D74" w:rsidRPr="004811DC" w:rsidRDefault="001A3901" w:rsidP="00885A1E">
            <w:pPr>
              <w:spacing w:before="40" w:after="40" w:line="276" w:lineRule="auto"/>
              <w:jc w:val="center"/>
              <w:rPr>
                <w:rFonts w:ascii="Times New Roman" w:hAnsi="Times New Roman" w:cs="Times New Roman"/>
                <w:sz w:val="24"/>
                <w:szCs w:val="24"/>
              </w:rPr>
            </w:pPr>
            <w:r w:rsidRPr="004811DC">
              <w:rPr>
                <w:rFonts w:ascii="Times New Roman" w:hAnsi="Times New Roman" w:cs="Times New Roman"/>
                <w:b/>
                <w:sz w:val="24"/>
                <w:szCs w:val="24"/>
              </w:rPr>
              <w:t>Linked 4C</w:t>
            </w:r>
          </w:p>
        </w:tc>
      </w:tr>
      <w:tr w:rsidR="00CF7D74" w:rsidRPr="004811DC" w14:paraId="578C22FA" w14:textId="77777777" w:rsidTr="00BC5873">
        <w:trPr>
          <w:jc w:val="center"/>
        </w:trPr>
        <w:tc>
          <w:tcPr>
            <w:tcW w:w="1881" w:type="dxa"/>
            <w:shd w:val="clear" w:color="auto" w:fill="D99594" w:themeFill="accent2" w:themeFillTint="99"/>
            <w:vAlign w:val="center"/>
          </w:tcPr>
          <w:p w14:paraId="61A19E40"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Security versus seamless experience</w:t>
            </w:r>
          </w:p>
        </w:tc>
        <w:tc>
          <w:tcPr>
            <w:tcW w:w="1881" w:type="dxa"/>
            <w:shd w:val="clear" w:color="auto" w:fill="D99594" w:themeFill="accent2" w:themeFillTint="99"/>
            <w:vAlign w:val="center"/>
          </w:tcPr>
          <w:p w14:paraId="1040F643"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IT, marketing, PM</w:t>
            </w:r>
          </w:p>
        </w:tc>
        <w:tc>
          <w:tcPr>
            <w:tcW w:w="1881" w:type="dxa"/>
            <w:shd w:val="clear" w:color="auto" w:fill="D99594" w:themeFill="accent2" w:themeFillTint="99"/>
            <w:vAlign w:val="center"/>
          </w:tcPr>
          <w:p w14:paraId="2734293B" w14:textId="70BFC3F6" w:rsidR="00CF7D74" w:rsidRPr="004811DC" w:rsidRDefault="0099370F"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Misaligned KPIs and risk tolerance across functions</w:t>
            </w:r>
          </w:p>
        </w:tc>
        <w:tc>
          <w:tcPr>
            <w:tcW w:w="1881" w:type="dxa"/>
            <w:shd w:val="clear" w:color="auto" w:fill="D99594" w:themeFill="accent2" w:themeFillTint="99"/>
            <w:vAlign w:val="center"/>
          </w:tcPr>
          <w:p w14:paraId="171E7B73" w14:textId="77777777" w:rsidR="00CF7D74" w:rsidRPr="004811DC" w:rsidRDefault="001A3901" w:rsidP="00A7161C">
            <w:pPr>
              <w:spacing w:before="40" w:after="40"/>
              <w:rPr>
                <w:rFonts w:ascii="Times New Roman" w:hAnsi="Times New Roman" w:cs="Times New Roman"/>
                <w:sz w:val="24"/>
                <w:szCs w:val="24"/>
              </w:rPr>
            </w:pPr>
            <w:r w:rsidRPr="004811DC">
              <w:rPr>
                <w:rFonts w:ascii="Times New Roman" w:hAnsi="Times New Roman" w:cs="Times New Roman"/>
                <w:sz w:val="24"/>
                <w:szCs w:val="24"/>
              </w:rPr>
              <w:t>Use joint design reviews and risk-based trade-off decisions</w:t>
            </w:r>
          </w:p>
        </w:tc>
        <w:tc>
          <w:tcPr>
            <w:tcW w:w="1881" w:type="dxa"/>
            <w:shd w:val="clear" w:color="auto" w:fill="D99594" w:themeFill="accent2" w:themeFillTint="99"/>
            <w:vAlign w:val="center"/>
          </w:tcPr>
          <w:p w14:paraId="0772BB67"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Communication / Collaboration</w:t>
            </w:r>
          </w:p>
        </w:tc>
      </w:tr>
      <w:tr w:rsidR="00CF7D74" w:rsidRPr="004811DC" w14:paraId="6D7EFAD3" w14:textId="77777777" w:rsidTr="00BC5873">
        <w:trPr>
          <w:jc w:val="center"/>
        </w:trPr>
        <w:tc>
          <w:tcPr>
            <w:tcW w:w="1881" w:type="dxa"/>
            <w:shd w:val="clear" w:color="auto" w:fill="F2DBDB" w:themeFill="accent2" w:themeFillTint="33"/>
            <w:vAlign w:val="center"/>
          </w:tcPr>
          <w:p w14:paraId="3626B261"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Resistance to rollout speed</w:t>
            </w:r>
          </w:p>
        </w:tc>
        <w:tc>
          <w:tcPr>
            <w:tcW w:w="1881" w:type="dxa"/>
            <w:shd w:val="clear" w:color="auto" w:fill="F2DBDB" w:themeFill="accent2" w:themeFillTint="33"/>
            <w:vAlign w:val="center"/>
          </w:tcPr>
          <w:p w14:paraId="0595F9C0"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Operations managers, executives</w:t>
            </w:r>
          </w:p>
        </w:tc>
        <w:tc>
          <w:tcPr>
            <w:tcW w:w="1881" w:type="dxa"/>
            <w:shd w:val="clear" w:color="auto" w:fill="F2DBDB" w:themeFill="accent2" w:themeFillTint="33"/>
            <w:vAlign w:val="center"/>
          </w:tcPr>
          <w:p w14:paraId="659AEB4D"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Readiness concerns and service disruption fears</w:t>
            </w:r>
          </w:p>
        </w:tc>
        <w:tc>
          <w:tcPr>
            <w:tcW w:w="1881" w:type="dxa"/>
            <w:shd w:val="clear" w:color="auto" w:fill="F2DBDB" w:themeFill="accent2" w:themeFillTint="33"/>
            <w:vAlign w:val="center"/>
          </w:tcPr>
          <w:p w14:paraId="0341DDCA" w14:textId="2E582AFB" w:rsidR="00CF7D74" w:rsidRPr="004811DC" w:rsidRDefault="00BC2C80" w:rsidP="00A03B21">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Adopt phased implementation with feedback loops and readiness validation</w:t>
            </w:r>
          </w:p>
        </w:tc>
        <w:tc>
          <w:tcPr>
            <w:tcW w:w="1881" w:type="dxa"/>
            <w:shd w:val="clear" w:color="auto" w:fill="F2DBDB" w:themeFill="accent2" w:themeFillTint="33"/>
            <w:vAlign w:val="center"/>
          </w:tcPr>
          <w:p w14:paraId="10E648AE"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Consultation / Commitment</w:t>
            </w:r>
          </w:p>
        </w:tc>
      </w:tr>
      <w:tr w:rsidR="00CF7D74" w:rsidRPr="004811DC" w14:paraId="7CFEE3F8" w14:textId="77777777" w:rsidTr="00BC5873">
        <w:trPr>
          <w:jc w:val="center"/>
        </w:trPr>
        <w:tc>
          <w:tcPr>
            <w:tcW w:w="1881" w:type="dxa"/>
            <w:shd w:val="clear" w:color="auto" w:fill="D99594" w:themeFill="accent2" w:themeFillTint="99"/>
            <w:vAlign w:val="center"/>
          </w:tcPr>
          <w:p w14:paraId="3B6969AA"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Staff anxiety over AI and role change</w:t>
            </w:r>
          </w:p>
        </w:tc>
        <w:tc>
          <w:tcPr>
            <w:tcW w:w="1881" w:type="dxa"/>
            <w:shd w:val="clear" w:color="auto" w:fill="D99594" w:themeFill="accent2" w:themeFillTint="99"/>
            <w:vAlign w:val="center"/>
          </w:tcPr>
          <w:p w14:paraId="56075FB8"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Front-line teams, HR, managers</w:t>
            </w:r>
          </w:p>
        </w:tc>
        <w:tc>
          <w:tcPr>
            <w:tcW w:w="1881" w:type="dxa"/>
            <w:shd w:val="clear" w:color="auto" w:fill="D99594" w:themeFill="accent2" w:themeFillTint="99"/>
            <w:vAlign w:val="center"/>
          </w:tcPr>
          <w:p w14:paraId="73F00230" w14:textId="455C01BD" w:rsidR="00CF7D74" w:rsidRPr="004811DC" w:rsidRDefault="00671933"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Perceived loss of control and unclear role redefinition</w:t>
            </w:r>
          </w:p>
        </w:tc>
        <w:tc>
          <w:tcPr>
            <w:tcW w:w="1881" w:type="dxa"/>
            <w:shd w:val="clear" w:color="auto" w:fill="D99594" w:themeFill="accent2" w:themeFillTint="99"/>
            <w:vAlign w:val="center"/>
          </w:tcPr>
          <w:p w14:paraId="5990DE4D" w14:textId="6BEE9526" w:rsidR="00CF7D74" w:rsidRPr="004811DC" w:rsidRDefault="007D7385" w:rsidP="00A03B21">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Deliver structured change management, role clarification and capability-building programmes</w:t>
            </w:r>
          </w:p>
        </w:tc>
        <w:tc>
          <w:tcPr>
            <w:tcW w:w="1881" w:type="dxa"/>
            <w:shd w:val="clear" w:color="auto" w:fill="D99594" w:themeFill="accent2" w:themeFillTint="99"/>
            <w:vAlign w:val="center"/>
          </w:tcPr>
          <w:p w14:paraId="25AD1B59"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Communication / Commitment</w:t>
            </w:r>
          </w:p>
        </w:tc>
      </w:tr>
      <w:tr w:rsidR="00CF7D74" w:rsidRPr="004811DC" w14:paraId="321E12D8" w14:textId="77777777" w:rsidTr="00BC5873">
        <w:trPr>
          <w:jc w:val="center"/>
        </w:trPr>
        <w:tc>
          <w:tcPr>
            <w:tcW w:w="1881" w:type="dxa"/>
            <w:shd w:val="clear" w:color="auto" w:fill="F2DBDB" w:themeFill="accent2" w:themeFillTint="33"/>
            <w:vAlign w:val="center"/>
          </w:tcPr>
          <w:p w14:paraId="597C9B9A" w14:textId="4E060C94"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 xml:space="preserve">Guest </w:t>
            </w:r>
            <w:r w:rsidR="00826791" w:rsidRPr="004811DC">
              <w:rPr>
                <w:rFonts w:ascii="Times New Roman" w:hAnsi="Times New Roman" w:cs="Times New Roman"/>
                <w:sz w:val="24"/>
                <w:szCs w:val="24"/>
              </w:rPr>
              <w:t>concerns</w:t>
            </w:r>
            <w:r w:rsidRPr="004811DC">
              <w:rPr>
                <w:rFonts w:ascii="Times New Roman" w:hAnsi="Times New Roman" w:cs="Times New Roman"/>
                <w:sz w:val="24"/>
                <w:szCs w:val="24"/>
              </w:rPr>
              <w:t xml:space="preserve"> about privacy or reduced human touch</w:t>
            </w:r>
          </w:p>
        </w:tc>
        <w:tc>
          <w:tcPr>
            <w:tcW w:w="1881" w:type="dxa"/>
            <w:shd w:val="clear" w:color="auto" w:fill="F2DBDB" w:themeFill="accent2" w:themeFillTint="33"/>
            <w:vAlign w:val="center"/>
          </w:tcPr>
          <w:p w14:paraId="1C6A3C30"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Guests, marketing, legal, operations</w:t>
            </w:r>
          </w:p>
        </w:tc>
        <w:tc>
          <w:tcPr>
            <w:tcW w:w="1881" w:type="dxa"/>
            <w:shd w:val="clear" w:color="auto" w:fill="F2DBDB" w:themeFill="accent2" w:themeFillTint="33"/>
            <w:vAlign w:val="center"/>
          </w:tcPr>
          <w:p w14:paraId="3293BDBA"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Unclear explanation of data use or service options</w:t>
            </w:r>
          </w:p>
        </w:tc>
        <w:tc>
          <w:tcPr>
            <w:tcW w:w="1881" w:type="dxa"/>
            <w:shd w:val="clear" w:color="auto" w:fill="F2DBDB" w:themeFill="accent2" w:themeFillTint="33"/>
            <w:vAlign w:val="center"/>
          </w:tcPr>
          <w:p w14:paraId="68E25C90" w14:textId="77777777" w:rsidR="00CF7D74" w:rsidRPr="004811DC" w:rsidRDefault="001A3901" w:rsidP="00A03B21">
            <w:pPr>
              <w:spacing w:before="40" w:after="40" w:line="240" w:lineRule="auto"/>
              <w:rPr>
                <w:rFonts w:ascii="Times New Roman" w:hAnsi="Times New Roman" w:cs="Times New Roman"/>
                <w:sz w:val="24"/>
                <w:szCs w:val="24"/>
              </w:rPr>
            </w:pPr>
            <w:r w:rsidRPr="004811DC">
              <w:rPr>
                <w:rFonts w:ascii="Times New Roman" w:hAnsi="Times New Roman" w:cs="Times New Roman"/>
                <w:sz w:val="24"/>
                <w:szCs w:val="24"/>
              </w:rPr>
              <w:t>Make privacy safeguards visible and preserve human-service choices</w:t>
            </w:r>
          </w:p>
        </w:tc>
        <w:tc>
          <w:tcPr>
            <w:tcW w:w="1881" w:type="dxa"/>
            <w:shd w:val="clear" w:color="auto" w:fill="F2DBDB" w:themeFill="accent2" w:themeFillTint="33"/>
            <w:vAlign w:val="center"/>
          </w:tcPr>
          <w:p w14:paraId="4F05F1E7"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Communication / Consultation</w:t>
            </w:r>
          </w:p>
        </w:tc>
      </w:tr>
      <w:tr w:rsidR="00CF7D74" w:rsidRPr="004811DC" w14:paraId="68A63C3A" w14:textId="77777777" w:rsidTr="00BC5873">
        <w:trPr>
          <w:jc w:val="center"/>
        </w:trPr>
        <w:tc>
          <w:tcPr>
            <w:tcW w:w="1881" w:type="dxa"/>
            <w:shd w:val="clear" w:color="auto" w:fill="D99594" w:themeFill="accent2" w:themeFillTint="99"/>
            <w:vAlign w:val="center"/>
          </w:tcPr>
          <w:p w14:paraId="46C5BFD6"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lastRenderedPageBreak/>
              <w:t>Community scepticism about sustainability claims</w:t>
            </w:r>
          </w:p>
        </w:tc>
        <w:tc>
          <w:tcPr>
            <w:tcW w:w="1881" w:type="dxa"/>
            <w:shd w:val="clear" w:color="auto" w:fill="D99594" w:themeFill="accent2" w:themeFillTint="99"/>
            <w:vAlign w:val="center"/>
          </w:tcPr>
          <w:p w14:paraId="2B5D46A4"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Communities, suppliers, media</w:t>
            </w:r>
          </w:p>
        </w:tc>
        <w:tc>
          <w:tcPr>
            <w:tcW w:w="1881" w:type="dxa"/>
            <w:shd w:val="clear" w:color="auto" w:fill="D99594" w:themeFill="accent2" w:themeFillTint="99"/>
            <w:vAlign w:val="center"/>
          </w:tcPr>
          <w:p w14:paraId="346BC983"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Perception of greenwashing or weak local value</w:t>
            </w:r>
          </w:p>
        </w:tc>
        <w:tc>
          <w:tcPr>
            <w:tcW w:w="1881" w:type="dxa"/>
            <w:shd w:val="clear" w:color="auto" w:fill="D99594" w:themeFill="accent2" w:themeFillTint="99"/>
            <w:vAlign w:val="center"/>
          </w:tcPr>
          <w:p w14:paraId="261E6874" w14:textId="398D990F" w:rsidR="00CF7D74" w:rsidRPr="004811DC" w:rsidRDefault="001705F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Deliver evidence-based CSR communication supported by measurable outcomes</w:t>
            </w:r>
          </w:p>
        </w:tc>
        <w:tc>
          <w:tcPr>
            <w:tcW w:w="1881" w:type="dxa"/>
            <w:shd w:val="clear" w:color="auto" w:fill="D99594" w:themeFill="accent2" w:themeFillTint="99"/>
            <w:vAlign w:val="center"/>
          </w:tcPr>
          <w:p w14:paraId="7799F704" w14:textId="77777777" w:rsidR="00CF7D74" w:rsidRPr="004811DC" w:rsidRDefault="001A3901" w:rsidP="00885A1E">
            <w:pPr>
              <w:spacing w:before="40" w:after="40" w:line="276" w:lineRule="auto"/>
              <w:rPr>
                <w:rFonts w:ascii="Times New Roman" w:hAnsi="Times New Roman" w:cs="Times New Roman"/>
                <w:sz w:val="24"/>
                <w:szCs w:val="24"/>
              </w:rPr>
            </w:pPr>
            <w:r w:rsidRPr="004811DC">
              <w:rPr>
                <w:rFonts w:ascii="Times New Roman" w:hAnsi="Times New Roman" w:cs="Times New Roman"/>
                <w:sz w:val="24"/>
                <w:szCs w:val="24"/>
              </w:rPr>
              <w:t>Consultation / Commitment</w:t>
            </w:r>
          </w:p>
        </w:tc>
      </w:tr>
    </w:tbl>
    <w:p w14:paraId="0A24499C" w14:textId="0B9B3C60" w:rsidR="00EE778E" w:rsidRDefault="00EE778E" w:rsidP="00EE778E">
      <w:pPr>
        <w:spacing w:before="200" w:after="80"/>
        <w:jc w:val="both"/>
        <w:rPr>
          <w:rFonts w:ascii="Times New Roman" w:hAnsi="Times New Roman" w:cs="Times New Roman"/>
          <w:bCs/>
          <w:color w:val="2F5496"/>
          <w:sz w:val="24"/>
          <w:szCs w:val="24"/>
        </w:rPr>
      </w:pPr>
      <w:r w:rsidRPr="00EE778E">
        <w:rPr>
          <w:rFonts w:ascii="Times New Roman" w:hAnsi="Times New Roman" w:cs="Times New Roman"/>
          <w:bCs/>
          <w:color w:val="2F5496"/>
          <w:sz w:val="24"/>
          <w:szCs w:val="24"/>
        </w:rPr>
        <w:t>This structured approach reflects the importance of addressing root causes rather than symptoms of conflict, enabling more effective stakeholder alignment and long-term project success (Hill, 2016). A relevant real-world example is Marriott International's 2018 data breach, in which a failure to adequately engage IT security stakeholders during the integration of Starwood's reservation system resulted in a vulnerability that exposed the personal data of approximately 500 million guests</w:t>
      </w:r>
      <w:r w:rsidR="00554725">
        <w:rPr>
          <w:rFonts w:ascii="Times New Roman" w:hAnsi="Times New Roman" w:cs="Times New Roman"/>
          <w:bCs/>
          <w:color w:val="2F5496"/>
          <w:sz w:val="24"/>
          <w:szCs w:val="24"/>
        </w:rPr>
        <w:t xml:space="preserve">, </w:t>
      </w:r>
      <w:r w:rsidR="00554725" w:rsidRPr="00554725">
        <w:rPr>
          <w:rFonts w:ascii="Times New Roman" w:hAnsi="Times New Roman" w:cs="Times New Roman"/>
          <w:bCs/>
          <w:color w:val="2F5496"/>
          <w:sz w:val="24"/>
          <w:szCs w:val="24"/>
        </w:rPr>
        <w:t xml:space="preserve">resulting in </w:t>
      </w:r>
      <w:r w:rsidR="004926EC" w:rsidRPr="00554725">
        <w:rPr>
          <w:rFonts w:ascii="Times New Roman" w:hAnsi="Times New Roman" w:cs="Times New Roman"/>
          <w:bCs/>
          <w:color w:val="2F5496"/>
          <w:sz w:val="24"/>
          <w:szCs w:val="24"/>
        </w:rPr>
        <w:t>an</w:t>
      </w:r>
      <w:r w:rsidR="00554725" w:rsidRPr="00554725">
        <w:rPr>
          <w:rFonts w:ascii="Times New Roman" w:hAnsi="Times New Roman" w:cs="Times New Roman"/>
          <w:bCs/>
          <w:color w:val="2F5496"/>
          <w:sz w:val="24"/>
          <w:szCs w:val="24"/>
        </w:rPr>
        <w:t xml:space="preserve"> £18.4 million fine from the </w:t>
      </w:r>
      <w:r w:rsidR="00FA36A1" w:rsidRPr="00FA36A1">
        <w:rPr>
          <w:rFonts w:ascii="Times New Roman" w:hAnsi="Times New Roman" w:cs="Times New Roman"/>
          <w:bCs/>
          <w:color w:val="2F5496"/>
          <w:sz w:val="24"/>
          <w:szCs w:val="24"/>
        </w:rPr>
        <w:t>Information Commissioner's Office</w:t>
      </w:r>
      <w:r w:rsidR="00E97775">
        <w:rPr>
          <w:rFonts w:ascii="Times New Roman" w:hAnsi="Times New Roman" w:cs="Times New Roman"/>
          <w:bCs/>
          <w:color w:val="2F5496"/>
          <w:sz w:val="24"/>
          <w:szCs w:val="24"/>
        </w:rPr>
        <w:t xml:space="preserve"> </w:t>
      </w:r>
      <w:r w:rsidR="00E97775" w:rsidRPr="00E97775">
        <w:rPr>
          <w:rFonts w:ascii="Times New Roman" w:hAnsi="Times New Roman" w:cs="Times New Roman"/>
          <w:bCs/>
          <w:color w:val="2F5496"/>
          <w:sz w:val="24"/>
          <w:szCs w:val="24"/>
        </w:rPr>
        <w:t>(ICO, 2020)</w:t>
      </w:r>
      <w:r w:rsidRPr="00EE778E">
        <w:rPr>
          <w:rFonts w:ascii="Times New Roman" w:hAnsi="Times New Roman" w:cs="Times New Roman"/>
          <w:bCs/>
          <w:color w:val="2F5496"/>
          <w:sz w:val="24"/>
          <w:szCs w:val="24"/>
        </w:rPr>
        <w:t>. The incident illustrates precisely the kind of consequence that arises when security and operational stakeholders are not brought into joint design decisions early enough</w:t>
      </w:r>
      <w:r w:rsidR="00917BA7">
        <w:rPr>
          <w:rFonts w:ascii="Times New Roman" w:hAnsi="Times New Roman" w:cs="Times New Roman"/>
          <w:bCs/>
          <w:color w:val="2F5496"/>
          <w:sz w:val="24"/>
          <w:szCs w:val="24"/>
        </w:rPr>
        <w:t>,</w:t>
      </w:r>
      <w:r w:rsidRPr="00EE778E">
        <w:rPr>
          <w:rFonts w:ascii="Times New Roman" w:hAnsi="Times New Roman" w:cs="Times New Roman"/>
          <w:bCs/>
          <w:color w:val="2F5496"/>
          <w:sz w:val="24"/>
          <w:szCs w:val="24"/>
        </w:rPr>
        <w:t xml:space="preserve"> the first conflict scenario in the table above. </w:t>
      </w:r>
      <w:r w:rsidR="00D37552" w:rsidRPr="00D37552">
        <w:rPr>
          <w:rFonts w:ascii="Times New Roman" w:hAnsi="Times New Roman" w:cs="Times New Roman"/>
          <w:bCs/>
          <w:color w:val="2F5496"/>
          <w:sz w:val="24"/>
          <w:szCs w:val="24"/>
        </w:rPr>
        <w:t xml:space="preserve"> This aligns with Thomas and Kilmann's (1974) conflict management model, which argues that collaborative resolution strategies</w:t>
      </w:r>
      <w:r w:rsidR="00D37552">
        <w:rPr>
          <w:rFonts w:ascii="Times New Roman" w:hAnsi="Times New Roman" w:cs="Times New Roman"/>
          <w:bCs/>
          <w:color w:val="2F5496"/>
          <w:sz w:val="24"/>
          <w:szCs w:val="24"/>
        </w:rPr>
        <w:t>,</w:t>
      </w:r>
      <w:r w:rsidR="00D37552" w:rsidRPr="00D37552">
        <w:rPr>
          <w:rFonts w:ascii="Times New Roman" w:hAnsi="Times New Roman" w:cs="Times New Roman"/>
          <w:bCs/>
          <w:color w:val="2F5496"/>
          <w:sz w:val="24"/>
          <w:szCs w:val="24"/>
        </w:rPr>
        <w:t xml:space="preserve"> where both parties work together to find a mutually acceptable solution</w:t>
      </w:r>
      <w:r w:rsidR="00D37552">
        <w:rPr>
          <w:rFonts w:ascii="Times New Roman" w:hAnsi="Times New Roman" w:cs="Times New Roman"/>
          <w:bCs/>
          <w:color w:val="2F5496"/>
          <w:sz w:val="24"/>
          <w:szCs w:val="24"/>
        </w:rPr>
        <w:t>,</w:t>
      </w:r>
      <w:r w:rsidR="00D37552" w:rsidRPr="00D37552">
        <w:rPr>
          <w:rFonts w:ascii="Times New Roman" w:hAnsi="Times New Roman" w:cs="Times New Roman"/>
          <w:bCs/>
          <w:color w:val="2F5496"/>
          <w:sz w:val="24"/>
          <w:szCs w:val="24"/>
        </w:rPr>
        <w:t xml:space="preserve"> consistently produce better long-term outcomes than avoidance or imposition, particularly in cross-functional project environments.</w:t>
      </w:r>
    </w:p>
    <w:p w14:paraId="75B682B7" w14:textId="1A535659" w:rsidR="00BE2DCD" w:rsidRPr="004811DC" w:rsidRDefault="00056BE1" w:rsidP="00BE2DCD">
      <w:pPr>
        <w:spacing w:before="200" w:after="80"/>
        <w:rPr>
          <w:rFonts w:ascii="Times New Roman" w:hAnsi="Times New Roman" w:cs="Times New Roman"/>
          <w:b/>
          <w:color w:val="2F5496"/>
          <w:sz w:val="24"/>
          <w:szCs w:val="24"/>
        </w:rPr>
      </w:pPr>
      <w:r w:rsidRPr="004811DC">
        <w:rPr>
          <w:rFonts w:ascii="Times New Roman" w:hAnsi="Times New Roman" w:cs="Times New Roman"/>
          <w:b/>
          <w:color w:val="2F5496"/>
          <w:sz w:val="24"/>
          <w:szCs w:val="24"/>
        </w:rPr>
        <w:t>5.3 Root-Cause Analysis</w:t>
      </w:r>
    </w:p>
    <w:p w14:paraId="0645FE29" w14:textId="77777777" w:rsidR="009B4C05" w:rsidRPr="004811DC" w:rsidRDefault="00F72EAE" w:rsidP="009B4C05">
      <w:pPr>
        <w:spacing w:before="200" w:after="80"/>
        <w:jc w:val="both"/>
        <w:rPr>
          <w:rFonts w:ascii="Times New Roman" w:hAnsi="Times New Roman" w:cs="Times New Roman"/>
          <w:sz w:val="24"/>
          <w:szCs w:val="24"/>
        </w:rPr>
      </w:pPr>
      <w:r w:rsidRPr="004811DC">
        <w:rPr>
          <w:rFonts w:ascii="Times New Roman" w:hAnsi="Times New Roman" w:cs="Times New Roman"/>
          <w:sz w:val="24"/>
          <w:szCs w:val="24"/>
        </w:rPr>
        <w:t>Root cause analysis is essential in the StaySmart+ project to identify underlying factors driving stakeholder resistance. Rather than addressing surface-level issues, it enables project managers to uncover systemic weaknesses within organisational processes. Hill (2016) emphasises that effective analysis must go beyond immediate causes and avoid attributing problems solely to individual performance. In this context, resistance may stem from poor communication structures, inadequate training, or unclear governance rather than employee attitudes. The fishbone diagram serves as a supporting tool to structure this analysis. By addressing root causes, managers can implement more effective solutions, reduce recurring issues, and improve stakeholder engagement and overall project outcomes.</w:t>
      </w:r>
    </w:p>
    <w:p w14:paraId="37A911C4" w14:textId="2701AC91" w:rsidR="00CF7D74" w:rsidRPr="004811DC" w:rsidRDefault="001C6C7C" w:rsidP="00BE2DCD">
      <w:pPr>
        <w:spacing w:before="200" w:after="80"/>
        <w:rPr>
          <w:rFonts w:ascii="Times New Roman" w:hAnsi="Times New Roman" w:cs="Times New Roman"/>
          <w:sz w:val="24"/>
          <w:szCs w:val="24"/>
        </w:rPr>
      </w:pPr>
      <w:r w:rsidRPr="004811DC">
        <w:rPr>
          <w:rFonts w:ascii="Times New Roman" w:hAnsi="Times New Roman" w:cs="Times New Roman"/>
          <w:noProof/>
          <w:sz w:val="24"/>
          <w:szCs w:val="24"/>
        </w:rPr>
        <w:lastRenderedPageBreak/>
        <w:drawing>
          <wp:inline distT="0" distB="0" distL="0" distR="0" wp14:anchorId="0484D5CA" wp14:editId="4FA6DBD4">
            <wp:extent cx="5972810" cy="3253153"/>
            <wp:effectExtent l="0" t="0" r="8890" b="4445"/>
            <wp:docPr id="21239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64793" name=""/>
                    <pic:cNvPicPr/>
                  </pic:nvPicPr>
                  <pic:blipFill>
                    <a:blip r:embed="rId9"/>
                    <a:stretch>
                      <a:fillRect/>
                    </a:stretch>
                  </pic:blipFill>
                  <pic:spPr>
                    <a:xfrm>
                      <a:off x="0" y="0"/>
                      <a:ext cx="5983086" cy="3258750"/>
                    </a:xfrm>
                    <a:prstGeom prst="rect">
                      <a:avLst/>
                    </a:prstGeom>
                  </pic:spPr>
                </pic:pic>
              </a:graphicData>
            </a:graphic>
          </wp:inline>
        </w:drawing>
      </w:r>
    </w:p>
    <w:p w14:paraId="6C1B5867" w14:textId="77777777" w:rsidR="00CF7D74" w:rsidRPr="004811DC" w:rsidRDefault="001A3901" w:rsidP="00231C5B">
      <w:pPr>
        <w:jc w:val="center"/>
        <w:rPr>
          <w:rFonts w:ascii="Times New Roman" w:hAnsi="Times New Roman" w:cs="Times New Roman"/>
          <w:sz w:val="24"/>
          <w:szCs w:val="24"/>
        </w:rPr>
      </w:pPr>
      <w:r w:rsidRPr="004811DC">
        <w:rPr>
          <w:rFonts w:ascii="Times New Roman" w:hAnsi="Times New Roman" w:cs="Times New Roman"/>
          <w:i/>
          <w:sz w:val="24"/>
          <w:szCs w:val="24"/>
        </w:rPr>
        <w:t>Figure 1. Fishbone diagram showing likely causes of resistance or slow adoption of StaySmart+.</w:t>
      </w:r>
    </w:p>
    <w:p w14:paraId="2B766288" w14:textId="13F7C3D1" w:rsidR="00152C4A" w:rsidRPr="004811DC" w:rsidRDefault="0060635E" w:rsidP="008779D5">
      <w:pPr>
        <w:spacing w:before="240" w:after="120"/>
        <w:jc w:val="both"/>
        <w:rPr>
          <w:rFonts w:ascii="Times New Roman" w:hAnsi="Times New Roman" w:cs="Times New Roman"/>
          <w:b/>
          <w:color w:val="1F4E79"/>
          <w:sz w:val="24"/>
          <w:szCs w:val="24"/>
        </w:rPr>
      </w:pPr>
      <w:r w:rsidRPr="004811DC">
        <w:rPr>
          <w:rFonts w:ascii="Times New Roman" w:hAnsi="Times New Roman" w:cs="Times New Roman"/>
          <w:sz w:val="24"/>
          <w:szCs w:val="24"/>
        </w:rPr>
        <w:t xml:space="preserve">The diagram highlights that </w:t>
      </w:r>
      <w:r w:rsidR="00B926AF" w:rsidRPr="004811DC">
        <w:rPr>
          <w:rFonts w:ascii="Times New Roman" w:hAnsi="Times New Roman" w:cs="Times New Roman"/>
          <w:sz w:val="24"/>
          <w:szCs w:val="24"/>
        </w:rPr>
        <w:t>communication</w:t>
      </w:r>
      <w:r w:rsidRPr="004811DC">
        <w:rPr>
          <w:rFonts w:ascii="Times New Roman" w:hAnsi="Times New Roman" w:cs="Times New Roman"/>
          <w:sz w:val="24"/>
          <w:szCs w:val="24"/>
        </w:rPr>
        <w:t xml:space="preserve"> and people-related factors are equally critical as technical design considerations in influencing project outcomes. This is significant, as it suggests that project managers must prioritise elements such as stakeholder training, confidence-building, message clarity and local legitimacy as core strategic workstreams rather than treating them as secondary or supportive activities. By embedding these factors into the central project framework, organisations can enhance stakeholder acceptance, reduce resistance and improve the overall effectiveness of implementation.</w:t>
      </w:r>
    </w:p>
    <w:p w14:paraId="5056219C" w14:textId="77777777" w:rsidR="002B07A7" w:rsidRPr="004811DC" w:rsidRDefault="00056BE1" w:rsidP="002B07A7">
      <w:pPr>
        <w:spacing w:before="240" w:after="120"/>
        <w:rPr>
          <w:rFonts w:ascii="Times New Roman" w:hAnsi="Times New Roman" w:cs="Times New Roman"/>
          <w:b/>
          <w:color w:val="1F4E79"/>
          <w:sz w:val="24"/>
          <w:szCs w:val="24"/>
        </w:rPr>
      </w:pPr>
      <w:r w:rsidRPr="004811DC">
        <w:rPr>
          <w:rFonts w:ascii="Times New Roman" w:hAnsi="Times New Roman" w:cs="Times New Roman"/>
          <w:b/>
          <w:color w:val="1F4E79"/>
          <w:sz w:val="24"/>
          <w:szCs w:val="24"/>
        </w:rPr>
        <w:t>6. Impact of Stakeholder Engagement on Business Performance</w:t>
      </w:r>
      <w:r w:rsidR="006D0F14" w:rsidRPr="004811DC">
        <w:rPr>
          <w:rFonts w:ascii="Times New Roman" w:hAnsi="Times New Roman" w:cs="Times New Roman"/>
          <w:b/>
          <w:color w:val="1F4E79"/>
          <w:sz w:val="24"/>
          <w:szCs w:val="24"/>
        </w:rPr>
        <w:t xml:space="preserve"> </w:t>
      </w:r>
      <w:r w:rsidR="002B07A7" w:rsidRPr="004811DC">
        <w:rPr>
          <w:rFonts w:ascii="Times New Roman" w:hAnsi="Times New Roman" w:cs="Times New Roman"/>
          <w:b/>
          <w:color w:val="1F4E79"/>
          <w:sz w:val="24"/>
          <w:szCs w:val="24"/>
        </w:rPr>
        <w:t>(3Ps Framework)</w:t>
      </w:r>
    </w:p>
    <w:p w14:paraId="4FCCC28C" w14:textId="265705F4" w:rsidR="003D3445" w:rsidRPr="004811DC" w:rsidRDefault="003D3445" w:rsidP="005B6196">
      <w:pPr>
        <w:pStyle w:val="NormalWeb"/>
        <w:spacing w:line="360" w:lineRule="auto"/>
        <w:jc w:val="both"/>
      </w:pPr>
      <w:r w:rsidRPr="004811DC">
        <w:t xml:space="preserve">Effective stakeholder engagement has a direct impact on organisational performance and resilience, particularly when analysed through the </w:t>
      </w:r>
      <w:r w:rsidRPr="004811DC">
        <w:rPr>
          <w:rStyle w:val="Strong"/>
          <w:b w:val="0"/>
          <w:bCs w:val="0"/>
        </w:rPr>
        <w:t>triple bottom line (People, Planet and Profit)</w:t>
      </w:r>
      <w:r w:rsidRPr="004811DC">
        <w:t>.</w:t>
      </w:r>
      <w:r w:rsidR="001679C3" w:rsidRPr="004811DC">
        <w:t xml:space="preserve"> (</w:t>
      </w:r>
      <w:r w:rsidR="00B3542B" w:rsidRPr="004811DC">
        <w:t>Elkington, 1994)</w:t>
      </w:r>
    </w:p>
    <w:p w14:paraId="763278BB" w14:textId="77AE8A7E" w:rsidR="0057078B" w:rsidRPr="004811DC" w:rsidRDefault="003D3445" w:rsidP="0057078B">
      <w:pPr>
        <w:pStyle w:val="NormalWeb"/>
        <w:spacing w:line="360" w:lineRule="auto"/>
        <w:jc w:val="both"/>
      </w:pPr>
      <w:r w:rsidRPr="004811DC">
        <w:rPr>
          <w:rStyle w:val="Strong"/>
        </w:rPr>
        <w:t>People:</w:t>
      </w:r>
      <w:r w:rsidRPr="004811DC">
        <w:br/>
      </w:r>
      <w:r w:rsidR="00C717AF" w:rsidRPr="004811DC">
        <w:t>Effective stakeholder engagement enhances relationships with employees, guests, and communities in ways that directly affect operational performance</w:t>
      </w:r>
      <w:r w:rsidRPr="004811DC">
        <w:t xml:space="preserve">. </w:t>
      </w:r>
      <w:r w:rsidR="002B5B82" w:rsidRPr="004811DC">
        <w:t xml:space="preserve">Early and meaningful involvement of hotel managers and front-line teams in the design process improves operational readiness, reduces resistance to change, and increases service delivery quality (Pinto, 2013). </w:t>
      </w:r>
      <w:r w:rsidRPr="004811DC">
        <w:t xml:space="preserve"> At </w:t>
      </w:r>
      <w:r w:rsidRPr="004811DC">
        <w:lastRenderedPageBreak/>
        <w:t xml:space="preserve">the same time, </w:t>
      </w:r>
      <w:r w:rsidR="001267A9" w:rsidRPr="004811DC">
        <w:t>engaging guests proactively</w:t>
      </w:r>
      <w:r w:rsidR="00F45C88" w:rsidRPr="004811DC">
        <w:t>,</w:t>
      </w:r>
      <w:r w:rsidR="001267A9" w:rsidRPr="004811DC">
        <w:t xml:space="preserve"> particularly around data privacy, service personalisation options, and the availability of human-service alternatives</w:t>
      </w:r>
      <w:r w:rsidR="00F45C88" w:rsidRPr="004811DC">
        <w:t>,</w:t>
      </w:r>
      <w:r w:rsidR="001267A9" w:rsidRPr="004811DC">
        <w:t xml:space="preserve"> builds trust and increases adoption rates</w:t>
      </w:r>
      <w:r w:rsidR="00F45C88" w:rsidRPr="004811DC">
        <w:t>.</w:t>
      </w:r>
      <w:r w:rsidR="00F71CF0">
        <w:t xml:space="preserve"> </w:t>
      </w:r>
      <w:r w:rsidR="00F45C88" w:rsidRPr="004811DC">
        <w:t xml:space="preserve"> </w:t>
      </w:r>
      <w:r w:rsidR="00F71CF0" w:rsidRPr="00F71CF0">
        <w:t>Relationship quality with customers is a primary driver of long-term loyalty, and organisations that invest in transparent, two-way communication consistently outperform those that treat engagement as a one-directional marketing activity (Christopher, Payne and Ballantyne, 2013)</w:t>
      </w:r>
    </w:p>
    <w:p w14:paraId="23F10046" w14:textId="15BFB293" w:rsidR="00DF4CDA" w:rsidRPr="004811DC" w:rsidRDefault="003D3445" w:rsidP="0057078B">
      <w:pPr>
        <w:pStyle w:val="NormalWeb"/>
        <w:spacing w:line="360" w:lineRule="auto"/>
        <w:jc w:val="both"/>
      </w:pPr>
      <w:r w:rsidRPr="004811DC">
        <w:rPr>
          <w:rStyle w:val="Strong"/>
        </w:rPr>
        <w:t>Planet:</w:t>
      </w:r>
      <w:r w:rsidRPr="004811DC">
        <w:br/>
        <w:t>As Khalfi and Bami (2025) highlight, integrating Environmental, Social and Governance (ESG) principles into stakeholder management improves transparency and accountability</w:t>
      </w:r>
      <w:r w:rsidR="00610431" w:rsidRPr="004811DC">
        <w:t>. For example, SS+ can include AI-driven energy management systems that automatically optimise room energy consumption based on occupancy. By engaging local communities and sustainability partners in the rollout of these features, Marriott can ensure that environmental practices align with local expectations and regulations, while also reducing carbon emissions and operational waste. This not only strengthens environmental performance but also enhances the organisation’s credibility a</w:t>
      </w:r>
      <w:r w:rsidR="00ED4A47" w:rsidRPr="004811DC">
        <w:t xml:space="preserve">nd </w:t>
      </w:r>
      <w:r w:rsidR="00B24A95" w:rsidRPr="004811DC">
        <w:t>its</w:t>
      </w:r>
      <w:r w:rsidR="00610431" w:rsidRPr="004811DC">
        <w:t xml:space="preserve"> </w:t>
      </w:r>
      <w:r w:rsidR="00B24A95" w:rsidRPr="004811DC">
        <w:t xml:space="preserve">sustainability performance as a </w:t>
      </w:r>
      <w:r w:rsidR="00610431" w:rsidRPr="004811DC">
        <w:t>hospitality provider.</w:t>
      </w:r>
    </w:p>
    <w:p w14:paraId="02918A8C" w14:textId="675AA287" w:rsidR="005314C7" w:rsidRPr="004811DC" w:rsidRDefault="003D3445" w:rsidP="005314C7">
      <w:pPr>
        <w:pStyle w:val="NormalWeb"/>
        <w:spacing w:line="360" w:lineRule="auto"/>
        <w:jc w:val="both"/>
      </w:pPr>
      <w:r w:rsidRPr="004811DC">
        <w:rPr>
          <w:rStyle w:val="Strong"/>
        </w:rPr>
        <w:t>Profit:</w:t>
      </w:r>
      <w:r w:rsidRPr="004811DC">
        <w:br/>
      </w:r>
      <w:r w:rsidR="005314C7" w:rsidRPr="004811DC">
        <w:t>There is a well-evidenced linkage between effective stakeholder engagement and financial performance. Early collaboration with internal teams reduces implementation risk, avoids costly rework, and improves delivery efficiency. Stronger guest adoption driven by trust and perceived value increases revenue per available room (RevPAR), a key hospitality performance metric. Proactive engagement with regulators ensures market access and avoids the reputational and financial costs of compliance failures. Ashcroft (2017) argues that organisations which invest in genuine relational stakeholder engagement consistently outperform those that treat it as a compliance exercise, because strong relationships reduce transaction costs, accelerate decision-making, and enable faster recovery from setbacks</w:t>
      </w:r>
      <w:r w:rsidR="00DB0D09">
        <w:t>.</w:t>
      </w:r>
    </w:p>
    <w:p w14:paraId="1D328F8E" w14:textId="474A259B" w:rsidR="003D3445" w:rsidRPr="004811DC" w:rsidRDefault="003D3445" w:rsidP="005314C7">
      <w:pPr>
        <w:pStyle w:val="NormalWeb"/>
        <w:spacing w:line="360" w:lineRule="auto"/>
        <w:jc w:val="both"/>
      </w:pPr>
      <w:r w:rsidRPr="004811DC">
        <w:t>Overall, stakeholder engagement should be monitored through measurable indicators such as readiness levels, training completion, customer awareness, adoption rates and stakeholder sentiment, ensuring it remains a strategic driver of performance across people, planet and profit outcomes.</w:t>
      </w:r>
    </w:p>
    <w:p w14:paraId="35D9FFD4" w14:textId="699C32A2" w:rsidR="00CF7D74" w:rsidRPr="004811DC" w:rsidRDefault="00056BE1" w:rsidP="007D3A15">
      <w:pPr>
        <w:spacing w:before="240" w:after="120" w:line="276" w:lineRule="auto"/>
        <w:rPr>
          <w:rFonts w:ascii="Times New Roman" w:hAnsi="Times New Roman" w:cs="Times New Roman"/>
          <w:b/>
          <w:color w:val="1F4E79"/>
          <w:sz w:val="24"/>
          <w:szCs w:val="24"/>
        </w:rPr>
      </w:pPr>
      <w:r w:rsidRPr="004811DC">
        <w:rPr>
          <w:rFonts w:ascii="Times New Roman" w:hAnsi="Times New Roman" w:cs="Times New Roman"/>
          <w:b/>
          <w:color w:val="1F4E79"/>
          <w:sz w:val="24"/>
          <w:szCs w:val="24"/>
        </w:rPr>
        <w:lastRenderedPageBreak/>
        <w:t>7. Recommendations</w:t>
      </w:r>
    </w:p>
    <w:p w14:paraId="32323B09" w14:textId="77777777" w:rsidR="007F030C" w:rsidRPr="004811DC" w:rsidRDefault="007F030C" w:rsidP="007F030C">
      <w:pPr>
        <w:pStyle w:val="NormalWeb"/>
        <w:spacing w:line="360" w:lineRule="auto"/>
        <w:jc w:val="both"/>
      </w:pPr>
      <w:r w:rsidRPr="004811DC">
        <w:t>Based on the stakeholder analysis, communication strategies and identified root causes, several recommendations can be proposed to enhance the effectiveness and sustainability of the StaySmart+ project. First, Marriott should implement continuous stakeholder feedback systems through digital platforms, enabling real-time data collection and supporting more transparent and evidence-based decision-making. This reflects the growing importance of data-driven engagement in improving organisational responsiveness and stakeholder trust (McAfee, 2014).</w:t>
      </w:r>
    </w:p>
    <w:p w14:paraId="4C0F9A04" w14:textId="77777777" w:rsidR="007F030C" w:rsidRPr="004811DC" w:rsidRDefault="007F030C" w:rsidP="007F030C">
      <w:pPr>
        <w:pStyle w:val="NormalWeb"/>
        <w:spacing w:line="360" w:lineRule="auto"/>
        <w:jc w:val="both"/>
      </w:pPr>
      <w:r w:rsidRPr="004811DC">
        <w:t>In addition, a phased rollout approach should be adopted, incorporating structured review points where stakeholder feedback and performance data can be used to refine implementation and reduce risk. This aligns with project management best practice, which emphasises iterative learning and adaptive delivery (PMI, 2008).</w:t>
      </w:r>
    </w:p>
    <w:p w14:paraId="0D946BD0" w14:textId="1752C0E1" w:rsidR="007F030C" w:rsidRPr="004811DC" w:rsidRDefault="007F030C" w:rsidP="007F030C">
      <w:pPr>
        <w:pStyle w:val="NormalWeb"/>
        <w:spacing w:line="360" w:lineRule="auto"/>
        <w:jc w:val="both"/>
      </w:pPr>
      <w:r w:rsidRPr="004811DC">
        <w:t xml:space="preserve">Furthermore, the appointment of regional stakeholder engagement leads is recommended to ensure that communication and consultation strategies are adapted to local cultural, linguistic and regulatory contexts, thereby improving stakeholder alignment across global markets. Marriott should also leverage digital technologies and artificial intelligence, such as </w:t>
      </w:r>
      <w:r w:rsidR="00BB57FC" w:rsidRPr="00BB57FC">
        <w:t>Customer Relationship Management</w:t>
      </w:r>
      <w:r w:rsidR="00BB57FC">
        <w:t xml:space="preserve"> (</w:t>
      </w:r>
      <w:r w:rsidRPr="004811DC">
        <w:t>CRM</w:t>
      </w:r>
      <w:r w:rsidR="00BB57FC">
        <w:t>)</w:t>
      </w:r>
      <w:r w:rsidRPr="004811DC">
        <w:t xml:space="preserve"> systems and chatbots</w:t>
      </w:r>
      <w:r w:rsidR="00D81388" w:rsidRPr="004811DC">
        <w:t xml:space="preserve"> (AI agents)</w:t>
      </w:r>
      <w:r w:rsidRPr="004811DC">
        <w:t>, to enhance responsiveness and support personalised stakeholder interactions, reinforcing the role of technology in shaping engagement experiences (Porter, 1985; McAfee, 2014).</w:t>
      </w:r>
    </w:p>
    <w:p w14:paraId="11F8D4AB" w14:textId="77777777" w:rsidR="007F030C" w:rsidRPr="004811DC" w:rsidRDefault="007F030C" w:rsidP="007F030C">
      <w:pPr>
        <w:pStyle w:val="NormalWeb"/>
        <w:spacing w:line="360" w:lineRule="auto"/>
        <w:jc w:val="both"/>
      </w:pPr>
      <w:r w:rsidRPr="004811DC">
        <w:t>To strengthen transparency and trust, the organisation should utilise data visualisation tools, such as dashboards, to communicate performance clearly to different stakeholder groups, supporting accountability and informed decision-making. Finally, governance structures should be reinforced by establishing clear performance indicators with external partners and creating a post-launch stakeholder advisory group to support continuous evaluation and long-term collaboration.</w:t>
      </w:r>
    </w:p>
    <w:p w14:paraId="12037040" w14:textId="77777777" w:rsidR="007F030C" w:rsidRPr="004811DC" w:rsidRDefault="007F030C" w:rsidP="007F030C">
      <w:pPr>
        <w:pStyle w:val="NormalWeb"/>
        <w:spacing w:line="360" w:lineRule="auto"/>
        <w:jc w:val="both"/>
      </w:pPr>
      <w:r w:rsidRPr="004811DC">
        <w:t>Overall, these recommendations demonstrate that integrating technology, data and stakeholder-centred practices can significantly enhance engagement effectiveness while supporting sustainable organisational performance.</w:t>
      </w:r>
    </w:p>
    <w:p w14:paraId="3A9493D6" w14:textId="0702222E" w:rsidR="00CF7D74" w:rsidRPr="004811DC" w:rsidRDefault="00056BE1" w:rsidP="00231C5B">
      <w:pPr>
        <w:spacing w:before="240" w:after="120"/>
        <w:rPr>
          <w:rFonts w:ascii="Times New Roman" w:hAnsi="Times New Roman" w:cs="Times New Roman"/>
          <w:sz w:val="24"/>
          <w:szCs w:val="24"/>
        </w:rPr>
      </w:pPr>
      <w:r w:rsidRPr="004811DC">
        <w:rPr>
          <w:rFonts w:ascii="Times New Roman" w:hAnsi="Times New Roman" w:cs="Times New Roman"/>
          <w:b/>
          <w:color w:val="1F4E79"/>
          <w:sz w:val="24"/>
          <w:szCs w:val="24"/>
        </w:rPr>
        <w:t>8. Conclusion</w:t>
      </w:r>
    </w:p>
    <w:p w14:paraId="51EA73D3" w14:textId="1B19E537" w:rsidR="007D2E15" w:rsidRPr="004811DC" w:rsidRDefault="007D2E15" w:rsidP="003E38BC">
      <w:pPr>
        <w:spacing w:before="240" w:after="120"/>
        <w:jc w:val="both"/>
        <w:rPr>
          <w:rFonts w:ascii="Times New Roman" w:hAnsi="Times New Roman" w:cs="Times New Roman"/>
          <w:sz w:val="24"/>
          <w:szCs w:val="24"/>
        </w:rPr>
      </w:pPr>
      <w:r w:rsidRPr="004811DC">
        <w:rPr>
          <w:rFonts w:ascii="Times New Roman" w:hAnsi="Times New Roman" w:cs="Times New Roman"/>
          <w:sz w:val="24"/>
          <w:szCs w:val="24"/>
        </w:rPr>
        <w:lastRenderedPageBreak/>
        <w:t>This report has demonstrated that stakeholder engagement is not a peripheral management task but a core strategic capability that determines whether complex, global service innovations such as StaySmart+ succeed or fail. The analysis of Marriott International's context reveals a compelling strategic opportunity: the organisation possesses the brand strength, operational scale, and digital infrastructure to deliver a genuinely differentiated guest experience. Yet the same global complexity that creates this opportunity also generates significant stakeholder management challenges</w:t>
      </w:r>
      <w:r w:rsidR="001F7C84" w:rsidRPr="004811DC">
        <w:rPr>
          <w:rFonts w:ascii="Times New Roman" w:hAnsi="Times New Roman" w:cs="Times New Roman"/>
          <w:sz w:val="24"/>
          <w:szCs w:val="24"/>
        </w:rPr>
        <w:t>,</w:t>
      </w:r>
      <w:r w:rsidRPr="004811DC">
        <w:rPr>
          <w:rFonts w:ascii="Times New Roman" w:hAnsi="Times New Roman" w:cs="Times New Roman"/>
          <w:sz w:val="24"/>
          <w:szCs w:val="24"/>
        </w:rPr>
        <w:t xml:space="preserve"> spanning digital maturity gaps, data privacy obligations, cultural variation, workforce readiness, and community legitimacy.</w:t>
      </w:r>
    </w:p>
    <w:p w14:paraId="5617F93F" w14:textId="7C04841D" w:rsidR="00D53BB7" w:rsidRPr="004811DC" w:rsidRDefault="00D53BB7" w:rsidP="003E38BC">
      <w:pPr>
        <w:spacing w:before="240" w:after="120"/>
        <w:jc w:val="both"/>
        <w:rPr>
          <w:rFonts w:ascii="Times New Roman" w:hAnsi="Times New Roman" w:cs="Times New Roman"/>
          <w:sz w:val="24"/>
          <w:szCs w:val="24"/>
        </w:rPr>
      </w:pPr>
      <w:r w:rsidRPr="004811DC">
        <w:rPr>
          <w:rFonts w:ascii="Times New Roman" w:hAnsi="Times New Roman" w:cs="Times New Roman"/>
          <w:sz w:val="24"/>
          <w:szCs w:val="24"/>
        </w:rPr>
        <w:t>The application of structured frameworks</w:t>
      </w:r>
      <w:r w:rsidR="00AC2C9F" w:rsidRPr="004811DC">
        <w:rPr>
          <w:rFonts w:ascii="Times New Roman" w:hAnsi="Times New Roman" w:cs="Times New Roman"/>
          <w:sz w:val="24"/>
          <w:szCs w:val="24"/>
        </w:rPr>
        <w:t>:</w:t>
      </w:r>
      <w:r w:rsidRPr="004811DC">
        <w:rPr>
          <w:rFonts w:ascii="Times New Roman" w:hAnsi="Times New Roman" w:cs="Times New Roman"/>
          <w:sz w:val="24"/>
          <w:szCs w:val="24"/>
        </w:rPr>
        <w:t xml:space="preserve"> SWOT, PESTLE, SMART objectives, Mendelow's matrix, Mitchell et al.'s salience model, the RACI matrix, stakeholder engagement and communication plans, the 4C's model, and fishbone root-cause </w:t>
      </w:r>
      <w:r w:rsidR="00AC2C9F" w:rsidRPr="004811DC">
        <w:rPr>
          <w:rFonts w:ascii="Times New Roman" w:hAnsi="Times New Roman" w:cs="Times New Roman"/>
          <w:sz w:val="24"/>
          <w:szCs w:val="24"/>
        </w:rPr>
        <w:t>analysis, provides</w:t>
      </w:r>
      <w:r w:rsidRPr="004811DC">
        <w:rPr>
          <w:rFonts w:ascii="Times New Roman" w:hAnsi="Times New Roman" w:cs="Times New Roman"/>
          <w:sz w:val="24"/>
          <w:szCs w:val="24"/>
        </w:rPr>
        <w:t xml:space="preserve"> a systematic and theoretically grounded approach to managing these challenges. </w:t>
      </w:r>
      <w:r w:rsidR="00004C72" w:rsidRPr="004811DC">
        <w:rPr>
          <w:rFonts w:ascii="Times New Roman" w:hAnsi="Times New Roman" w:cs="Times New Roman"/>
          <w:sz w:val="24"/>
          <w:szCs w:val="24"/>
        </w:rPr>
        <w:t>Critically, the</w:t>
      </w:r>
      <w:r w:rsidRPr="004811DC">
        <w:rPr>
          <w:rFonts w:ascii="Times New Roman" w:hAnsi="Times New Roman" w:cs="Times New Roman"/>
          <w:sz w:val="24"/>
          <w:szCs w:val="24"/>
        </w:rPr>
        <w:t xml:space="preserve"> report has also sought to move beyond description of these frameworks to interrogate their assumptions and limitations. The Mendelow matrix does not capture urgency; the RACI matrix can overstate role clarity; the 4C's model can mask power imbalances; and the triple bottom line does not, by itself, address the ethical dimensions of consent, equity, and consultation fatigue that must accompany effective engagement practice.</w:t>
      </w:r>
    </w:p>
    <w:p w14:paraId="08249F11" w14:textId="5492FC20" w:rsidR="000E7A2A" w:rsidRPr="004811DC" w:rsidRDefault="000E7A2A" w:rsidP="003E38BC">
      <w:pPr>
        <w:jc w:val="both"/>
        <w:rPr>
          <w:rFonts w:ascii="Times New Roman" w:hAnsi="Times New Roman" w:cs="Times New Roman"/>
          <w:sz w:val="24"/>
          <w:szCs w:val="24"/>
        </w:rPr>
      </w:pPr>
      <w:r w:rsidRPr="004811DC">
        <w:rPr>
          <w:rFonts w:ascii="Times New Roman" w:hAnsi="Times New Roman" w:cs="Times New Roman"/>
          <w:sz w:val="24"/>
          <w:szCs w:val="24"/>
        </w:rPr>
        <w:t>Ultimately, the evidence suggests that stakeholder engagement, when applied with rigour, reflexivity, and genuine commitment to inclusivity, is a strategic multiplier: it accelerates adoption, reduces implementation risk, strengthens brand legitimacy, and creates the relational foundations necessary for sustained innovation. The StaySmart+ initiative</w:t>
      </w:r>
      <w:r w:rsidR="003E38BC" w:rsidRPr="004811DC">
        <w:rPr>
          <w:rFonts w:ascii="Times New Roman" w:hAnsi="Times New Roman" w:cs="Times New Roman"/>
          <w:sz w:val="24"/>
          <w:szCs w:val="24"/>
        </w:rPr>
        <w:t>,</w:t>
      </w:r>
      <w:r w:rsidRPr="004811DC">
        <w:rPr>
          <w:rFonts w:ascii="Times New Roman" w:hAnsi="Times New Roman" w:cs="Times New Roman"/>
          <w:sz w:val="24"/>
          <w:szCs w:val="24"/>
        </w:rPr>
        <w:t xml:space="preserve"> therefore</w:t>
      </w:r>
      <w:r w:rsidR="003E38BC" w:rsidRPr="004811DC">
        <w:rPr>
          <w:rFonts w:ascii="Times New Roman" w:hAnsi="Times New Roman" w:cs="Times New Roman"/>
          <w:sz w:val="24"/>
          <w:szCs w:val="24"/>
        </w:rPr>
        <w:t>,</w:t>
      </w:r>
      <w:r w:rsidRPr="004811DC">
        <w:rPr>
          <w:rFonts w:ascii="Times New Roman" w:hAnsi="Times New Roman" w:cs="Times New Roman"/>
          <w:sz w:val="24"/>
          <w:szCs w:val="24"/>
        </w:rPr>
        <w:t xml:space="preserve"> represents not only a test of Marriott's technological ambition but of its capacity to bring diverse stakeholders</w:t>
      </w:r>
      <w:r w:rsidR="003E38BC" w:rsidRPr="004811DC">
        <w:rPr>
          <w:rFonts w:ascii="Times New Roman" w:hAnsi="Times New Roman" w:cs="Times New Roman"/>
          <w:sz w:val="24"/>
          <w:szCs w:val="24"/>
        </w:rPr>
        <w:t xml:space="preserve"> </w:t>
      </w:r>
      <w:r w:rsidRPr="004811DC">
        <w:rPr>
          <w:rFonts w:ascii="Times New Roman" w:hAnsi="Times New Roman" w:cs="Times New Roman"/>
          <w:sz w:val="24"/>
          <w:szCs w:val="24"/>
        </w:rPr>
        <w:t>across functions, markets, and communities into a shared and trusted vision of what premium hospitality can become.</w:t>
      </w:r>
      <w:r w:rsidR="007E3A2C">
        <w:rPr>
          <w:rFonts w:ascii="Times New Roman" w:hAnsi="Times New Roman" w:cs="Times New Roman"/>
          <w:sz w:val="24"/>
          <w:szCs w:val="24"/>
        </w:rPr>
        <w:t xml:space="preserve"> </w:t>
      </w:r>
      <w:r w:rsidR="007E3A2C" w:rsidRPr="007E3A2C">
        <w:rPr>
          <w:rFonts w:ascii="Times New Roman" w:hAnsi="Times New Roman" w:cs="Times New Roman"/>
          <w:sz w:val="24"/>
          <w:szCs w:val="24"/>
        </w:rPr>
        <w:t>This reinforces that stakeholder engagement is not only an operational requirement but a source of sustained competitive advantage.</w:t>
      </w:r>
    </w:p>
    <w:p w14:paraId="2962525A" w14:textId="77777777" w:rsidR="0030354B" w:rsidRPr="004811DC" w:rsidRDefault="0030354B" w:rsidP="0030354B">
      <w:pPr>
        <w:rPr>
          <w:rFonts w:ascii="Times New Roman" w:hAnsi="Times New Roman" w:cs="Times New Roman"/>
        </w:rPr>
      </w:pPr>
      <w:r w:rsidRPr="004811DC">
        <w:rPr>
          <w:rFonts w:ascii="Times New Roman" w:hAnsi="Times New Roman" w:cs="Times New Roman"/>
        </w:rPr>
        <w:br w:type="page"/>
      </w:r>
    </w:p>
    <w:p w14:paraId="12A156DA" w14:textId="77777777" w:rsidR="00BA2A63" w:rsidRPr="004811DC" w:rsidRDefault="00BA2A63" w:rsidP="00BA2A63">
      <w:pPr>
        <w:spacing w:before="240" w:after="120"/>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b/>
          <w:color w:val="1F4E79"/>
          <w:kern w:val="2"/>
          <w:sz w:val="24"/>
          <w:szCs w:val="24"/>
          <w14:ligatures w14:val="standardContextual"/>
        </w:rPr>
        <w:lastRenderedPageBreak/>
        <w:t>References</w:t>
      </w:r>
    </w:p>
    <w:p w14:paraId="29332538" w14:textId="77777777" w:rsidR="001755BC" w:rsidRPr="004811DC" w:rsidRDefault="00BA2A63" w:rsidP="009300C2">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Ashcroft, J. (2017) The relational lens: understanding, measuring and managing stakeholder relationships. Cambridge: Cambridge University Press.</w:t>
      </w:r>
    </w:p>
    <w:p w14:paraId="3E09C278" w14:textId="77777777" w:rsidR="00061336" w:rsidRPr="004811DC" w:rsidRDefault="00061336" w:rsidP="009300C2">
      <w:pPr>
        <w:spacing w:after="80" w:line="240" w:lineRule="auto"/>
        <w:rPr>
          <w:rFonts w:ascii="Times New Roman" w:eastAsia="Aptos" w:hAnsi="Times New Roman" w:cs="Times New Roman"/>
          <w:kern w:val="2"/>
          <w:sz w:val="24"/>
          <w:szCs w:val="24"/>
          <w14:ligatures w14:val="standardContextual"/>
        </w:rPr>
      </w:pPr>
    </w:p>
    <w:p w14:paraId="1D72A7A7" w14:textId="74A997D8" w:rsidR="00BA2A63" w:rsidRPr="004811DC" w:rsidRDefault="00BA2A63" w:rsidP="003B045A">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Barney, J.B. (1991) ‘Firm resources and sustained competitive advantage’, </w:t>
      </w:r>
      <w:r w:rsidRPr="004811DC">
        <w:rPr>
          <w:rFonts w:ascii="Times New Roman" w:eastAsia="Aptos" w:hAnsi="Times New Roman" w:cs="Times New Roman"/>
          <w:i/>
          <w:iCs/>
          <w:kern w:val="2"/>
          <w:sz w:val="24"/>
          <w:szCs w:val="24"/>
          <w14:ligatures w14:val="standardContextual"/>
        </w:rPr>
        <w:t>Journal of Management</w:t>
      </w:r>
      <w:r w:rsidRPr="004811DC">
        <w:rPr>
          <w:rFonts w:ascii="Times New Roman" w:eastAsia="Aptos" w:hAnsi="Times New Roman" w:cs="Times New Roman"/>
          <w:kern w:val="2"/>
          <w:sz w:val="24"/>
          <w:szCs w:val="24"/>
          <w14:ligatures w14:val="standardContextual"/>
        </w:rPr>
        <w:t>, 17(1), pp. 99–120.</w:t>
      </w:r>
    </w:p>
    <w:p w14:paraId="2FDDD1FD" w14:textId="77777777" w:rsidR="00061336" w:rsidRPr="004811DC" w:rsidRDefault="00061336" w:rsidP="003B045A">
      <w:pPr>
        <w:spacing w:after="80" w:line="240" w:lineRule="auto"/>
        <w:rPr>
          <w:rFonts w:ascii="Times New Roman" w:eastAsia="Aptos" w:hAnsi="Times New Roman" w:cs="Times New Roman"/>
          <w:kern w:val="2"/>
          <w:sz w:val="24"/>
          <w:szCs w:val="24"/>
          <w14:ligatures w14:val="standardContextual"/>
        </w:rPr>
      </w:pPr>
    </w:p>
    <w:p w14:paraId="529660DF" w14:textId="77777777" w:rsidR="00BA2A63" w:rsidRPr="004811DC" w:rsidRDefault="00BA2A63" w:rsidP="00061336">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Bourne, L. (2015) </w:t>
      </w:r>
      <w:r w:rsidRPr="004811DC">
        <w:rPr>
          <w:rFonts w:ascii="Times New Roman" w:eastAsia="Aptos" w:hAnsi="Times New Roman" w:cs="Times New Roman"/>
          <w:i/>
          <w:iCs/>
          <w:kern w:val="2"/>
          <w:sz w:val="24"/>
          <w:szCs w:val="24"/>
          <w14:ligatures w14:val="standardContextual"/>
        </w:rPr>
        <w:t>Stakeholder relationship management: A maturity model for organisational implementation</w:t>
      </w:r>
      <w:r w:rsidRPr="004811DC">
        <w:rPr>
          <w:rFonts w:ascii="Times New Roman" w:eastAsia="Aptos" w:hAnsi="Times New Roman" w:cs="Times New Roman"/>
          <w:kern w:val="2"/>
          <w:sz w:val="24"/>
          <w:szCs w:val="24"/>
          <w14:ligatures w14:val="standardContextual"/>
        </w:rPr>
        <w:t xml:space="preserve">. 2nd </w:t>
      </w:r>
      <w:proofErr w:type="spellStart"/>
      <w:r w:rsidRPr="004811DC">
        <w:rPr>
          <w:rFonts w:ascii="Times New Roman" w:eastAsia="Aptos" w:hAnsi="Times New Roman" w:cs="Times New Roman"/>
          <w:kern w:val="2"/>
          <w:sz w:val="24"/>
          <w:szCs w:val="24"/>
          <w14:ligatures w14:val="standardContextual"/>
        </w:rPr>
        <w:t>edn</w:t>
      </w:r>
      <w:proofErr w:type="spellEnd"/>
      <w:r w:rsidRPr="004811DC">
        <w:rPr>
          <w:rFonts w:ascii="Times New Roman" w:eastAsia="Aptos" w:hAnsi="Times New Roman" w:cs="Times New Roman"/>
          <w:kern w:val="2"/>
          <w:sz w:val="24"/>
          <w:szCs w:val="24"/>
          <w14:ligatures w14:val="standardContextual"/>
        </w:rPr>
        <w:t>. Farnham: Gower.</w:t>
      </w:r>
    </w:p>
    <w:p w14:paraId="3449C3F5" w14:textId="77777777" w:rsidR="00061336" w:rsidRPr="004811DC" w:rsidRDefault="00061336" w:rsidP="00061336">
      <w:pPr>
        <w:spacing w:after="80" w:line="240" w:lineRule="auto"/>
        <w:rPr>
          <w:rFonts w:ascii="Times New Roman" w:eastAsia="Aptos" w:hAnsi="Times New Roman" w:cs="Times New Roman"/>
          <w:kern w:val="2"/>
          <w:sz w:val="24"/>
          <w:szCs w:val="24"/>
          <w14:ligatures w14:val="standardContextual"/>
        </w:rPr>
      </w:pPr>
    </w:p>
    <w:p w14:paraId="6E0F357B" w14:textId="77777777" w:rsidR="00BA2A63" w:rsidRPr="004811DC" w:rsidRDefault="00BA2A63" w:rsidP="00061336">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Christopher, M., Payne, A. and Ballantyne, D. (2013) Relationship marketing: creating stakeholder value. London: Routledge.</w:t>
      </w:r>
    </w:p>
    <w:p w14:paraId="7D25F769" w14:textId="77777777" w:rsidR="00061336" w:rsidRPr="004811DC" w:rsidRDefault="00061336" w:rsidP="00061336">
      <w:pPr>
        <w:spacing w:after="80" w:line="240" w:lineRule="auto"/>
        <w:rPr>
          <w:rFonts w:ascii="Times New Roman" w:eastAsia="Aptos" w:hAnsi="Times New Roman" w:cs="Times New Roman"/>
          <w:kern w:val="2"/>
          <w:sz w:val="24"/>
          <w:szCs w:val="24"/>
          <w14:ligatures w14:val="standardContextual"/>
        </w:rPr>
      </w:pPr>
    </w:p>
    <w:p w14:paraId="4FA341C4" w14:textId="45C6E7BC" w:rsidR="00BA2A63" w:rsidRPr="004811DC" w:rsidRDefault="00BA2A63" w:rsidP="00386658">
      <w:pPr>
        <w:spacing w:after="80" w:line="240" w:lineRule="auto"/>
        <w:rPr>
          <w:rFonts w:ascii="Times New Roman" w:eastAsia="Aptos" w:hAnsi="Times New Roman" w:cs="Times New Roman"/>
          <w:kern w:val="2"/>
          <w:sz w:val="24"/>
          <w:szCs w:val="24"/>
          <w14:ligatures w14:val="standardContextual"/>
        </w:rPr>
      </w:pPr>
      <w:r w:rsidRPr="00265808">
        <w:rPr>
          <w:rFonts w:ascii="Times New Roman" w:eastAsia="Aptos" w:hAnsi="Times New Roman" w:cs="Times New Roman"/>
          <w:kern w:val="2"/>
          <w:sz w:val="24"/>
          <w:szCs w:val="24"/>
          <w14:ligatures w14:val="standardContextual"/>
        </w:rPr>
        <w:t xml:space="preserve">Doherty, N. and </w:t>
      </w:r>
      <w:r w:rsidR="00A07452" w:rsidRPr="00265808">
        <w:rPr>
          <w:rFonts w:ascii="Times New Roman" w:eastAsia="Aptos" w:hAnsi="Times New Roman" w:cs="Times New Roman"/>
          <w:kern w:val="2"/>
          <w:sz w:val="24"/>
          <w:szCs w:val="24"/>
          <w14:ligatures w14:val="standardContextual"/>
        </w:rPr>
        <w:t>Gayler</w:t>
      </w:r>
      <w:r w:rsidRPr="00265808">
        <w:rPr>
          <w:rFonts w:ascii="Times New Roman" w:eastAsia="Aptos" w:hAnsi="Times New Roman" w:cs="Times New Roman"/>
          <w:kern w:val="2"/>
          <w:sz w:val="24"/>
          <w:szCs w:val="24"/>
          <w14:ligatures w14:val="standardContextual"/>
        </w:rPr>
        <w:t xml:space="preserve">, M. (2008) </w:t>
      </w:r>
      <w:r w:rsidRPr="00265808">
        <w:rPr>
          <w:rFonts w:ascii="Times New Roman" w:eastAsia="Aptos" w:hAnsi="Times New Roman" w:cs="Times New Roman"/>
          <w:i/>
          <w:iCs/>
          <w:kern w:val="2"/>
          <w:sz w:val="24"/>
          <w:szCs w:val="24"/>
          <w14:ligatures w14:val="standardContextual"/>
        </w:rPr>
        <w:t xml:space="preserve">The essential guide to workplace mediation &amp; conflict </w:t>
      </w:r>
      <w:r w:rsidR="00AF3DB7" w:rsidRPr="00265808">
        <w:rPr>
          <w:rFonts w:ascii="Times New Roman" w:eastAsia="Aptos" w:hAnsi="Times New Roman" w:cs="Times New Roman"/>
          <w:i/>
          <w:iCs/>
          <w:kern w:val="2"/>
          <w:sz w:val="24"/>
          <w:szCs w:val="24"/>
          <w14:ligatures w14:val="standardContextual"/>
        </w:rPr>
        <w:t>re</w:t>
      </w:r>
      <w:r w:rsidR="00AF3DB7" w:rsidRPr="004811DC">
        <w:rPr>
          <w:rFonts w:ascii="Times New Roman" w:eastAsia="Aptos" w:hAnsi="Times New Roman" w:cs="Times New Roman"/>
          <w:i/>
          <w:iCs/>
          <w:kern w:val="2"/>
          <w:sz w:val="24"/>
          <w:szCs w:val="24"/>
          <w14:ligatures w14:val="standardContextual"/>
        </w:rPr>
        <w:t>solution:</w:t>
      </w:r>
      <w:r w:rsidRPr="004811DC">
        <w:rPr>
          <w:rFonts w:ascii="Times New Roman" w:eastAsia="Aptos" w:hAnsi="Times New Roman" w:cs="Times New Roman"/>
          <w:i/>
          <w:iCs/>
          <w:kern w:val="2"/>
          <w:sz w:val="24"/>
          <w:szCs w:val="24"/>
          <w14:ligatures w14:val="standardContextual"/>
        </w:rPr>
        <w:t xml:space="preserve"> rebuilding working relationships</w:t>
      </w:r>
      <w:r w:rsidRPr="004811DC">
        <w:rPr>
          <w:rFonts w:ascii="Times New Roman" w:eastAsia="Aptos" w:hAnsi="Times New Roman" w:cs="Times New Roman"/>
          <w:kern w:val="2"/>
          <w:sz w:val="24"/>
          <w:szCs w:val="24"/>
          <w14:ligatures w14:val="standardContextual"/>
        </w:rPr>
        <w:t xml:space="preserve">. </w:t>
      </w:r>
      <w:r w:rsidR="00AF3DB7" w:rsidRPr="004811DC">
        <w:rPr>
          <w:rFonts w:ascii="Times New Roman" w:eastAsia="Aptos" w:hAnsi="Times New Roman" w:cs="Times New Roman"/>
          <w:kern w:val="2"/>
          <w:sz w:val="24"/>
          <w:szCs w:val="24"/>
          <w14:ligatures w14:val="standardContextual"/>
        </w:rPr>
        <w:t>London;</w:t>
      </w:r>
      <w:r w:rsidRPr="004811DC">
        <w:rPr>
          <w:rFonts w:ascii="Times New Roman" w:eastAsia="Aptos" w:hAnsi="Times New Roman" w:cs="Times New Roman"/>
          <w:kern w:val="2"/>
          <w:sz w:val="24"/>
          <w:szCs w:val="24"/>
          <w14:ligatures w14:val="standardContextual"/>
        </w:rPr>
        <w:t xml:space="preserve"> Kogan Page.</w:t>
      </w:r>
    </w:p>
    <w:p w14:paraId="6DC6CD77" w14:textId="77777777" w:rsidR="00386658" w:rsidRPr="004811DC" w:rsidRDefault="00386658" w:rsidP="00386658">
      <w:pPr>
        <w:spacing w:after="80" w:line="240" w:lineRule="auto"/>
        <w:rPr>
          <w:rFonts w:ascii="Times New Roman" w:eastAsia="Aptos" w:hAnsi="Times New Roman" w:cs="Times New Roman"/>
          <w:kern w:val="2"/>
          <w:sz w:val="24"/>
          <w:szCs w:val="24"/>
          <w14:ligatures w14:val="standardContextual"/>
        </w:rPr>
      </w:pPr>
    </w:p>
    <w:p w14:paraId="45C297AF" w14:textId="64282594" w:rsidR="00C062E2" w:rsidRPr="004811DC" w:rsidRDefault="00C062E2" w:rsidP="00386658">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Doran, G.T. (1981) ‘There’s a SMART way to write management’s goals and objectives’, </w:t>
      </w:r>
      <w:r w:rsidRPr="004811DC">
        <w:rPr>
          <w:rFonts w:ascii="Times New Roman" w:eastAsia="Aptos" w:hAnsi="Times New Roman" w:cs="Times New Roman"/>
          <w:i/>
          <w:iCs/>
          <w:kern w:val="2"/>
          <w:sz w:val="24"/>
          <w:szCs w:val="24"/>
          <w14:ligatures w14:val="standardContextual"/>
        </w:rPr>
        <w:t>Management Review</w:t>
      </w:r>
      <w:r w:rsidRPr="004811DC">
        <w:rPr>
          <w:rFonts w:ascii="Times New Roman" w:eastAsia="Aptos" w:hAnsi="Times New Roman" w:cs="Times New Roman"/>
          <w:kern w:val="2"/>
          <w:sz w:val="24"/>
          <w:szCs w:val="24"/>
          <w14:ligatures w14:val="standardContextual"/>
        </w:rPr>
        <w:t>, 70(11), pp. 35–36.</w:t>
      </w:r>
    </w:p>
    <w:p w14:paraId="38F92BB2" w14:textId="77777777" w:rsidR="00386658" w:rsidRPr="004811DC" w:rsidRDefault="00386658" w:rsidP="00386658">
      <w:pPr>
        <w:spacing w:after="80" w:line="240" w:lineRule="auto"/>
        <w:rPr>
          <w:rFonts w:ascii="Times New Roman" w:eastAsia="Aptos" w:hAnsi="Times New Roman" w:cs="Times New Roman"/>
          <w:kern w:val="2"/>
          <w:sz w:val="24"/>
          <w:szCs w:val="24"/>
          <w14:ligatures w14:val="standardContextual"/>
        </w:rPr>
      </w:pPr>
    </w:p>
    <w:p w14:paraId="24BA047C" w14:textId="49AD150B" w:rsidR="00BE0B4B" w:rsidRPr="004811DC" w:rsidRDefault="00BE0B4B" w:rsidP="006A760E">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Elkington, J. (1994) ‘Towards the sustainable corporation: win-win-win business strategies for sustainable development’, </w:t>
      </w:r>
      <w:r w:rsidRPr="004811DC">
        <w:rPr>
          <w:rFonts w:ascii="Times New Roman" w:eastAsia="Aptos" w:hAnsi="Times New Roman" w:cs="Times New Roman"/>
          <w:i/>
          <w:iCs/>
          <w:kern w:val="2"/>
          <w:sz w:val="24"/>
          <w:szCs w:val="24"/>
          <w14:ligatures w14:val="standardContextual"/>
        </w:rPr>
        <w:t>California Management Review</w:t>
      </w:r>
      <w:r w:rsidRPr="004811DC">
        <w:rPr>
          <w:rFonts w:ascii="Times New Roman" w:eastAsia="Aptos" w:hAnsi="Times New Roman" w:cs="Times New Roman"/>
          <w:kern w:val="2"/>
          <w:sz w:val="24"/>
          <w:szCs w:val="24"/>
          <w14:ligatures w14:val="standardContextual"/>
        </w:rPr>
        <w:t>, 36(2), pp. 90–100.</w:t>
      </w:r>
    </w:p>
    <w:p w14:paraId="4A3FDE97" w14:textId="6A45FF1B" w:rsidR="00BA2A63" w:rsidRPr="004811DC" w:rsidRDefault="00BA2A63" w:rsidP="00BA2A63">
      <w:pPr>
        <w:spacing w:after="80"/>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Freeman</w:t>
      </w:r>
      <w:r w:rsidR="00AF4959" w:rsidRPr="004811DC">
        <w:rPr>
          <w:rFonts w:ascii="Times New Roman" w:eastAsia="Aptos" w:hAnsi="Times New Roman" w:cs="Times New Roman"/>
          <w:kern w:val="2"/>
          <w:sz w:val="24"/>
          <w:szCs w:val="24"/>
          <w14:ligatures w14:val="standardContextual"/>
        </w:rPr>
        <w:t>,</w:t>
      </w:r>
      <w:r w:rsidRPr="004811DC">
        <w:rPr>
          <w:rFonts w:ascii="Times New Roman" w:eastAsia="Aptos" w:hAnsi="Times New Roman" w:cs="Times New Roman"/>
          <w:kern w:val="2"/>
          <w:sz w:val="24"/>
          <w:szCs w:val="24"/>
          <w14:ligatures w14:val="standardContextual"/>
        </w:rPr>
        <w:t xml:space="preserve"> R</w:t>
      </w:r>
      <w:r w:rsidR="00135B4D" w:rsidRPr="004811DC">
        <w:rPr>
          <w:rFonts w:ascii="Times New Roman" w:eastAsia="Aptos" w:hAnsi="Times New Roman" w:cs="Times New Roman"/>
          <w:kern w:val="2"/>
          <w:sz w:val="24"/>
          <w:szCs w:val="24"/>
          <w14:ligatures w14:val="standardContextual"/>
        </w:rPr>
        <w:t>.</w:t>
      </w:r>
      <w:r w:rsidR="00AF4959" w:rsidRPr="004811DC">
        <w:rPr>
          <w:rFonts w:ascii="Times New Roman" w:eastAsia="Aptos" w:hAnsi="Times New Roman" w:cs="Times New Roman"/>
          <w:kern w:val="2"/>
          <w:sz w:val="24"/>
          <w:szCs w:val="24"/>
          <w14:ligatures w14:val="standardContextual"/>
        </w:rPr>
        <w:t>E</w:t>
      </w:r>
      <w:r w:rsidRPr="004811DC">
        <w:rPr>
          <w:rFonts w:ascii="Times New Roman" w:eastAsia="Aptos" w:hAnsi="Times New Roman" w:cs="Times New Roman"/>
          <w:kern w:val="2"/>
          <w:sz w:val="24"/>
          <w:szCs w:val="24"/>
          <w14:ligatures w14:val="standardContextual"/>
        </w:rPr>
        <w:t xml:space="preserve">. (1984) </w:t>
      </w:r>
      <w:r w:rsidRPr="004811DC">
        <w:rPr>
          <w:rFonts w:ascii="Times New Roman" w:eastAsia="Aptos" w:hAnsi="Times New Roman" w:cs="Times New Roman"/>
          <w:i/>
          <w:iCs/>
          <w:kern w:val="2"/>
          <w:sz w:val="24"/>
          <w:szCs w:val="24"/>
          <w14:ligatures w14:val="standardContextual"/>
        </w:rPr>
        <w:t>Strategic Management: A Stakeholder Approach</w:t>
      </w:r>
      <w:r w:rsidRPr="004811DC">
        <w:rPr>
          <w:rFonts w:ascii="Times New Roman" w:eastAsia="Aptos" w:hAnsi="Times New Roman" w:cs="Times New Roman"/>
          <w:kern w:val="2"/>
          <w:sz w:val="24"/>
          <w:szCs w:val="24"/>
          <w14:ligatures w14:val="standardContextual"/>
        </w:rPr>
        <w:t>. Boston: Pitman.</w:t>
      </w:r>
    </w:p>
    <w:p w14:paraId="2BC7C48B" w14:textId="40402069" w:rsidR="00D02C97" w:rsidRPr="004811DC" w:rsidRDefault="00D02C97" w:rsidP="00BA2A63">
      <w:pPr>
        <w:spacing w:after="80"/>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Grant, R.M. (2019) </w:t>
      </w:r>
      <w:r w:rsidRPr="004811DC">
        <w:rPr>
          <w:rFonts w:ascii="Times New Roman" w:eastAsia="Aptos" w:hAnsi="Times New Roman" w:cs="Times New Roman"/>
          <w:i/>
          <w:iCs/>
          <w:kern w:val="2"/>
          <w:sz w:val="24"/>
          <w:szCs w:val="24"/>
          <w14:ligatures w14:val="standardContextual"/>
        </w:rPr>
        <w:t>Contemporary strategy analysis</w:t>
      </w:r>
      <w:r w:rsidRPr="004811DC">
        <w:rPr>
          <w:rFonts w:ascii="Times New Roman" w:eastAsia="Aptos" w:hAnsi="Times New Roman" w:cs="Times New Roman"/>
          <w:kern w:val="2"/>
          <w:sz w:val="24"/>
          <w:szCs w:val="24"/>
          <w14:ligatures w14:val="standardContextual"/>
        </w:rPr>
        <w:t xml:space="preserve">. 10th </w:t>
      </w:r>
      <w:proofErr w:type="spellStart"/>
      <w:r w:rsidRPr="004811DC">
        <w:rPr>
          <w:rFonts w:ascii="Times New Roman" w:eastAsia="Aptos" w:hAnsi="Times New Roman" w:cs="Times New Roman"/>
          <w:kern w:val="2"/>
          <w:sz w:val="24"/>
          <w:szCs w:val="24"/>
          <w14:ligatures w14:val="standardContextual"/>
        </w:rPr>
        <w:t>edn</w:t>
      </w:r>
      <w:proofErr w:type="spellEnd"/>
      <w:r w:rsidRPr="004811DC">
        <w:rPr>
          <w:rFonts w:ascii="Times New Roman" w:eastAsia="Aptos" w:hAnsi="Times New Roman" w:cs="Times New Roman"/>
          <w:kern w:val="2"/>
          <w:sz w:val="24"/>
          <w:szCs w:val="24"/>
          <w14:ligatures w14:val="standardContextual"/>
        </w:rPr>
        <w:t>. Hoboken, NJ: Wiley.</w:t>
      </w:r>
    </w:p>
    <w:p w14:paraId="4FA523CF" w14:textId="2312B8D1" w:rsidR="00230ED6" w:rsidRPr="004811DC" w:rsidRDefault="007832D7" w:rsidP="006A760E">
      <w:pPr>
        <w:spacing w:after="0" w:line="240" w:lineRule="auto"/>
        <w:rPr>
          <w:rFonts w:ascii="Times New Roman" w:eastAsia="Times New Roman" w:hAnsi="Times New Roman" w:cs="Times New Roman"/>
          <w:kern w:val="2"/>
          <w:sz w:val="24"/>
          <w:szCs w:val="24"/>
          <w:lang w:eastAsia="en-GB"/>
          <w14:ligatures w14:val="standardContextual"/>
        </w:rPr>
      </w:pPr>
      <w:r w:rsidRPr="004811DC">
        <w:rPr>
          <w:rFonts w:ascii="Times New Roman" w:eastAsia="Times New Roman" w:hAnsi="Times New Roman" w:cs="Times New Roman"/>
          <w:kern w:val="2"/>
          <w:sz w:val="24"/>
          <w:szCs w:val="24"/>
          <w:lang w:eastAsia="en-GB"/>
          <w14:ligatures w14:val="standardContextual"/>
        </w:rPr>
        <w:t>Hill</w:t>
      </w:r>
      <w:r w:rsidR="009C455B" w:rsidRPr="004811DC">
        <w:rPr>
          <w:rFonts w:ascii="Times New Roman" w:eastAsia="Times New Roman" w:hAnsi="Times New Roman" w:cs="Times New Roman"/>
          <w:kern w:val="2"/>
          <w:sz w:val="24"/>
          <w:szCs w:val="24"/>
          <w:lang w:eastAsia="en-GB"/>
          <w14:ligatures w14:val="standardContextual"/>
        </w:rPr>
        <w:t>, T</w:t>
      </w:r>
      <w:r w:rsidR="00AD2393" w:rsidRPr="004811DC">
        <w:rPr>
          <w:rFonts w:ascii="Times New Roman" w:eastAsia="Times New Roman" w:hAnsi="Times New Roman" w:cs="Times New Roman"/>
          <w:kern w:val="2"/>
          <w:sz w:val="24"/>
          <w:szCs w:val="24"/>
          <w:lang w:eastAsia="en-GB"/>
          <w14:ligatures w14:val="standardContextual"/>
        </w:rPr>
        <w:t>.</w:t>
      </w:r>
      <w:r w:rsidRPr="004811DC">
        <w:rPr>
          <w:rFonts w:ascii="Times New Roman" w:eastAsia="Times New Roman" w:hAnsi="Times New Roman" w:cs="Times New Roman"/>
          <w:kern w:val="2"/>
          <w:sz w:val="24"/>
          <w:szCs w:val="24"/>
          <w:lang w:eastAsia="en-GB"/>
          <w14:ligatures w14:val="standardContextual"/>
        </w:rPr>
        <w:t xml:space="preserve"> (2016) “Root Cause Analysis – the Central Instrument in a Larger Orchestra,” </w:t>
      </w:r>
      <w:r w:rsidRPr="004811DC">
        <w:rPr>
          <w:rFonts w:ascii="Times New Roman" w:eastAsia="Times New Roman" w:hAnsi="Times New Roman" w:cs="Times New Roman"/>
          <w:i/>
          <w:iCs/>
          <w:kern w:val="2"/>
          <w:sz w:val="24"/>
          <w:szCs w:val="24"/>
          <w:lang w:eastAsia="en-GB"/>
          <w14:ligatures w14:val="standardContextual"/>
        </w:rPr>
        <w:t>Chemical engineering transactions</w:t>
      </w:r>
      <w:r w:rsidRPr="004811DC">
        <w:rPr>
          <w:rFonts w:ascii="Times New Roman" w:eastAsia="Times New Roman" w:hAnsi="Times New Roman" w:cs="Times New Roman"/>
          <w:kern w:val="2"/>
          <w:sz w:val="24"/>
          <w:szCs w:val="24"/>
          <w:lang w:eastAsia="en-GB"/>
          <w14:ligatures w14:val="standardContextual"/>
        </w:rPr>
        <w:t xml:space="preserve">, 48. Available at: </w:t>
      </w:r>
      <w:hyperlink r:id="rId10" w:history="1">
        <w:r w:rsidRPr="004811DC">
          <w:rPr>
            <w:rFonts w:ascii="Times New Roman" w:eastAsia="Times New Roman" w:hAnsi="Times New Roman" w:cs="Times New Roman"/>
            <w:color w:val="467886"/>
            <w:kern w:val="2"/>
            <w:sz w:val="24"/>
            <w:szCs w:val="24"/>
            <w:u w:val="single"/>
            <w:lang w:eastAsia="en-GB"/>
            <w14:ligatures w14:val="standardContextual"/>
          </w:rPr>
          <w:t>https://doi.org/10.3303/CET1648129</w:t>
        </w:r>
      </w:hyperlink>
      <w:r w:rsidRPr="004811DC">
        <w:rPr>
          <w:rFonts w:ascii="Times New Roman" w:eastAsia="Times New Roman" w:hAnsi="Times New Roman" w:cs="Times New Roman"/>
          <w:kern w:val="2"/>
          <w:sz w:val="24"/>
          <w:szCs w:val="24"/>
          <w:lang w:eastAsia="en-GB"/>
          <w14:ligatures w14:val="standardContextual"/>
        </w:rPr>
        <w:t xml:space="preserve"> (Accessed: 31 March 2026).</w:t>
      </w:r>
      <w:r w:rsidR="00AA2E3F" w:rsidRPr="004811DC">
        <w:rPr>
          <w:rFonts w:ascii="Times New Roman" w:eastAsia="Times New Roman" w:hAnsi="Times New Roman" w:cs="Times New Roman"/>
          <w:kern w:val="2"/>
          <w:sz w:val="24"/>
          <w:szCs w:val="24"/>
          <w:lang w:eastAsia="en-GB"/>
          <w14:ligatures w14:val="standardContextual"/>
        </w:rPr>
        <w:t xml:space="preserve">  </w:t>
      </w:r>
    </w:p>
    <w:p w14:paraId="7C256E37" w14:textId="77777777" w:rsidR="00BA2A63" w:rsidRDefault="00BA2A63" w:rsidP="006A760E">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Johnson, G., Scholes, K. and Whittington, R. (2017) Exploring corporate strategy. 11th </w:t>
      </w:r>
      <w:proofErr w:type="spellStart"/>
      <w:r w:rsidRPr="004811DC">
        <w:rPr>
          <w:rFonts w:ascii="Times New Roman" w:eastAsia="Aptos" w:hAnsi="Times New Roman" w:cs="Times New Roman"/>
          <w:kern w:val="2"/>
          <w:sz w:val="24"/>
          <w:szCs w:val="24"/>
          <w14:ligatures w14:val="standardContextual"/>
        </w:rPr>
        <w:t>edn</w:t>
      </w:r>
      <w:proofErr w:type="spellEnd"/>
      <w:r w:rsidRPr="004811DC">
        <w:rPr>
          <w:rFonts w:ascii="Times New Roman" w:eastAsia="Aptos" w:hAnsi="Times New Roman" w:cs="Times New Roman"/>
          <w:kern w:val="2"/>
          <w:sz w:val="24"/>
          <w:szCs w:val="24"/>
          <w14:ligatures w14:val="standardContextual"/>
        </w:rPr>
        <w:t>. Harlow: Pearson.</w:t>
      </w:r>
    </w:p>
    <w:p w14:paraId="39FC41CF" w14:textId="7C8801F3" w:rsidR="006A760E" w:rsidRPr="004811DC" w:rsidRDefault="00E667D1" w:rsidP="006A760E">
      <w:pPr>
        <w:spacing w:after="80" w:line="240" w:lineRule="auto"/>
        <w:rPr>
          <w:rFonts w:ascii="Times New Roman" w:eastAsia="Aptos" w:hAnsi="Times New Roman" w:cs="Times New Roman"/>
          <w:kern w:val="2"/>
          <w:sz w:val="24"/>
          <w:szCs w:val="24"/>
          <w14:ligatures w14:val="standardContextual"/>
        </w:rPr>
      </w:pPr>
      <w:r w:rsidRPr="00E667D1">
        <w:rPr>
          <w:rFonts w:ascii="Times New Roman" w:eastAsia="Aptos" w:hAnsi="Times New Roman" w:cs="Times New Roman"/>
          <w:kern w:val="2"/>
          <w:sz w:val="24"/>
          <w:szCs w:val="24"/>
          <w14:ligatures w14:val="standardContextual"/>
        </w:rPr>
        <w:t xml:space="preserve">Information Commissioner's Office (ICO) (2020) Marriott International Inc: Penalty notice. Available at: </w:t>
      </w:r>
      <w:hyperlink r:id="rId11" w:history="1">
        <w:r w:rsidRPr="00CC6441">
          <w:rPr>
            <w:rStyle w:val="Hyperlink"/>
            <w:rFonts w:ascii="Times New Roman" w:eastAsia="Aptos" w:hAnsi="Times New Roman" w:cs="Times New Roman"/>
            <w:kern w:val="2"/>
            <w:sz w:val="24"/>
            <w:szCs w:val="24"/>
            <w14:ligatures w14:val="standardContextual"/>
          </w:rPr>
          <w:t>https://ico.org.uk/media2/migrated/2618524/marriott-international-inc-mpn-20201030.pdf</w:t>
        </w:r>
      </w:hyperlink>
      <w:r>
        <w:rPr>
          <w:rFonts w:ascii="Times New Roman" w:eastAsia="Aptos" w:hAnsi="Times New Roman" w:cs="Times New Roman"/>
          <w:kern w:val="2"/>
          <w:sz w:val="24"/>
          <w:szCs w:val="24"/>
          <w14:ligatures w14:val="standardContextual"/>
        </w:rPr>
        <w:t xml:space="preserve"> </w:t>
      </w:r>
      <w:r w:rsidRPr="00E667D1">
        <w:rPr>
          <w:rFonts w:ascii="Times New Roman" w:eastAsia="Aptos" w:hAnsi="Times New Roman" w:cs="Times New Roman"/>
          <w:kern w:val="2"/>
          <w:sz w:val="24"/>
          <w:szCs w:val="24"/>
          <w14:ligatures w14:val="standardContextual"/>
        </w:rPr>
        <w:t xml:space="preserve"> (Accessed: 28 April 2026).</w:t>
      </w:r>
    </w:p>
    <w:p w14:paraId="430228A5" w14:textId="367FEBA7" w:rsidR="00BA2A63" w:rsidRPr="004811DC" w:rsidRDefault="00BA2A63" w:rsidP="000C0EE8">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Khalfi, A. and Bami, A. (2025) “Environmental, social, and governance (ESG) in corporate governance: a framework for resilience,” </w:t>
      </w:r>
      <w:proofErr w:type="spellStart"/>
      <w:r w:rsidRPr="004811DC">
        <w:rPr>
          <w:rFonts w:ascii="Times New Roman" w:eastAsia="Aptos" w:hAnsi="Times New Roman" w:cs="Times New Roman"/>
          <w:i/>
          <w:iCs/>
          <w:kern w:val="2"/>
          <w:sz w:val="24"/>
          <w:szCs w:val="24"/>
          <w14:ligatures w14:val="standardContextual"/>
        </w:rPr>
        <w:t>GeoJournal</w:t>
      </w:r>
      <w:proofErr w:type="spellEnd"/>
      <w:r w:rsidRPr="004811DC">
        <w:rPr>
          <w:rFonts w:ascii="Times New Roman" w:eastAsia="Aptos" w:hAnsi="Times New Roman" w:cs="Times New Roman"/>
          <w:kern w:val="2"/>
          <w:sz w:val="24"/>
          <w:szCs w:val="24"/>
          <w14:ligatures w14:val="standardContextual"/>
        </w:rPr>
        <w:t xml:space="preserve">, 90(5). Available at: </w:t>
      </w:r>
      <w:hyperlink r:id="rId12" w:history="1">
        <w:r w:rsidR="00E65FAE" w:rsidRPr="004811DC">
          <w:rPr>
            <w:rStyle w:val="Hyperlink"/>
            <w:rFonts w:ascii="Times New Roman" w:eastAsia="Aptos" w:hAnsi="Times New Roman" w:cs="Times New Roman"/>
            <w:kern w:val="2"/>
            <w:sz w:val="24"/>
            <w:szCs w:val="24"/>
            <w14:ligatures w14:val="standardContextual"/>
          </w:rPr>
          <w:t>https://doi.org/10.1007/s10708-025-11474-7</w:t>
        </w:r>
      </w:hyperlink>
      <w:r w:rsidRPr="004811DC">
        <w:rPr>
          <w:rFonts w:ascii="Times New Roman" w:eastAsia="Aptos" w:hAnsi="Times New Roman" w:cs="Times New Roman"/>
          <w:kern w:val="2"/>
          <w:sz w:val="24"/>
          <w:szCs w:val="24"/>
          <w14:ligatures w14:val="standardContextual"/>
        </w:rPr>
        <w:t>.</w:t>
      </w:r>
    </w:p>
    <w:p w14:paraId="69E42D9E" w14:textId="7C301215" w:rsidR="00074BEB" w:rsidRPr="004811DC" w:rsidRDefault="00074BEB" w:rsidP="00BA2A63">
      <w:pPr>
        <w:spacing w:after="80"/>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Kotter, J.P. (1996) </w:t>
      </w:r>
      <w:r w:rsidRPr="004811DC">
        <w:rPr>
          <w:rFonts w:ascii="Times New Roman" w:eastAsia="Aptos" w:hAnsi="Times New Roman" w:cs="Times New Roman"/>
          <w:i/>
          <w:iCs/>
          <w:kern w:val="2"/>
          <w:sz w:val="24"/>
          <w:szCs w:val="24"/>
          <w14:ligatures w14:val="standardContextual"/>
        </w:rPr>
        <w:t>Leading change</w:t>
      </w:r>
      <w:r w:rsidRPr="004811DC">
        <w:rPr>
          <w:rFonts w:ascii="Times New Roman" w:eastAsia="Aptos" w:hAnsi="Times New Roman" w:cs="Times New Roman"/>
          <w:kern w:val="2"/>
          <w:sz w:val="24"/>
          <w:szCs w:val="24"/>
          <w14:ligatures w14:val="standardContextual"/>
        </w:rPr>
        <w:t>. Boston, MA: Harvard Business School Press.</w:t>
      </w:r>
    </w:p>
    <w:p w14:paraId="2543A8A8" w14:textId="77777777" w:rsidR="00E65FAE" w:rsidRPr="004811DC" w:rsidRDefault="00E65FAE" w:rsidP="000C0EE8">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Lindgreen, A. (2019) </w:t>
      </w:r>
      <w:r w:rsidRPr="004811DC">
        <w:rPr>
          <w:rFonts w:ascii="Times New Roman" w:eastAsia="Aptos" w:hAnsi="Times New Roman" w:cs="Times New Roman"/>
          <w:i/>
          <w:iCs/>
          <w:kern w:val="2"/>
          <w:sz w:val="24"/>
          <w:szCs w:val="24"/>
          <w14:ligatures w14:val="standardContextual"/>
        </w:rPr>
        <w:t>Engaging with stakeholders: A relational perspective on responsible business</w:t>
      </w:r>
      <w:r w:rsidRPr="004811DC">
        <w:rPr>
          <w:rFonts w:ascii="Times New Roman" w:eastAsia="Aptos" w:hAnsi="Times New Roman" w:cs="Times New Roman"/>
          <w:kern w:val="2"/>
          <w:sz w:val="24"/>
          <w:szCs w:val="24"/>
          <w14:ligatures w14:val="standardContextual"/>
        </w:rPr>
        <w:t>. Abingdon: Routledge</w:t>
      </w:r>
    </w:p>
    <w:p w14:paraId="16CE657D" w14:textId="18F3F3FA" w:rsidR="00BA2A63" w:rsidRPr="004811DC" w:rsidRDefault="00BA2A63" w:rsidP="000C0EE8">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Maharani, L., Sari, N.P. and Azmi, Z. (202</w:t>
      </w:r>
      <w:r w:rsidR="00265808">
        <w:rPr>
          <w:rFonts w:ascii="Times New Roman" w:eastAsia="Aptos" w:hAnsi="Times New Roman" w:cs="Times New Roman"/>
          <w:kern w:val="2"/>
          <w:sz w:val="24"/>
          <w:szCs w:val="24"/>
          <w14:ligatures w14:val="standardContextual"/>
        </w:rPr>
        <w:t>4</w:t>
      </w:r>
      <w:r w:rsidRPr="004811DC">
        <w:rPr>
          <w:rFonts w:ascii="Times New Roman" w:eastAsia="Aptos" w:hAnsi="Times New Roman" w:cs="Times New Roman"/>
          <w:kern w:val="2"/>
          <w:sz w:val="24"/>
          <w:szCs w:val="24"/>
          <w14:ligatures w14:val="standardContextual"/>
        </w:rPr>
        <w:t xml:space="preserve">) ‘Stakeholder theory in corporate sustainability and integrated reporting: </w:t>
      </w:r>
      <w:r w:rsidR="007A2977" w:rsidRPr="004811DC">
        <w:rPr>
          <w:rFonts w:ascii="Times New Roman" w:eastAsia="Aptos" w:hAnsi="Times New Roman" w:cs="Times New Roman"/>
          <w:kern w:val="2"/>
          <w:sz w:val="24"/>
          <w:szCs w:val="24"/>
          <w14:ligatures w14:val="standardContextual"/>
        </w:rPr>
        <w:t>‘</w:t>
      </w:r>
      <w:r w:rsidRPr="004811DC">
        <w:rPr>
          <w:rFonts w:ascii="Times New Roman" w:eastAsia="Aptos" w:hAnsi="Times New Roman" w:cs="Times New Roman"/>
          <w:kern w:val="2"/>
          <w:sz w:val="24"/>
          <w:szCs w:val="24"/>
          <w14:ligatures w14:val="standardContextual"/>
        </w:rPr>
        <w:t xml:space="preserve">A systematic literature review’, </w:t>
      </w:r>
      <w:r w:rsidRPr="004811DC">
        <w:rPr>
          <w:rFonts w:ascii="Times New Roman" w:eastAsia="Aptos" w:hAnsi="Times New Roman" w:cs="Times New Roman"/>
          <w:i/>
          <w:iCs/>
          <w:kern w:val="2"/>
          <w:sz w:val="24"/>
          <w:szCs w:val="24"/>
          <w14:ligatures w14:val="standardContextual"/>
        </w:rPr>
        <w:t>Escalate: Economics and Business Journal</w:t>
      </w:r>
      <w:r w:rsidRPr="004811DC">
        <w:rPr>
          <w:rFonts w:ascii="Times New Roman" w:eastAsia="Aptos" w:hAnsi="Times New Roman" w:cs="Times New Roman"/>
          <w:kern w:val="2"/>
          <w:sz w:val="24"/>
          <w:szCs w:val="24"/>
          <w14:ligatures w14:val="standardContextual"/>
        </w:rPr>
        <w:t>, 4(1), pp. 67–77.</w:t>
      </w:r>
    </w:p>
    <w:p w14:paraId="71BEF98D" w14:textId="7A39FE77" w:rsidR="000C0EE8" w:rsidRDefault="0060657C" w:rsidP="000C0EE8">
      <w:pPr>
        <w:spacing w:after="80" w:line="240" w:lineRule="auto"/>
        <w:rPr>
          <w:rFonts w:ascii="Times New Roman" w:eastAsia="Aptos" w:hAnsi="Times New Roman" w:cs="Times New Roman"/>
          <w:kern w:val="2"/>
          <w:sz w:val="24"/>
          <w:szCs w:val="24"/>
          <w14:ligatures w14:val="standardContextual"/>
        </w:rPr>
      </w:pPr>
      <w:r w:rsidRPr="0060657C">
        <w:rPr>
          <w:rFonts w:ascii="Times New Roman" w:eastAsia="Aptos" w:hAnsi="Times New Roman" w:cs="Times New Roman"/>
          <w:kern w:val="2"/>
          <w:sz w:val="24"/>
          <w:szCs w:val="24"/>
          <w14:ligatures w14:val="standardContextual"/>
        </w:rPr>
        <w:lastRenderedPageBreak/>
        <w:t xml:space="preserve">Marriott International (2018) </w:t>
      </w:r>
      <w:r w:rsidRPr="009B1CBD">
        <w:rPr>
          <w:rFonts w:ascii="Times New Roman" w:eastAsia="Aptos" w:hAnsi="Times New Roman" w:cs="Times New Roman"/>
          <w:i/>
          <w:iCs/>
          <w:kern w:val="2"/>
          <w:sz w:val="24"/>
          <w:szCs w:val="24"/>
          <w14:ligatures w14:val="standardContextual"/>
        </w:rPr>
        <w:t>Marriott announces Starwood guest reservation database security incident</w:t>
      </w:r>
      <w:r w:rsidRPr="0060657C">
        <w:rPr>
          <w:rFonts w:ascii="Times New Roman" w:eastAsia="Aptos" w:hAnsi="Times New Roman" w:cs="Times New Roman"/>
          <w:kern w:val="2"/>
          <w:sz w:val="24"/>
          <w:szCs w:val="24"/>
          <w14:ligatures w14:val="standardContextual"/>
        </w:rPr>
        <w:t xml:space="preserve">. Available at: </w:t>
      </w:r>
      <w:hyperlink r:id="rId13" w:history="1">
        <w:r w:rsidR="009B1CBD" w:rsidRPr="00CC6441">
          <w:rPr>
            <w:rStyle w:val="Hyperlink"/>
            <w:rFonts w:ascii="Times New Roman" w:eastAsia="Aptos" w:hAnsi="Times New Roman" w:cs="Times New Roman"/>
            <w:kern w:val="2"/>
            <w:sz w:val="24"/>
            <w:szCs w:val="24"/>
            <w14:ligatures w14:val="standardContextual"/>
          </w:rPr>
          <w:t>https://news.marriott.com/news/2018/11/30/marriott-announces-starwood-guest-reservation-database-security-incident</w:t>
        </w:r>
      </w:hyperlink>
      <w:r w:rsidR="009B1CBD">
        <w:rPr>
          <w:rFonts w:ascii="Times New Roman" w:eastAsia="Aptos" w:hAnsi="Times New Roman" w:cs="Times New Roman"/>
          <w:kern w:val="2"/>
          <w:sz w:val="24"/>
          <w:szCs w:val="24"/>
          <w14:ligatures w14:val="standardContextual"/>
        </w:rPr>
        <w:t xml:space="preserve"> </w:t>
      </w:r>
      <w:r w:rsidRPr="0060657C">
        <w:rPr>
          <w:rFonts w:ascii="Times New Roman" w:eastAsia="Aptos" w:hAnsi="Times New Roman" w:cs="Times New Roman"/>
          <w:kern w:val="2"/>
          <w:sz w:val="24"/>
          <w:szCs w:val="24"/>
          <w14:ligatures w14:val="standardContextual"/>
        </w:rPr>
        <w:t xml:space="preserve"> (Accessed: 28 April 2026).</w:t>
      </w:r>
    </w:p>
    <w:p w14:paraId="53E058EE" w14:textId="77777777" w:rsidR="009B1CBD" w:rsidRPr="004811DC" w:rsidRDefault="009B1CBD" w:rsidP="000C0EE8">
      <w:pPr>
        <w:spacing w:after="80" w:line="240" w:lineRule="auto"/>
        <w:rPr>
          <w:rFonts w:ascii="Times New Roman" w:eastAsia="Aptos" w:hAnsi="Times New Roman" w:cs="Times New Roman"/>
          <w:kern w:val="2"/>
          <w:sz w:val="24"/>
          <w:szCs w:val="24"/>
          <w14:ligatures w14:val="standardContextual"/>
        </w:rPr>
      </w:pPr>
    </w:p>
    <w:p w14:paraId="7E753888" w14:textId="1017BEA3" w:rsidR="00291A24" w:rsidRPr="004811DC" w:rsidRDefault="00291A24" w:rsidP="00CF5BD0">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McAfee, A. (2014) </w:t>
      </w:r>
      <w:r w:rsidRPr="004811DC">
        <w:rPr>
          <w:rFonts w:ascii="Times New Roman" w:eastAsia="Aptos" w:hAnsi="Times New Roman" w:cs="Times New Roman"/>
          <w:i/>
          <w:iCs/>
          <w:kern w:val="2"/>
          <w:sz w:val="24"/>
          <w:szCs w:val="24"/>
          <w14:ligatures w14:val="standardContextual"/>
        </w:rPr>
        <w:t>The second machine age: Work, progress, and prosperity in a time of brilliant technologies</w:t>
      </w:r>
      <w:r w:rsidRPr="004811DC">
        <w:rPr>
          <w:rFonts w:ascii="Times New Roman" w:eastAsia="Aptos" w:hAnsi="Times New Roman" w:cs="Times New Roman"/>
          <w:kern w:val="2"/>
          <w:sz w:val="24"/>
          <w:szCs w:val="24"/>
          <w14:ligatures w14:val="standardContextual"/>
        </w:rPr>
        <w:t>. New York: W.W. Norton &amp; Company.</w:t>
      </w:r>
    </w:p>
    <w:p w14:paraId="7492B6E0" w14:textId="77777777" w:rsidR="00A86019" w:rsidRPr="004811DC" w:rsidRDefault="00A86019" w:rsidP="00CF5BD0">
      <w:pPr>
        <w:spacing w:after="80" w:line="240" w:lineRule="auto"/>
        <w:rPr>
          <w:rFonts w:ascii="Times New Roman" w:eastAsia="Aptos" w:hAnsi="Times New Roman" w:cs="Times New Roman"/>
          <w:kern w:val="2"/>
          <w:sz w:val="24"/>
          <w:szCs w:val="24"/>
          <w14:ligatures w14:val="standardContextual"/>
        </w:rPr>
      </w:pPr>
    </w:p>
    <w:p w14:paraId="440A9372" w14:textId="77777777" w:rsidR="00BA2A63" w:rsidRPr="004811DC" w:rsidRDefault="00BA2A63" w:rsidP="00A86019">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Mendelow, A. (1991) 'Stakeholder mapping', in Proceedings of the 2nd International Conference on Information Systems. Cambridge, MA.</w:t>
      </w:r>
    </w:p>
    <w:p w14:paraId="7E4A4F7B" w14:textId="77777777" w:rsidR="00531F5A" w:rsidRPr="004811DC" w:rsidRDefault="00531F5A" w:rsidP="00A86019">
      <w:pPr>
        <w:spacing w:after="80" w:line="240" w:lineRule="auto"/>
        <w:rPr>
          <w:rFonts w:ascii="Times New Roman" w:eastAsia="Aptos" w:hAnsi="Times New Roman" w:cs="Times New Roman"/>
          <w:kern w:val="2"/>
          <w:sz w:val="24"/>
          <w:szCs w:val="24"/>
          <w14:ligatures w14:val="standardContextual"/>
        </w:rPr>
      </w:pPr>
    </w:p>
    <w:p w14:paraId="4FC5FBF4" w14:textId="77777777" w:rsidR="00BA2A63" w:rsidRPr="004811DC" w:rsidRDefault="00BA2A63" w:rsidP="00531F5A">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Mitchell, R.K., Agle, B.R. and Wood, D.J. (1997) ‘Toward a theory of stakeholder identification and salience: Defining the principle of who and what really counts’, </w:t>
      </w:r>
      <w:r w:rsidRPr="004811DC">
        <w:rPr>
          <w:rFonts w:ascii="Times New Roman" w:eastAsia="Aptos" w:hAnsi="Times New Roman" w:cs="Times New Roman"/>
          <w:i/>
          <w:iCs/>
          <w:kern w:val="2"/>
          <w:sz w:val="24"/>
          <w:szCs w:val="24"/>
          <w14:ligatures w14:val="standardContextual"/>
        </w:rPr>
        <w:t>Academy of Management Review</w:t>
      </w:r>
      <w:r w:rsidRPr="004811DC">
        <w:rPr>
          <w:rFonts w:ascii="Times New Roman" w:eastAsia="Aptos" w:hAnsi="Times New Roman" w:cs="Times New Roman"/>
          <w:kern w:val="2"/>
          <w:sz w:val="24"/>
          <w:szCs w:val="24"/>
          <w14:ligatures w14:val="standardContextual"/>
        </w:rPr>
        <w:t>, 22(4), pp. 853–886.</w:t>
      </w:r>
    </w:p>
    <w:p w14:paraId="1F2904E6" w14:textId="77777777" w:rsidR="00531F5A" w:rsidRPr="004811DC" w:rsidRDefault="00531F5A" w:rsidP="00531F5A">
      <w:pPr>
        <w:spacing w:after="80" w:line="240" w:lineRule="auto"/>
        <w:rPr>
          <w:rFonts w:ascii="Times New Roman" w:eastAsia="Aptos" w:hAnsi="Times New Roman" w:cs="Times New Roman"/>
          <w:kern w:val="2"/>
          <w:sz w:val="24"/>
          <w:szCs w:val="24"/>
          <w14:ligatures w14:val="standardContextual"/>
        </w:rPr>
      </w:pPr>
    </w:p>
    <w:p w14:paraId="3E0C86A2" w14:textId="75F58A5D" w:rsidR="006C6477" w:rsidRPr="004811DC" w:rsidRDefault="00AF6B06" w:rsidP="00531F5A">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Pinto, J.K. (2013) </w:t>
      </w:r>
      <w:r w:rsidRPr="004811DC">
        <w:rPr>
          <w:rFonts w:ascii="Times New Roman" w:eastAsia="Aptos" w:hAnsi="Times New Roman" w:cs="Times New Roman"/>
          <w:i/>
          <w:iCs/>
          <w:kern w:val="2"/>
          <w:sz w:val="24"/>
          <w:szCs w:val="24"/>
          <w14:ligatures w14:val="standardContextual"/>
        </w:rPr>
        <w:t>Project management: achieving competitive advantage</w:t>
      </w:r>
      <w:r w:rsidRPr="004811DC">
        <w:rPr>
          <w:rFonts w:ascii="Times New Roman" w:eastAsia="Aptos" w:hAnsi="Times New Roman" w:cs="Times New Roman"/>
          <w:kern w:val="2"/>
          <w:sz w:val="24"/>
          <w:szCs w:val="24"/>
          <w14:ligatures w14:val="standardContextual"/>
        </w:rPr>
        <w:t xml:space="preserve">. 3rd </w:t>
      </w:r>
      <w:proofErr w:type="spellStart"/>
      <w:r w:rsidRPr="004811DC">
        <w:rPr>
          <w:rFonts w:ascii="Times New Roman" w:eastAsia="Aptos" w:hAnsi="Times New Roman" w:cs="Times New Roman"/>
          <w:kern w:val="2"/>
          <w:sz w:val="24"/>
          <w:szCs w:val="24"/>
          <w14:ligatures w14:val="standardContextual"/>
        </w:rPr>
        <w:t>edn</w:t>
      </w:r>
      <w:proofErr w:type="spellEnd"/>
      <w:r w:rsidRPr="004811DC">
        <w:rPr>
          <w:rFonts w:ascii="Times New Roman" w:eastAsia="Aptos" w:hAnsi="Times New Roman" w:cs="Times New Roman"/>
          <w:kern w:val="2"/>
          <w:sz w:val="24"/>
          <w:szCs w:val="24"/>
          <w14:ligatures w14:val="standardContextual"/>
        </w:rPr>
        <w:t>. Harlow: Pearson.</w:t>
      </w:r>
    </w:p>
    <w:p w14:paraId="21B8B70F" w14:textId="77777777" w:rsidR="00531F5A" w:rsidRPr="004811DC" w:rsidRDefault="00531F5A" w:rsidP="00531F5A">
      <w:pPr>
        <w:spacing w:after="80" w:line="240" w:lineRule="auto"/>
        <w:rPr>
          <w:rFonts w:ascii="Times New Roman" w:eastAsia="Aptos" w:hAnsi="Times New Roman" w:cs="Times New Roman"/>
          <w:kern w:val="2"/>
          <w:sz w:val="24"/>
          <w:szCs w:val="24"/>
          <w14:ligatures w14:val="standardContextual"/>
        </w:rPr>
      </w:pPr>
    </w:p>
    <w:p w14:paraId="352D80F9" w14:textId="77777777" w:rsidR="001B7D31" w:rsidRPr="004811DC" w:rsidRDefault="001B7D31" w:rsidP="00531F5A">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Porter, M.E (2008) </w:t>
      </w:r>
      <w:r w:rsidRPr="004811DC">
        <w:rPr>
          <w:rFonts w:ascii="Times New Roman" w:eastAsia="Aptos" w:hAnsi="Times New Roman" w:cs="Times New Roman"/>
          <w:i/>
          <w:iCs/>
          <w:kern w:val="2"/>
          <w:sz w:val="24"/>
          <w:szCs w:val="24"/>
          <w14:ligatures w14:val="standardContextual"/>
        </w:rPr>
        <w:t>The five competitive forces that shape strategy</w:t>
      </w:r>
      <w:r w:rsidRPr="004811DC">
        <w:rPr>
          <w:rFonts w:ascii="Times New Roman" w:eastAsia="Aptos" w:hAnsi="Times New Roman" w:cs="Times New Roman"/>
          <w:kern w:val="2"/>
          <w:sz w:val="24"/>
          <w:szCs w:val="24"/>
          <w14:ligatures w14:val="standardContextual"/>
        </w:rPr>
        <w:t xml:space="preserve">. </w:t>
      </w:r>
      <w:r w:rsidRPr="004811DC">
        <w:rPr>
          <w:rFonts w:ascii="Times New Roman" w:eastAsia="Aptos" w:hAnsi="Times New Roman" w:cs="Times New Roman"/>
          <w:i/>
          <w:iCs/>
          <w:kern w:val="2"/>
          <w:sz w:val="24"/>
          <w:szCs w:val="24"/>
          <w14:ligatures w14:val="standardContextual"/>
        </w:rPr>
        <w:t>Harvard Business Review</w:t>
      </w:r>
      <w:r w:rsidRPr="004811DC">
        <w:rPr>
          <w:rFonts w:ascii="Times New Roman" w:eastAsia="Aptos" w:hAnsi="Times New Roman" w:cs="Times New Roman"/>
          <w:kern w:val="2"/>
          <w:sz w:val="24"/>
          <w:szCs w:val="24"/>
          <w14:ligatures w14:val="standardContextual"/>
        </w:rPr>
        <w:t>, 86(1), pp. 78–93.</w:t>
      </w:r>
    </w:p>
    <w:p w14:paraId="58D49FE5" w14:textId="77777777" w:rsidR="00531F5A" w:rsidRPr="004811DC" w:rsidRDefault="00531F5A" w:rsidP="00531F5A">
      <w:pPr>
        <w:spacing w:after="80" w:line="240" w:lineRule="auto"/>
        <w:rPr>
          <w:rFonts w:ascii="Times New Roman" w:eastAsia="Aptos" w:hAnsi="Times New Roman" w:cs="Times New Roman"/>
          <w:kern w:val="2"/>
          <w:sz w:val="24"/>
          <w:szCs w:val="24"/>
          <w14:ligatures w14:val="standardContextual"/>
        </w:rPr>
      </w:pPr>
    </w:p>
    <w:p w14:paraId="752A3499" w14:textId="3E509BB2" w:rsidR="00BC0800" w:rsidRPr="004811DC" w:rsidRDefault="003222F1" w:rsidP="00531F5A">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Porter, M.E. (1985) </w:t>
      </w:r>
      <w:r w:rsidRPr="004811DC">
        <w:rPr>
          <w:rFonts w:ascii="Times New Roman" w:eastAsia="Aptos" w:hAnsi="Times New Roman" w:cs="Times New Roman"/>
          <w:i/>
          <w:iCs/>
          <w:kern w:val="2"/>
          <w:sz w:val="24"/>
          <w:szCs w:val="24"/>
          <w14:ligatures w14:val="standardContextual"/>
        </w:rPr>
        <w:t>Competitive advantage: Creating and sustaining superior performance</w:t>
      </w:r>
      <w:r w:rsidRPr="004811DC">
        <w:rPr>
          <w:rFonts w:ascii="Times New Roman" w:eastAsia="Aptos" w:hAnsi="Times New Roman" w:cs="Times New Roman"/>
          <w:kern w:val="2"/>
          <w:sz w:val="24"/>
          <w:szCs w:val="24"/>
          <w14:ligatures w14:val="standardContextual"/>
        </w:rPr>
        <w:t>. New York: Free Press.</w:t>
      </w:r>
    </w:p>
    <w:p w14:paraId="292A9995" w14:textId="77777777" w:rsidR="00531F5A" w:rsidRPr="004811DC" w:rsidRDefault="00531F5A" w:rsidP="00531F5A">
      <w:pPr>
        <w:spacing w:after="80" w:line="240" w:lineRule="auto"/>
        <w:rPr>
          <w:rFonts w:ascii="Times New Roman" w:eastAsia="Aptos" w:hAnsi="Times New Roman" w:cs="Times New Roman"/>
          <w:kern w:val="2"/>
          <w:sz w:val="24"/>
          <w:szCs w:val="24"/>
          <w14:ligatures w14:val="standardContextual"/>
        </w:rPr>
      </w:pPr>
    </w:p>
    <w:p w14:paraId="795FB041" w14:textId="77777777" w:rsidR="00BA2A63" w:rsidRPr="004811DC" w:rsidRDefault="00BA2A63" w:rsidP="001059A1">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Project Management Institute (PMI) (2008) </w:t>
      </w:r>
      <w:r w:rsidRPr="004811DC">
        <w:rPr>
          <w:rFonts w:ascii="Times New Roman" w:eastAsia="Aptos" w:hAnsi="Times New Roman" w:cs="Times New Roman"/>
          <w:i/>
          <w:iCs/>
          <w:kern w:val="2"/>
          <w:sz w:val="24"/>
          <w:szCs w:val="24"/>
          <w14:ligatures w14:val="standardContextual"/>
        </w:rPr>
        <w:t>A guide to the project management body of knowledge (PMBOK Guide)</w:t>
      </w:r>
      <w:r w:rsidRPr="004811DC">
        <w:rPr>
          <w:rFonts w:ascii="Times New Roman" w:eastAsia="Aptos" w:hAnsi="Times New Roman" w:cs="Times New Roman"/>
          <w:kern w:val="2"/>
          <w:sz w:val="24"/>
          <w:szCs w:val="24"/>
          <w14:ligatures w14:val="standardContextual"/>
        </w:rPr>
        <w:t xml:space="preserve">. 4th </w:t>
      </w:r>
      <w:proofErr w:type="spellStart"/>
      <w:r w:rsidRPr="004811DC">
        <w:rPr>
          <w:rFonts w:ascii="Times New Roman" w:eastAsia="Aptos" w:hAnsi="Times New Roman" w:cs="Times New Roman"/>
          <w:kern w:val="2"/>
          <w:sz w:val="24"/>
          <w:szCs w:val="24"/>
          <w14:ligatures w14:val="standardContextual"/>
        </w:rPr>
        <w:t>edn</w:t>
      </w:r>
      <w:proofErr w:type="spellEnd"/>
      <w:r w:rsidRPr="004811DC">
        <w:rPr>
          <w:rFonts w:ascii="Times New Roman" w:eastAsia="Aptos" w:hAnsi="Times New Roman" w:cs="Times New Roman"/>
          <w:kern w:val="2"/>
          <w:sz w:val="24"/>
          <w:szCs w:val="24"/>
          <w14:ligatures w14:val="standardContextual"/>
        </w:rPr>
        <w:t>. Newtown Square, PA: PMI.</w:t>
      </w:r>
    </w:p>
    <w:p w14:paraId="5125DF22" w14:textId="77777777" w:rsidR="001059A1" w:rsidRPr="004811DC" w:rsidRDefault="001059A1" w:rsidP="00BA2A63">
      <w:pPr>
        <w:spacing w:after="80" w:line="278" w:lineRule="auto"/>
        <w:rPr>
          <w:rFonts w:ascii="Times New Roman" w:eastAsia="Aptos" w:hAnsi="Times New Roman" w:cs="Times New Roman"/>
          <w:kern w:val="2"/>
          <w:sz w:val="24"/>
          <w:szCs w:val="24"/>
          <w14:ligatures w14:val="standardContextual"/>
        </w:rPr>
      </w:pPr>
    </w:p>
    <w:p w14:paraId="66F9AE0A" w14:textId="77777777" w:rsidR="00BA2A63" w:rsidRPr="004811DC" w:rsidRDefault="00BA2A63" w:rsidP="001059A1">
      <w:pPr>
        <w:spacing w:after="80" w:line="240" w:lineRule="auto"/>
        <w:rPr>
          <w:rFonts w:ascii="Times New Roman" w:eastAsia="Aptos" w:hAnsi="Times New Roman" w:cs="Times New Roman"/>
          <w:kern w:val="2"/>
          <w:sz w:val="24"/>
          <w:szCs w:val="24"/>
          <w14:ligatures w14:val="standardContextual"/>
        </w:rPr>
      </w:pPr>
      <w:proofErr w:type="spellStart"/>
      <w:r w:rsidRPr="004811DC">
        <w:rPr>
          <w:rFonts w:ascii="Times New Roman" w:eastAsia="Aptos" w:hAnsi="Times New Roman" w:cs="Times New Roman"/>
          <w:kern w:val="2"/>
          <w:sz w:val="24"/>
          <w:szCs w:val="24"/>
          <w14:ligatures w14:val="standardContextual"/>
        </w:rPr>
        <w:t>ProofHub</w:t>
      </w:r>
      <w:proofErr w:type="spellEnd"/>
      <w:r w:rsidRPr="004811DC">
        <w:rPr>
          <w:rFonts w:ascii="Times New Roman" w:eastAsia="Aptos" w:hAnsi="Times New Roman" w:cs="Times New Roman"/>
          <w:kern w:val="2"/>
          <w:sz w:val="24"/>
          <w:szCs w:val="24"/>
          <w14:ligatures w14:val="standardContextual"/>
        </w:rPr>
        <w:t xml:space="preserve"> (2025) </w:t>
      </w:r>
      <w:r w:rsidRPr="004811DC">
        <w:rPr>
          <w:rFonts w:ascii="Times New Roman" w:eastAsia="Aptos" w:hAnsi="Times New Roman" w:cs="Times New Roman"/>
          <w:i/>
          <w:iCs/>
          <w:kern w:val="2"/>
          <w:sz w:val="24"/>
          <w:szCs w:val="24"/>
          <w14:ligatures w14:val="standardContextual"/>
        </w:rPr>
        <w:t>How to create a stakeholder engagement plan</w:t>
      </w:r>
      <w:r w:rsidRPr="004811DC">
        <w:rPr>
          <w:rFonts w:ascii="Times New Roman" w:eastAsia="Aptos" w:hAnsi="Times New Roman" w:cs="Times New Roman"/>
          <w:kern w:val="2"/>
          <w:sz w:val="24"/>
          <w:szCs w:val="24"/>
          <w14:ligatures w14:val="standardContextual"/>
        </w:rPr>
        <w:t xml:space="preserve">. Available at: </w:t>
      </w:r>
      <w:hyperlink r:id="rId14" w:tgtFrame="_new" w:history="1">
        <w:r w:rsidRPr="004811DC">
          <w:rPr>
            <w:rFonts w:ascii="Times New Roman" w:eastAsia="Aptos" w:hAnsi="Times New Roman" w:cs="Times New Roman"/>
            <w:color w:val="467886"/>
            <w:kern w:val="2"/>
            <w:sz w:val="24"/>
            <w:szCs w:val="24"/>
            <w:u w:val="single"/>
            <w14:ligatures w14:val="standardContextual"/>
          </w:rPr>
          <w:t>https://www.proofhub.com/articles/stakeholder-engagement-plan</w:t>
        </w:r>
      </w:hyperlink>
      <w:r w:rsidRPr="004811DC">
        <w:rPr>
          <w:rFonts w:ascii="Times New Roman" w:eastAsia="Aptos" w:hAnsi="Times New Roman" w:cs="Times New Roman"/>
          <w:kern w:val="2"/>
          <w:sz w:val="24"/>
          <w:szCs w:val="24"/>
          <w14:ligatures w14:val="standardContextual"/>
        </w:rPr>
        <w:t xml:space="preserve"> (Accessed: 1 April 2026).</w:t>
      </w:r>
    </w:p>
    <w:p w14:paraId="2206A8FC" w14:textId="77777777" w:rsidR="001059A1" w:rsidRPr="004811DC" w:rsidRDefault="001059A1" w:rsidP="001059A1">
      <w:pPr>
        <w:spacing w:after="80" w:line="240" w:lineRule="auto"/>
        <w:rPr>
          <w:rFonts w:ascii="Times New Roman" w:eastAsia="Aptos" w:hAnsi="Times New Roman" w:cs="Times New Roman"/>
          <w:kern w:val="2"/>
          <w:sz w:val="24"/>
          <w:szCs w:val="24"/>
          <w14:ligatures w14:val="standardContextual"/>
        </w:rPr>
      </w:pPr>
    </w:p>
    <w:p w14:paraId="13969C5D" w14:textId="77777777" w:rsidR="00BA2A63" w:rsidRPr="004811DC" w:rsidRDefault="00BA2A63" w:rsidP="001059A1">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SixSigma.us (2024). </w:t>
      </w:r>
      <w:r w:rsidRPr="004811DC">
        <w:rPr>
          <w:rFonts w:ascii="Times New Roman" w:eastAsia="Aptos" w:hAnsi="Times New Roman" w:cs="Times New Roman"/>
          <w:i/>
          <w:iCs/>
          <w:kern w:val="2"/>
          <w:sz w:val="24"/>
          <w:szCs w:val="24"/>
          <w14:ligatures w14:val="standardContextual"/>
        </w:rPr>
        <w:t>The ultimate guide to project life cycle: Mastering the 5 phases for project success</w:t>
      </w:r>
      <w:r w:rsidRPr="004811DC">
        <w:rPr>
          <w:rFonts w:ascii="Times New Roman" w:eastAsia="Aptos" w:hAnsi="Times New Roman" w:cs="Times New Roman"/>
          <w:kern w:val="2"/>
          <w:sz w:val="24"/>
          <w:szCs w:val="24"/>
          <w14:ligatures w14:val="standardContextual"/>
        </w:rPr>
        <w:t xml:space="preserve">. Available at: </w:t>
      </w:r>
      <w:hyperlink r:id="rId15" w:tgtFrame="_new" w:history="1">
        <w:r w:rsidRPr="004811DC">
          <w:rPr>
            <w:rFonts w:ascii="Times New Roman" w:eastAsia="Aptos" w:hAnsi="Times New Roman" w:cs="Times New Roman"/>
            <w:color w:val="467886"/>
            <w:kern w:val="2"/>
            <w:sz w:val="24"/>
            <w:szCs w:val="24"/>
            <w:u w:val="single"/>
            <w14:ligatures w14:val="standardContextual"/>
          </w:rPr>
          <w:t>https://www.6sigma.us/project-management/project-life-cycle/</w:t>
        </w:r>
      </w:hyperlink>
      <w:r w:rsidRPr="004811DC">
        <w:rPr>
          <w:rFonts w:ascii="Times New Roman" w:eastAsia="Aptos" w:hAnsi="Times New Roman" w:cs="Times New Roman"/>
          <w:kern w:val="2"/>
          <w:sz w:val="24"/>
          <w:szCs w:val="24"/>
          <w14:ligatures w14:val="standardContextual"/>
        </w:rPr>
        <w:t xml:space="preserve"> (Accessed: 1 April 2026).</w:t>
      </w:r>
    </w:p>
    <w:p w14:paraId="66D96EE2" w14:textId="77777777" w:rsidR="001059A1" w:rsidRPr="004811DC" w:rsidRDefault="001059A1" w:rsidP="001059A1">
      <w:pPr>
        <w:spacing w:after="80" w:line="240" w:lineRule="auto"/>
        <w:rPr>
          <w:rFonts w:ascii="Times New Roman" w:eastAsia="Aptos" w:hAnsi="Times New Roman" w:cs="Times New Roman"/>
          <w:kern w:val="2"/>
          <w:sz w:val="24"/>
          <w:szCs w:val="24"/>
          <w14:ligatures w14:val="standardContextual"/>
        </w:rPr>
      </w:pPr>
    </w:p>
    <w:p w14:paraId="13F95063" w14:textId="77777777" w:rsidR="00BA2A63" w:rsidRPr="004811DC" w:rsidRDefault="00BA2A63" w:rsidP="009B55BD">
      <w:pPr>
        <w:spacing w:after="80" w:line="240" w:lineRule="auto"/>
        <w:rPr>
          <w:rFonts w:ascii="Times New Roman" w:eastAsia="Aptos" w:hAnsi="Times New Roman" w:cs="Times New Roman"/>
          <w:kern w:val="2"/>
          <w:sz w:val="24"/>
          <w:szCs w:val="24"/>
          <w14:ligatures w14:val="standardContextual"/>
        </w:rPr>
      </w:pPr>
      <w:r w:rsidRPr="004811DC">
        <w:rPr>
          <w:rFonts w:ascii="Times New Roman" w:eastAsia="Aptos" w:hAnsi="Times New Roman" w:cs="Times New Roman"/>
          <w:kern w:val="2"/>
          <w:sz w:val="24"/>
          <w:szCs w:val="24"/>
          <w14:ligatures w14:val="standardContextual"/>
        </w:rPr>
        <w:t xml:space="preserve">Strategic Direction (2022) </w:t>
      </w:r>
      <w:r w:rsidRPr="004811DC">
        <w:rPr>
          <w:rFonts w:ascii="Times New Roman" w:eastAsia="Aptos" w:hAnsi="Times New Roman" w:cs="Times New Roman"/>
          <w:i/>
          <w:iCs/>
          <w:kern w:val="2"/>
          <w:sz w:val="24"/>
          <w:szCs w:val="24"/>
          <w14:ligatures w14:val="standardContextual"/>
        </w:rPr>
        <w:t>Organizational commitment to sustainability dimensions: Stakeholder engagement is essential</w:t>
      </w:r>
      <w:r w:rsidRPr="004811DC">
        <w:rPr>
          <w:rFonts w:ascii="Times New Roman" w:eastAsia="Aptos" w:hAnsi="Times New Roman" w:cs="Times New Roman"/>
          <w:kern w:val="2"/>
          <w:sz w:val="24"/>
          <w:szCs w:val="24"/>
          <w14:ligatures w14:val="standardContextual"/>
        </w:rPr>
        <w:t>. Strategic Direction, 38(4), pp. 7–9. doi:10.1108/SD-01-2022-0011.</w:t>
      </w:r>
    </w:p>
    <w:p w14:paraId="7C7A4934" w14:textId="14CFB2A5" w:rsidR="009B55BD" w:rsidRPr="004811DC" w:rsidRDefault="003E2B41" w:rsidP="009B55BD">
      <w:pPr>
        <w:spacing w:after="80" w:line="240" w:lineRule="auto"/>
        <w:rPr>
          <w:rFonts w:ascii="Times New Roman" w:eastAsia="Aptos" w:hAnsi="Times New Roman" w:cs="Times New Roman"/>
          <w:kern w:val="2"/>
          <w:sz w:val="24"/>
          <w:szCs w:val="24"/>
          <w14:ligatures w14:val="standardContextual"/>
        </w:rPr>
      </w:pPr>
      <w:r w:rsidRPr="003E2B41">
        <w:rPr>
          <w:rFonts w:ascii="Times New Roman" w:eastAsia="Aptos" w:hAnsi="Times New Roman" w:cs="Times New Roman"/>
          <w:kern w:val="2"/>
          <w:sz w:val="24"/>
          <w:szCs w:val="24"/>
          <w14:ligatures w14:val="standardContextual"/>
        </w:rPr>
        <w:t xml:space="preserve">Thomas, K.W. and Kilmann, R.H. (1974) </w:t>
      </w:r>
      <w:r w:rsidRPr="003E2B41">
        <w:rPr>
          <w:rFonts w:ascii="Times New Roman" w:eastAsia="Aptos" w:hAnsi="Times New Roman" w:cs="Times New Roman"/>
          <w:i/>
          <w:iCs/>
          <w:kern w:val="2"/>
          <w:sz w:val="24"/>
          <w:szCs w:val="24"/>
          <w14:ligatures w14:val="standardContextual"/>
        </w:rPr>
        <w:t>Thomas-Kilmann conflict mode instrument</w:t>
      </w:r>
      <w:r w:rsidRPr="003E2B41">
        <w:rPr>
          <w:rFonts w:ascii="Times New Roman" w:eastAsia="Aptos" w:hAnsi="Times New Roman" w:cs="Times New Roman"/>
          <w:kern w:val="2"/>
          <w:sz w:val="24"/>
          <w:szCs w:val="24"/>
          <w14:ligatures w14:val="standardContextual"/>
        </w:rPr>
        <w:t xml:space="preserve">. New York: </w:t>
      </w:r>
      <w:proofErr w:type="spellStart"/>
      <w:r w:rsidRPr="003E2B41">
        <w:rPr>
          <w:rFonts w:ascii="Times New Roman" w:eastAsia="Aptos" w:hAnsi="Times New Roman" w:cs="Times New Roman"/>
          <w:kern w:val="2"/>
          <w:sz w:val="24"/>
          <w:szCs w:val="24"/>
          <w14:ligatures w14:val="standardContextual"/>
        </w:rPr>
        <w:t>Xicom</w:t>
      </w:r>
      <w:proofErr w:type="spellEnd"/>
      <w:r w:rsidRPr="003E2B41">
        <w:rPr>
          <w:rFonts w:ascii="Times New Roman" w:eastAsia="Aptos" w:hAnsi="Times New Roman" w:cs="Times New Roman"/>
          <w:kern w:val="2"/>
          <w:sz w:val="24"/>
          <w:szCs w:val="24"/>
          <w14:ligatures w14:val="standardContextual"/>
        </w:rPr>
        <w:t>.</w:t>
      </w:r>
    </w:p>
    <w:p w14:paraId="29A9D2F4" w14:textId="77777777" w:rsidR="00BA2A63" w:rsidRPr="004811DC" w:rsidRDefault="00BA2A63" w:rsidP="009B55BD">
      <w:pPr>
        <w:spacing w:after="0" w:line="240" w:lineRule="auto"/>
        <w:rPr>
          <w:rFonts w:ascii="Times New Roman" w:eastAsia="Times New Roman" w:hAnsi="Times New Roman" w:cs="Times New Roman"/>
          <w:kern w:val="2"/>
          <w:sz w:val="24"/>
          <w:szCs w:val="24"/>
          <w:lang w:eastAsia="en-GB"/>
          <w14:ligatures w14:val="standardContextual"/>
        </w:rPr>
      </w:pPr>
      <w:r w:rsidRPr="004811DC">
        <w:rPr>
          <w:rFonts w:ascii="Times New Roman" w:eastAsia="Times New Roman" w:hAnsi="Times New Roman" w:cs="Times New Roman"/>
          <w:kern w:val="2"/>
          <w:sz w:val="24"/>
          <w:szCs w:val="24"/>
          <w:lang w:eastAsia="en-GB"/>
          <w14:ligatures w14:val="standardContextual"/>
        </w:rPr>
        <w:t xml:space="preserve">Triaster (2024) </w:t>
      </w:r>
      <w:r w:rsidRPr="004811DC">
        <w:rPr>
          <w:rFonts w:ascii="Times New Roman" w:eastAsia="Times New Roman" w:hAnsi="Times New Roman" w:cs="Times New Roman"/>
          <w:i/>
          <w:iCs/>
          <w:kern w:val="2"/>
          <w:sz w:val="24"/>
          <w:szCs w:val="24"/>
          <w:lang w:eastAsia="en-GB"/>
          <w14:ligatures w14:val="standardContextual"/>
        </w:rPr>
        <w:t>Using a RACI matrix template for business process improvement</w:t>
      </w:r>
      <w:r w:rsidRPr="004811DC">
        <w:rPr>
          <w:rFonts w:ascii="Times New Roman" w:eastAsia="Times New Roman" w:hAnsi="Times New Roman" w:cs="Times New Roman"/>
          <w:kern w:val="2"/>
          <w:sz w:val="24"/>
          <w:szCs w:val="24"/>
          <w:lang w:eastAsia="en-GB"/>
          <w14:ligatures w14:val="standardContextual"/>
        </w:rPr>
        <w:t xml:space="preserve">. Available at: </w:t>
      </w:r>
      <w:hyperlink r:id="rId16" w:tgtFrame="_new" w:history="1">
        <w:r w:rsidRPr="004811DC">
          <w:rPr>
            <w:rFonts w:ascii="Times New Roman" w:eastAsia="Times New Roman" w:hAnsi="Times New Roman" w:cs="Times New Roman"/>
            <w:color w:val="467886"/>
            <w:kern w:val="2"/>
            <w:sz w:val="24"/>
            <w:szCs w:val="24"/>
            <w:u w:val="single"/>
            <w:lang w:eastAsia="en-GB"/>
            <w14:ligatures w14:val="standardContextual"/>
          </w:rPr>
          <w:t>https://blog.triaster.co.uk/blog/raci-matrix-template-for-business-process-improvement</w:t>
        </w:r>
      </w:hyperlink>
      <w:r w:rsidRPr="004811DC">
        <w:rPr>
          <w:rFonts w:ascii="Times New Roman" w:eastAsia="Times New Roman" w:hAnsi="Times New Roman" w:cs="Times New Roman"/>
          <w:kern w:val="2"/>
          <w:sz w:val="24"/>
          <w:szCs w:val="24"/>
          <w:lang w:eastAsia="en-GB"/>
          <w14:ligatures w14:val="standardContextual"/>
        </w:rPr>
        <w:t xml:space="preserve"> (Accessed: 31 March 2026).</w:t>
      </w:r>
    </w:p>
    <w:sectPr w:rsidR="00BA2A63" w:rsidRPr="004811DC" w:rsidSect="00034616">
      <w:footerReference w:type="default" r:id="rId17"/>
      <w:pgSz w:w="12240" w:h="15840"/>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27055" w14:textId="77777777" w:rsidR="00D63438" w:rsidRDefault="00D63438" w:rsidP="008F234D">
      <w:pPr>
        <w:spacing w:after="0" w:line="240" w:lineRule="auto"/>
      </w:pPr>
      <w:r>
        <w:separator/>
      </w:r>
    </w:p>
  </w:endnote>
  <w:endnote w:type="continuationSeparator" w:id="0">
    <w:p w14:paraId="10D82385" w14:textId="77777777" w:rsidR="00D63438" w:rsidRDefault="00D63438" w:rsidP="008F2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153036"/>
      <w:docPartObj>
        <w:docPartGallery w:val="Page Numbers (Bottom of Page)"/>
        <w:docPartUnique/>
      </w:docPartObj>
    </w:sdtPr>
    <w:sdtEndPr>
      <w:rPr>
        <w:noProof/>
      </w:rPr>
    </w:sdtEndPr>
    <w:sdtContent>
      <w:p w14:paraId="6F9A175A" w14:textId="4E4D7C54" w:rsidR="00F726BE" w:rsidRDefault="00F726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01D4F8" w14:textId="77777777" w:rsidR="008F234D" w:rsidRDefault="008F2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4C092" w14:textId="77777777" w:rsidR="00D63438" w:rsidRDefault="00D63438" w:rsidP="008F234D">
      <w:pPr>
        <w:spacing w:after="0" w:line="240" w:lineRule="auto"/>
      </w:pPr>
      <w:r>
        <w:separator/>
      </w:r>
    </w:p>
  </w:footnote>
  <w:footnote w:type="continuationSeparator" w:id="0">
    <w:p w14:paraId="4F862901" w14:textId="77777777" w:rsidR="00D63438" w:rsidRDefault="00D63438" w:rsidP="008F23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5CA46B3E"/>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9E8828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8C5341"/>
    <w:multiLevelType w:val="multilevel"/>
    <w:tmpl w:val="3872D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6B0F77"/>
    <w:multiLevelType w:val="hybridMultilevel"/>
    <w:tmpl w:val="D980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F3E77"/>
    <w:multiLevelType w:val="hybridMultilevel"/>
    <w:tmpl w:val="5E38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246F46"/>
    <w:multiLevelType w:val="hybridMultilevel"/>
    <w:tmpl w:val="5D78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E83CE0"/>
    <w:multiLevelType w:val="hybridMultilevel"/>
    <w:tmpl w:val="458C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A3ADE"/>
    <w:multiLevelType w:val="hybridMultilevel"/>
    <w:tmpl w:val="0728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CE78C0"/>
    <w:multiLevelType w:val="hybridMultilevel"/>
    <w:tmpl w:val="515E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2031CD"/>
    <w:multiLevelType w:val="hybridMultilevel"/>
    <w:tmpl w:val="79A4F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12951"/>
    <w:multiLevelType w:val="hybridMultilevel"/>
    <w:tmpl w:val="68A63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7E1EBA"/>
    <w:multiLevelType w:val="hybridMultilevel"/>
    <w:tmpl w:val="159C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60178A"/>
    <w:multiLevelType w:val="hybridMultilevel"/>
    <w:tmpl w:val="5F4A0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410F11"/>
    <w:multiLevelType w:val="hybridMultilevel"/>
    <w:tmpl w:val="6366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FA4B11"/>
    <w:multiLevelType w:val="hybridMultilevel"/>
    <w:tmpl w:val="259C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D67B7D"/>
    <w:multiLevelType w:val="hybridMultilevel"/>
    <w:tmpl w:val="7994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1764EE"/>
    <w:multiLevelType w:val="hybridMultilevel"/>
    <w:tmpl w:val="86EE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6855482">
    <w:abstractNumId w:val="8"/>
  </w:num>
  <w:num w:numId="2" w16cid:durableId="1440442869">
    <w:abstractNumId w:val="6"/>
  </w:num>
  <w:num w:numId="3" w16cid:durableId="1890606332">
    <w:abstractNumId w:val="5"/>
  </w:num>
  <w:num w:numId="4" w16cid:durableId="2105152585">
    <w:abstractNumId w:val="4"/>
  </w:num>
  <w:num w:numId="5" w16cid:durableId="1255747689">
    <w:abstractNumId w:val="7"/>
  </w:num>
  <w:num w:numId="6" w16cid:durableId="1444170">
    <w:abstractNumId w:val="3"/>
  </w:num>
  <w:num w:numId="7" w16cid:durableId="934360820">
    <w:abstractNumId w:val="2"/>
  </w:num>
  <w:num w:numId="8" w16cid:durableId="478498825">
    <w:abstractNumId w:val="1"/>
  </w:num>
  <w:num w:numId="9" w16cid:durableId="776095769">
    <w:abstractNumId w:val="0"/>
  </w:num>
  <w:num w:numId="10" w16cid:durableId="359203732">
    <w:abstractNumId w:val="19"/>
  </w:num>
  <w:num w:numId="11" w16cid:durableId="691686070">
    <w:abstractNumId w:val="20"/>
  </w:num>
  <w:num w:numId="12" w16cid:durableId="610743974">
    <w:abstractNumId w:val="14"/>
  </w:num>
  <w:num w:numId="13" w16cid:durableId="1363020797">
    <w:abstractNumId w:val="11"/>
  </w:num>
  <w:num w:numId="14" w16cid:durableId="1927304273">
    <w:abstractNumId w:val="18"/>
  </w:num>
  <w:num w:numId="15" w16cid:durableId="1964924414">
    <w:abstractNumId w:val="12"/>
  </w:num>
  <w:num w:numId="16" w16cid:durableId="226185636">
    <w:abstractNumId w:val="15"/>
  </w:num>
  <w:num w:numId="17" w16cid:durableId="248932937">
    <w:abstractNumId w:val="16"/>
  </w:num>
  <w:num w:numId="18" w16cid:durableId="1288706102">
    <w:abstractNumId w:val="21"/>
  </w:num>
  <w:num w:numId="19" w16cid:durableId="69431128">
    <w:abstractNumId w:val="17"/>
  </w:num>
  <w:num w:numId="20" w16cid:durableId="2061902445">
    <w:abstractNumId w:val="22"/>
  </w:num>
  <w:num w:numId="21" w16cid:durableId="19816477">
    <w:abstractNumId w:val="23"/>
  </w:num>
  <w:num w:numId="22" w16cid:durableId="1532691606">
    <w:abstractNumId w:val="10"/>
  </w:num>
  <w:num w:numId="23" w16cid:durableId="577176916">
    <w:abstractNumId w:val="13"/>
  </w:num>
  <w:num w:numId="24" w16cid:durableId="1192762000">
    <w:abstractNumId w:val="7"/>
  </w:num>
  <w:num w:numId="25" w16cid:durableId="1755005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4EE"/>
    <w:rsid w:val="00004C72"/>
    <w:rsid w:val="00005E7D"/>
    <w:rsid w:val="00014699"/>
    <w:rsid w:val="00020D16"/>
    <w:rsid w:val="0002163A"/>
    <w:rsid w:val="000248F3"/>
    <w:rsid w:val="00032CF7"/>
    <w:rsid w:val="00034616"/>
    <w:rsid w:val="00036E8C"/>
    <w:rsid w:val="0003795E"/>
    <w:rsid w:val="00041D56"/>
    <w:rsid w:val="00044AF6"/>
    <w:rsid w:val="00045073"/>
    <w:rsid w:val="00047312"/>
    <w:rsid w:val="00050E5B"/>
    <w:rsid w:val="00056BE1"/>
    <w:rsid w:val="0006063C"/>
    <w:rsid w:val="00061336"/>
    <w:rsid w:val="00066CD6"/>
    <w:rsid w:val="00070722"/>
    <w:rsid w:val="000716D5"/>
    <w:rsid w:val="00074344"/>
    <w:rsid w:val="00074BEB"/>
    <w:rsid w:val="00081552"/>
    <w:rsid w:val="000855AB"/>
    <w:rsid w:val="00095D22"/>
    <w:rsid w:val="000A7D0C"/>
    <w:rsid w:val="000B1D90"/>
    <w:rsid w:val="000C0EE8"/>
    <w:rsid w:val="000C76B0"/>
    <w:rsid w:val="000D20B5"/>
    <w:rsid w:val="000D63CA"/>
    <w:rsid w:val="000E4FCC"/>
    <w:rsid w:val="000E6909"/>
    <w:rsid w:val="000E7A2A"/>
    <w:rsid w:val="000F25F9"/>
    <w:rsid w:val="000F26E2"/>
    <w:rsid w:val="000F4781"/>
    <w:rsid w:val="000F5D85"/>
    <w:rsid w:val="00100C89"/>
    <w:rsid w:val="00101014"/>
    <w:rsid w:val="00103C74"/>
    <w:rsid w:val="00104A27"/>
    <w:rsid w:val="001059A1"/>
    <w:rsid w:val="0010679D"/>
    <w:rsid w:val="001070C9"/>
    <w:rsid w:val="00110E5A"/>
    <w:rsid w:val="00114684"/>
    <w:rsid w:val="00114CF3"/>
    <w:rsid w:val="00120414"/>
    <w:rsid w:val="00121DDE"/>
    <w:rsid w:val="001220D9"/>
    <w:rsid w:val="00124FE1"/>
    <w:rsid w:val="001267A9"/>
    <w:rsid w:val="00126D30"/>
    <w:rsid w:val="001314F2"/>
    <w:rsid w:val="001318DC"/>
    <w:rsid w:val="00135472"/>
    <w:rsid w:val="00135B4D"/>
    <w:rsid w:val="00136731"/>
    <w:rsid w:val="00141A96"/>
    <w:rsid w:val="00142666"/>
    <w:rsid w:val="00147723"/>
    <w:rsid w:val="0014790B"/>
    <w:rsid w:val="0015074B"/>
    <w:rsid w:val="001520B7"/>
    <w:rsid w:val="00152C4A"/>
    <w:rsid w:val="001565FB"/>
    <w:rsid w:val="00165038"/>
    <w:rsid w:val="00165602"/>
    <w:rsid w:val="001677C9"/>
    <w:rsid w:val="001679C3"/>
    <w:rsid w:val="00167CE9"/>
    <w:rsid w:val="00167CF5"/>
    <w:rsid w:val="001705F1"/>
    <w:rsid w:val="00170D50"/>
    <w:rsid w:val="001755BC"/>
    <w:rsid w:val="001766F0"/>
    <w:rsid w:val="00180E7C"/>
    <w:rsid w:val="00183DCD"/>
    <w:rsid w:val="00184A65"/>
    <w:rsid w:val="00184EA4"/>
    <w:rsid w:val="001856E5"/>
    <w:rsid w:val="00191CB1"/>
    <w:rsid w:val="001920A1"/>
    <w:rsid w:val="001921B8"/>
    <w:rsid w:val="00192B64"/>
    <w:rsid w:val="00193271"/>
    <w:rsid w:val="0019595F"/>
    <w:rsid w:val="001974F4"/>
    <w:rsid w:val="001A1B85"/>
    <w:rsid w:val="001A277B"/>
    <w:rsid w:val="001A3901"/>
    <w:rsid w:val="001A3C13"/>
    <w:rsid w:val="001A689D"/>
    <w:rsid w:val="001B19CE"/>
    <w:rsid w:val="001B50A0"/>
    <w:rsid w:val="001B6B51"/>
    <w:rsid w:val="001B7D31"/>
    <w:rsid w:val="001C2E9E"/>
    <w:rsid w:val="001C3899"/>
    <w:rsid w:val="001C3F07"/>
    <w:rsid w:val="001C6A4D"/>
    <w:rsid w:val="001C6C7C"/>
    <w:rsid w:val="001C78E0"/>
    <w:rsid w:val="001D206C"/>
    <w:rsid w:val="001D4612"/>
    <w:rsid w:val="001E0FC3"/>
    <w:rsid w:val="001E1023"/>
    <w:rsid w:val="001E3B68"/>
    <w:rsid w:val="001E66F2"/>
    <w:rsid w:val="001F6CAE"/>
    <w:rsid w:val="001F7C84"/>
    <w:rsid w:val="002032C4"/>
    <w:rsid w:val="00203C88"/>
    <w:rsid w:val="0020743A"/>
    <w:rsid w:val="002115E3"/>
    <w:rsid w:val="00214219"/>
    <w:rsid w:val="00216A20"/>
    <w:rsid w:val="00222347"/>
    <w:rsid w:val="00230ED6"/>
    <w:rsid w:val="00231C5B"/>
    <w:rsid w:val="002327C7"/>
    <w:rsid w:val="00233482"/>
    <w:rsid w:val="00233DE1"/>
    <w:rsid w:val="002362BE"/>
    <w:rsid w:val="0024302D"/>
    <w:rsid w:val="00243100"/>
    <w:rsid w:val="002451E0"/>
    <w:rsid w:val="00251E44"/>
    <w:rsid w:val="00257819"/>
    <w:rsid w:val="00263D02"/>
    <w:rsid w:val="00265808"/>
    <w:rsid w:val="00265CF6"/>
    <w:rsid w:val="00266620"/>
    <w:rsid w:val="002746AF"/>
    <w:rsid w:val="002827FA"/>
    <w:rsid w:val="002843D3"/>
    <w:rsid w:val="00285275"/>
    <w:rsid w:val="00287D6D"/>
    <w:rsid w:val="00290068"/>
    <w:rsid w:val="0029113B"/>
    <w:rsid w:val="00291A24"/>
    <w:rsid w:val="002929C5"/>
    <w:rsid w:val="002936EE"/>
    <w:rsid w:val="0029639D"/>
    <w:rsid w:val="0029798A"/>
    <w:rsid w:val="00297AC9"/>
    <w:rsid w:val="002A1F09"/>
    <w:rsid w:val="002B07A7"/>
    <w:rsid w:val="002B2799"/>
    <w:rsid w:val="002B5B82"/>
    <w:rsid w:val="002C186A"/>
    <w:rsid w:val="002C4914"/>
    <w:rsid w:val="002C4993"/>
    <w:rsid w:val="002C7E44"/>
    <w:rsid w:val="002D1217"/>
    <w:rsid w:val="002D16F5"/>
    <w:rsid w:val="002D1718"/>
    <w:rsid w:val="002E08BD"/>
    <w:rsid w:val="002E351D"/>
    <w:rsid w:val="002E3E14"/>
    <w:rsid w:val="002E5E53"/>
    <w:rsid w:val="002E5EDC"/>
    <w:rsid w:val="002E7634"/>
    <w:rsid w:val="002E7FDE"/>
    <w:rsid w:val="002F008E"/>
    <w:rsid w:val="002F2F21"/>
    <w:rsid w:val="002F4CEB"/>
    <w:rsid w:val="0030354B"/>
    <w:rsid w:val="00304985"/>
    <w:rsid w:val="00305394"/>
    <w:rsid w:val="00310BA3"/>
    <w:rsid w:val="00317B8C"/>
    <w:rsid w:val="00322069"/>
    <w:rsid w:val="003222F1"/>
    <w:rsid w:val="00322A16"/>
    <w:rsid w:val="00323C5D"/>
    <w:rsid w:val="00324E15"/>
    <w:rsid w:val="00326F90"/>
    <w:rsid w:val="003307B7"/>
    <w:rsid w:val="00335968"/>
    <w:rsid w:val="003478ED"/>
    <w:rsid w:val="00351BD7"/>
    <w:rsid w:val="00365352"/>
    <w:rsid w:val="00366829"/>
    <w:rsid w:val="00367335"/>
    <w:rsid w:val="00370417"/>
    <w:rsid w:val="003707AB"/>
    <w:rsid w:val="00370B1E"/>
    <w:rsid w:val="00372676"/>
    <w:rsid w:val="00372EE2"/>
    <w:rsid w:val="003731F5"/>
    <w:rsid w:val="00376D64"/>
    <w:rsid w:val="003844DC"/>
    <w:rsid w:val="00386658"/>
    <w:rsid w:val="00393D21"/>
    <w:rsid w:val="0039496C"/>
    <w:rsid w:val="003A44AA"/>
    <w:rsid w:val="003B045A"/>
    <w:rsid w:val="003B0B9F"/>
    <w:rsid w:val="003B600C"/>
    <w:rsid w:val="003C6183"/>
    <w:rsid w:val="003D0D2E"/>
    <w:rsid w:val="003D1221"/>
    <w:rsid w:val="003D3267"/>
    <w:rsid w:val="003D3445"/>
    <w:rsid w:val="003D410A"/>
    <w:rsid w:val="003D5A4C"/>
    <w:rsid w:val="003D6507"/>
    <w:rsid w:val="003E02CC"/>
    <w:rsid w:val="003E1F91"/>
    <w:rsid w:val="003E2B41"/>
    <w:rsid w:val="003E38BC"/>
    <w:rsid w:val="003E619D"/>
    <w:rsid w:val="003F0C4A"/>
    <w:rsid w:val="003F4BBF"/>
    <w:rsid w:val="00401245"/>
    <w:rsid w:val="0040332E"/>
    <w:rsid w:val="0040417A"/>
    <w:rsid w:val="0040509E"/>
    <w:rsid w:val="004128CF"/>
    <w:rsid w:val="00412CCC"/>
    <w:rsid w:val="00414DF1"/>
    <w:rsid w:val="00415AEE"/>
    <w:rsid w:val="004227FE"/>
    <w:rsid w:val="00423560"/>
    <w:rsid w:val="0042446E"/>
    <w:rsid w:val="0044455B"/>
    <w:rsid w:val="00445EB4"/>
    <w:rsid w:val="004468E2"/>
    <w:rsid w:val="00447F1D"/>
    <w:rsid w:val="00447F4A"/>
    <w:rsid w:val="004544FC"/>
    <w:rsid w:val="00455F57"/>
    <w:rsid w:val="00462BD1"/>
    <w:rsid w:val="00463E90"/>
    <w:rsid w:val="0046418E"/>
    <w:rsid w:val="004657E6"/>
    <w:rsid w:val="00473077"/>
    <w:rsid w:val="004811DC"/>
    <w:rsid w:val="004926EC"/>
    <w:rsid w:val="00494563"/>
    <w:rsid w:val="004A2386"/>
    <w:rsid w:val="004A2B91"/>
    <w:rsid w:val="004B1DAF"/>
    <w:rsid w:val="004C0C89"/>
    <w:rsid w:val="004C5C21"/>
    <w:rsid w:val="004C6920"/>
    <w:rsid w:val="004C755E"/>
    <w:rsid w:val="004D0ACF"/>
    <w:rsid w:val="004D1317"/>
    <w:rsid w:val="004D2E76"/>
    <w:rsid w:val="004D34F2"/>
    <w:rsid w:val="004D40CD"/>
    <w:rsid w:val="004E06B8"/>
    <w:rsid w:val="004E2E5A"/>
    <w:rsid w:val="004E5BCD"/>
    <w:rsid w:val="004F2396"/>
    <w:rsid w:val="004F452C"/>
    <w:rsid w:val="004F4B2B"/>
    <w:rsid w:val="005147FE"/>
    <w:rsid w:val="0051724B"/>
    <w:rsid w:val="005205F6"/>
    <w:rsid w:val="00524E72"/>
    <w:rsid w:val="00525439"/>
    <w:rsid w:val="0052665C"/>
    <w:rsid w:val="005314C7"/>
    <w:rsid w:val="00531F5A"/>
    <w:rsid w:val="005468C8"/>
    <w:rsid w:val="00547357"/>
    <w:rsid w:val="00554512"/>
    <w:rsid w:val="00554725"/>
    <w:rsid w:val="005556AC"/>
    <w:rsid w:val="00561DA1"/>
    <w:rsid w:val="00565B20"/>
    <w:rsid w:val="00567056"/>
    <w:rsid w:val="0057078B"/>
    <w:rsid w:val="005811AF"/>
    <w:rsid w:val="00587307"/>
    <w:rsid w:val="00587D07"/>
    <w:rsid w:val="0059062E"/>
    <w:rsid w:val="005955DA"/>
    <w:rsid w:val="00596C54"/>
    <w:rsid w:val="00596F9A"/>
    <w:rsid w:val="005A4180"/>
    <w:rsid w:val="005A4B05"/>
    <w:rsid w:val="005A4F96"/>
    <w:rsid w:val="005B02F6"/>
    <w:rsid w:val="005B0DFD"/>
    <w:rsid w:val="005B122E"/>
    <w:rsid w:val="005B6196"/>
    <w:rsid w:val="005E29BF"/>
    <w:rsid w:val="005F3E3C"/>
    <w:rsid w:val="005F72AE"/>
    <w:rsid w:val="00604839"/>
    <w:rsid w:val="006049A4"/>
    <w:rsid w:val="00605FA2"/>
    <w:rsid w:val="0060635E"/>
    <w:rsid w:val="0060657C"/>
    <w:rsid w:val="00607565"/>
    <w:rsid w:val="00610431"/>
    <w:rsid w:val="00615F71"/>
    <w:rsid w:val="006205FF"/>
    <w:rsid w:val="0062675C"/>
    <w:rsid w:val="00626B40"/>
    <w:rsid w:val="00630DDF"/>
    <w:rsid w:val="006357E5"/>
    <w:rsid w:val="00635830"/>
    <w:rsid w:val="00636065"/>
    <w:rsid w:val="00640181"/>
    <w:rsid w:val="0065037E"/>
    <w:rsid w:val="0065447D"/>
    <w:rsid w:val="006643F6"/>
    <w:rsid w:val="0066491D"/>
    <w:rsid w:val="00667533"/>
    <w:rsid w:val="00671933"/>
    <w:rsid w:val="00671CDE"/>
    <w:rsid w:val="00672423"/>
    <w:rsid w:val="0067250E"/>
    <w:rsid w:val="00672D54"/>
    <w:rsid w:val="006766C8"/>
    <w:rsid w:val="006846AD"/>
    <w:rsid w:val="006877D2"/>
    <w:rsid w:val="0069069A"/>
    <w:rsid w:val="006920ED"/>
    <w:rsid w:val="00693F9D"/>
    <w:rsid w:val="00694433"/>
    <w:rsid w:val="00695428"/>
    <w:rsid w:val="006A7396"/>
    <w:rsid w:val="006A760E"/>
    <w:rsid w:val="006B0D13"/>
    <w:rsid w:val="006B56B2"/>
    <w:rsid w:val="006B5E35"/>
    <w:rsid w:val="006B7843"/>
    <w:rsid w:val="006B7B1F"/>
    <w:rsid w:val="006C01C3"/>
    <w:rsid w:val="006C19A8"/>
    <w:rsid w:val="006C5A41"/>
    <w:rsid w:val="006C6477"/>
    <w:rsid w:val="006C743F"/>
    <w:rsid w:val="006D0F14"/>
    <w:rsid w:val="006D4CCA"/>
    <w:rsid w:val="006D4D4D"/>
    <w:rsid w:val="006D69B6"/>
    <w:rsid w:val="006D7582"/>
    <w:rsid w:val="006E2C5C"/>
    <w:rsid w:val="006E41C3"/>
    <w:rsid w:val="006E4A53"/>
    <w:rsid w:val="006E5586"/>
    <w:rsid w:val="006F4612"/>
    <w:rsid w:val="006F5F23"/>
    <w:rsid w:val="006F7556"/>
    <w:rsid w:val="00721609"/>
    <w:rsid w:val="00722C00"/>
    <w:rsid w:val="00723004"/>
    <w:rsid w:val="00727E01"/>
    <w:rsid w:val="007303BF"/>
    <w:rsid w:val="007306B1"/>
    <w:rsid w:val="007308FC"/>
    <w:rsid w:val="00732715"/>
    <w:rsid w:val="00734BB4"/>
    <w:rsid w:val="007406B8"/>
    <w:rsid w:val="0074443E"/>
    <w:rsid w:val="0074790E"/>
    <w:rsid w:val="0075389A"/>
    <w:rsid w:val="00754776"/>
    <w:rsid w:val="0075671B"/>
    <w:rsid w:val="007616A1"/>
    <w:rsid w:val="00761B31"/>
    <w:rsid w:val="0076314A"/>
    <w:rsid w:val="0077425F"/>
    <w:rsid w:val="007768CF"/>
    <w:rsid w:val="007777DC"/>
    <w:rsid w:val="007813D4"/>
    <w:rsid w:val="007819B6"/>
    <w:rsid w:val="007819F9"/>
    <w:rsid w:val="00782EEC"/>
    <w:rsid w:val="007832D7"/>
    <w:rsid w:val="00787030"/>
    <w:rsid w:val="007941EA"/>
    <w:rsid w:val="0079603E"/>
    <w:rsid w:val="007A0A5E"/>
    <w:rsid w:val="007A1381"/>
    <w:rsid w:val="007A13EA"/>
    <w:rsid w:val="007A2977"/>
    <w:rsid w:val="007B44BF"/>
    <w:rsid w:val="007C081C"/>
    <w:rsid w:val="007C3210"/>
    <w:rsid w:val="007D2E15"/>
    <w:rsid w:val="007D354A"/>
    <w:rsid w:val="007D3A15"/>
    <w:rsid w:val="007D6133"/>
    <w:rsid w:val="007D72E4"/>
    <w:rsid w:val="007D7385"/>
    <w:rsid w:val="007D7964"/>
    <w:rsid w:val="007E0882"/>
    <w:rsid w:val="007E3A2C"/>
    <w:rsid w:val="007F030C"/>
    <w:rsid w:val="007F3E4C"/>
    <w:rsid w:val="007F4AD8"/>
    <w:rsid w:val="007F5052"/>
    <w:rsid w:val="007F66BA"/>
    <w:rsid w:val="00801749"/>
    <w:rsid w:val="008018BA"/>
    <w:rsid w:val="00802051"/>
    <w:rsid w:val="00803F14"/>
    <w:rsid w:val="008126B5"/>
    <w:rsid w:val="008126E4"/>
    <w:rsid w:val="008172C4"/>
    <w:rsid w:val="00817B0B"/>
    <w:rsid w:val="00822E38"/>
    <w:rsid w:val="008260CD"/>
    <w:rsid w:val="00826365"/>
    <w:rsid w:val="00826791"/>
    <w:rsid w:val="00827C2C"/>
    <w:rsid w:val="00832370"/>
    <w:rsid w:val="00832D04"/>
    <w:rsid w:val="00835AC1"/>
    <w:rsid w:val="00837A40"/>
    <w:rsid w:val="00837AE4"/>
    <w:rsid w:val="008401C5"/>
    <w:rsid w:val="00844F3C"/>
    <w:rsid w:val="00846B03"/>
    <w:rsid w:val="00847F53"/>
    <w:rsid w:val="00850AB9"/>
    <w:rsid w:val="008518ED"/>
    <w:rsid w:val="00855AB3"/>
    <w:rsid w:val="00857EBC"/>
    <w:rsid w:val="008609A3"/>
    <w:rsid w:val="0087736D"/>
    <w:rsid w:val="008779D5"/>
    <w:rsid w:val="00881DD0"/>
    <w:rsid w:val="00883D6C"/>
    <w:rsid w:val="00885A1E"/>
    <w:rsid w:val="008943CC"/>
    <w:rsid w:val="008964DD"/>
    <w:rsid w:val="008A4B88"/>
    <w:rsid w:val="008B6E10"/>
    <w:rsid w:val="008B7547"/>
    <w:rsid w:val="008B762F"/>
    <w:rsid w:val="008C60B1"/>
    <w:rsid w:val="008C6E13"/>
    <w:rsid w:val="008D6009"/>
    <w:rsid w:val="008E06F5"/>
    <w:rsid w:val="008E2BE4"/>
    <w:rsid w:val="008E33B2"/>
    <w:rsid w:val="008E7CAA"/>
    <w:rsid w:val="008F1331"/>
    <w:rsid w:val="008F137D"/>
    <w:rsid w:val="008F234D"/>
    <w:rsid w:val="008F360D"/>
    <w:rsid w:val="008F517A"/>
    <w:rsid w:val="009028BC"/>
    <w:rsid w:val="00917BA7"/>
    <w:rsid w:val="00920AAA"/>
    <w:rsid w:val="00922CF7"/>
    <w:rsid w:val="009300C2"/>
    <w:rsid w:val="009328AD"/>
    <w:rsid w:val="00937F9D"/>
    <w:rsid w:val="00941F68"/>
    <w:rsid w:val="00943588"/>
    <w:rsid w:val="0094617F"/>
    <w:rsid w:val="00951E07"/>
    <w:rsid w:val="0095333A"/>
    <w:rsid w:val="00973D76"/>
    <w:rsid w:val="00974865"/>
    <w:rsid w:val="00974E25"/>
    <w:rsid w:val="00976450"/>
    <w:rsid w:val="00976FF7"/>
    <w:rsid w:val="0098221B"/>
    <w:rsid w:val="0098382D"/>
    <w:rsid w:val="0098646B"/>
    <w:rsid w:val="00986C3F"/>
    <w:rsid w:val="009879CB"/>
    <w:rsid w:val="00991D60"/>
    <w:rsid w:val="0099370F"/>
    <w:rsid w:val="00993AD7"/>
    <w:rsid w:val="009965F8"/>
    <w:rsid w:val="009B0042"/>
    <w:rsid w:val="009B091B"/>
    <w:rsid w:val="009B113E"/>
    <w:rsid w:val="009B1CBD"/>
    <w:rsid w:val="009B1D0A"/>
    <w:rsid w:val="009B4C05"/>
    <w:rsid w:val="009B55BD"/>
    <w:rsid w:val="009B7426"/>
    <w:rsid w:val="009C390E"/>
    <w:rsid w:val="009C455B"/>
    <w:rsid w:val="009C7AA9"/>
    <w:rsid w:val="009C7D22"/>
    <w:rsid w:val="009D2A1D"/>
    <w:rsid w:val="009D4CCC"/>
    <w:rsid w:val="009D6275"/>
    <w:rsid w:val="009E16F3"/>
    <w:rsid w:val="009E4438"/>
    <w:rsid w:val="009E6EA6"/>
    <w:rsid w:val="009F5A53"/>
    <w:rsid w:val="00A03B21"/>
    <w:rsid w:val="00A07452"/>
    <w:rsid w:val="00A074C5"/>
    <w:rsid w:val="00A12487"/>
    <w:rsid w:val="00A134C4"/>
    <w:rsid w:val="00A1509F"/>
    <w:rsid w:val="00A166F6"/>
    <w:rsid w:val="00A16C8A"/>
    <w:rsid w:val="00A172F9"/>
    <w:rsid w:val="00A2068D"/>
    <w:rsid w:val="00A25271"/>
    <w:rsid w:val="00A27126"/>
    <w:rsid w:val="00A33B56"/>
    <w:rsid w:val="00A3437A"/>
    <w:rsid w:val="00A413C5"/>
    <w:rsid w:val="00A43608"/>
    <w:rsid w:val="00A44A1C"/>
    <w:rsid w:val="00A477F2"/>
    <w:rsid w:val="00A50276"/>
    <w:rsid w:val="00A62D41"/>
    <w:rsid w:val="00A66A36"/>
    <w:rsid w:val="00A66CB3"/>
    <w:rsid w:val="00A67B95"/>
    <w:rsid w:val="00A70CCD"/>
    <w:rsid w:val="00A7161C"/>
    <w:rsid w:val="00A757C0"/>
    <w:rsid w:val="00A80173"/>
    <w:rsid w:val="00A81907"/>
    <w:rsid w:val="00A84210"/>
    <w:rsid w:val="00A86019"/>
    <w:rsid w:val="00A87A9A"/>
    <w:rsid w:val="00A9699C"/>
    <w:rsid w:val="00A96CD0"/>
    <w:rsid w:val="00AA1D0E"/>
    <w:rsid w:val="00AA1D8D"/>
    <w:rsid w:val="00AA2E3F"/>
    <w:rsid w:val="00AA434A"/>
    <w:rsid w:val="00AB295D"/>
    <w:rsid w:val="00AB3400"/>
    <w:rsid w:val="00AB3853"/>
    <w:rsid w:val="00AB606B"/>
    <w:rsid w:val="00AC2C9F"/>
    <w:rsid w:val="00AC4535"/>
    <w:rsid w:val="00AC6FDE"/>
    <w:rsid w:val="00AD233D"/>
    <w:rsid w:val="00AD2393"/>
    <w:rsid w:val="00AD2479"/>
    <w:rsid w:val="00AD5F70"/>
    <w:rsid w:val="00AE2733"/>
    <w:rsid w:val="00AE575C"/>
    <w:rsid w:val="00AE7620"/>
    <w:rsid w:val="00AF35D5"/>
    <w:rsid w:val="00AF3DB7"/>
    <w:rsid w:val="00AF4959"/>
    <w:rsid w:val="00AF6B06"/>
    <w:rsid w:val="00B043A3"/>
    <w:rsid w:val="00B04A8A"/>
    <w:rsid w:val="00B07CA7"/>
    <w:rsid w:val="00B146C1"/>
    <w:rsid w:val="00B150F7"/>
    <w:rsid w:val="00B15A95"/>
    <w:rsid w:val="00B22AB8"/>
    <w:rsid w:val="00B24A95"/>
    <w:rsid w:val="00B31BFE"/>
    <w:rsid w:val="00B32417"/>
    <w:rsid w:val="00B3542B"/>
    <w:rsid w:val="00B45A92"/>
    <w:rsid w:val="00B47730"/>
    <w:rsid w:val="00B50EE0"/>
    <w:rsid w:val="00B515D3"/>
    <w:rsid w:val="00B52CB9"/>
    <w:rsid w:val="00B56276"/>
    <w:rsid w:val="00B566D0"/>
    <w:rsid w:val="00B56717"/>
    <w:rsid w:val="00B56F77"/>
    <w:rsid w:val="00B615D6"/>
    <w:rsid w:val="00B617AA"/>
    <w:rsid w:val="00B62320"/>
    <w:rsid w:val="00B626A6"/>
    <w:rsid w:val="00B630E2"/>
    <w:rsid w:val="00B66C6D"/>
    <w:rsid w:val="00B820C1"/>
    <w:rsid w:val="00B82E9C"/>
    <w:rsid w:val="00B8437C"/>
    <w:rsid w:val="00B84D24"/>
    <w:rsid w:val="00B85BBE"/>
    <w:rsid w:val="00B91426"/>
    <w:rsid w:val="00B926AF"/>
    <w:rsid w:val="00B9469E"/>
    <w:rsid w:val="00B9701F"/>
    <w:rsid w:val="00BA2A63"/>
    <w:rsid w:val="00BB34ED"/>
    <w:rsid w:val="00BB57FC"/>
    <w:rsid w:val="00BC0800"/>
    <w:rsid w:val="00BC2C80"/>
    <w:rsid w:val="00BC5873"/>
    <w:rsid w:val="00BC653E"/>
    <w:rsid w:val="00BC7C06"/>
    <w:rsid w:val="00BD1A87"/>
    <w:rsid w:val="00BD2C4A"/>
    <w:rsid w:val="00BD4B32"/>
    <w:rsid w:val="00BD6F2A"/>
    <w:rsid w:val="00BE0B4B"/>
    <w:rsid w:val="00BE1E31"/>
    <w:rsid w:val="00BE211F"/>
    <w:rsid w:val="00BE2DCD"/>
    <w:rsid w:val="00BE54AE"/>
    <w:rsid w:val="00BE7544"/>
    <w:rsid w:val="00BF1AF1"/>
    <w:rsid w:val="00BF589B"/>
    <w:rsid w:val="00C01519"/>
    <w:rsid w:val="00C02234"/>
    <w:rsid w:val="00C048C2"/>
    <w:rsid w:val="00C05AD6"/>
    <w:rsid w:val="00C05ADA"/>
    <w:rsid w:val="00C062E2"/>
    <w:rsid w:val="00C11CD3"/>
    <w:rsid w:val="00C125EF"/>
    <w:rsid w:val="00C229A8"/>
    <w:rsid w:val="00C231BD"/>
    <w:rsid w:val="00C250BF"/>
    <w:rsid w:val="00C32E74"/>
    <w:rsid w:val="00C334C8"/>
    <w:rsid w:val="00C34624"/>
    <w:rsid w:val="00C357C9"/>
    <w:rsid w:val="00C4474D"/>
    <w:rsid w:val="00C44F23"/>
    <w:rsid w:val="00C45B45"/>
    <w:rsid w:val="00C470CA"/>
    <w:rsid w:val="00C47778"/>
    <w:rsid w:val="00C52E1C"/>
    <w:rsid w:val="00C6220D"/>
    <w:rsid w:val="00C71677"/>
    <w:rsid w:val="00C717AF"/>
    <w:rsid w:val="00C731B8"/>
    <w:rsid w:val="00C75C2B"/>
    <w:rsid w:val="00C76790"/>
    <w:rsid w:val="00C76858"/>
    <w:rsid w:val="00C823B4"/>
    <w:rsid w:val="00C82724"/>
    <w:rsid w:val="00C83A0A"/>
    <w:rsid w:val="00C85635"/>
    <w:rsid w:val="00C90375"/>
    <w:rsid w:val="00C90611"/>
    <w:rsid w:val="00C94240"/>
    <w:rsid w:val="00C9777E"/>
    <w:rsid w:val="00CA523C"/>
    <w:rsid w:val="00CA562B"/>
    <w:rsid w:val="00CB0664"/>
    <w:rsid w:val="00CB44A8"/>
    <w:rsid w:val="00CB511B"/>
    <w:rsid w:val="00CC09D5"/>
    <w:rsid w:val="00CC7A5A"/>
    <w:rsid w:val="00CD207F"/>
    <w:rsid w:val="00CD2EDF"/>
    <w:rsid w:val="00CD60D2"/>
    <w:rsid w:val="00CE0CE9"/>
    <w:rsid w:val="00CE4BA0"/>
    <w:rsid w:val="00CE58C1"/>
    <w:rsid w:val="00CF41A9"/>
    <w:rsid w:val="00CF4A02"/>
    <w:rsid w:val="00CF5BD0"/>
    <w:rsid w:val="00CF7D74"/>
    <w:rsid w:val="00D02800"/>
    <w:rsid w:val="00D02C97"/>
    <w:rsid w:val="00D12F5C"/>
    <w:rsid w:val="00D23469"/>
    <w:rsid w:val="00D24D35"/>
    <w:rsid w:val="00D2760E"/>
    <w:rsid w:val="00D27C52"/>
    <w:rsid w:val="00D33C92"/>
    <w:rsid w:val="00D37552"/>
    <w:rsid w:val="00D475B8"/>
    <w:rsid w:val="00D47DAA"/>
    <w:rsid w:val="00D53BB7"/>
    <w:rsid w:val="00D56FF5"/>
    <w:rsid w:val="00D5705A"/>
    <w:rsid w:val="00D63438"/>
    <w:rsid w:val="00D637AD"/>
    <w:rsid w:val="00D642E7"/>
    <w:rsid w:val="00D646A7"/>
    <w:rsid w:val="00D80853"/>
    <w:rsid w:val="00D81388"/>
    <w:rsid w:val="00D82238"/>
    <w:rsid w:val="00D82E1B"/>
    <w:rsid w:val="00D92755"/>
    <w:rsid w:val="00D957D7"/>
    <w:rsid w:val="00DA0BDB"/>
    <w:rsid w:val="00DA313B"/>
    <w:rsid w:val="00DA3A51"/>
    <w:rsid w:val="00DA464F"/>
    <w:rsid w:val="00DA5866"/>
    <w:rsid w:val="00DB0D09"/>
    <w:rsid w:val="00DB4EC2"/>
    <w:rsid w:val="00DB51EA"/>
    <w:rsid w:val="00DB5CFE"/>
    <w:rsid w:val="00DB74DA"/>
    <w:rsid w:val="00DC0C8C"/>
    <w:rsid w:val="00DC2759"/>
    <w:rsid w:val="00DC3F24"/>
    <w:rsid w:val="00DC4557"/>
    <w:rsid w:val="00DC47D0"/>
    <w:rsid w:val="00DC6EA6"/>
    <w:rsid w:val="00DC71B4"/>
    <w:rsid w:val="00DD0C77"/>
    <w:rsid w:val="00DD1084"/>
    <w:rsid w:val="00DE1B83"/>
    <w:rsid w:val="00DE42F9"/>
    <w:rsid w:val="00DE51D2"/>
    <w:rsid w:val="00DE68D8"/>
    <w:rsid w:val="00DF4CDA"/>
    <w:rsid w:val="00DF7281"/>
    <w:rsid w:val="00E035FF"/>
    <w:rsid w:val="00E1208A"/>
    <w:rsid w:val="00E21D44"/>
    <w:rsid w:val="00E244DE"/>
    <w:rsid w:val="00E33141"/>
    <w:rsid w:val="00E34223"/>
    <w:rsid w:val="00E36C60"/>
    <w:rsid w:val="00E41338"/>
    <w:rsid w:val="00E43B2E"/>
    <w:rsid w:val="00E51CED"/>
    <w:rsid w:val="00E52A5B"/>
    <w:rsid w:val="00E62623"/>
    <w:rsid w:val="00E65FAE"/>
    <w:rsid w:val="00E667D1"/>
    <w:rsid w:val="00E71729"/>
    <w:rsid w:val="00E718CC"/>
    <w:rsid w:val="00E75040"/>
    <w:rsid w:val="00E75061"/>
    <w:rsid w:val="00E92169"/>
    <w:rsid w:val="00E9585B"/>
    <w:rsid w:val="00E96A74"/>
    <w:rsid w:val="00E97775"/>
    <w:rsid w:val="00EA29B9"/>
    <w:rsid w:val="00EA5227"/>
    <w:rsid w:val="00EA5A79"/>
    <w:rsid w:val="00EA5F71"/>
    <w:rsid w:val="00EB1BFB"/>
    <w:rsid w:val="00EB5A15"/>
    <w:rsid w:val="00EB7D4F"/>
    <w:rsid w:val="00EC3734"/>
    <w:rsid w:val="00EC4147"/>
    <w:rsid w:val="00EC5787"/>
    <w:rsid w:val="00EC7876"/>
    <w:rsid w:val="00ED16C2"/>
    <w:rsid w:val="00ED4A47"/>
    <w:rsid w:val="00ED777F"/>
    <w:rsid w:val="00ED7978"/>
    <w:rsid w:val="00EE0991"/>
    <w:rsid w:val="00EE20F1"/>
    <w:rsid w:val="00EE778E"/>
    <w:rsid w:val="00EF01C9"/>
    <w:rsid w:val="00EF41CA"/>
    <w:rsid w:val="00EF471A"/>
    <w:rsid w:val="00F069B1"/>
    <w:rsid w:val="00F07388"/>
    <w:rsid w:val="00F123FD"/>
    <w:rsid w:val="00F12D80"/>
    <w:rsid w:val="00F16168"/>
    <w:rsid w:val="00F16990"/>
    <w:rsid w:val="00F17557"/>
    <w:rsid w:val="00F24D1C"/>
    <w:rsid w:val="00F26D78"/>
    <w:rsid w:val="00F27F88"/>
    <w:rsid w:val="00F3086C"/>
    <w:rsid w:val="00F361F9"/>
    <w:rsid w:val="00F371B6"/>
    <w:rsid w:val="00F40F11"/>
    <w:rsid w:val="00F4342A"/>
    <w:rsid w:val="00F45C88"/>
    <w:rsid w:val="00F467D3"/>
    <w:rsid w:val="00F54B1C"/>
    <w:rsid w:val="00F5658D"/>
    <w:rsid w:val="00F57768"/>
    <w:rsid w:val="00F659B1"/>
    <w:rsid w:val="00F71CF0"/>
    <w:rsid w:val="00F726BE"/>
    <w:rsid w:val="00F72EAE"/>
    <w:rsid w:val="00F74FA9"/>
    <w:rsid w:val="00F82748"/>
    <w:rsid w:val="00F850B7"/>
    <w:rsid w:val="00F87B7B"/>
    <w:rsid w:val="00F91153"/>
    <w:rsid w:val="00F91E56"/>
    <w:rsid w:val="00F93989"/>
    <w:rsid w:val="00F93C84"/>
    <w:rsid w:val="00FA0EB0"/>
    <w:rsid w:val="00FA1967"/>
    <w:rsid w:val="00FA204E"/>
    <w:rsid w:val="00FA24DB"/>
    <w:rsid w:val="00FA36A1"/>
    <w:rsid w:val="00FA6FF6"/>
    <w:rsid w:val="00FB0DB0"/>
    <w:rsid w:val="00FB21DA"/>
    <w:rsid w:val="00FB44EF"/>
    <w:rsid w:val="00FB67E9"/>
    <w:rsid w:val="00FB6C38"/>
    <w:rsid w:val="00FB70D0"/>
    <w:rsid w:val="00FB73FE"/>
    <w:rsid w:val="00FC3694"/>
    <w:rsid w:val="00FC4C96"/>
    <w:rsid w:val="00FC693F"/>
    <w:rsid w:val="00FD0616"/>
    <w:rsid w:val="00FD1893"/>
    <w:rsid w:val="00FD6A77"/>
    <w:rsid w:val="00FD6D4A"/>
    <w:rsid w:val="00FE2501"/>
    <w:rsid w:val="00FF7D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4B33034-014C-4E03-8987-3EC4F38EF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2D7"/>
    <w:pPr>
      <w:spacing w:line="360" w:lineRule="auto"/>
    </w:pPr>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7479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21B8"/>
    <w:rPr>
      <w:color w:val="0000FF" w:themeColor="hyperlink"/>
      <w:u w:val="single"/>
    </w:rPr>
  </w:style>
  <w:style w:type="character" w:styleId="UnresolvedMention">
    <w:name w:val="Unresolved Mention"/>
    <w:basedOn w:val="DefaultParagraphFont"/>
    <w:uiPriority w:val="99"/>
    <w:semiHidden/>
    <w:unhideWhenUsed/>
    <w:rsid w:val="001921B8"/>
    <w:rPr>
      <w:color w:val="605E5C"/>
      <w:shd w:val="clear" w:color="auto" w:fill="E1DFDD"/>
    </w:rPr>
  </w:style>
  <w:style w:type="character" w:styleId="FollowedHyperlink">
    <w:name w:val="FollowedHyperlink"/>
    <w:basedOn w:val="DefaultParagraphFont"/>
    <w:uiPriority w:val="99"/>
    <w:semiHidden/>
    <w:unhideWhenUsed/>
    <w:rsid w:val="00C9777E"/>
    <w:rPr>
      <w:color w:val="800080" w:themeColor="followedHyperlink"/>
      <w:u w:val="single"/>
    </w:rPr>
  </w:style>
  <w:style w:type="character" w:customStyle="1" w:styleId="whitespace-normal">
    <w:name w:val="whitespace-normal"/>
    <w:basedOn w:val="DefaultParagraphFont"/>
    <w:rsid w:val="001A2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marriott.com/news/2018/11/30/marriott-announces-starwood-guest-reservation-database-security-incid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708-025-11474-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log.triaster.co.uk/blog/raci-matrix-template-for-business-process-improv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media2/migrated/2618524/marriott-international-inc-mpn-20201030.pdf" TargetMode="External"/><Relationship Id="rId5" Type="http://schemas.openxmlformats.org/officeDocument/2006/relationships/webSettings" Target="webSettings.xml"/><Relationship Id="rId15" Type="http://schemas.openxmlformats.org/officeDocument/2006/relationships/hyperlink" Target="https://www.6sigma.us/project-management/project-life-cycle/?utm_source=chatgpt.com" TargetMode="External"/><Relationship Id="rId10" Type="http://schemas.openxmlformats.org/officeDocument/2006/relationships/hyperlink" Target="https://doi.org/10.3303/CET164812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ofhub.com/articles/stakeholder-engag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6767</TotalTime>
  <Pages>23</Pages>
  <Words>6572</Words>
  <Characters>37464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43949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Dora Edjangue</cp:lastModifiedBy>
  <cp:revision>772</cp:revision>
  <dcterms:created xsi:type="dcterms:W3CDTF">2013-12-23T23:15:00Z</dcterms:created>
  <dcterms:modified xsi:type="dcterms:W3CDTF">2026-04-28T19:06:00Z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9f88d0d9-a7ca-4ae8-b8c1-e013870eddc8</vt:lpwstr>
  </property>
</Properties>
</file>